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01/31/2014</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61,251</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42.009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272,457.48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7,526.64</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2"/>
              </w:rPr>
              <w:t>4,150</w:t>
            </w:r>
            <w:r>
              <w:rPr>
                <w:rFonts w:ascii="Arial" w:cs="Arial" w:eastAsia="Arial" w:hAnsi="Arial"/>
                <w:sz w:val="22"/>
                <w:szCs w:val="22"/>
                <w:color w:val="008000"/>
                <w:w w:val="82"/>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$41.37 to $42.28.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12-31-2013. (Interests in this account are denominated in units. Consequently, share amount shown is an estimate.) This statement does not include changes in beneficial ownership of shares held in this account occurring after 12-31-2013 that are eligible for deferred reporting on Form 5.</w:t>
      </w:r>
    </w:p>
    <w:p>
      <w:pPr>
        <w:spacing w:after="0" w:line="30" w:lineRule="exact"/>
        <w:rPr>
          <w:rFonts w:ascii="Arial" w:cs="Arial" w:eastAsia="Arial" w:hAnsi="Arial"/>
          <w:sz w:val="14"/>
          <w:szCs w:val="14"/>
          <w:color w:val="008000"/>
        </w:rPr>
      </w:pPr>
    </w:p>
    <w:p>
      <w:pPr>
        <w:ind w:left="40" w:right="16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12-31-2013. (Interests in this account are denominated in units. Consequently, share amount shown is an estimate.) This statement does not include changes in beneficial ownership of shares held in such account occurring after 12-31-2013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02/03/2014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2019-12-17T02:16:49Z</dcterms:created>
  <dcterms:modified xsi:type="dcterms:W3CDTF">2019-12-17T02:16:49Z</dcterms:modified>
</cp:coreProperties>
</file>