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1980"/>
        <w:spacing w:after="0"/>
        <w:rPr>
          <w:sz w:val="20"/>
          <w:szCs w:val="20"/>
          <w:color w:val="auto"/>
        </w:rPr>
      </w:pPr>
      <w:r>
        <w:rPr>
          <w:rFonts w:ascii="Arial" w:cs="Arial" w:eastAsia="Arial" w:hAnsi="Arial"/>
          <w:sz w:val="22"/>
          <w:szCs w:val="22"/>
          <w:b w:val="1"/>
          <w:bCs w:val="1"/>
          <w:color w:val="auto"/>
        </w:rPr>
        <w:t>DATE OF REPORT (DATE OF EARLIEST EVENT REPORTED): May 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1540"/>
        <w:spacing w:after="0"/>
        <w:rPr>
          <w:sz w:val="20"/>
          <w:szCs w:val="20"/>
          <w:color w:val="auto"/>
        </w:rPr>
      </w:pPr>
      <w:r>
        <w:rPr>
          <w:rFonts w:ascii="Arial" w:cs="Arial" w:eastAsia="Arial" w:hAnsi="Arial"/>
          <w:sz w:val="43"/>
          <w:szCs w:val="43"/>
          <w:b w:val="1"/>
          <w:bCs w:val="1"/>
          <w:color w:val="auto"/>
        </w:rPr>
        <w:t>TEXAS INSTRUMENTS INCORPORATED</w:t>
      </w:r>
    </w:p>
    <w:p>
      <w:pPr>
        <w:spacing w:after="0" w:line="54" w:lineRule="exact"/>
        <w:rPr>
          <w:sz w:val="24"/>
          <w:szCs w:val="24"/>
          <w:color w:val="auto"/>
        </w:rPr>
      </w:pPr>
    </w:p>
    <w:tbl>
      <w:tblPr>
        <w:tblLayout w:type="fixed"/>
        <w:tblInd w:w="1180" w:type="dxa"/>
        <w:tblCellMar>
          <w:top w:w="0" w:type="dxa"/>
          <w:left w:w="0" w:type="dxa"/>
          <w:bottom w:w="0" w:type="dxa"/>
          <w:right w:w="0" w:type="dxa"/>
        </w:tblCellMar>
      </w:tblPr>
      <w:tr>
        <w:trPr>
          <w:trHeight w:val="228"/>
        </w:trPr>
        <w:tc>
          <w:tcPr>
            <w:tcW w:w="1780" w:type="dxa"/>
            <w:vAlign w:val="bottom"/>
          </w:tcPr>
          <w:p>
            <w:pPr>
              <w:spacing w:after="0"/>
              <w:rPr>
                <w:sz w:val="19"/>
                <w:szCs w:val="19"/>
                <w:color w:val="auto"/>
              </w:rPr>
            </w:pPr>
          </w:p>
        </w:tc>
        <w:tc>
          <w:tcPr>
            <w:tcW w:w="5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(Exact name of registrant as specified in charter)</w:t>
            </w:r>
          </w:p>
        </w:tc>
        <w:tc>
          <w:tcPr>
            <w:tcW w:w="1440" w:type="dxa"/>
            <w:vAlign w:val="bottom"/>
          </w:tcPr>
          <w:p>
            <w:pPr>
              <w:spacing w:after="0"/>
              <w:rPr>
                <w:sz w:val="19"/>
                <w:szCs w:val="19"/>
                <w:color w:val="auto"/>
              </w:rPr>
            </w:pPr>
          </w:p>
        </w:tc>
      </w:tr>
      <w:tr>
        <w:trPr>
          <w:trHeight w:val="279"/>
        </w:trPr>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26"/>
        </w:trPr>
        <w:tc>
          <w:tcPr>
            <w:tcW w:w="1780" w:type="dxa"/>
            <w:vAlign w:val="bottom"/>
          </w:tcPr>
          <w:p>
            <w:pPr>
              <w:jc w:val="center"/>
              <w:ind w:right="186"/>
              <w:spacing w:after="0"/>
              <w:rPr>
                <w:sz w:val="20"/>
                <w:szCs w:val="20"/>
                <w:color w:val="auto"/>
              </w:rPr>
            </w:pPr>
            <w:r>
              <w:rPr>
                <w:rFonts w:ascii="Arial" w:cs="Arial" w:eastAsia="Arial" w:hAnsi="Arial"/>
                <w:sz w:val="18"/>
                <w:szCs w:val="18"/>
                <w:b w:val="1"/>
                <w:bCs w:val="1"/>
                <w:color w:val="auto"/>
                <w:w w:val="96"/>
              </w:rPr>
              <w:t>DELAWARE</w:t>
            </w:r>
          </w:p>
        </w:tc>
        <w:tc>
          <w:tcPr>
            <w:tcW w:w="3940" w:type="dxa"/>
            <w:vAlign w:val="bottom"/>
            <w:gridSpan w:val="2"/>
          </w:tcPr>
          <w:p>
            <w:pPr>
              <w:ind w:left="2500"/>
              <w:spacing w:after="0"/>
              <w:rPr>
                <w:sz w:val="20"/>
                <w:szCs w:val="20"/>
                <w:color w:val="auto"/>
              </w:rPr>
            </w:pPr>
            <w:r>
              <w:rPr>
                <w:rFonts w:ascii="Arial" w:cs="Arial" w:eastAsia="Arial" w:hAnsi="Arial"/>
                <w:sz w:val="18"/>
                <w:szCs w:val="18"/>
                <w:b w:val="1"/>
                <w:bCs w:val="1"/>
                <w:color w:val="auto"/>
              </w:rPr>
              <w:t>001-03761</w:t>
            </w:r>
          </w:p>
        </w:tc>
        <w:tc>
          <w:tcPr>
            <w:tcW w:w="1760" w:type="dxa"/>
            <w:vAlign w:val="bottom"/>
          </w:tcPr>
          <w:p>
            <w:pPr>
              <w:spacing w:after="0"/>
              <w:rPr>
                <w:sz w:val="24"/>
                <w:szCs w:val="24"/>
                <w:color w:val="auto"/>
              </w:rPr>
            </w:pPr>
          </w:p>
        </w:tc>
        <w:tc>
          <w:tcPr>
            <w:tcW w:w="1440" w:type="dxa"/>
            <w:vAlign w:val="bottom"/>
          </w:tcPr>
          <w:p>
            <w:pPr>
              <w:jc w:val="center"/>
              <w:ind w:left="366"/>
              <w:spacing w:after="0"/>
              <w:rPr>
                <w:sz w:val="20"/>
                <w:szCs w:val="20"/>
                <w:color w:val="auto"/>
              </w:rPr>
            </w:pPr>
            <w:r>
              <w:rPr>
                <w:rFonts w:ascii="Arial" w:cs="Arial" w:eastAsia="Arial" w:hAnsi="Arial"/>
                <w:sz w:val="18"/>
                <w:szCs w:val="18"/>
                <w:b w:val="1"/>
                <w:bCs w:val="1"/>
                <w:color w:val="auto"/>
                <w:w w:val="87"/>
              </w:rPr>
              <w:t>75-0289970</w:t>
            </w:r>
          </w:p>
        </w:tc>
      </w:tr>
      <w:tr>
        <w:trPr>
          <w:trHeight w:val="149"/>
        </w:trPr>
        <w:tc>
          <w:tcPr>
            <w:tcW w:w="178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560" w:type="dxa"/>
            <w:vAlign w:val="bottom"/>
          </w:tcPr>
          <w:p>
            <w:pPr>
              <w:spacing w:after="0"/>
              <w:rPr>
                <w:sz w:val="12"/>
                <w:szCs w:val="12"/>
                <w:color w:val="auto"/>
              </w:rPr>
            </w:pPr>
          </w:p>
        </w:tc>
        <w:tc>
          <w:tcPr>
            <w:tcW w:w="4140" w:type="dxa"/>
            <w:vAlign w:val="bottom"/>
            <w:gridSpan w:val="2"/>
          </w:tcPr>
          <w:p>
            <w:pPr>
              <w:ind w:left="940"/>
              <w:spacing w:after="0" w:line="149" w:lineRule="exact"/>
              <w:rPr>
                <w:sz w:val="20"/>
                <w:szCs w:val="20"/>
                <w:color w:val="auto"/>
              </w:rPr>
            </w:pPr>
            <w:r>
              <w:rPr>
                <w:rFonts w:ascii="Arial" w:cs="Arial" w:eastAsia="Arial" w:hAnsi="Arial"/>
                <w:sz w:val="14"/>
                <w:szCs w:val="14"/>
                <w:b w:val="1"/>
                <w:bCs w:val="1"/>
                <w:color w:val="auto"/>
              </w:rPr>
              <w:t>(Commission</w:t>
            </w:r>
          </w:p>
        </w:tc>
        <w:tc>
          <w:tcPr>
            <w:tcW w:w="1440" w:type="dxa"/>
            <w:vAlign w:val="bottom"/>
          </w:tcPr>
          <w:p>
            <w:pPr>
              <w:jc w:val="center"/>
              <w:ind w:left="346"/>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1780" w:type="dxa"/>
            <w:vAlign w:val="bottom"/>
          </w:tcPr>
          <w:p>
            <w:pPr>
              <w:jc w:val="center"/>
              <w:ind w:right="166"/>
              <w:spacing w:after="0"/>
              <w:rPr>
                <w:sz w:val="20"/>
                <w:szCs w:val="20"/>
                <w:color w:val="auto"/>
              </w:rPr>
            </w:pPr>
            <w:r>
              <w:rPr>
                <w:rFonts w:ascii="Arial" w:cs="Arial" w:eastAsia="Arial" w:hAnsi="Arial"/>
                <w:sz w:val="14"/>
                <w:szCs w:val="14"/>
                <w:b w:val="1"/>
                <w:bCs w:val="1"/>
                <w:color w:val="auto"/>
                <w:w w:val="87"/>
              </w:rPr>
              <w:t>of incorporation)</w:t>
            </w:r>
          </w:p>
        </w:tc>
        <w:tc>
          <w:tcPr>
            <w:tcW w:w="1560" w:type="dxa"/>
            <w:vAlign w:val="bottom"/>
          </w:tcPr>
          <w:p>
            <w:pPr>
              <w:spacing w:after="0"/>
              <w:rPr>
                <w:sz w:val="15"/>
                <w:szCs w:val="15"/>
                <w:color w:val="auto"/>
              </w:rPr>
            </w:pPr>
          </w:p>
        </w:tc>
        <w:tc>
          <w:tcPr>
            <w:tcW w:w="4140" w:type="dxa"/>
            <w:vAlign w:val="bottom"/>
            <w:gridSpan w:val="2"/>
          </w:tcPr>
          <w:p>
            <w:pPr>
              <w:ind w:left="960"/>
              <w:spacing w:after="0"/>
              <w:rPr>
                <w:sz w:val="20"/>
                <w:szCs w:val="20"/>
                <w:color w:val="auto"/>
              </w:rPr>
            </w:pPr>
            <w:r>
              <w:rPr>
                <w:rFonts w:ascii="Arial" w:cs="Arial" w:eastAsia="Arial" w:hAnsi="Arial"/>
                <w:sz w:val="14"/>
                <w:szCs w:val="14"/>
                <w:b w:val="1"/>
                <w:bCs w:val="1"/>
                <w:color w:val="auto"/>
              </w:rPr>
              <w:t>file number)</w:t>
            </w:r>
          </w:p>
        </w:tc>
        <w:tc>
          <w:tcPr>
            <w:tcW w:w="1440" w:type="dxa"/>
            <w:vAlign w:val="bottom"/>
          </w:tcPr>
          <w:p>
            <w:pPr>
              <w:jc w:val="center"/>
              <w:ind w:left="346"/>
              <w:spacing w:after="0"/>
              <w:rPr>
                <w:sz w:val="20"/>
                <w:szCs w:val="20"/>
                <w:color w:val="auto"/>
              </w:rPr>
            </w:pPr>
            <w:r>
              <w:rPr>
                <w:rFonts w:ascii="Arial" w:cs="Arial" w:eastAsia="Arial" w:hAnsi="Arial"/>
                <w:sz w:val="14"/>
                <w:szCs w:val="14"/>
                <w:b w:val="1"/>
                <w:bCs w:val="1"/>
                <w:color w:val="auto"/>
                <w:w w:val="87"/>
              </w:rPr>
              <w:t>identification no.)</w:t>
            </w:r>
          </w:p>
        </w:tc>
      </w:tr>
      <w:tr>
        <w:trPr>
          <w:trHeight w:val="364"/>
        </w:trPr>
        <w:tc>
          <w:tcPr>
            <w:tcW w:w="1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4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95"/>
              </w:rPr>
              <w:t>12500 TI BOULEVARD</w:t>
            </w:r>
          </w:p>
        </w:tc>
        <w:tc>
          <w:tcPr>
            <w:tcW w:w="1440" w:type="dxa"/>
            <w:vAlign w:val="bottom"/>
          </w:tcPr>
          <w:p>
            <w:pPr>
              <w:spacing w:after="0"/>
              <w:rPr>
                <w:sz w:val="24"/>
                <w:szCs w:val="24"/>
                <w:color w:val="auto"/>
              </w:rPr>
            </w:pPr>
          </w:p>
        </w:tc>
      </w:tr>
      <w:tr>
        <w:trPr>
          <w:trHeight w:val="216"/>
        </w:trPr>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40" w:type="dxa"/>
            <w:vAlign w:val="bottom"/>
            <w:gridSpan w:val="2"/>
          </w:tcPr>
          <w:p>
            <w:pPr>
              <w:jc w:val="center"/>
              <w:ind w:right="1760"/>
              <w:spacing w:after="0"/>
              <w:rPr>
                <w:sz w:val="20"/>
                <w:szCs w:val="20"/>
                <w:color w:val="auto"/>
              </w:rPr>
            </w:pPr>
            <w:r>
              <w:rPr>
                <w:rFonts w:ascii="Arial" w:cs="Arial" w:eastAsia="Arial" w:hAnsi="Arial"/>
                <w:sz w:val="18"/>
                <w:szCs w:val="18"/>
                <w:b w:val="1"/>
                <w:bCs w:val="1"/>
                <w:color w:val="auto"/>
                <w:w w:val="89"/>
              </w:rPr>
              <w:t>P.O. BOX 660199</w:t>
            </w:r>
          </w:p>
        </w:tc>
        <w:tc>
          <w:tcPr>
            <w:tcW w:w="1440" w:type="dxa"/>
            <w:vAlign w:val="bottom"/>
          </w:tcPr>
          <w:p>
            <w:pPr>
              <w:spacing w:after="0"/>
              <w:rPr>
                <w:sz w:val="18"/>
                <w:szCs w:val="18"/>
                <w:color w:val="auto"/>
              </w:rPr>
            </w:pPr>
          </w:p>
        </w:tc>
      </w:tr>
      <w:tr>
        <w:trPr>
          <w:trHeight w:val="218"/>
        </w:trPr>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140" w:type="dxa"/>
            <w:vAlign w:val="bottom"/>
            <w:gridSpan w:val="2"/>
          </w:tcPr>
          <w:p>
            <w:pPr>
              <w:jc w:val="center"/>
              <w:ind w:right="1740"/>
              <w:spacing w:after="0"/>
              <w:rPr>
                <w:sz w:val="20"/>
                <w:szCs w:val="20"/>
                <w:color w:val="auto"/>
              </w:rPr>
            </w:pPr>
            <w:r>
              <w:rPr>
                <w:rFonts w:ascii="Arial" w:cs="Arial" w:eastAsia="Arial" w:hAnsi="Arial"/>
                <w:sz w:val="18"/>
                <w:szCs w:val="18"/>
                <w:b w:val="1"/>
                <w:bCs w:val="1"/>
                <w:color w:val="auto"/>
                <w:w w:val="93"/>
              </w:rPr>
              <w:t>DALLAS, TEXAS 75266-0199</w:t>
            </w:r>
          </w:p>
        </w:tc>
        <w:tc>
          <w:tcPr>
            <w:tcW w:w="1440" w:type="dxa"/>
            <w:vAlign w:val="bottom"/>
          </w:tcPr>
          <w:p>
            <w:pPr>
              <w:spacing w:after="0"/>
              <w:rPr>
                <w:sz w:val="18"/>
                <w:szCs w:val="18"/>
                <w:color w:val="auto"/>
              </w:rPr>
            </w:pPr>
          </w:p>
        </w:tc>
      </w:tr>
      <w:tr>
        <w:trPr>
          <w:trHeight w:val="174"/>
        </w:trPr>
        <w:tc>
          <w:tcPr>
            <w:tcW w:w="1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1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40" w:type="dxa"/>
            <w:vAlign w:val="bottom"/>
          </w:tcPr>
          <w:p>
            <w:pPr>
              <w:spacing w:after="0"/>
              <w:rPr>
                <w:sz w:val="15"/>
                <w:szCs w:val="15"/>
                <w:color w:val="auto"/>
              </w:rPr>
            </w:pPr>
          </w:p>
        </w:tc>
      </w:tr>
      <w:tr>
        <w:trPr>
          <w:trHeight w:val="363"/>
        </w:trPr>
        <w:tc>
          <w:tcPr>
            <w:tcW w:w="1780" w:type="dxa"/>
            <w:vAlign w:val="bottom"/>
          </w:tcPr>
          <w:p>
            <w:pPr>
              <w:spacing w:after="0"/>
              <w:rPr>
                <w:sz w:val="24"/>
                <w:szCs w:val="24"/>
                <w:color w:val="auto"/>
              </w:rPr>
            </w:pPr>
          </w:p>
        </w:tc>
        <w:tc>
          <w:tcPr>
            <w:tcW w:w="57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Registrant’s telephone number, including area code: (214) 479-3773</w:t>
            </w:r>
          </w:p>
        </w:tc>
        <w:tc>
          <w:tcPr>
            <w:tcW w:w="14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w:t>
      </w:r>
      <w:r>
        <w:rPr>
          <w:rFonts w:ascii="Arial" w:cs="Arial" w:eastAsia="Arial" w:hAnsi="Arial"/>
          <w:sz w:val="18"/>
          <w:szCs w:val="18"/>
          <w:color w:val="auto"/>
        </w:rPr>
        <w:t>1.0</w:t>
      </w:r>
      <w:r>
        <w:rPr>
          <w:rFonts w:ascii="Arial" w:cs="Arial" w:eastAsia="Arial" w:hAnsi="Arial"/>
          <w:sz w:val="18"/>
          <w:szCs w:val="18"/>
          <w:i w:val="1"/>
          <w:iCs w:val="1"/>
          <w:color w:val="auto"/>
        </w:rPr>
        <w:t xml:space="preserve"> Billion of Notes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 May 8, 2013, Texas Instruments Incorporated (“Texas Instruments”) expects to consummate the issuance and sale of $500,000,000 aggregate principal amount of its 1.000% Notes due 2018 and $500,000,000 aggregate principal amount of its 2.250% Notes due 2023 (all together, the “Notes”), pursuant to an underwriting agreement filed herewith as Exhibit 4.1 dated May 1, 2013 among Texas Instruments and J.P. Morgan Securities LLC and Morgan Stanley &amp; Co. LLC, as representatives of the several underwriters named therein. The Notes will be issued pursuant to an Indenture dated as of May 23, 2011 (the “Indenture”) between Texas Instruments and U.S. Bank National Association, as trustee, and an officer’s certificate issued pursuant thereto.</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are being offered pursuant to Texas Instruments’ Registration Statement on Form S-3 filed on February 22, 2013 (Reg. No. 333-186803), including the prospectus contained therein (the “Registration Statement”), and a related preliminary prospectus supplement dated May 1, 2013 and a prospectus supplement dated May 1, 2013.</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material terms and conditions of the Notes are set forth in the Indenture filed as Exhibit 4.2 to the Current Report of Texas Instruments on Form 8-K dated May 23, 2011 and the Officer’s Certificate filed herewith as Exhibit 4.2 and incorporated by reference herein.</w:t>
      </w:r>
    </w:p>
    <w:p>
      <w:pPr>
        <w:sectPr>
          <w:pgSz w:w="11900" w:h="16838" w:orient="portrait"/>
          <w:cols w:equalWidth="0" w:num="1">
            <w:col w:w="11380"/>
          </w:cols>
          <w:pgMar w:left="240" w:top="27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560" w:type="dxa"/>
            <w:vAlign w:val="bottom"/>
          </w:tcPr>
          <w:p>
            <w:pPr>
              <w:spacing w:after="0"/>
              <w:rPr>
                <w:sz w:val="14"/>
                <w:szCs w:val="14"/>
                <w:color w:val="auto"/>
              </w:rPr>
            </w:pPr>
          </w:p>
        </w:tc>
        <w:tc>
          <w:tcPr>
            <w:tcW w:w="10440" w:type="dxa"/>
            <w:vAlign w:val="bottom"/>
          </w:tcPr>
          <w:p>
            <w:pPr>
              <w:spacing w:after="0"/>
              <w:rPr>
                <w:sz w:val="14"/>
                <w:szCs w:val="14"/>
                <w:color w:val="auto"/>
              </w:rPr>
            </w:pPr>
          </w:p>
        </w:tc>
      </w:tr>
      <w:tr>
        <w:trPr>
          <w:trHeight w:val="166"/>
        </w:trPr>
        <w:tc>
          <w:tcPr>
            <w:tcW w:w="4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No.</w:t>
            </w:r>
          </w:p>
        </w:tc>
        <w:tc>
          <w:tcPr>
            <w:tcW w:w="560" w:type="dxa"/>
            <w:vAlign w:val="bottom"/>
          </w:tcPr>
          <w:p>
            <w:pPr>
              <w:spacing w:after="0"/>
              <w:rPr>
                <w:sz w:val="14"/>
                <w:szCs w:val="14"/>
                <w:color w:val="auto"/>
              </w:rPr>
            </w:pPr>
          </w:p>
        </w:tc>
        <w:tc>
          <w:tcPr>
            <w:tcW w:w="104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Description</w:t>
            </w:r>
          </w:p>
        </w:tc>
      </w:tr>
      <w:tr>
        <w:trPr>
          <w:trHeight w:val="302"/>
        </w:trPr>
        <w:tc>
          <w:tcPr>
            <w:tcW w:w="420" w:type="dxa"/>
            <w:vAlign w:val="bottom"/>
          </w:tcPr>
          <w:p>
            <w:pPr>
              <w:spacing w:after="0"/>
              <w:rPr>
                <w:sz w:val="20"/>
                <w:szCs w:val="20"/>
                <w:color w:val="auto"/>
              </w:rPr>
            </w:pPr>
            <w:r>
              <w:rPr>
                <w:rFonts w:ascii="Arial" w:cs="Arial" w:eastAsia="Arial" w:hAnsi="Arial"/>
                <w:sz w:val="18"/>
                <w:szCs w:val="18"/>
                <w:color w:val="auto"/>
              </w:rPr>
              <w:t>4.1</w:t>
            </w:r>
          </w:p>
        </w:tc>
        <w:tc>
          <w:tcPr>
            <w:tcW w:w="11000" w:type="dxa"/>
            <w:vAlign w:val="bottom"/>
            <w:gridSpan w:val="2"/>
          </w:tcPr>
          <w:p>
            <w:pPr>
              <w:ind w:left="560"/>
              <w:spacing w:after="0"/>
              <w:rPr>
                <w:sz w:val="20"/>
                <w:szCs w:val="20"/>
                <w:color w:val="auto"/>
              </w:rPr>
            </w:pPr>
            <w:r>
              <w:rPr>
                <w:rFonts w:ascii="Arial" w:cs="Arial" w:eastAsia="Arial" w:hAnsi="Arial"/>
                <w:sz w:val="18"/>
                <w:szCs w:val="18"/>
                <w:color w:val="auto"/>
                <w:w w:val="97"/>
              </w:rPr>
              <w:t>Underwriting Agreement, dated May 1, 2013, among the Company and J.P. Morgan Securities LLC and Morgan Stanley &amp; Co. LLC, as</w:t>
            </w:r>
          </w:p>
        </w:tc>
      </w:tr>
      <w:tr>
        <w:trPr>
          <w:trHeight w:val="222"/>
        </w:trPr>
        <w:tc>
          <w:tcPr>
            <w:tcW w:w="420" w:type="dxa"/>
            <w:vAlign w:val="bottom"/>
          </w:tcPr>
          <w:p>
            <w:pPr>
              <w:spacing w:after="0"/>
              <w:rPr>
                <w:sz w:val="19"/>
                <w:szCs w:val="19"/>
                <w:color w:val="auto"/>
              </w:rPr>
            </w:pPr>
          </w:p>
        </w:tc>
        <w:tc>
          <w:tcPr>
            <w:tcW w:w="11000" w:type="dxa"/>
            <w:vAlign w:val="bottom"/>
            <w:gridSpan w:val="2"/>
          </w:tcPr>
          <w:p>
            <w:pPr>
              <w:ind w:left="560"/>
              <w:spacing w:after="0"/>
              <w:rPr>
                <w:sz w:val="20"/>
                <w:szCs w:val="20"/>
                <w:color w:val="auto"/>
              </w:rPr>
            </w:pPr>
            <w:r>
              <w:rPr>
                <w:rFonts w:ascii="Arial" w:cs="Arial" w:eastAsia="Arial" w:hAnsi="Arial"/>
                <w:sz w:val="18"/>
                <w:szCs w:val="18"/>
                <w:color w:val="auto"/>
              </w:rPr>
              <w:t>representatives of the several underwriters named in Schedule II therein</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4.2</w:t>
            </w:r>
          </w:p>
        </w:tc>
        <w:tc>
          <w:tcPr>
            <w:tcW w:w="11000" w:type="dxa"/>
            <w:vAlign w:val="bottom"/>
            <w:gridSpan w:val="2"/>
          </w:tcPr>
          <w:p>
            <w:pPr>
              <w:ind w:left="560"/>
              <w:spacing w:after="0"/>
              <w:rPr>
                <w:sz w:val="20"/>
                <w:szCs w:val="20"/>
                <w:color w:val="auto"/>
              </w:rPr>
            </w:pPr>
            <w:r>
              <w:rPr>
                <w:rFonts w:ascii="Arial" w:cs="Arial" w:eastAsia="Arial" w:hAnsi="Arial"/>
                <w:sz w:val="18"/>
                <w:szCs w:val="18"/>
                <w:color w:val="auto"/>
              </w:rPr>
              <w:t>Officer’s Certificate setting forth the terms of the Notes</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5.1</w:t>
            </w:r>
          </w:p>
        </w:tc>
        <w:tc>
          <w:tcPr>
            <w:tcW w:w="11000" w:type="dxa"/>
            <w:vAlign w:val="bottom"/>
            <w:gridSpan w:val="2"/>
          </w:tcPr>
          <w:p>
            <w:pPr>
              <w:ind w:left="560"/>
              <w:spacing w:after="0"/>
              <w:rPr>
                <w:sz w:val="20"/>
                <w:szCs w:val="20"/>
                <w:color w:val="auto"/>
              </w:rPr>
            </w:pPr>
            <w:r>
              <w:rPr>
                <w:rFonts w:ascii="Arial" w:cs="Arial" w:eastAsia="Arial" w:hAnsi="Arial"/>
                <w:sz w:val="18"/>
                <w:szCs w:val="18"/>
                <w:color w:val="auto"/>
              </w:rPr>
              <w:t>Opinion of Davis Polk &amp; Wardwell LLP</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23.1</w:t>
            </w:r>
          </w:p>
        </w:tc>
        <w:tc>
          <w:tcPr>
            <w:tcW w:w="11000" w:type="dxa"/>
            <w:vAlign w:val="bottom"/>
            <w:gridSpan w:val="2"/>
          </w:tcPr>
          <w:p>
            <w:pPr>
              <w:ind w:left="560"/>
              <w:spacing w:after="0"/>
              <w:rPr>
                <w:sz w:val="20"/>
                <w:szCs w:val="20"/>
                <w:color w:val="auto"/>
              </w:rPr>
            </w:pPr>
            <w:r>
              <w:rPr>
                <w:rFonts w:ascii="Arial" w:cs="Arial" w:eastAsia="Arial" w:hAnsi="Arial"/>
                <w:sz w:val="18"/>
                <w:szCs w:val="18"/>
                <w:color w:val="auto"/>
              </w:rPr>
              <w:t>Consent of Davis Polk &amp; Wardwell LLP (contained in Exhibit 5.1)</w:t>
            </w: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19"/>
                <w:szCs w:val="19"/>
                <w:color w:val="auto"/>
              </w:rPr>
            </w:pPr>
          </w:p>
        </w:tc>
        <w:tc>
          <w:tcPr>
            <w:tcW w:w="7960" w:type="dxa"/>
            <w:vAlign w:val="bottom"/>
            <w:gridSpan w:val="2"/>
          </w:tcPr>
          <w:p>
            <w:pPr>
              <w:ind w:left="2120"/>
              <w:spacing w:after="0"/>
              <w:rPr>
                <w:sz w:val="20"/>
                <w:szCs w:val="20"/>
                <w:color w:val="auto"/>
              </w:rPr>
            </w:pPr>
            <w:r>
              <w:rPr>
                <w:rFonts w:ascii="Arial" w:cs="Arial" w:eastAsia="Arial" w:hAnsi="Arial"/>
                <w:sz w:val="18"/>
                <w:szCs w:val="18"/>
                <w:color w:val="auto"/>
              </w:rPr>
              <w:t>TEXAS INSTRUMENTS INCORPORATED</w:t>
            </w:r>
          </w:p>
        </w:tc>
      </w:tr>
      <w:tr>
        <w:trPr>
          <w:trHeight w:val="433"/>
        </w:trPr>
        <w:tc>
          <w:tcPr>
            <w:tcW w:w="3460" w:type="dxa"/>
            <w:vAlign w:val="bottom"/>
          </w:tcPr>
          <w:p>
            <w:pPr>
              <w:spacing w:after="0"/>
              <w:rPr>
                <w:sz w:val="20"/>
                <w:szCs w:val="20"/>
                <w:color w:val="auto"/>
              </w:rPr>
            </w:pPr>
            <w:r>
              <w:rPr>
                <w:rFonts w:ascii="Arial" w:cs="Arial" w:eastAsia="Arial" w:hAnsi="Arial"/>
                <w:sz w:val="18"/>
                <w:szCs w:val="18"/>
                <w:color w:val="auto"/>
              </w:rPr>
              <w:t>Date: May 8, 2013</w:t>
            </w:r>
          </w:p>
        </w:tc>
        <w:tc>
          <w:tcPr>
            <w:tcW w:w="7960" w:type="dxa"/>
            <w:vAlign w:val="bottom"/>
            <w:gridSpan w:val="2"/>
          </w:tcPr>
          <w:p>
            <w:pPr>
              <w:ind w:left="2120"/>
              <w:spacing w:after="0"/>
              <w:rPr>
                <w:sz w:val="20"/>
                <w:szCs w:val="20"/>
                <w:color w:val="auto"/>
              </w:rPr>
            </w:pPr>
            <w:r>
              <w:rPr>
                <w:rFonts w:ascii="Arial" w:cs="Arial" w:eastAsia="Arial" w:hAnsi="Arial"/>
                <w:sz w:val="18"/>
                <w:szCs w:val="18"/>
                <w:color w:val="auto"/>
              </w:rPr>
              <w:t>By: /s/ Joseph F. Hubach</w:t>
            </w:r>
          </w:p>
        </w:tc>
      </w:tr>
      <w:tr>
        <w:trPr>
          <w:trHeight w:val="202"/>
        </w:trPr>
        <w:tc>
          <w:tcPr>
            <w:tcW w:w="34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58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Joseph F. Hubach</w:t>
            </w:r>
          </w:p>
        </w:tc>
      </w:tr>
      <w:tr>
        <w:trPr>
          <w:trHeight w:val="222"/>
        </w:trPr>
        <w:tc>
          <w:tcPr>
            <w:tcW w:w="34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80" w:type="dxa"/>
            <w:vAlign w:val="bottom"/>
          </w:tcPr>
          <w:p>
            <w:pPr>
              <w:ind w:left="120"/>
              <w:spacing w:after="0"/>
              <w:rPr>
                <w:sz w:val="20"/>
                <w:szCs w:val="20"/>
                <w:color w:val="auto"/>
              </w:rPr>
            </w:pPr>
            <w:r>
              <w:rPr>
                <w:rFonts w:ascii="Arial" w:cs="Arial" w:eastAsia="Arial" w:hAnsi="Arial"/>
                <w:sz w:val="18"/>
                <w:szCs w:val="18"/>
                <w:color w:val="auto"/>
              </w:rPr>
              <w:t>Senior Vice President, Secretary and General Counsel</w:t>
            </w:r>
          </w:p>
        </w:tc>
      </w:tr>
    </w:tbl>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7"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May 1,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84"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We (the “</w:t>
      </w:r>
      <w:r>
        <w:rPr>
          <w:rFonts w:ascii="Arial" w:cs="Arial" w:eastAsia="Arial" w:hAnsi="Arial"/>
          <w:sz w:val="16"/>
          <w:szCs w:val="16"/>
          <w:b w:val="1"/>
          <w:bCs w:val="1"/>
          <w:color w:val="auto"/>
        </w:rPr>
        <w:t>Underwriters</w:t>
      </w:r>
      <w:r>
        <w:rPr>
          <w:rFonts w:ascii="Arial" w:cs="Arial" w:eastAsia="Arial" w:hAnsi="Arial"/>
          <w:sz w:val="16"/>
          <w:szCs w:val="16"/>
          <w:color w:val="auto"/>
        </w:rPr>
        <w:t>”) understand that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w:t>
      </w:r>
    </w:p>
    <w:p>
      <w:pPr>
        <w:spacing w:after="0" w:line="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$500,000,000 principal amount of the 1.000% Notes due 2018 and $500,000,000 principal amount of the 2.250% Notes due 2023 (the “</w:t>
      </w:r>
      <w:r>
        <w:rPr>
          <w:rFonts w:ascii="Arial" w:cs="Arial" w:eastAsia="Arial" w:hAnsi="Arial"/>
          <w:sz w:val="18"/>
          <w:szCs w:val="18"/>
          <w:b w:val="1"/>
          <w:bCs w:val="1"/>
          <w:color w:val="auto"/>
        </w:rPr>
        <w:t>Offered Securities</w:t>
      </w:r>
      <w:r>
        <w:rPr>
          <w:rFonts w:ascii="Arial" w:cs="Arial" w:eastAsia="Arial" w:hAnsi="Arial"/>
          <w:sz w:val="18"/>
          <w:szCs w:val="18"/>
          <w:color w:val="auto"/>
        </w:rPr>
        <w:t>”) identified in Schedule I hereto, as more fully described in the Time of Sale Prospectus. The Offered Securities will be issued pursuant to the Indenture, dated as of May 23, 2011, between the Company and U.S. Bank National Association, as trustee.</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Subject to the terms and conditions set forth herein or incorporated by reference herein, the Company agrees to sell and the Underwriters agree to purchase, severally and not jointly, at the respective purchase prices set forth in Schedule I hereto, the principal amount of the Offered Securities set forth opposite their respective names in Schedule II hereto. For purposes of this Agreement, “</w:t>
      </w:r>
      <w:r>
        <w:rPr>
          <w:rFonts w:ascii="Arial" w:cs="Arial" w:eastAsia="Arial" w:hAnsi="Arial"/>
          <w:sz w:val="16"/>
          <w:szCs w:val="16"/>
          <w:b w:val="1"/>
          <w:bCs w:val="1"/>
          <w:color w:val="auto"/>
        </w:rPr>
        <w:t>Applicable Time</w:t>
      </w:r>
      <w:r>
        <w:rPr>
          <w:rFonts w:ascii="Arial" w:cs="Arial" w:eastAsia="Arial" w:hAnsi="Arial"/>
          <w:sz w:val="16"/>
          <w:szCs w:val="16"/>
          <w:color w:val="auto"/>
        </w:rPr>
        <w:t>” means 2:00 p.m. (New York time) on the date hereof.</w:t>
      </w:r>
    </w:p>
    <w:p>
      <w:pPr>
        <w:spacing w:after="0" w:line="107"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Payment of the purchase price for the Offered Securities shall be made to the Company by Federal funds wire transfer against delivery of the Offered Securities in book-entry form to the Manager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10:00 A.M. (New York time) on May 8, 2013, or at such other time, not later than May 15, 2013, as shall be designated by the Manager.</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All the provisions contained in the document entitled Texas Instruments Incorporated Underwriting Agreement Standard Provisions dated May 1, 2013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J.P. Morgan Securities LLC and Morgan Stanley &amp; Co. LLC whose</w:t>
      </w:r>
    </w:p>
    <w:p>
      <w:pPr>
        <w:sectPr>
          <w:pgSz w:w="11900" w:h="16838" w:orient="portrait"/>
          <w:cols w:equalWidth="0" w:num="1">
            <w:col w:w="11420"/>
          </w:cols>
          <w:pgMar w:left="240" w:top="125" w:right="239" w:bottom="1440" w:gutter="0" w:footer="0" w:header="0"/>
        </w:sectPr>
      </w:pPr>
    </w:p>
    <w:bookmarkStart w:id="5" w:name="page6"/>
    <w:bookmarkEnd w:id="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authority hereunder may be exercised by them jointly, (v) clause (c) of the second paragraph of the Standard Provisions shall be deleted and replaced in its entirety with the following text: “certain of its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issuable under an indenture (the “</w:t>
      </w:r>
      <w:r>
        <w:rPr>
          <w:rFonts w:ascii="Arial" w:cs="Arial" w:eastAsia="Arial" w:hAnsi="Arial"/>
          <w:sz w:val="16"/>
          <w:szCs w:val="16"/>
          <w:b w:val="1"/>
          <w:bCs w:val="1"/>
          <w:color w:val="auto"/>
        </w:rPr>
        <w:t>Indenture</w:t>
      </w:r>
      <w:r>
        <w:rPr>
          <w:rFonts w:ascii="Arial" w:cs="Arial" w:eastAsia="Arial" w:hAnsi="Arial"/>
          <w:sz w:val="16"/>
          <w:szCs w:val="16"/>
          <w:color w:val="auto"/>
        </w:rPr>
        <w:t>”) entered into by the Company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(vi) section III(c)(vii) shall be deleted and replaced in its entirety with the following text: “the statements in the Time of Sale Prospectus under “Material U.S. Federal Income Tax Consequences” and “Underwriting” relating to legal matters fairly summarize in all material respects such legal matters” and (vii) immediately before the period ending the last sentence of the second paragraph of Section VI, the following text shall be inserted: “, it being understood and agreed that the only such information furnished by any Underwriter consists of the information described as such in Schedule IV to the Underwriting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On behalf of themselves and the several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Underwriters listed in Schedule II hereto</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Bottamedi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Robert Bottamedi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Yurij Slyz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Yurij Slyz</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Director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Alan C. Boyd</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and Treasurer</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2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99"/>
              </w:rPr>
              <w:t>SCHEDULE I</w:t>
            </w:r>
          </w:p>
        </w:tc>
      </w:tr>
      <w:tr>
        <w:trPr>
          <w:trHeight w:val="228"/>
        </w:trPr>
        <w:tc>
          <w:tcPr>
            <w:tcW w:w="3340" w:type="dxa"/>
            <w:vAlign w:val="bottom"/>
          </w:tcPr>
          <w:p>
            <w:pPr>
              <w:spacing w:after="0"/>
              <w:rPr>
                <w:sz w:val="19"/>
                <w:szCs w:val="19"/>
                <w:color w:val="auto"/>
              </w:rPr>
            </w:pPr>
          </w:p>
        </w:tc>
        <w:tc>
          <w:tcPr>
            <w:tcW w:w="7360" w:type="dxa"/>
            <w:vAlign w:val="bottom"/>
            <w:gridSpan w:val="3"/>
          </w:tcPr>
          <w:p>
            <w:pPr>
              <w:jc w:val="center"/>
              <w:ind w:right="2600"/>
              <w:spacing w:after="0"/>
              <w:rPr>
                <w:sz w:val="20"/>
                <w:szCs w:val="20"/>
                <w:color w:val="auto"/>
              </w:rPr>
            </w:pPr>
            <w:r>
              <w:rPr>
                <w:rFonts w:ascii="Arial" w:cs="Arial" w:eastAsia="Arial" w:hAnsi="Arial"/>
                <w:sz w:val="18"/>
                <w:szCs w:val="18"/>
                <w:b w:val="1"/>
                <w:bCs w:val="1"/>
                <w:color w:val="auto"/>
                <w:w w:val="99"/>
              </w:rPr>
              <w:t>TO UNDERWRITING AGREEMENT</w:t>
            </w:r>
          </w:p>
        </w:tc>
      </w:tr>
      <w:tr>
        <w:trPr>
          <w:trHeight w:val="378"/>
        </w:trPr>
        <w:tc>
          <w:tcPr>
            <w:tcW w:w="3340" w:type="dxa"/>
            <w:vAlign w:val="bottom"/>
          </w:tcPr>
          <w:p>
            <w:pPr>
              <w:spacing w:after="0"/>
              <w:rPr>
                <w:sz w:val="24"/>
                <w:szCs w:val="24"/>
                <w:color w:val="auto"/>
              </w:rPr>
            </w:pPr>
          </w:p>
        </w:tc>
        <w:tc>
          <w:tcPr>
            <w:tcW w:w="7360" w:type="dxa"/>
            <w:vAlign w:val="bottom"/>
            <w:gridSpan w:val="3"/>
          </w:tcPr>
          <w:p>
            <w:pPr>
              <w:jc w:val="center"/>
              <w:ind w:right="2620"/>
              <w:spacing w:after="0"/>
              <w:rPr>
                <w:sz w:val="20"/>
                <w:szCs w:val="20"/>
                <w:color w:val="auto"/>
              </w:rPr>
            </w:pPr>
            <w:r>
              <w:rPr>
                <w:rFonts w:ascii="Arial" w:cs="Arial" w:eastAsia="Arial" w:hAnsi="Arial"/>
                <w:sz w:val="18"/>
                <w:szCs w:val="18"/>
                <w:b w:val="1"/>
                <w:bCs w:val="1"/>
                <w:color w:val="auto"/>
                <w:w w:val="97"/>
              </w:rPr>
              <w:t>TEXAS INSTRUMENTS INCORPORATED</w:t>
            </w:r>
          </w:p>
        </w:tc>
      </w:tr>
      <w:tr>
        <w:trPr>
          <w:trHeight w:val="297"/>
        </w:trPr>
        <w:tc>
          <w:tcPr>
            <w:tcW w:w="3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2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87"/>
              </w:rPr>
              <w:t>Pricing Term Sheet</w:t>
            </w:r>
          </w:p>
        </w:tc>
      </w:tr>
      <w:tr>
        <w:trPr>
          <w:trHeight w:val="259"/>
        </w:trPr>
        <w:tc>
          <w:tcPr>
            <w:tcW w:w="33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w:t>
            </w:r>
            <w:r>
              <w:rPr>
                <w:rFonts w:ascii="Arial" w:cs="Arial" w:eastAsia="Arial" w:hAnsi="Arial"/>
                <w:sz w:val="18"/>
                <w:szCs w:val="18"/>
                <w:u w:val="single" w:color="auto"/>
                <w:color w:val="auto"/>
                <w:w w:val="86"/>
              </w:rPr>
              <w:t>000%</w:t>
            </w:r>
            <w:r>
              <w:rPr>
                <w:rFonts w:ascii="Arial" w:cs="Arial" w:eastAsia="Arial" w:hAnsi="Arial"/>
                <w:sz w:val="18"/>
                <w:szCs w:val="18"/>
                <w:color w:val="auto"/>
                <w:w w:val="86"/>
              </w:rPr>
              <w:t xml:space="preserve"> Notes due 2018</w:t>
            </w:r>
          </w:p>
        </w:tc>
        <w:tc>
          <w:tcPr>
            <w:tcW w:w="4140" w:type="dxa"/>
            <w:vAlign w:val="bottom"/>
          </w:tcPr>
          <w:p>
            <w:pPr>
              <w:spacing w:after="0"/>
              <w:rPr>
                <w:sz w:val="22"/>
                <w:szCs w:val="22"/>
                <w:color w:val="auto"/>
              </w:rPr>
            </w:pPr>
          </w:p>
        </w:tc>
      </w:tr>
      <w:tr>
        <w:trPr>
          <w:trHeight w:val="599"/>
        </w:trPr>
        <w:tc>
          <w:tcPr>
            <w:tcW w:w="3340" w:type="dxa"/>
            <w:vAlign w:val="bottom"/>
          </w:tcPr>
          <w:p>
            <w:pPr>
              <w:spacing w:after="0"/>
              <w:rPr>
                <w:sz w:val="20"/>
                <w:szCs w:val="20"/>
                <w:color w:val="auto"/>
              </w:rPr>
            </w:pPr>
            <w:r>
              <w:rPr>
                <w:rFonts w:ascii="Arial" w:cs="Arial" w:eastAsia="Arial" w:hAnsi="Arial"/>
                <w:sz w:val="18"/>
                <w:szCs w:val="18"/>
                <w:color w:val="auto"/>
              </w:rPr>
              <w:t>Issuer:</w:t>
            </w: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Principal Amount:</w:t>
            </w:r>
          </w:p>
        </w:tc>
        <w:tc>
          <w:tcPr>
            <w:tcW w:w="3220" w:type="dxa"/>
            <w:vAlign w:val="bottom"/>
            <w:gridSpan w:val="2"/>
          </w:tcPr>
          <w:p>
            <w:pPr>
              <w:ind w:left="1020"/>
              <w:spacing w:after="0"/>
              <w:rPr>
                <w:sz w:val="20"/>
                <w:szCs w:val="20"/>
                <w:color w:val="auto"/>
              </w:rPr>
            </w:pPr>
            <w:r>
              <w:rPr>
                <w:rFonts w:ascii="Arial" w:cs="Arial" w:eastAsia="Arial" w:hAnsi="Arial"/>
                <w:sz w:val="18"/>
                <w:szCs w:val="18"/>
                <w:color w:val="auto"/>
              </w:rPr>
              <w:t>$500,000,000</w:t>
            </w:r>
          </w:p>
        </w:tc>
        <w:tc>
          <w:tcPr>
            <w:tcW w:w="41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Maturity:</w:t>
            </w: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May 1, 2018</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Coupon:</w:t>
            </w:r>
          </w:p>
        </w:tc>
        <w:tc>
          <w:tcPr>
            <w:tcW w:w="3220" w:type="dxa"/>
            <w:vAlign w:val="bottom"/>
            <w:gridSpan w:val="2"/>
          </w:tcPr>
          <w:p>
            <w:pPr>
              <w:ind w:left="1020"/>
              <w:spacing w:after="0"/>
              <w:rPr>
                <w:sz w:val="20"/>
                <w:szCs w:val="20"/>
                <w:color w:val="auto"/>
              </w:rPr>
            </w:pPr>
            <w:r>
              <w:rPr>
                <w:rFonts w:ascii="Arial" w:cs="Arial" w:eastAsia="Arial" w:hAnsi="Arial"/>
                <w:sz w:val="18"/>
                <w:szCs w:val="18"/>
                <w:color w:val="auto"/>
              </w:rPr>
              <w:t>1.000%</w:t>
            </w:r>
          </w:p>
        </w:tc>
        <w:tc>
          <w:tcPr>
            <w:tcW w:w="41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Price to Public:</w:t>
            </w: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99.070% of principal amount</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w w:val="96"/>
              </w:rPr>
              <w:t>May 1 and November 1 beginning on November 1, 2013, and on the maturity date</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Day Count Convention:</w:t>
            </w:r>
          </w:p>
        </w:tc>
        <w:tc>
          <w:tcPr>
            <w:tcW w:w="1540" w:type="dxa"/>
            <w:vAlign w:val="bottom"/>
          </w:tcPr>
          <w:p>
            <w:pPr>
              <w:ind w:left="1020"/>
              <w:spacing w:after="0"/>
              <w:rPr>
                <w:sz w:val="20"/>
                <w:szCs w:val="20"/>
                <w:color w:val="auto"/>
              </w:rPr>
            </w:pPr>
            <w:r>
              <w:rPr>
                <w:rFonts w:ascii="Arial" w:cs="Arial" w:eastAsia="Arial" w:hAnsi="Arial"/>
                <w:sz w:val="18"/>
                <w:szCs w:val="18"/>
                <w:color w:val="auto"/>
                <w:w w:val="90"/>
              </w:rPr>
              <w:t>30/360</w:t>
            </w:r>
          </w:p>
        </w:tc>
        <w:tc>
          <w:tcPr>
            <w:tcW w:w="16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220" w:type="dxa"/>
            <w:vAlign w:val="bottom"/>
            <w:gridSpan w:val="2"/>
          </w:tcPr>
          <w:p>
            <w:pPr>
              <w:ind w:left="1020"/>
              <w:spacing w:after="0"/>
              <w:rPr>
                <w:sz w:val="20"/>
                <w:szCs w:val="20"/>
                <w:color w:val="auto"/>
              </w:rPr>
            </w:pPr>
            <w:r>
              <w:rPr>
                <w:rFonts w:ascii="Arial" w:cs="Arial" w:eastAsia="Arial" w:hAnsi="Arial"/>
                <w:sz w:val="18"/>
                <w:szCs w:val="18"/>
                <w:color w:val="auto"/>
              </w:rPr>
              <w:t>$493,600,000</w:t>
            </w:r>
          </w:p>
        </w:tc>
        <w:tc>
          <w:tcPr>
            <w:tcW w:w="41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Benchmark Treasury:</w:t>
            </w: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0.625% due April 30, 2018</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55 basis points</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Yield to Maturity:</w:t>
            </w:r>
          </w:p>
        </w:tc>
        <w:tc>
          <w:tcPr>
            <w:tcW w:w="3220" w:type="dxa"/>
            <w:vAlign w:val="bottom"/>
            <w:gridSpan w:val="2"/>
          </w:tcPr>
          <w:p>
            <w:pPr>
              <w:ind w:left="1020"/>
              <w:spacing w:after="0"/>
              <w:rPr>
                <w:sz w:val="20"/>
                <w:szCs w:val="20"/>
                <w:color w:val="auto"/>
              </w:rPr>
            </w:pPr>
            <w:r>
              <w:rPr>
                <w:rFonts w:ascii="Arial" w:cs="Arial" w:eastAsia="Arial" w:hAnsi="Arial"/>
                <w:sz w:val="18"/>
                <w:szCs w:val="18"/>
                <w:color w:val="auto"/>
              </w:rPr>
              <w:t>1.193%</w:t>
            </w:r>
          </w:p>
        </w:tc>
        <w:tc>
          <w:tcPr>
            <w:tcW w:w="4140" w:type="dxa"/>
            <w:vAlign w:val="bottom"/>
          </w:tcPr>
          <w:p>
            <w:pPr>
              <w:spacing w:after="0"/>
              <w:rPr>
                <w:sz w:val="24"/>
                <w:szCs w:val="24"/>
                <w:color w:val="auto"/>
              </w:rPr>
            </w:pP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3220" w:type="dxa"/>
            <w:vAlign w:val="bottom"/>
            <w:gridSpan w:val="2"/>
          </w:tcPr>
          <w:p>
            <w:pPr>
              <w:ind w:left="1020"/>
              <w:spacing w:after="0"/>
              <w:rPr>
                <w:sz w:val="20"/>
                <w:szCs w:val="20"/>
                <w:color w:val="auto"/>
              </w:rPr>
            </w:pPr>
            <w:r>
              <w:rPr>
                <w:rFonts w:ascii="Arial" w:cs="Arial" w:eastAsia="Arial" w:hAnsi="Arial"/>
                <w:sz w:val="18"/>
                <w:szCs w:val="18"/>
                <w:color w:val="auto"/>
              </w:rPr>
              <w:t xml:space="preserve">99-29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4</w:t>
            </w:r>
            <w:r>
              <w:rPr>
                <w:rFonts w:ascii="Arial" w:cs="Arial" w:eastAsia="Arial" w:hAnsi="Arial"/>
                <w:sz w:val="18"/>
                <w:szCs w:val="18"/>
                <w:color w:val="auto"/>
              </w:rPr>
              <w:t>; 0.643%</w:t>
            </w:r>
          </w:p>
        </w:tc>
        <w:tc>
          <w:tcPr>
            <w:tcW w:w="4140" w:type="dxa"/>
            <w:vAlign w:val="bottom"/>
          </w:tcPr>
          <w:p>
            <w:pPr>
              <w:spacing w:after="0"/>
              <w:rPr>
                <w:sz w:val="24"/>
                <w:szCs w:val="24"/>
                <w:color w:val="auto"/>
              </w:rPr>
            </w:pPr>
          </w:p>
        </w:tc>
      </w:tr>
      <w:tr>
        <w:trPr>
          <w:trHeight w:val="318"/>
        </w:trPr>
        <w:tc>
          <w:tcPr>
            <w:tcW w:w="3340" w:type="dxa"/>
            <w:vAlign w:val="bottom"/>
          </w:tcPr>
          <w:p>
            <w:pPr>
              <w:spacing w:after="0"/>
              <w:rPr>
                <w:sz w:val="20"/>
                <w:szCs w:val="20"/>
                <w:color w:val="auto"/>
              </w:rPr>
            </w:pPr>
            <w:r>
              <w:rPr>
                <w:rFonts w:ascii="Arial" w:cs="Arial" w:eastAsia="Arial" w:hAnsi="Arial"/>
                <w:sz w:val="18"/>
                <w:szCs w:val="18"/>
                <w:color w:val="auto"/>
              </w:rPr>
              <w:t>Make-Whole Call:</w:t>
            </w: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w w:val="88"/>
              </w:rPr>
              <w:t>At any time at the greater of 100% of the principal amount of the notes being redeemed or</w:t>
            </w:r>
          </w:p>
        </w:tc>
      </w:tr>
      <w:tr>
        <w:trPr>
          <w:trHeight w:val="222"/>
        </w:trPr>
        <w:tc>
          <w:tcPr>
            <w:tcW w:w="3340" w:type="dxa"/>
            <w:vAlign w:val="bottom"/>
          </w:tcPr>
          <w:p>
            <w:pPr>
              <w:spacing w:after="0"/>
              <w:rPr>
                <w:sz w:val="19"/>
                <w:szCs w:val="19"/>
                <w:color w:val="auto"/>
              </w:rPr>
            </w:pP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discounted present value at the rate of Treasury plus 10 basis points</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Trade Date:</w:t>
            </w: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May 1, 2013</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Settlement Date:</w:t>
            </w: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May 8, 2013 (T+5)</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Denominations:</w:t>
            </w: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340" w:type="dxa"/>
            <w:vAlign w:val="bottom"/>
          </w:tcPr>
          <w:p>
            <w:pPr>
              <w:spacing w:after="0"/>
              <w:rPr>
                <w:sz w:val="20"/>
                <w:szCs w:val="20"/>
                <w:color w:val="auto"/>
              </w:rPr>
            </w:pPr>
            <w:r>
              <w:rPr>
                <w:rFonts w:ascii="Arial" w:cs="Arial" w:eastAsia="Arial" w:hAnsi="Arial"/>
                <w:sz w:val="18"/>
                <w:szCs w:val="18"/>
                <w:color w:val="auto"/>
              </w:rPr>
              <w:t>CUSIP/ISIN:</w:t>
            </w: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882508 AV6 / US882508AV68</w:t>
            </w:r>
          </w:p>
        </w:tc>
      </w:tr>
      <w:tr>
        <w:trPr>
          <w:trHeight w:val="318"/>
        </w:trPr>
        <w:tc>
          <w:tcPr>
            <w:tcW w:w="3340" w:type="dxa"/>
            <w:vAlign w:val="bottom"/>
          </w:tcPr>
          <w:p>
            <w:pPr>
              <w:spacing w:after="0"/>
              <w:rPr>
                <w:sz w:val="20"/>
                <w:szCs w:val="20"/>
                <w:color w:val="auto"/>
              </w:rPr>
            </w:pPr>
            <w:r>
              <w:rPr>
                <w:rFonts w:ascii="Arial" w:cs="Arial" w:eastAsia="Arial" w:hAnsi="Arial"/>
                <w:sz w:val="18"/>
                <w:szCs w:val="18"/>
                <w:color w:val="auto"/>
              </w:rPr>
              <w:t>Ratings:</w:t>
            </w: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Moody’s: A1 (stable outlook)</w:t>
            </w:r>
          </w:p>
        </w:tc>
      </w:tr>
      <w:tr>
        <w:trPr>
          <w:trHeight w:val="216"/>
        </w:trPr>
        <w:tc>
          <w:tcPr>
            <w:tcW w:w="3340" w:type="dxa"/>
            <w:vAlign w:val="bottom"/>
          </w:tcPr>
          <w:p>
            <w:pPr>
              <w:spacing w:after="0"/>
              <w:rPr>
                <w:sz w:val="18"/>
                <w:szCs w:val="18"/>
                <w:color w:val="auto"/>
              </w:rPr>
            </w:pP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S&amp;P: A+ (stable outlook)</w:t>
            </w:r>
          </w:p>
        </w:tc>
      </w:tr>
      <w:tr>
        <w:trPr>
          <w:trHeight w:val="222"/>
        </w:trPr>
        <w:tc>
          <w:tcPr>
            <w:tcW w:w="3340" w:type="dxa"/>
            <w:vAlign w:val="bottom"/>
          </w:tcPr>
          <w:p>
            <w:pPr>
              <w:spacing w:after="0"/>
              <w:rPr>
                <w:sz w:val="19"/>
                <w:szCs w:val="19"/>
                <w:color w:val="auto"/>
              </w:rPr>
            </w:pP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Fitch: A+ (negative outlook)</w:t>
            </w:r>
          </w:p>
        </w:tc>
      </w:tr>
      <w:tr>
        <w:trPr>
          <w:trHeight w:val="331"/>
        </w:trPr>
        <w:tc>
          <w:tcPr>
            <w:tcW w:w="334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J.P. Morgan Securities LLC</w:t>
            </w:r>
          </w:p>
        </w:tc>
      </w:tr>
      <w:tr>
        <w:trPr>
          <w:trHeight w:val="216"/>
        </w:trPr>
        <w:tc>
          <w:tcPr>
            <w:tcW w:w="3340" w:type="dxa"/>
            <w:vAlign w:val="bottom"/>
          </w:tcPr>
          <w:p>
            <w:pPr>
              <w:spacing w:after="0"/>
              <w:rPr>
                <w:sz w:val="18"/>
                <w:szCs w:val="18"/>
                <w:color w:val="auto"/>
              </w:rPr>
            </w:pP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Morgan Stanley &amp; Co. LLC</w:t>
            </w:r>
          </w:p>
        </w:tc>
      </w:tr>
      <w:tr>
        <w:trPr>
          <w:trHeight w:val="216"/>
        </w:trPr>
        <w:tc>
          <w:tcPr>
            <w:tcW w:w="3340" w:type="dxa"/>
            <w:vAlign w:val="bottom"/>
          </w:tcPr>
          <w:p>
            <w:pPr>
              <w:spacing w:after="0"/>
              <w:rPr>
                <w:sz w:val="18"/>
                <w:szCs w:val="18"/>
                <w:color w:val="auto"/>
              </w:rPr>
            </w:pP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Citigroup Global Markets Inc.</w:t>
            </w:r>
          </w:p>
        </w:tc>
      </w:tr>
      <w:tr>
        <w:trPr>
          <w:trHeight w:val="222"/>
        </w:trPr>
        <w:tc>
          <w:tcPr>
            <w:tcW w:w="3340" w:type="dxa"/>
            <w:vAlign w:val="bottom"/>
          </w:tcPr>
          <w:p>
            <w:pPr>
              <w:spacing w:after="0"/>
              <w:rPr>
                <w:sz w:val="19"/>
                <w:szCs w:val="19"/>
                <w:color w:val="auto"/>
              </w:rPr>
            </w:pPr>
          </w:p>
        </w:tc>
        <w:tc>
          <w:tcPr>
            <w:tcW w:w="7360" w:type="dxa"/>
            <w:vAlign w:val="bottom"/>
            <w:gridSpan w:val="3"/>
          </w:tcPr>
          <w:p>
            <w:pPr>
              <w:ind w:left="1020"/>
              <w:spacing w:after="0"/>
              <w:rPr>
                <w:sz w:val="20"/>
                <w:szCs w:val="20"/>
                <w:color w:val="auto"/>
              </w:rPr>
            </w:pPr>
            <w:r>
              <w:rPr>
                <w:rFonts w:ascii="Arial" w:cs="Arial" w:eastAsia="Arial" w:hAnsi="Arial"/>
                <w:sz w:val="18"/>
                <w:szCs w:val="18"/>
                <w:color w:val="auto"/>
              </w:rPr>
              <w:t>Mizuho Securities USA Inc.</w:t>
            </w:r>
          </w:p>
        </w:tc>
      </w:tr>
      <w:tr>
        <w:trPr>
          <w:trHeight w:val="378"/>
        </w:trPr>
        <w:tc>
          <w:tcPr>
            <w:tcW w:w="3340" w:type="dxa"/>
            <w:vAlign w:val="bottom"/>
          </w:tcPr>
          <w:p>
            <w:pPr>
              <w:spacing w:after="0"/>
              <w:rPr>
                <w:sz w:val="24"/>
                <w:szCs w:val="24"/>
                <w:color w:val="auto"/>
              </w:rPr>
            </w:pPr>
          </w:p>
        </w:tc>
        <w:tc>
          <w:tcPr>
            <w:tcW w:w="3220" w:type="dxa"/>
            <w:vAlign w:val="bottom"/>
            <w:gridSpan w:val="2"/>
          </w:tcPr>
          <w:p>
            <w:pPr>
              <w:jc w:val="center"/>
              <w:ind w:left="1452"/>
              <w:spacing w:after="0"/>
              <w:rPr>
                <w:sz w:val="20"/>
                <w:szCs w:val="20"/>
                <w:color w:val="auto"/>
              </w:rPr>
            </w:pPr>
            <w:r>
              <w:rPr>
                <w:rFonts w:ascii="Arial" w:cs="Arial" w:eastAsia="Arial" w:hAnsi="Arial"/>
                <w:sz w:val="18"/>
                <w:szCs w:val="18"/>
                <w:color w:val="auto"/>
                <w:w w:val="79"/>
              </w:rPr>
              <w:t>4</w:t>
            </w:r>
          </w:p>
        </w:tc>
        <w:tc>
          <w:tcPr>
            <w:tcW w:w="4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700"/>
          </w:cols>
          <w:pgMar w:left="240" w:top="274" w:right="9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2.</w:t>
            </w:r>
            <w:r>
              <w:rPr>
                <w:rFonts w:ascii="Arial" w:cs="Arial" w:eastAsia="Arial" w:hAnsi="Arial"/>
                <w:sz w:val="18"/>
                <w:szCs w:val="18"/>
                <w:u w:val="single" w:color="auto"/>
                <w:color w:val="auto"/>
                <w:w w:val="85"/>
              </w:rPr>
              <w:t>250%</w:t>
            </w:r>
            <w:r>
              <w:rPr>
                <w:rFonts w:ascii="Arial" w:cs="Arial" w:eastAsia="Arial" w:hAnsi="Arial"/>
                <w:sz w:val="18"/>
                <w:szCs w:val="18"/>
                <w:color w:val="auto"/>
                <w:w w:val="85"/>
              </w:rPr>
              <w:t xml:space="preserve"> Notes due 2023</w:t>
            </w:r>
          </w:p>
        </w:tc>
        <w:tc>
          <w:tcPr>
            <w:tcW w:w="4760" w:type="dxa"/>
            <w:vAlign w:val="bottom"/>
          </w:tcPr>
          <w:p>
            <w:pPr>
              <w:spacing w:after="0"/>
              <w:rPr>
                <w:sz w:val="17"/>
                <w:szCs w:val="17"/>
                <w:color w:val="auto"/>
              </w:rPr>
            </w:pPr>
          </w:p>
        </w:tc>
      </w:tr>
      <w:tr>
        <w:trPr>
          <w:trHeight w:val="599"/>
        </w:trPr>
        <w:tc>
          <w:tcPr>
            <w:tcW w:w="3500" w:type="dxa"/>
            <w:vAlign w:val="bottom"/>
          </w:tcPr>
          <w:p>
            <w:pPr>
              <w:spacing w:after="0"/>
              <w:rPr>
                <w:sz w:val="20"/>
                <w:szCs w:val="20"/>
                <w:color w:val="auto"/>
              </w:rPr>
            </w:pPr>
            <w:r>
              <w:rPr>
                <w:rFonts w:ascii="Arial" w:cs="Arial" w:eastAsia="Arial" w:hAnsi="Arial"/>
                <w:sz w:val="18"/>
                <w:szCs w:val="18"/>
                <w:color w:val="auto"/>
              </w:rPr>
              <w:t>Issuer:</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Texas Instruments Incorporated (“TI”)</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Principal Amount:</w:t>
            </w:r>
          </w:p>
        </w:tc>
        <w:tc>
          <w:tcPr>
            <w:tcW w:w="3060" w:type="dxa"/>
            <w:vAlign w:val="bottom"/>
            <w:gridSpan w:val="2"/>
          </w:tcPr>
          <w:p>
            <w:pPr>
              <w:ind w:left="860"/>
              <w:spacing w:after="0"/>
              <w:rPr>
                <w:sz w:val="20"/>
                <w:szCs w:val="20"/>
                <w:color w:val="auto"/>
              </w:rPr>
            </w:pPr>
            <w:r>
              <w:rPr>
                <w:rFonts w:ascii="Arial" w:cs="Arial" w:eastAsia="Arial" w:hAnsi="Arial"/>
                <w:sz w:val="18"/>
                <w:szCs w:val="18"/>
                <w:color w:val="auto"/>
              </w:rPr>
              <w:t>$500,000,000</w:t>
            </w:r>
          </w:p>
        </w:tc>
        <w:tc>
          <w:tcPr>
            <w:tcW w:w="4760" w:type="dxa"/>
            <w:vAlign w:val="bottom"/>
          </w:tcPr>
          <w:p>
            <w:pPr>
              <w:spacing w:after="0"/>
              <w:rPr>
                <w:sz w:val="24"/>
                <w:szCs w:val="24"/>
                <w:color w:val="auto"/>
              </w:rPr>
            </w:pP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Maturity:</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May 1, 2023</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Coupon:</w:t>
            </w:r>
          </w:p>
        </w:tc>
        <w:tc>
          <w:tcPr>
            <w:tcW w:w="3060" w:type="dxa"/>
            <w:vAlign w:val="bottom"/>
            <w:gridSpan w:val="2"/>
          </w:tcPr>
          <w:p>
            <w:pPr>
              <w:ind w:left="860"/>
              <w:spacing w:after="0"/>
              <w:rPr>
                <w:sz w:val="20"/>
                <w:szCs w:val="20"/>
                <w:color w:val="auto"/>
              </w:rPr>
            </w:pPr>
            <w:r>
              <w:rPr>
                <w:rFonts w:ascii="Arial" w:cs="Arial" w:eastAsia="Arial" w:hAnsi="Arial"/>
                <w:sz w:val="18"/>
                <w:szCs w:val="18"/>
                <w:color w:val="auto"/>
              </w:rPr>
              <w:t>2.250%</w:t>
            </w:r>
          </w:p>
        </w:tc>
        <w:tc>
          <w:tcPr>
            <w:tcW w:w="4760" w:type="dxa"/>
            <w:vAlign w:val="bottom"/>
          </w:tcPr>
          <w:p>
            <w:pPr>
              <w:spacing w:after="0"/>
              <w:rPr>
                <w:sz w:val="24"/>
                <w:szCs w:val="24"/>
                <w:color w:val="auto"/>
              </w:rPr>
            </w:pP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Price to Public:</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98.073% of principal amount</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May 1 and November 1 beginning on November 1, 2013, and on the maturity date.</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Day Count Convention:</w:t>
            </w:r>
          </w:p>
        </w:tc>
        <w:tc>
          <w:tcPr>
            <w:tcW w:w="1380" w:type="dxa"/>
            <w:vAlign w:val="bottom"/>
          </w:tcPr>
          <w:p>
            <w:pPr>
              <w:ind w:left="860"/>
              <w:spacing w:after="0"/>
              <w:rPr>
                <w:sz w:val="20"/>
                <w:szCs w:val="20"/>
                <w:color w:val="auto"/>
              </w:rPr>
            </w:pPr>
            <w:r>
              <w:rPr>
                <w:rFonts w:ascii="Arial" w:cs="Arial" w:eastAsia="Arial" w:hAnsi="Arial"/>
                <w:sz w:val="18"/>
                <w:szCs w:val="18"/>
                <w:color w:val="auto"/>
                <w:w w:val="90"/>
              </w:rPr>
              <w:t>30/360</w:t>
            </w:r>
          </w:p>
        </w:tc>
        <w:tc>
          <w:tcPr>
            <w:tcW w:w="168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Proceeds (before expenses) to TI:</w:t>
            </w:r>
          </w:p>
        </w:tc>
        <w:tc>
          <w:tcPr>
            <w:tcW w:w="3060" w:type="dxa"/>
            <w:vAlign w:val="bottom"/>
            <w:gridSpan w:val="2"/>
          </w:tcPr>
          <w:p>
            <w:pPr>
              <w:ind w:left="860"/>
              <w:spacing w:after="0"/>
              <w:rPr>
                <w:sz w:val="20"/>
                <w:szCs w:val="20"/>
                <w:color w:val="auto"/>
              </w:rPr>
            </w:pPr>
            <w:r>
              <w:rPr>
                <w:rFonts w:ascii="Arial" w:cs="Arial" w:eastAsia="Arial" w:hAnsi="Arial"/>
                <w:sz w:val="18"/>
                <w:szCs w:val="18"/>
                <w:color w:val="auto"/>
              </w:rPr>
              <w:t>$488,115,000</w:t>
            </w:r>
          </w:p>
        </w:tc>
        <w:tc>
          <w:tcPr>
            <w:tcW w:w="4760" w:type="dxa"/>
            <w:vAlign w:val="bottom"/>
          </w:tcPr>
          <w:p>
            <w:pPr>
              <w:spacing w:after="0"/>
              <w:rPr>
                <w:sz w:val="24"/>
                <w:szCs w:val="24"/>
                <w:color w:val="auto"/>
              </w:rPr>
            </w:pP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Benchmark Treasury:</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2.000% due February 15, 2023</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85 basis points</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Yield to Maturity:</w:t>
            </w:r>
          </w:p>
        </w:tc>
        <w:tc>
          <w:tcPr>
            <w:tcW w:w="3060" w:type="dxa"/>
            <w:vAlign w:val="bottom"/>
            <w:gridSpan w:val="2"/>
          </w:tcPr>
          <w:p>
            <w:pPr>
              <w:ind w:left="860"/>
              <w:spacing w:after="0"/>
              <w:rPr>
                <w:sz w:val="20"/>
                <w:szCs w:val="20"/>
                <w:color w:val="auto"/>
              </w:rPr>
            </w:pPr>
            <w:r>
              <w:rPr>
                <w:rFonts w:ascii="Arial" w:cs="Arial" w:eastAsia="Arial" w:hAnsi="Arial"/>
                <w:sz w:val="18"/>
                <w:szCs w:val="18"/>
                <w:color w:val="auto"/>
              </w:rPr>
              <w:t>2.469%</w:t>
            </w:r>
          </w:p>
        </w:tc>
        <w:tc>
          <w:tcPr>
            <w:tcW w:w="4760" w:type="dxa"/>
            <w:vAlign w:val="bottom"/>
          </w:tcPr>
          <w:p>
            <w:pPr>
              <w:spacing w:after="0"/>
              <w:rPr>
                <w:sz w:val="24"/>
                <w:szCs w:val="24"/>
                <w:color w:val="auto"/>
              </w:rPr>
            </w:pP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3060" w:type="dxa"/>
            <w:vAlign w:val="bottom"/>
            <w:gridSpan w:val="2"/>
          </w:tcPr>
          <w:p>
            <w:pPr>
              <w:ind w:left="860"/>
              <w:spacing w:after="0"/>
              <w:rPr>
                <w:sz w:val="20"/>
                <w:szCs w:val="20"/>
                <w:color w:val="auto"/>
              </w:rPr>
            </w:pPr>
            <w:r>
              <w:rPr>
                <w:rFonts w:ascii="Arial" w:cs="Arial" w:eastAsia="Arial" w:hAnsi="Arial"/>
                <w:sz w:val="18"/>
                <w:szCs w:val="18"/>
                <w:color w:val="auto"/>
              </w:rPr>
              <w:t>103-14; 1.619%</w:t>
            </w:r>
          </w:p>
        </w:tc>
        <w:tc>
          <w:tcPr>
            <w:tcW w:w="4760" w:type="dxa"/>
            <w:vAlign w:val="bottom"/>
          </w:tcPr>
          <w:p>
            <w:pPr>
              <w:spacing w:after="0"/>
              <w:rPr>
                <w:sz w:val="24"/>
                <w:szCs w:val="24"/>
                <w:color w:val="auto"/>
              </w:rPr>
            </w:pPr>
          </w:p>
        </w:tc>
      </w:tr>
      <w:tr>
        <w:trPr>
          <w:trHeight w:val="318"/>
        </w:trPr>
        <w:tc>
          <w:tcPr>
            <w:tcW w:w="3500" w:type="dxa"/>
            <w:vAlign w:val="bottom"/>
          </w:tcPr>
          <w:p>
            <w:pPr>
              <w:spacing w:after="0"/>
              <w:rPr>
                <w:sz w:val="20"/>
                <w:szCs w:val="20"/>
                <w:color w:val="auto"/>
              </w:rPr>
            </w:pPr>
            <w:r>
              <w:rPr>
                <w:rFonts w:ascii="Arial" w:cs="Arial" w:eastAsia="Arial" w:hAnsi="Arial"/>
                <w:sz w:val="18"/>
                <w:szCs w:val="18"/>
                <w:color w:val="auto"/>
              </w:rPr>
              <w:t>Make-Whole Call:</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w w:val="88"/>
              </w:rPr>
              <w:t>At any time before February 1, 2023 (three months before the maturity date) at the greater of 100%</w:t>
            </w:r>
          </w:p>
        </w:tc>
      </w:tr>
      <w:tr>
        <w:trPr>
          <w:trHeight w:val="216"/>
        </w:trPr>
        <w:tc>
          <w:tcPr>
            <w:tcW w:w="3500" w:type="dxa"/>
            <w:vAlign w:val="bottom"/>
          </w:tcPr>
          <w:p>
            <w:pPr>
              <w:spacing w:after="0"/>
              <w:rPr>
                <w:sz w:val="18"/>
                <w:szCs w:val="18"/>
                <w:color w:val="auto"/>
              </w:rPr>
            </w:pP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w w:val="92"/>
              </w:rPr>
              <w:t>of the principal amount of the notes being redeemed or discounted present value at the rate of</w:t>
            </w:r>
          </w:p>
        </w:tc>
      </w:tr>
      <w:tr>
        <w:trPr>
          <w:trHeight w:val="222"/>
        </w:trPr>
        <w:tc>
          <w:tcPr>
            <w:tcW w:w="3500" w:type="dxa"/>
            <w:vAlign w:val="bottom"/>
          </w:tcPr>
          <w:p>
            <w:pPr>
              <w:spacing w:after="0"/>
              <w:rPr>
                <w:sz w:val="19"/>
                <w:szCs w:val="19"/>
                <w:color w:val="auto"/>
              </w:rPr>
            </w:pP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Treasury plus 15 basis points</w:t>
            </w:r>
          </w:p>
        </w:tc>
      </w:tr>
      <w:tr>
        <w:trPr>
          <w:trHeight w:val="318"/>
        </w:trPr>
        <w:tc>
          <w:tcPr>
            <w:tcW w:w="3500" w:type="dxa"/>
            <w:vAlign w:val="bottom"/>
          </w:tcPr>
          <w:p>
            <w:pPr>
              <w:spacing w:after="0"/>
              <w:rPr>
                <w:sz w:val="20"/>
                <w:szCs w:val="20"/>
                <w:color w:val="auto"/>
              </w:rPr>
            </w:pPr>
            <w:r>
              <w:rPr>
                <w:rFonts w:ascii="Arial" w:cs="Arial" w:eastAsia="Arial" w:hAnsi="Arial"/>
                <w:sz w:val="18"/>
                <w:szCs w:val="18"/>
                <w:color w:val="auto"/>
              </w:rPr>
              <w:t>Par Call:</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w w:val="91"/>
              </w:rPr>
              <w:t>At any time on or after February 1, 2023 (three months before the maturity date) at 100% of the</w:t>
            </w:r>
          </w:p>
        </w:tc>
      </w:tr>
      <w:tr>
        <w:trPr>
          <w:trHeight w:val="222"/>
        </w:trPr>
        <w:tc>
          <w:tcPr>
            <w:tcW w:w="3500" w:type="dxa"/>
            <w:vAlign w:val="bottom"/>
          </w:tcPr>
          <w:p>
            <w:pPr>
              <w:spacing w:after="0"/>
              <w:rPr>
                <w:sz w:val="19"/>
                <w:szCs w:val="19"/>
                <w:color w:val="auto"/>
              </w:rPr>
            </w:pP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principal amount of notes being redeemed</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Trade Date:</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May 1, 2013</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Settlement Date:</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May 8, 2013 (T+5)</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Denominations:</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$2,000 and multiples of $1,000 thereafter</w:t>
            </w:r>
          </w:p>
        </w:tc>
      </w:tr>
      <w:tr>
        <w:trPr>
          <w:trHeight w:val="324"/>
        </w:trPr>
        <w:tc>
          <w:tcPr>
            <w:tcW w:w="3500" w:type="dxa"/>
            <w:vAlign w:val="bottom"/>
          </w:tcPr>
          <w:p>
            <w:pPr>
              <w:spacing w:after="0"/>
              <w:rPr>
                <w:sz w:val="20"/>
                <w:szCs w:val="20"/>
                <w:color w:val="auto"/>
              </w:rPr>
            </w:pPr>
            <w:r>
              <w:rPr>
                <w:rFonts w:ascii="Arial" w:cs="Arial" w:eastAsia="Arial" w:hAnsi="Arial"/>
                <w:sz w:val="18"/>
                <w:szCs w:val="18"/>
                <w:color w:val="auto"/>
              </w:rPr>
              <w:t>CUSIP/ISIN:</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882508 AW4 / US882508AW42</w:t>
            </w:r>
          </w:p>
        </w:tc>
      </w:tr>
      <w:tr>
        <w:trPr>
          <w:trHeight w:val="318"/>
        </w:trPr>
        <w:tc>
          <w:tcPr>
            <w:tcW w:w="3500" w:type="dxa"/>
            <w:vAlign w:val="bottom"/>
          </w:tcPr>
          <w:p>
            <w:pPr>
              <w:spacing w:after="0"/>
              <w:rPr>
                <w:sz w:val="20"/>
                <w:szCs w:val="20"/>
                <w:color w:val="auto"/>
              </w:rPr>
            </w:pPr>
            <w:r>
              <w:rPr>
                <w:rFonts w:ascii="Arial" w:cs="Arial" w:eastAsia="Arial" w:hAnsi="Arial"/>
                <w:sz w:val="18"/>
                <w:szCs w:val="18"/>
                <w:color w:val="auto"/>
              </w:rPr>
              <w:t>Ratings:</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Moody’s: A1 (stable outlook)</w:t>
            </w:r>
          </w:p>
        </w:tc>
      </w:tr>
      <w:tr>
        <w:trPr>
          <w:trHeight w:val="216"/>
        </w:trPr>
        <w:tc>
          <w:tcPr>
            <w:tcW w:w="3500" w:type="dxa"/>
            <w:vAlign w:val="bottom"/>
          </w:tcPr>
          <w:p>
            <w:pPr>
              <w:spacing w:after="0"/>
              <w:rPr>
                <w:sz w:val="18"/>
                <w:szCs w:val="18"/>
                <w:color w:val="auto"/>
              </w:rPr>
            </w:pP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S&amp;P: A+ (stable outlook)</w:t>
            </w:r>
          </w:p>
        </w:tc>
      </w:tr>
      <w:tr>
        <w:trPr>
          <w:trHeight w:val="222"/>
        </w:trPr>
        <w:tc>
          <w:tcPr>
            <w:tcW w:w="3500" w:type="dxa"/>
            <w:vAlign w:val="bottom"/>
          </w:tcPr>
          <w:p>
            <w:pPr>
              <w:spacing w:after="0"/>
              <w:rPr>
                <w:sz w:val="19"/>
                <w:szCs w:val="19"/>
                <w:color w:val="auto"/>
              </w:rPr>
            </w:pP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Fitch: A+ (negative outlook)</w:t>
            </w:r>
          </w:p>
        </w:tc>
      </w:tr>
      <w:tr>
        <w:trPr>
          <w:trHeight w:val="331"/>
        </w:trPr>
        <w:tc>
          <w:tcPr>
            <w:tcW w:w="350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J.P. Morgan Securities LLC</w:t>
            </w:r>
          </w:p>
        </w:tc>
      </w:tr>
      <w:tr>
        <w:trPr>
          <w:trHeight w:val="216"/>
        </w:trPr>
        <w:tc>
          <w:tcPr>
            <w:tcW w:w="3500" w:type="dxa"/>
            <w:vAlign w:val="bottom"/>
          </w:tcPr>
          <w:p>
            <w:pPr>
              <w:spacing w:after="0"/>
              <w:rPr>
                <w:sz w:val="18"/>
                <w:szCs w:val="18"/>
                <w:color w:val="auto"/>
              </w:rPr>
            </w:pP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Morgan Stanley &amp; Co. LLC</w:t>
            </w:r>
          </w:p>
        </w:tc>
      </w:tr>
      <w:tr>
        <w:trPr>
          <w:trHeight w:val="216"/>
        </w:trPr>
        <w:tc>
          <w:tcPr>
            <w:tcW w:w="3500" w:type="dxa"/>
            <w:vAlign w:val="bottom"/>
          </w:tcPr>
          <w:p>
            <w:pPr>
              <w:spacing w:after="0"/>
              <w:rPr>
                <w:sz w:val="18"/>
                <w:szCs w:val="18"/>
                <w:color w:val="auto"/>
              </w:rPr>
            </w:pP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Citigroup Global Markets Inc.</w:t>
            </w:r>
          </w:p>
        </w:tc>
      </w:tr>
      <w:tr>
        <w:trPr>
          <w:trHeight w:val="222"/>
        </w:trPr>
        <w:tc>
          <w:tcPr>
            <w:tcW w:w="3500" w:type="dxa"/>
            <w:vAlign w:val="bottom"/>
          </w:tcPr>
          <w:p>
            <w:pPr>
              <w:spacing w:after="0"/>
              <w:rPr>
                <w:sz w:val="19"/>
                <w:szCs w:val="19"/>
                <w:color w:val="auto"/>
              </w:rPr>
            </w:pPr>
          </w:p>
        </w:tc>
        <w:tc>
          <w:tcPr>
            <w:tcW w:w="7820" w:type="dxa"/>
            <w:vAlign w:val="bottom"/>
            <w:gridSpan w:val="3"/>
          </w:tcPr>
          <w:p>
            <w:pPr>
              <w:ind w:left="860"/>
              <w:spacing w:after="0"/>
              <w:rPr>
                <w:sz w:val="20"/>
                <w:szCs w:val="20"/>
                <w:color w:val="auto"/>
              </w:rPr>
            </w:pPr>
            <w:r>
              <w:rPr>
                <w:rFonts w:ascii="Arial" w:cs="Arial" w:eastAsia="Arial" w:hAnsi="Arial"/>
                <w:sz w:val="18"/>
                <w:szCs w:val="18"/>
                <w:color w:val="auto"/>
              </w:rPr>
              <w:t>Mizuho Securities USA Inc.</w:t>
            </w:r>
          </w:p>
        </w:tc>
      </w:tr>
      <w:tr>
        <w:trPr>
          <w:trHeight w:val="378"/>
        </w:trPr>
        <w:tc>
          <w:tcPr>
            <w:tcW w:w="3500" w:type="dxa"/>
            <w:vAlign w:val="bottom"/>
          </w:tcPr>
          <w:p>
            <w:pPr>
              <w:spacing w:after="0"/>
              <w:rPr>
                <w:sz w:val="24"/>
                <w:szCs w:val="24"/>
                <w:color w:val="auto"/>
              </w:rPr>
            </w:pPr>
          </w:p>
        </w:tc>
        <w:tc>
          <w:tcPr>
            <w:tcW w:w="3060" w:type="dxa"/>
            <w:vAlign w:val="bottom"/>
            <w:gridSpan w:val="2"/>
          </w:tcPr>
          <w:p>
            <w:pPr>
              <w:ind w:left="2180"/>
              <w:spacing w:after="0"/>
              <w:rPr>
                <w:sz w:val="20"/>
                <w:szCs w:val="20"/>
                <w:color w:val="auto"/>
              </w:rPr>
            </w:pPr>
            <w:r>
              <w:rPr>
                <w:rFonts w:ascii="Arial" w:cs="Arial" w:eastAsia="Arial" w:hAnsi="Arial"/>
                <w:sz w:val="18"/>
                <w:szCs w:val="18"/>
                <w:color w:val="auto"/>
              </w:rPr>
              <w:t>5</w:t>
            </w:r>
          </w:p>
        </w:tc>
        <w:tc>
          <w:tcPr>
            <w:tcW w:w="4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securities rating is not a recommendation to buy, sell or hold securities and may be subject to revision or withdrawal at any time.</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It is expected that delivery of the notes will be made against payment therefore on or about May 8</w:t>
      </w:r>
      <w:r>
        <w:rPr>
          <w:rFonts w:ascii="Arial" w:cs="Arial" w:eastAsia="Arial" w:hAnsi="Arial"/>
          <w:sz w:val="16"/>
          <w:szCs w:val="16"/>
          <w:color w:val="auto"/>
        </w:rPr>
        <w:t>,</w:t>
      </w:r>
      <w:r>
        <w:rPr>
          <w:rFonts w:ascii="Arial" w:cs="Arial" w:eastAsia="Arial" w:hAnsi="Arial"/>
          <w:sz w:val="16"/>
          <w:szCs w:val="16"/>
          <w:b w:val="1"/>
          <w:bCs w:val="1"/>
          <w:color w:val="auto"/>
        </w:rPr>
        <w:t xml:space="preserve"> 2013, which is the fifth business day following the date hereof (such settlement cycle being referred to as “T+5”).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or the next succeeding business day will be required, by virtue of the fact that the notes initially will settle in T+5, to specify an alternative settlement cycle at the time of any such trade to prevent failed settlement. Purchasers of the notes who wish to trade the notes on the date of pricing should consult their own advisors.</w:t>
      </w:r>
    </w:p>
    <w:p>
      <w:pPr>
        <w:spacing w:after="0" w:line="11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J.P. Morgan Securities LLC at (212) 834-4533, Morgan Stanley &amp; Co. LLC at (866) 718-1649, Citigroup Global Markets Inc. at (877) 858-5407 or Mizuho Securities USA Inc. at (866) 271-7403.</w:t>
      </w:r>
    </w:p>
    <w:p>
      <w:pPr>
        <w:spacing w:after="0" w:line="113"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74"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UNDERWRITING AGREEMENT</w:t>
      </w:r>
    </w:p>
    <w:p>
      <w:pPr>
        <w:spacing w:after="0" w:line="201"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Underwriter</w:t>
            </w:r>
          </w:p>
        </w:tc>
        <w:tc>
          <w:tcPr>
            <w:tcW w:w="3200" w:type="dxa"/>
            <w:vAlign w:val="bottom"/>
          </w:tcPr>
          <w:p>
            <w:pPr>
              <w:spacing w:after="0"/>
              <w:rPr>
                <w:sz w:val="15"/>
                <w:szCs w:val="15"/>
                <w:color w:val="auto"/>
              </w:rPr>
            </w:pPr>
          </w:p>
        </w:tc>
        <w:tc>
          <w:tcPr>
            <w:tcW w:w="2360" w:type="dxa"/>
            <w:vAlign w:val="bottom"/>
            <w:gridSpan w:val="3"/>
          </w:tcPr>
          <w:p>
            <w:pPr>
              <w:ind w:left="1000"/>
              <w:spacing w:after="0"/>
              <w:rPr>
                <w:sz w:val="20"/>
                <w:szCs w:val="20"/>
                <w:color w:val="auto"/>
              </w:rPr>
            </w:pPr>
            <w:r>
              <w:rPr>
                <w:rFonts w:ascii="Arial" w:cs="Arial" w:eastAsia="Arial" w:hAnsi="Arial"/>
                <w:sz w:val="14"/>
                <w:szCs w:val="14"/>
                <w:b w:val="1"/>
                <w:bCs w:val="1"/>
                <w:color w:val="auto"/>
                <w:w w:val="86"/>
              </w:rPr>
              <w:t>1.</w:t>
            </w:r>
            <w:r>
              <w:rPr>
                <w:rFonts w:ascii="Arial" w:cs="Arial" w:eastAsia="Arial" w:hAnsi="Arial"/>
                <w:sz w:val="14"/>
                <w:szCs w:val="14"/>
                <w:b w:val="1"/>
                <w:bCs w:val="1"/>
                <w:u w:val="single" w:color="auto"/>
                <w:color w:val="auto"/>
                <w:w w:val="86"/>
              </w:rPr>
              <w:t>000%</w:t>
            </w:r>
            <w:r>
              <w:rPr>
                <w:rFonts w:ascii="Arial" w:cs="Arial" w:eastAsia="Arial" w:hAnsi="Arial"/>
                <w:sz w:val="14"/>
                <w:szCs w:val="14"/>
                <w:b w:val="1"/>
                <w:bCs w:val="1"/>
                <w:color w:val="auto"/>
                <w:w w:val="86"/>
              </w:rPr>
              <w:t xml:space="preserve"> Notes due 2018</w:t>
            </w:r>
          </w:p>
        </w:tc>
        <w:tc>
          <w:tcPr>
            <w:tcW w:w="2340" w:type="dxa"/>
            <w:vAlign w:val="bottom"/>
            <w:gridSpan w:val="4"/>
          </w:tcPr>
          <w:p>
            <w:pPr>
              <w:ind w:left="880"/>
              <w:spacing w:after="0"/>
              <w:rPr>
                <w:sz w:val="20"/>
                <w:szCs w:val="20"/>
                <w:color w:val="auto"/>
              </w:rPr>
            </w:pPr>
            <w:r>
              <w:rPr>
                <w:rFonts w:ascii="Arial" w:cs="Arial" w:eastAsia="Arial" w:hAnsi="Arial"/>
                <w:sz w:val="14"/>
                <w:szCs w:val="14"/>
                <w:b w:val="1"/>
                <w:bCs w:val="1"/>
                <w:color w:val="auto"/>
                <w:w w:val="93"/>
              </w:rPr>
              <w:t>2.</w:t>
            </w:r>
            <w:r>
              <w:rPr>
                <w:rFonts w:ascii="Arial" w:cs="Arial" w:eastAsia="Arial" w:hAnsi="Arial"/>
                <w:sz w:val="14"/>
                <w:szCs w:val="14"/>
                <w:b w:val="1"/>
                <w:bCs w:val="1"/>
                <w:u w:val="single" w:color="auto"/>
                <w:color w:val="auto"/>
                <w:w w:val="93"/>
              </w:rPr>
              <w:t>250%</w:t>
            </w:r>
            <w:r>
              <w:rPr>
                <w:rFonts w:ascii="Arial" w:cs="Arial" w:eastAsia="Arial" w:hAnsi="Arial"/>
                <w:sz w:val="14"/>
                <w:szCs w:val="14"/>
                <w:b w:val="1"/>
                <w:bCs w:val="1"/>
                <w:color w:val="auto"/>
                <w:w w:val="93"/>
              </w:rPr>
              <w:t xml:space="preserve"> Notes due 2023</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J.P. Morgan Securities LLC</w:t>
            </w:r>
          </w:p>
        </w:tc>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147,500,000</w:t>
            </w:r>
          </w:p>
        </w:tc>
        <w:tc>
          <w:tcPr>
            <w:tcW w:w="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147,500,000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147,500,000</w:t>
            </w:r>
          </w:p>
        </w:tc>
        <w:tc>
          <w:tcPr>
            <w:tcW w:w="11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62,500,000</w:t>
            </w:r>
          </w:p>
        </w:tc>
        <w:tc>
          <w:tcPr>
            <w:tcW w:w="11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62,500,000</w:t>
            </w:r>
          </w:p>
        </w:tc>
        <w:tc>
          <w:tcPr>
            <w:tcW w:w="11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w:t>
            </w:r>
          </w:p>
        </w:tc>
        <w:tc>
          <w:tcPr>
            <w:tcW w:w="11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w w:val="97"/>
              </w:rPr>
              <w:t>Merrill Lynch, Pierce, Fenner &amp; Smith Incorporated</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9,000,000</w:t>
            </w:r>
          </w:p>
        </w:tc>
        <w:tc>
          <w:tcPr>
            <w:tcW w:w="11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1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SMBC Nikko Capital Markets Limited</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9,000,000</w:t>
            </w:r>
          </w:p>
        </w:tc>
        <w:tc>
          <w:tcPr>
            <w:tcW w:w="11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1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9,000,000</w:t>
            </w:r>
          </w:p>
        </w:tc>
        <w:tc>
          <w:tcPr>
            <w:tcW w:w="11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1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Goldman, Sachs &amp; Co.</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5,500,000</w:t>
            </w:r>
          </w:p>
        </w:tc>
        <w:tc>
          <w:tcPr>
            <w:tcW w:w="11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1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5,500,000</w:t>
            </w:r>
          </w:p>
        </w:tc>
        <w:tc>
          <w:tcPr>
            <w:tcW w:w="116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116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0" w:type="dxa"/>
            <w:vAlign w:val="bottom"/>
            <w:vMerge w:val="restart"/>
          </w:tcPr>
          <w:p>
            <w:pPr>
              <w:jc w:val="right"/>
              <w:ind w:right="513"/>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11" w:name="page12"/>
    <w:bookmarkEnd w:id="11"/>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III</w:t>
      </w:r>
    </w:p>
    <w:p>
      <w:pPr>
        <w:spacing w:after="0" w:line="2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TO UNDERWRITING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74" w:right="1440" w:bottom="1440" w:gutter="0" w:footer="0" w:header="0"/>
        </w:sectPr>
      </w:pPr>
    </w:p>
    <w:bookmarkStart w:id="12" w:name="page13"/>
    <w:bookmarkEnd w:id="12"/>
    <w:p>
      <w:pPr>
        <w:jc w:val="center"/>
        <w:ind w:right="33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IV</w:t>
      </w:r>
    </w:p>
    <w:p>
      <w:pPr>
        <w:spacing w:after="0" w:line="21" w:lineRule="exact"/>
        <w:rPr>
          <w:sz w:val="20"/>
          <w:szCs w:val="20"/>
          <w:color w:val="auto"/>
        </w:rPr>
      </w:pPr>
    </w:p>
    <w:p>
      <w:pPr>
        <w:jc w:val="center"/>
        <w:ind w:right="334"/>
        <w:spacing w:after="0"/>
        <w:rPr>
          <w:sz w:val="20"/>
          <w:szCs w:val="20"/>
          <w:color w:val="auto"/>
        </w:rPr>
      </w:pPr>
      <w:r>
        <w:rPr>
          <w:rFonts w:ascii="Arial" w:cs="Arial" w:eastAsia="Arial" w:hAnsi="Arial"/>
          <w:sz w:val="18"/>
          <w:szCs w:val="18"/>
          <w:b w:val="1"/>
          <w:bCs w:val="1"/>
          <w:color w:val="auto"/>
        </w:rPr>
        <w:t>TO UNDERWRITING AGREEMENT</w:t>
      </w:r>
    </w:p>
    <w:p>
      <w:pPr>
        <w:spacing w:after="0" w:line="165" w:lineRule="exact"/>
        <w:rPr>
          <w:sz w:val="20"/>
          <w:szCs w:val="20"/>
          <w:color w:val="auto"/>
        </w:rPr>
      </w:pPr>
    </w:p>
    <w:p>
      <w:pPr>
        <w:ind w:left="466"/>
        <w:spacing w:after="0"/>
        <w:rPr>
          <w:sz w:val="20"/>
          <w:szCs w:val="20"/>
          <w:color w:val="auto"/>
        </w:rPr>
      </w:pPr>
      <w:r>
        <w:rPr>
          <w:rFonts w:ascii="Arial" w:cs="Arial" w:eastAsia="Arial" w:hAnsi="Arial"/>
          <w:sz w:val="16"/>
          <w:szCs w:val="16"/>
          <w:color w:val="auto"/>
        </w:rPr>
        <w:t>The only information that the Underwriters have furnished to the Company in writing expressly for use in the Prospectus Supplement is:</w:t>
      </w:r>
    </w:p>
    <w:p>
      <w:pPr>
        <w:spacing w:after="0" w:line="113" w:lineRule="exact"/>
        <w:rPr>
          <w:sz w:val="20"/>
          <w:szCs w:val="20"/>
          <w:color w:val="auto"/>
        </w:rPr>
      </w:pPr>
    </w:p>
    <w:p>
      <w:pPr>
        <w:ind w:left="446" w:hanging="446"/>
        <w:spacing w:after="0"/>
        <w:tabs>
          <w:tab w:leader="none" w:pos="446"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third paragraph of text under the caption “Underwriting” in the Prospectus Supplement, concerning the terms offered by the Underwriters;</w:t>
      </w:r>
    </w:p>
    <w:p>
      <w:pPr>
        <w:spacing w:after="0" w:line="113"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sixth and seventh paragraphs of text under the caption “Underwriting” in the Prospectus Supplement, concerning short sales, purchases to cover short positions and stabilizing purchases.</w:t>
      </w:r>
    </w:p>
    <w:p>
      <w:pPr>
        <w:spacing w:after="0" w:line="118" w:lineRule="exact"/>
        <w:rPr>
          <w:sz w:val="20"/>
          <w:szCs w:val="20"/>
          <w:color w:val="auto"/>
        </w:rPr>
      </w:pPr>
    </w:p>
    <w:p>
      <w:pPr>
        <w:jc w:val="center"/>
        <w:ind w:right="33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6"/>
          </w:cols>
          <w:pgMar w:left="694" w:top="27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 Underwriting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165"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May 1, 2013</w:t>
      </w:r>
    </w:p>
    <w:p>
      <w:pPr>
        <w:spacing w:after="0" w:line="19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13"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From time to time in one or more offerings on terms determined at the time of sale, the Company proposes to issue and sell (a) its common stock, $1.00 par value per share (the “</w:t>
      </w:r>
      <w:r>
        <w:rPr>
          <w:rFonts w:ascii="Arial" w:cs="Arial" w:eastAsia="Arial" w:hAnsi="Arial"/>
          <w:sz w:val="15"/>
          <w:szCs w:val="15"/>
          <w:b w:val="1"/>
          <w:bCs w:val="1"/>
          <w:color w:val="auto"/>
        </w:rPr>
        <w:t>Common Stock</w:t>
      </w:r>
      <w:r>
        <w:rPr>
          <w:rFonts w:ascii="Arial" w:cs="Arial" w:eastAsia="Arial" w:hAnsi="Arial"/>
          <w:sz w:val="15"/>
          <w:szCs w:val="15"/>
          <w:color w:val="auto"/>
        </w:rPr>
        <w:t>”), (b) its preferred stock, $25.00 par value per share (the “</w:t>
      </w:r>
      <w:r>
        <w:rPr>
          <w:rFonts w:ascii="Arial" w:cs="Arial" w:eastAsia="Arial" w:hAnsi="Arial"/>
          <w:sz w:val="15"/>
          <w:szCs w:val="15"/>
          <w:b w:val="1"/>
          <w:bCs w:val="1"/>
          <w:color w:val="auto"/>
        </w:rPr>
        <w:t>Preferred Stock</w:t>
      </w:r>
      <w:r>
        <w:rPr>
          <w:rFonts w:ascii="Arial" w:cs="Arial" w:eastAsia="Arial" w:hAnsi="Arial"/>
          <w:sz w:val="15"/>
          <w:szCs w:val="15"/>
          <w:color w:val="auto"/>
        </w:rPr>
        <w:t>”), (c) certain of its debt securities (the “</w:t>
      </w:r>
      <w:r>
        <w:rPr>
          <w:rFonts w:ascii="Arial" w:cs="Arial" w:eastAsia="Arial" w:hAnsi="Arial"/>
          <w:sz w:val="15"/>
          <w:szCs w:val="15"/>
          <w:b w:val="1"/>
          <w:bCs w:val="1"/>
          <w:color w:val="auto"/>
        </w:rPr>
        <w:t>Debt</w:t>
      </w:r>
      <w:r>
        <w:rPr>
          <w:rFonts w:ascii="Arial" w:cs="Arial" w:eastAsia="Arial" w:hAnsi="Arial"/>
          <w:sz w:val="15"/>
          <w:szCs w:val="15"/>
          <w:color w:val="auto"/>
        </w:rPr>
        <w:t xml:space="preserve"> </w:t>
      </w:r>
      <w:r>
        <w:rPr>
          <w:rFonts w:ascii="Arial" w:cs="Arial" w:eastAsia="Arial" w:hAnsi="Arial"/>
          <w:sz w:val="15"/>
          <w:szCs w:val="15"/>
          <w:b w:val="1"/>
          <w:bCs w:val="1"/>
          <w:color w:val="auto"/>
        </w:rPr>
        <w:t>Securities</w:t>
      </w:r>
      <w:r>
        <w:rPr>
          <w:rFonts w:ascii="Arial" w:cs="Arial" w:eastAsia="Arial" w:hAnsi="Arial"/>
          <w:sz w:val="15"/>
          <w:szCs w:val="15"/>
          <w:color w:val="auto"/>
        </w:rPr>
        <w:t>”) issuable under an indenture (the “</w:t>
      </w:r>
      <w:r>
        <w:rPr>
          <w:rFonts w:ascii="Arial" w:cs="Arial" w:eastAsia="Arial" w:hAnsi="Arial"/>
          <w:sz w:val="15"/>
          <w:szCs w:val="15"/>
          <w:b w:val="1"/>
          <w:bCs w:val="1"/>
          <w:color w:val="auto"/>
        </w:rPr>
        <w:t>Indenture</w:t>
      </w:r>
      <w:r>
        <w:rPr>
          <w:rFonts w:ascii="Arial" w:cs="Arial" w:eastAsia="Arial" w:hAnsi="Arial"/>
          <w:sz w:val="15"/>
          <w:szCs w:val="15"/>
          <w:color w:val="auto"/>
        </w:rPr>
        <w:t>”) [to be] entered into by the Company and U.S. Bank National Association, as trustee (the “</w:t>
      </w:r>
      <w:r>
        <w:rPr>
          <w:rFonts w:ascii="Arial" w:cs="Arial" w:eastAsia="Arial" w:hAnsi="Arial"/>
          <w:sz w:val="15"/>
          <w:szCs w:val="15"/>
          <w:b w:val="1"/>
          <w:bCs w:val="1"/>
          <w:color w:val="auto"/>
        </w:rPr>
        <w:t>Trustee</w:t>
      </w:r>
      <w:r>
        <w:rPr>
          <w:rFonts w:ascii="Arial" w:cs="Arial" w:eastAsia="Arial" w:hAnsi="Arial"/>
          <w:sz w:val="15"/>
          <w:szCs w:val="15"/>
          <w:color w:val="auto"/>
        </w:rPr>
        <w:t>”),</w:t>
      </w:r>
    </w:p>
    <w:p>
      <w:pPr>
        <w:spacing w:after="0" w:line="1" w:lineRule="exact"/>
        <w:rPr>
          <w:sz w:val="20"/>
          <w:szCs w:val="20"/>
          <w:color w:val="auto"/>
        </w:rPr>
      </w:pPr>
    </w:p>
    <w:p>
      <w:pPr>
        <w:ind w:right="300" w:firstLine="8"/>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 (“</w:t>
      </w:r>
      <w:r>
        <w:rPr>
          <w:rFonts w:ascii="Arial" w:cs="Arial" w:eastAsia="Arial" w:hAnsi="Arial"/>
          <w:sz w:val="18"/>
          <w:szCs w:val="18"/>
          <w:b w:val="1"/>
          <w:bCs w:val="1"/>
          <w:color w:val="auto"/>
        </w:rPr>
        <w:t>Warrants</w:t>
      </w:r>
      <w:r>
        <w:rPr>
          <w:rFonts w:ascii="Arial" w:cs="Arial" w:eastAsia="Arial" w:hAnsi="Arial"/>
          <w:sz w:val="18"/>
          <w:szCs w:val="18"/>
          <w:color w:val="auto"/>
        </w:rPr>
        <w:t>”), and (e) units consisting of Common Stock, Preferred Stock, Debt Securities or Warrants or any combination thereof (“</w:t>
      </w:r>
      <w:r>
        <w:rPr>
          <w:rFonts w:ascii="Arial" w:cs="Arial" w:eastAsia="Arial" w:hAnsi="Arial"/>
          <w:sz w:val="18"/>
          <w:szCs w:val="18"/>
          <w:b w:val="1"/>
          <w:bCs w:val="1"/>
          <w:color w:val="auto"/>
        </w:rPr>
        <w:t>Units</w:t>
      </w:r>
      <w:r>
        <w:rPr>
          <w:rFonts w:ascii="Arial" w:cs="Arial" w:eastAsia="Arial" w:hAnsi="Arial"/>
          <w:sz w:val="18"/>
          <w:szCs w:val="18"/>
          <w:color w:val="auto"/>
        </w:rPr>
        <w:t>”). The Common Stock, Preferred Stock, Debt Securities, Warrants and Units are each referred to as “</w:t>
      </w:r>
      <w:r>
        <w:rPr>
          <w:rFonts w:ascii="Arial" w:cs="Arial" w:eastAsia="Arial" w:hAnsi="Arial"/>
          <w:sz w:val="18"/>
          <w:szCs w:val="18"/>
          <w:b w:val="1"/>
          <w:bCs w:val="1"/>
          <w:color w:val="auto"/>
        </w:rPr>
        <w:t>Securities</w:t>
      </w:r>
      <w:r>
        <w:rPr>
          <w:rFonts w:ascii="Arial" w:cs="Arial" w:eastAsia="Arial" w:hAnsi="Arial"/>
          <w:sz w:val="18"/>
          <w:szCs w:val="18"/>
          <w:color w:val="auto"/>
        </w:rPr>
        <w:t>” for the purposes of this Agreement.</w:t>
      </w:r>
    </w:p>
    <w:p>
      <w:pPr>
        <w:spacing w:after="0" w:line="13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specifically relating to the Securities listed on Schedule I hereto (the “</w:t>
      </w:r>
      <w:r>
        <w:rPr>
          <w:rFonts w:ascii="Arial" w:cs="Arial" w:eastAsia="Arial" w:hAnsi="Arial"/>
          <w:sz w:val="16"/>
          <w:szCs w:val="16"/>
          <w:b w:val="1"/>
          <w:bCs w:val="1"/>
          <w:color w:val="auto"/>
        </w:rPr>
        <w:t>Offered Securities</w:t>
      </w:r>
      <w:r>
        <w:rPr>
          <w:rFonts w:ascii="Arial" w:cs="Arial" w:eastAsia="Arial" w:hAnsi="Arial"/>
          <w:sz w:val="16"/>
          <w:szCs w:val="16"/>
          <w:color w:val="auto"/>
        </w:rPr>
        <w:t>”) pursuant to Rule 424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6"/>
          <w:szCs w:val="16"/>
          <w:b w:val="1"/>
          <w:bCs w:val="1"/>
          <w:color w:val="auto"/>
        </w:rPr>
        <w:t>Base Prospectus</w:t>
      </w:r>
      <w:r>
        <w:rPr>
          <w:rFonts w:ascii="Arial" w:cs="Arial" w:eastAsia="Arial" w:hAnsi="Arial"/>
          <w:sz w:val="16"/>
          <w:szCs w:val="16"/>
          <w:color w:val="auto"/>
        </w:rPr>
        <w:t>” means the prospectus included in the Registration Statement.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 preliminary prospectus supplement specifically relating to the Offered Securities, together with the Base Prospectus. The term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The term “</w:t>
      </w:r>
      <w:r>
        <w:rPr>
          <w:rFonts w:ascii="Arial" w:cs="Arial" w:eastAsia="Arial" w:hAnsi="Arial"/>
          <w:sz w:val="16"/>
          <w:szCs w:val="16"/>
          <w:b w:val="1"/>
          <w:bCs w:val="1"/>
          <w:color w:val="auto"/>
        </w:rPr>
        <w:t>issuer 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has the meaning set forth in Rule 433 under the Securities Act. The term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Base Prospectus and preliminary</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if any, together with any additional documents or other information identified in Schedule III to the Underwriting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4" w:name="page15"/>
    <w:bookmarkEnd w:id="1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II.</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299"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III.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90" w:lineRule="exact"/>
        <w:rPr>
          <w:sz w:val="20"/>
          <w:szCs w:val="20"/>
          <w:color w:val="auto"/>
        </w:rPr>
      </w:pPr>
    </w:p>
    <w:p>
      <w:pPr>
        <w:ind w:left="460" w:right="100" w:firstLine="443"/>
        <w:spacing w:after="0" w:line="290" w:lineRule="auto"/>
        <w:tabs>
          <w:tab w:leader="none" w:pos="1137" w:val="left"/>
        </w:tabs>
        <w:numPr>
          <w:ilvl w:val="0"/>
          <w:numId w:val="4"/>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ind w:right="420" w:firstLine="443"/>
        <w:spacing w:after="0" w:line="268" w:lineRule="auto"/>
        <w:tabs>
          <w:tab w:leader="none" w:pos="687"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50" w:lineRule="exact"/>
        <w:rPr>
          <w:rFonts w:ascii="Arial" w:cs="Arial" w:eastAsia="Arial" w:hAnsi="Arial"/>
          <w:sz w:val="18"/>
          <w:szCs w:val="18"/>
          <w:color w:val="auto"/>
        </w:rPr>
      </w:pPr>
    </w:p>
    <w:p>
      <w:pPr>
        <w:ind w:left="460" w:right="160" w:firstLine="421"/>
        <w:spacing w:after="0" w:line="268" w:lineRule="auto"/>
        <w:tabs>
          <w:tab w:leader="none" w:pos="1089"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conduct its business as presently conducted;</w:t>
      </w:r>
    </w:p>
    <w:p>
      <w:pPr>
        <w:spacing w:after="0" w:line="50" w:lineRule="exact"/>
        <w:rPr>
          <w:rFonts w:ascii="Arial" w:cs="Arial" w:eastAsia="Arial" w:hAnsi="Arial"/>
          <w:sz w:val="18"/>
          <w:szCs w:val="18"/>
          <w:color w:val="auto"/>
        </w:rPr>
      </w:pPr>
    </w:p>
    <w:p>
      <w:pPr>
        <w:ind w:left="460" w:firstLine="421"/>
        <w:spacing w:after="0" w:line="306" w:lineRule="auto"/>
        <w:tabs>
          <w:tab w:leader="none" w:pos="1138"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Company is duly qualified to transact business and is in good standing in each other state of the United States, wherein it owns or leases material property or conducts material business, which requires such qualification, except to the extent that the failure to be so qualified or be in good standing would not have a material adverse effect on the Company and its subsidiaries, taken as a whole;</w:t>
      </w:r>
    </w:p>
    <w:p>
      <w:pPr>
        <w:spacing w:after="0" w:line="25" w:lineRule="exact"/>
        <w:rPr>
          <w:rFonts w:ascii="Arial" w:cs="Arial" w:eastAsia="Arial" w:hAnsi="Arial"/>
          <w:sz w:val="16"/>
          <w:szCs w:val="16"/>
          <w:color w:val="auto"/>
        </w:rPr>
      </w:pPr>
    </w:p>
    <w:p>
      <w:pPr>
        <w:ind w:left="1180" w:hanging="299"/>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Prospectus;</w:t>
      </w:r>
    </w:p>
    <w:p>
      <w:pPr>
        <w:spacing w:after="0" w:line="90" w:lineRule="exact"/>
        <w:rPr>
          <w:rFonts w:ascii="Arial" w:cs="Arial" w:eastAsia="Arial" w:hAnsi="Arial"/>
          <w:sz w:val="18"/>
          <w:szCs w:val="18"/>
          <w:color w:val="auto"/>
        </w:rPr>
      </w:pPr>
    </w:p>
    <w:p>
      <w:pPr>
        <w:ind w:left="460" w:right="280" w:firstLine="421"/>
        <w:spacing w:after="0" w:line="268" w:lineRule="auto"/>
        <w:tabs>
          <w:tab w:leader="none" w:pos="1177"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Registration Statement is effective under the Securities Act, and, to the best of such counsel’s knowledge, no proceedings for a stop order are pending or threatened by the Commission;</w:t>
      </w:r>
    </w:p>
    <w:p>
      <w:pPr>
        <w:spacing w:after="0" w:line="50" w:lineRule="exact"/>
        <w:rPr>
          <w:rFonts w:ascii="Arial" w:cs="Arial" w:eastAsia="Arial" w:hAnsi="Arial"/>
          <w:sz w:val="18"/>
          <w:szCs w:val="18"/>
          <w:color w:val="auto"/>
        </w:rPr>
      </w:pPr>
    </w:p>
    <w:p>
      <w:pPr>
        <w:ind w:left="460" w:right="20" w:firstLine="421"/>
        <w:spacing w:after="0" w:line="290" w:lineRule="auto"/>
        <w:tabs>
          <w:tab w:leader="none" w:pos="1128"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execution, delivery and performance of this Agreement and, as applicable, the Indenture, the Offered Securities, the Warrant Agreement and the Unit Agreement (each, a “</w:t>
      </w:r>
      <w:r>
        <w:rPr>
          <w:rFonts w:ascii="Arial" w:cs="Arial" w:eastAsia="Arial" w:hAnsi="Arial"/>
          <w:sz w:val="16"/>
          <w:szCs w:val="16"/>
          <w:b w:val="1"/>
          <w:bCs w:val="1"/>
          <w:color w:val="auto"/>
        </w:rPr>
        <w:t>Transaction Document</w:t>
      </w:r>
      <w:r>
        <w:rPr>
          <w:rFonts w:ascii="Arial" w:cs="Arial" w:eastAsia="Arial" w:hAnsi="Arial"/>
          <w:sz w:val="16"/>
          <w:szCs w:val="16"/>
          <w:color w:val="auto"/>
        </w:rPr>
        <w:t>”) will not contravene any provision of applicable law or the certificate of incorporation or by-laws of the Company or, to the knowledge of such counsel, any agreement or other instrument binding upon the Company that is filed as an exhibit to the Registration Statement or to any document incorporated by reference in the Time of Sale Prospectus, and no consent, approval or authorization of any governmental body or agency is required for the performance by the Company of its obligations under this Agreement or the applicable Transaction Documents, if any, except such as are specified and have been obtained and such as may be required by the securities or Blue Sky laws of the various states in connection with the offer and sale of the Offered Securities by the Underwriters;</w:t>
      </w:r>
    </w:p>
    <w:p>
      <w:pPr>
        <w:spacing w:after="0" w:line="37" w:lineRule="exact"/>
        <w:rPr>
          <w:rFonts w:ascii="Arial" w:cs="Arial" w:eastAsia="Arial" w:hAnsi="Arial"/>
          <w:sz w:val="16"/>
          <w:szCs w:val="16"/>
          <w:color w:val="auto"/>
        </w:rPr>
      </w:pPr>
    </w:p>
    <w:p>
      <w:pPr>
        <w:ind w:left="460" w:right="20" w:firstLine="421"/>
        <w:spacing w:after="0" w:line="255" w:lineRule="auto"/>
        <w:tabs>
          <w:tab w:leader="none" w:pos="1177" w:val="left"/>
        </w:tabs>
        <w:numPr>
          <w:ilvl w:val="1"/>
          <w:numId w:val="5"/>
        </w:numPr>
        <w:rPr>
          <w:rFonts w:ascii="Arial" w:cs="Arial" w:eastAsia="Arial" w:hAnsi="Arial"/>
          <w:sz w:val="18"/>
          <w:szCs w:val="18"/>
          <w:color w:val="auto"/>
        </w:rPr>
      </w:pPr>
      <w:r>
        <w:rPr>
          <w:rFonts w:ascii="Arial" w:cs="Arial" w:eastAsia="Arial" w:hAnsi="Arial"/>
          <w:sz w:val="18"/>
          <w:szCs w:val="18"/>
          <w:color w:val="auto"/>
        </w:rPr>
        <w:t>after due inquiry, such counsel does not know of any legal or governmental proceedings pending or threatened to which the Company or any of its subsidiaries is a party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16" w:name="page17"/>
    <w:bookmarkEnd w:id="16"/>
    <w:p>
      <w:pPr>
        <w:ind w:left="-280" w:firstLine="421"/>
        <w:spacing w:after="0" w:line="284" w:lineRule="auto"/>
        <w:tabs>
          <w:tab w:leader="none" w:pos="486"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00"/>
          </w:cols>
          <w:pgMar w:left="1440" w:top="280" w:right="259" w:bottom="1440" w:gutter="0" w:footer="0" w:header="0"/>
        </w:sectPr>
      </w:pPr>
    </w:p>
    <w:bookmarkStart w:id="17" w:name="page18"/>
    <w:bookmarkEnd w:id="17"/>
    <w:p>
      <w:pPr>
        <w:ind w:right="140" w:firstLine="443"/>
        <w:spacing w:after="0" w:line="268" w:lineRule="auto"/>
        <w:tabs>
          <w:tab w:leader="none" w:pos="677"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Closing Date an opinion of Davis Polk &amp; Wardwell LLP, special outside counsel to the Company, dated the Closing Date, to the effect (as applicable) that:</w:t>
      </w:r>
    </w:p>
    <w:p>
      <w:pPr>
        <w:spacing w:after="0" w:line="50" w:lineRule="exact"/>
        <w:rPr>
          <w:rFonts w:ascii="Arial" w:cs="Arial" w:eastAsia="Arial" w:hAnsi="Arial"/>
          <w:sz w:val="18"/>
          <w:szCs w:val="18"/>
          <w:color w:val="auto"/>
        </w:rPr>
      </w:pPr>
    </w:p>
    <w:p>
      <w:pPr>
        <w:ind w:left="460" w:firstLine="421"/>
        <w:spacing w:after="0" w:line="259" w:lineRule="auto"/>
        <w:tabs>
          <w:tab w:leader="none" w:pos="1089"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59" w:lineRule="exact"/>
        <w:rPr>
          <w:rFonts w:ascii="Arial" w:cs="Arial" w:eastAsia="Arial" w:hAnsi="Arial"/>
          <w:sz w:val="18"/>
          <w:szCs w:val="18"/>
          <w:color w:val="auto"/>
        </w:rPr>
      </w:pPr>
    </w:p>
    <w:p>
      <w:pPr>
        <w:ind w:left="460" w:right="120" w:firstLine="421"/>
        <w:spacing w:after="0" w:line="291" w:lineRule="auto"/>
        <w:tabs>
          <w:tab w:leader="none" w:pos="1138"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Debt Securities are Offered Securities, (A) such Debt Securities have been duly authorized and, when executed and authenticated in accordance with the Indenture and delivered to and paid for by the Underwriters,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(B) the Indenture has been duly authorized, executed and delivered by the Company and is a valid and binding agreement of the Company enforceable in accordance with its terms, subject to the Enforceability Exceptions, and (C) the Indenture has been duly qualified under the Trust Indenture Act of 1939;</w:t>
      </w:r>
    </w:p>
    <w:p>
      <w:pPr>
        <w:spacing w:after="0" w:line="39" w:lineRule="exact"/>
        <w:rPr>
          <w:rFonts w:ascii="Arial" w:cs="Arial" w:eastAsia="Arial" w:hAnsi="Arial"/>
          <w:sz w:val="16"/>
          <w:szCs w:val="16"/>
          <w:color w:val="auto"/>
        </w:rPr>
      </w:pPr>
    </w:p>
    <w:p>
      <w:pPr>
        <w:ind w:left="460" w:right="100" w:firstLine="421"/>
        <w:spacing w:after="0" w:line="294" w:lineRule="auto"/>
        <w:tabs>
          <w:tab w:leader="none" w:pos="1187"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Warrants are Offered Securities, (A)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(B) the Warrant Agreement has been duly authorized, executed and delivered by, and is a valid and binding agreement of, the Company, enforceable in accordance with its terms, subject to the Enforceability Exceptions;</w:t>
      </w:r>
    </w:p>
    <w:p>
      <w:pPr>
        <w:spacing w:after="0" w:line="34" w:lineRule="exact"/>
        <w:rPr>
          <w:rFonts w:ascii="Arial" w:cs="Arial" w:eastAsia="Arial" w:hAnsi="Arial"/>
          <w:sz w:val="16"/>
          <w:szCs w:val="16"/>
          <w:color w:val="auto"/>
        </w:rPr>
      </w:pPr>
    </w:p>
    <w:p>
      <w:pPr>
        <w:ind w:left="460" w:right="100" w:firstLine="421"/>
        <w:spacing w:after="0" w:line="294" w:lineRule="auto"/>
        <w:tabs>
          <w:tab w:leader="none" w:pos="1177" w:val="left"/>
        </w:tabs>
        <w:numPr>
          <w:ilvl w:val="1"/>
          <w:numId w:val="7"/>
        </w:numPr>
        <w:rPr>
          <w:rFonts w:ascii="Arial" w:cs="Arial" w:eastAsia="Arial" w:hAnsi="Arial"/>
          <w:sz w:val="16"/>
          <w:szCs w:val="16"/>
          <w:color w:val="auto"/>
        </w:rPr>
      </w:pPr>
      <w:r>
        <w:rPr>
          <w:rFonts w:ascii="Arial" w:cs="Arial" w:eastAsia="Arial" w:hAnsi="Arial"/>
          <w:sz w:val="16"/>
          <w:szCs w:val="16"/>
          <w:color w:val="auto"/>
        </w:rPr>
        <w:t>if Units are Offered Securities, (A)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(B) the Unit Agreement has been duly authorized, executed and delivered by, and is a valid and binding agreement of, the Company, enforceable in accordance with its terms, subject to the Enforceability Exceptions;</w:t>
      </w:r>
    </w:p>
    <w:p>
      <w:pPr>
        <w:spacing w:after="0" w:line="34" w:lineRule="exact"/>
        <w:rPr>
          <w:rFonts w:ascii="Arial" w:cs="Arial" w:eastAsia="Arial" w:hAnsi="Arial"/>
          <w:sz w:val="16"/>
          <w:szCs w:val="16"/>
          <w:color w:val="auto"/>
        </w:rPr>
      </w:pPr>
    </w:p>
    <w:p>
      <w:pPr>
        <w:ind w:left="1120" w:hanging="239"/>
        <w:spacing w:after="0"/>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8" w:name="page19"/>
    <w:bookmarkEnd w:id="18"/>
    <w:p>
      <w:pPr>
        <w:ind w:firstLine="421"/>
        <w:spacing w:after="0" w:line="259" w:lineRule="auto"/>
        <w:tabs>
          <w:tab w:leader="none" w:pos="717"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Offered Securities conform in all material respects to the description thereof contained in the Time of Sale Prospectus, as then amended or supplemented, if applicable, under the captions “Description of Capital Stock,” “Description of Debt Securities,” “Description of Warrants,” and “Description of Units,” as applicable;</w:t>
      </w:r>
    </w:p>
    <w:p>
      <w:pPr>
        <w:spacing w:after="0" w:line="59" w:lineRule="exact"/>
        <w:rPr>
          <w:rFonts w:ascii="Arial" w:cs="Arial" w:eastAsia="Arial" w:hAnsi="Arial"/>
          <w:sz w:val="18"/>
          <w:szCs w:val="18"/>
          <w:color w:val="auto"/>
        </w:rPr>
      </w:pPr>
    </w:p>
    <w:p>
      <w:pPr>
        <w:ind w:right="200" w:firstLine="421"/>
        <w:spacing w:after="0" w:line="268" w:lineRule="auto"/>
        <w:tabs>
          <w:tab w:leader="none" w:pos="76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statements in the Time of Sale Prospectus under “Material U.S. Federal Income Tax Considerations” and “Underwriting” relating to legal matters fairly summarize in all material respects such legal matters;</w:t>
      </w:r>
    </w:p>
    <w:p>
      <w:pPr>
        <w:spacing w:after="0" w:line="44" w:lineRule="exact"/>
        <w:rPr>
          <w:rFonts w:ascii="Arial" w:cs="Arial" w:eastAsia="Arial" w:hAnsi="Arial"/>
          <w:sz w:val="18"/>
          <w:szCs w:val="18"/>
          <w:color w:val="auto"/>
        </w:rPr>
      </w:pPr>
    </w:p>
    <w:p>
      <w:pPr>
        <w:ind w:left="820" w:hanging="399"/>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case of Offered Securities that are convertible into or exercisable or exchangeable for other Securities (the “</w:t>
      </w:r>
      <w:r>
        <w:rPr>
          <w:rFonts w:ascii="Arial" w:cs="Arial" w:eastAsia="Arial" w:hAnsi="Arial"/>
          <w:sz w:val="16"/>
          <w:szCs w:val="16"/>
          <w:b w:val="1"/>
          <w:bCs w:val="1"/>
          <w:color w:val="auto"/>
        </w:rPr>
        <w:t>Underlying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 the Underlying Securities have been duly authorized and reserved for issuance;</w:t>
      </w:r>
    </w:p>
    <w:p>
      <w:pPr>
        <w:spacing w:after="0" w:line="84" w:lineRule="exact"/>
        <w:rPr>
          <w:sz w:val="20"/>
          <w:szCs w:val="20"/>
          <w:color w:val="auto"/>
        </w:rPr>
      </w:pPr>
    </w:p>
    <w:p>
      <w:pPr>
        <w:jc w:val="both"/>
        <w:ind w:right="20" w:firstLine="421"/>
        <w:spacing w:after="0" w:line="306" w:lineRule="auto"/>
        <w:tabs>
          <w:tab w:leader="none" w:pos="717" w:val="left"/>
        </w:tabs>
        <w:numPr>
          <w:ilvl w:val="0"/>
          <w:numId w:val="9"/>
        </w:numPr>
        <w:rPr>
          <w:rFonts w:ascii="Arial" w:cs="Arial" w:eastAsia="Arial" w:hAnsi="Arial"/>
          <w:sz w:val="16"/>
          <w:szCs w:val="16"/>
          <w:color w:val="auto"/>
        </w:rPr>
      </w:pPr>
      <w:r>
        <w:rPr>
          <w:rFonts w:ascii="Arial" w:cs="Arial" w:eastAsia="Arial" w:hAnsi="Arial"/>
          <w:sz w:val="16"/>
          <w:szCs w:val="16"/>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25" w:lineRule="exact"/>
        <w:rPr>
          <w:rFonts w:ascii="Arial" w:cs="Arial" w:eastAsia="Arial" w:hAnsi="Arial"/>
          <w:sz w:val="16"/>
          <w:szCs w:val="16"/>
          <w:color w:val="auto"/>
        </w:rPr>
      </w:pPr>
    </w:p>
    <w:p>
      <w:pPr>
        <w:ind w:right="220" w:firstLine="421"/>
        <w:spacing w:after="0" w:line="259" w:lineRule="auto"/>
        <w:tabs>
          <w:tab w:leader="none" w:pos="6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distribution of the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59" w:lineRule="exact"/>
        <w:rPr>
          <w:rFonts w:ascii="Arial" w:cs="Arial" w:eastAsia="Arial" w:hAnsi="Arial"/>
          <w:sz w:val="18"/>
          <w:szCs w:val="18"/>
          <w:color w:val="auto"/>
        </w:rPr>
      </w:pPr>
    </w:p>
    <w:p>
      <w:pPr>
        <w:ind w:right="20" w:firstLine="421"/>
        <w:spacing w:after="0" w:line="288" w:lineRule="auto"/>
        <w:tabs>
          <w:tab w:leader="none" w:pos="717" w:val="left"/>
        </w:tabs>
        <w:numPr>
          <w:ilvl w:val="0"/>
          <w:numId w:val="9"/>
        </w:numPr>
        <w:rPr>
          <w:rFonts w:ascii="Arial" w:cs="Arial" w:eastAsia="Arial" w:hAnsi="Arial"/>
          <w:sz w:val="16"/>
          <w:szCs w:val="16"/>
          <w:color w:val="auto"/>
        </w:rPr>
      </w:pPr>
      <w:r>
        <w:rPr>
          <w:rFonts w:ascii="Arial" w:cs="Arial" w:eastAsia="Arial" w:hAnsi="Arial"/>
          <w:sz w:val="16"/>
          <w:szCs w:val="16"/>
          <w:color w:val="auto"/>
        </w:rPr>
        <w:t>(A) 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 and (B) nothing has come to the attention of such counsel that causes such counsel to believe that, insofar as relevant to the offering of the Offered Securities (1) 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w:t>
      </w:r>
    </w:p>
    <w:p>
      <w:pPr>
        <w:spacing w:after="0" w:line="10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00"/>
          </w:cols>
          <w:pgMar w:left="1160" w:top="280" w:right="239" w:bottom="1440" w:gutter="0" w:footer="0" w:header="0"/>
        </w:sectPr>
      </w:pPr>
    </w:p>
    <w:bookmarkStart w:id="19" w:name="page20"/>
    <w:bookmarkEnd w:id="19"/>
    <w:p>
      <w:pPr>
        <w:ind w:left="92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belief), contained any untrue statement of a material fact or omitted to state a material fact required to be stated therein or necessary to make the statements therein not misleading or (2) 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 or (3) 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 (4) the Prospectus (except for the financial statements and financial schedules and other financial and statistical data included therein, as to which such counsel need not express any belief) at the date of the Underwriting Agreement or as amended or supplemented, if applicable, as of the Closing Date contained or contains any untrue statement of a material fact or omits to state a material fact necessary in order to make the statements therein, in the light of the circumstances under which they were made, not misleading; and</w:t>
      </w:r>
    </w:p>
    <w:p>
      <w:pPr>
        <w:spacing w:after="0" w:line="43" w:lineRule="exact"/>
        <w:rPr>
          <w:sz w:val="20"/>
          <w:szCs w:val="20"/>
          <w:color w:val="auto"/>
        </w:rPr>
      </w:pPr>
    </w:p>
    <w:p>
      <w:pPr>
        <w:ind w:left="920" w:right="160" w:firstLine="421"/>
        <w:spacing w:after="0" w:line="268" w:lineRule="auto"/>
        <w:tabs>
          <w:tab w:leader="none" w:pos="168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the Indenture, and the Offered Securities will not contravene any provision of applicable law.</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Manager shall have received on the Closing Date an opinion of its own counsel, in a form acceptable to the Manager, dated the Closing Date.</w:t>
      </w:r>
    </w:p>
    <w:p>
      <w:pPr>
        <w:spacing w:after="0" w:line="20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With respect to the matters set forth in (b)(vii) and (c)(xi)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0" w:name="page21"/>
    <w:bookmarkEnd w:id="20"/>
    <w:p>
      <w:pPr>
        <w:ind w:right="260" w:firstLine="443"/>
        <w:spacing w:after="0" w:line="256" w:lineRule="auto"/>
        <w:tabs>
          <w:tab w:leader="none" w:pos="677"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62" w:lineRule="exact"/>
        <w:rPr>
          <w:rFonts w:ascii="Arial" w:cs="Arial" w:eastAsia="Arial" w:hAnsi="Arial"/>
          <w:sz w:val="18"/>
          <w:szCs w:val="18"/>
          <w:color w:val="auto"/>
        </w:rPr>
      </w:pPr>
    </w:p>
    <w:p>
      <w:pPr>
        <w:ind w:right="80" w:firstLine="443"/>
        <w:spacing w:after="0" w:line="298" w:lineRule="auto"/>
        <w:tabs>
          <w:tab w:leader="none" w:pos="657"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used in Rule 15c3-1(c)(2)(vi)(F) under the Exchange Act, that, in the Manager’s judgment, is material and adverse.</w:t>
      </w:r>
    </w:p>
    <w:p>
      <w:pPr>
        <w:spacing w:after="0" w:line="31" w:lineRule="exact"/>
        <w:rPr>
          <w:rFonts w:ascii="Arial" w:cs="Arial" w:eastAsia="Arial" w:hAnsi="Arial"/>
          <w:sz w:val="16"/>
          <w:szCs w:val="16"/>
          <w:color w:val="auto"/>
        </w:rPr>
      </w:pPr>
    </w:p>
    <w:p>
      <w:pPr>
        <w:ind w:firstLine="443"/>
        <w:spacing w:after="0" w:line="256"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29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90" w:lineRule="exact"/>
        <w:rPr>
          <w:sz w:val="20"/>
          <w:szCs w:val="20"/>
          <w:color w:val="auto"/>
        </w:rPr>
      </w:pPr>
    </w:p>
    <w:p>
      <w:pPr>
        <w:ind w:right="60" w:firstLine="443"/>
        <w:spacing w:after="0" w:line="306" w:lineRule="auto"/>
        <w:tabs>
          <w:tab w:leader="none" w:pos="6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25" w:lineRule="exact"/>
        <w:rPr>
          <w:rFonts w:ascii="Arial" w:cs="Arial" w:eastAsia="Arial" w:hAnsi="Arial"/>
          <w:sz w:val="16"/>
          <w:szCs w:val="16"/>
          <w:color w:val="auto"/>
        </w:rPr>
      </w:pPr>
    </w:p>
    <w:p>
      <w:pPr>
        <w:ind w:right="20" w:firstLine="443"/>
        <w:spacing w:after="0" w:line="306" w:lineRule="auto"/>
        <w:tabs>
          <w:tab w:leader="none" w:pos="6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25" w:lineRule="exact"/>
        <w:rPr>
          <w:rFonts w:ascii="Arial" w:cs="Arial" w:eastAsia="Arial" w:hAnsi="Arial"/>
          <w:sz w:val="16"/>
          <w:szCs w:val="16"/>
          <w:color w:val="auto"/>
        </w:rPr>
      </w:pPr>
    </w:p>
    <w:p>
      <w:pPr>
        <w:ind w:right="80" w:firstLine="443"/>
        <w:spacing w:after="0" w:line="268" w:lineRule="auto"/>
        <w:tabs>
          <w:tab w:leader="none" w:pos="6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50" w:lineRule="exact"/>
        <w:rPr>
          <w:rFonts w:ascii="Arial" w:cs="Arial" w:eastAsia="Arial" w:hAnsi="Arial"/>
          <w:sz w:val="18"/>
          <w:szCs w:val="18"/>
          <w:color w:val="auto"/>
        </w:rPr>
      </w:pPr>
    </w:p>
    <w:p>
      <w:pPr>
        <w:ind w:right="220" w:firstLine="443"/>
        <w:spacing w:after="0" w:line="259"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700" w:top="280" w:right="299" w:bottom="1440" w:gutter="0" w:footer="0" w:header="0"/>
        </w:sectPr>
      </w:pPr>
    </w:p>
    <w:bookmarkStart w:id="21" w:name="page22"/>
    <w:bookmarkEnd w:id="21"/>
    <w:p>
      <w:pPr>
        <w:ind w:firstLine="443"/>
        <w:spacing w:after="0" w:line="288" w:lineRule="auto"/>
        <w:tabs>
          <w:tab w:leader="none" w:pos="677"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38" w:lineRule="exact"/>
        <w:rPr>
          <w:rFonts w:ascii="Arial" w:cs="Arial" w:eastAsia="Arial" w:hAnsi="Arial"/>
          <w:sz w:val="16"/>
          <w:szCs w:val="16"/>
          <w:color w:val="auto"/>
        </w:rPr>
      </w:pPr>
    </w:p>
    <w:p>
      <w:pPr>
        <w:ind w:right="80" w:firstLine="443"/>
        <w:spacing w:after="0" w:line="286" w:lineRule="auto"/>
        <w:tabs>
          <w:tab w:leader="none" w:pos="657"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46" w:lineRule="exact"/>
        <w:rPr>
          <w:rFonts w:ascii="Arial" w:cs="Arial" w:eastAsia="Arial" w:hAnsi="Arial"/>
          <w:sz w:val="16"/>
          <w:szCs w:val="16"/>
          <w:color w:val="auto"/>
        </w:rPr>
      </w:pPr>
    </w:p>
    <w:p>
      <w:pPr>
        <w:ind w:right="220" w:firstLine="443"/>
        <w:spacing w:after="0" w:line="332" w:lineRule="auto"/>
        <w:tabs>
          <w:tab w:leader="none" w:pos="6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7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700" w:top="280" w:right="259" w:bottom="1440" w:gutter="0" w:footer="0" w:header="0"/>
        </w:sectPr>
      </w:pPr>
    </w:p>
    <w:bookmarkStart w:id="22" w:name="page23"/>
    <w:bookmarkEnd w:id="22"/>
    <w:p>
      <w:pPr>
        <w:ind w:right="60" w:firstLine="443"/>
        <w:spacing w:after="0" w:line="298" w:lineRule="auto"/>
        <w:tabs>
          <w:tab w:leader="none" w:pos="687" w:val="left"/>
        </w:tabs>
        <w:numPr>
          <w:ilvl w:val="1"/>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31" w:lineRule="exact"/>
        <w:rPr>
          <w:rFonts w:ascii="Arial" w:cs="Arial" w:eastAsia="Arial" w:hAnsi="Arial"/>
          <w:sz w:val="16"/>
          <w:szCs w:val="16"/>
          <w:color w:val="auto"/>
        </w:rPr>
      </w:pPr>
    </w:p>
    <w:p>
      <w:pPr>
        <w:ind w:right="40" w:firstLine="443"/>
        <w:spacing w:after="0" w:line="305" w:lineRule="auto"/>
        <w:tabs>
          <w:tab w:leader="none" w:pos="648" w:val="left"/>
        </w:tabs>
        <w:numPr>
          <w:ilvl w:val="1"/>
          <w:numId w:val="15"/>
        </w:numPr>
        <w:rPr>
          <w:rFonts w:ascii="Arial" w:cs="Arial" w:eastAsia="Arial" w:hAnsi="Arial"/>
          <w:sz w:val="15"/>
          <w:szCs w:val="15"/>
          <w:color w:val="auto"/>
        </w:rPr>
      </w:pPr>
      <w:r>
        <w:rPr>
          <w:rFonts w:ascii="Arial" w:cs="Arial" w:eastAsia="Arial" w:hAnsi="Arial"/>
          <w:sz w:val="15"/>
          <w:szCs w:val="15"/>
          <w:color w:val="auto"/>
        </w:rPr>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w:t>
      </w:r>
    </w:p>
    <w:p>
      <w:pPr>
        <w:ind w:left="220" w:hanging="216"/>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Offered Securities or (ii) commercial paper issued in the ordinary course of business) without the prior written consent of the Manager.</w:t>
      </w:r>
    </w:p>
    <w:p>
      <w:pPr>
        <w:spacing w:after="0" w:line="106" w:lineRule="exact"/>
        <w:rPr>
          <w:rFonts w:ascii="Arial" w:cs="Arial" w:eastAsia="Arial" w:hAnsi="Arial"/>
          <w:sz w:val="16"/>
          <w:szCs w:val="16"/>
          <w:color w:val="auto"/>
        </w:rPr>
      </w:pPr>
    </w:p>
    <w:p>
      <w:pPr>
        <w:ind w:right="100" w:firstLine="443"/>
        <w:spacing w:after="0" w:line="306" w:lineRule="auto"/>
        <w:tabs>
          <w:tab w:leader="none" w:pos="648" w:val="left"/>
        </w:tabs>
        <w:numPr>
          <w:ilvl w:val="1"/>
          <w:numId w:val="16"/>
        </w:numPr>
        <w:rPr>
          <w:rFonts w:ascii="Arial" w:cs="Arial" w:eastAsia="Arial" w:hAnsi="Arial"/>
          <w:sz w:val="16"/>
          <w:szCs w:val="16"/>
          <w:color w:val="auto"/>
        </w:rPr>
      </w:pPr>
      <w:r>
        <w:rPr>
          <w:rFonts w:ascii="Arial" w:cs="Arial" w:eastAsia="Arial" w:hAnsi="Arial"/>
          <w:sz w:val="16"/>
          <w:szCs w:val="16"/>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25" w:lineRule="exact"/>
        <w:rPr>
          <w:rFonts w:ascii="Arial" w:cs="Arial" w:eastAsia="Arial" w:hAnsi="Arial"/>
          <w:sz w:val="16"/>
          <w:szCs w:val="16"/>
          <w:color w:val="auto"/>
        </w:rPr>
      </w:pPr>
    </w:p>
    <w:p>
      <w:pPr>
        <w:ind w:firstLine="443"/>
        <w:spacing w:after="0" w:line="268" w:lineRule="auto"/>
        <w:tabs>
          <w:tab w:leader="none" w:pos="6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50" w:lineRule="exact"/>
        <w:rPr>
          <w:rFonts w:ascii="Arial" w:cs="Arial" w:eastAsia="Arial" w:hAnsi="Arial"/>
          <w:sz w:val="18"/>
          <w:szCs w:val="18"/>
          <w:color w:val="auto"/>
        </w:rPr>
      </w:pPr>
    </w:p>
    <w:p>
      <w:pPr>
        <w:ind w:firstLine="443"/>
        <w:spacing w:after="0" w:line="286" w:lineRule="auto"/>
        <w:tabs>
          <w:tab w:leader="none" w:pos="645" w:val="left"/>
        </w:tabs>
        <w:numPr>
          <w:ilvl w:val="1"/>
          <w:numId w:val="16"/>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National Association of Securities Dealers, Inc.; and (ix) all expenses incurred by the Company in connection with any “road show” presentation to potential investors.</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80" w:right="259" w:bottom="1440" w:gutter="0" w:footer="0" w:header="0"/>
        </w:sectPr>
      </w:pPr>
    </w:p>
    <w:bookmarkStart w:id="23" w:name="page24"/>
    <w:bookmarkEnd w:id="23"/>
    <w:p>
      <w:pPr>
        <w:ind w:right="160" w:firstLine="443"/>
        <w:spacing w:after="0" w:line="294" w:lineRule="auto"/>
        <w:tabs>
          <w:tab w:leader="none" w:pos="736"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34" w:lineRule="exact"/>
        <w:rPr>
          <w:rFonts w:ascii="Arial" w:cs="Arial" w:eastAsia="Arial" w:hAnsi="Arial"/>
          <w:sz w:val="16"/>
          <w:szCs w:val="16"/>
          <w:color w:val="auto"/>
        </w:rPr>
      </w:pPr>
    </w:p>
    <w:p>
      <w:pPr>
        <w:ind w:firstLine="443"/>
        <w:spacing w:after="0" w:line="285" w:lineRule="auto"/>
        <w:tabs>
          <w:tab w:leader="none" w:pos="687"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700" w:top="280" w:right="299" w:bottom="1440" w:gutter="0" w:footer="0" w:header="0"/>
        </w:sectPr>
      </w:pPr>
    </w:p>
    <w:bookmarkStart w:id="24" w:name="page25"/>
    <w:bookmarkEnd w:id="24"/>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90" w:lineRule="exact"/>
        <w:rPr>
          <w:sz w:val="20"/>
          <w:szCs w:val="20"/>
          <w:color w:val="auto"/>
        </w:rPr>
      </w:pPr>
    </w:p>
    <w:p>
      <w:pPr>
        <w:ind w:right="80" w:firstLine="443"/>
        <w:spacing w:after="0" w:line="298" w:lineRule="auto"/>
        <w:tabs>
          <w:tab w:leader="none" w:pos="67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31" w:lineRule="exact"/>
        <w:rPr>
          <w:rFonts w:ascii="Arial" w:cs="Arial" w:eastAsia="Arial" w:hAnsi="Arial"/>
          <w:sz w:val="16"/>
          <w:szCs w:val="16"/>
          <w:color w:val="auto"/>
        </w:rPr>
      </w:pPr>
    </w:p>
    <w:p>
      <w:pPr>
        <w:ind w:firstLine="443"/>
        <w:spacing w:after="0" w:line="284" w:lineRule="auto"/>
        <w:tabs>
          <w:tab w:leader="none" w:pos="687"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74" w:right="259" w:bottom="1440" w:gutter="0" w:footer="0" w:header="0"/>
        </w:sectPr>
      </w:pPr>
    </w:p>
    <w:bookmarkStart w:id="25" w:name="page26"/>
    <w:bookmarkEnd w:id="25"/>
    <w:p>
      <w:pPr>
        <w:ind w:firstLine="443"/>
        <w:spacing w:after="0" w:line="289" w:lineRule="auto"/>
        <w:tabs>
          <w:tab w:leader="none" w:pos="677"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37" w:lineRule="exact"/>
        <w:rPr>
          <w:rFonts w:ascii="Arial" w:cs="Arial" w:eastAsia="Arial" w:hAnsi="Arial"/>
          <w:sz w:val="16"/>
          <w:szCs w:val="16"/>
          <w:color w:val="auto"/>
        </w:rPr>
      </w:pPr>
    </w:p>
    <w:p>
      <w:pPr>
        <w:ind w:right="120" w:firstLine="443"/>
        <w:spacing w:after="0" w:line="255"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61" w:lineRule="exact"/>
        <w:rPr>
          <w:rFonts w:ascii="Arial" w:cs="Arial" w:eastAsia="Arial" w:hAnsi="Arial"/>
          <w:sz w:val="18"/>
          <w:szCs w:val="18"/>
          <w:color w:val="auto"/>
        </w:rPr>
      </w:pPr>
    </w:p>
    <w:p>
      <w:pPr>
        <w:jc w:val="both"/>
        <w:ind w:right="200" w:firstLine="443"/>
        <w:spacing w:after="0" w:line="259" w:lineRule="auto"/>
        <w:tabs>
          <w:tab w:leader="none" w:pos="6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59" w:lineRule="exact"/>
        <w:rPr>
          <w:rFonts w:ascii="Arial" w:cs="Arial" w:eastAsia="Arial" w:hAnsi="Arial"/>
          <w:sz w:val="18"/>
          <w:szCs w:val="18"/>
          <w:color w:val="auto"/>
        </w:rPr>
      </w:pPr>
    </w:p>
    <w:p>
      <w:pPr>
        <w:ind w:right="60" w:firstLine="443"/>
        <w:spacing w:after="0" w:line="254" w:lineRule="auto"/>
        <w:tabs>
          <w:tab w:leader="none" w:pos="6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13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700" w:top="280" w:right="259" w:bottom="1440" w:gutter="0" w:footer="0" w:header="0"/>
        </w:sectPr>
      </w:pPr>
    </w:p>
    <w:bookmarkStart w:id="26" w:name="page27"/>
    <w:bookmarkEnd w:id="26"/>
    <w:p>
      <w:pPr>
        <w:ind w:right="20" w:firstLine="443"/>
        <w:spacing w:after="0" w:line="255" w:lineRule="auto"/>
        <w:tabs>
          <w:tab w:leader="none" w:pos="687" w:val="left"/>
        </w:tabs>
        <w:numPr>
          <w:ilvl w:val="1"/>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61" w:lineRule="exact"/>
        <w:rPr>
          <w:rFonts w:ascii="Arial" w:cs="Arial" w:eastAsia="Arial" w:hAnsi="Arial"/>
          <w:sz w:val="18"/>
          <w:szCs w:val="18"/>
          <w:color w:val="auto"/>
        </w:rPr>
      </w:pPr>
    </w:p>
    <w:p>
      <w:pPr>
        <w:ind w:firstLine="443"/>
        <w:spacing w:after="0" w:line="255" w:lineRule="auto"/>
        <w:tabs>
          <w:tab w:leader="none" w:pos="687"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61" w:lineRule="exact"/>
        <w:rPr>
          <w:rFonts w:ascii="Arial" w:cs="Arial" w:eastAsia="Arial" w:hAnsi="Arial"/>
          <w:sz w:val="18"/>
          <w:szCs w:val="18"/>
          <w:color w:val="auto"/>
        </w:rPr>
      </w:pPr>
    </w:p>
    <w:p>
      <w:pPr>
        <w:ind w:left="660" w:hanging="217"/>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right="80" w:firstLine="443"/>
        <w:spacing w:after="0" w:line="291" w:lineRule="auto"/>
        <w:tabs>
          <w:tab w:leader="none" w:pos="648"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39" w:lineRule="exact"/>
        <w:rPr>
          <w:rFonts w:ascii="Arial" w:cs="Arial" w:eastAsia="Arial" w:hAnsi="Arial"/>
          <w:sz w:val="16"/>
          <w:szCs w:val="16"/>
          <w:color w:val="auto"/>
        </w:rPr>
      </w:pPr>
    </w:p>
    <w:p>
      <w:pPr>
        <w:ind w:right="20" w:firstLine="443"/>
        <w:spacing w:after="0" w:line="305" w:lineRule="auto"/>
        <w:tabs>
          <w:tab w:leader="none" w:pos="687" w:val="left"/>
        </w:tabs>
        <w:numPr>
          <w:ilvl w:val="1"/>
          <w:numId w:val="20"/>
        </w:numPr>
        <w:rPr>
          <w:rFonts w:ascii="Arial" w:cs="Arial" w:eastAsia="Arial" w:hAnsi="Arial"/>
          <w:sz w:val="15"/>
          <w:szCs w:val="15"/>
          <w:color w:val="auto"/>
        </w:rPr>
      </w:pPr>
      <w:r>
        <w:rPr>
          <w:rFonts w:ascii="Arial" w:cs="Arial" w:eastAsia="Arial" w:hAnsi="Arial"/>
          <w:sz w:val="15"/>
          <w:szCs w:val="15"/>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w:t>
      </w:r>
    </w:p>
    <w:p>
      <w:pPr>
        <w:jc w:val="both"/>
        <w:ind w:firstLine="4"/>
        <w:spacing w:after="0" w:line="331" w:lineRule="auto"/>
        <w:tabs>
          <w:tab w:leader="none" w:pos="307"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7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700" w:top="280" w:right="279" w:bottom="1440" w:gutter="0" w:footer="0" w:header="0"/>
        </w:sectPr>
      </w:pPr>
    </w:p>
    <w:bookmarkStart w:id="27" w:name="page28"/>
    <w:bookmarkEnd w:id="27"/>
    <w:p>
      <w:pPr>
        <w:ind w:left="460" w:right="160" w:firstLine="443"/>
        <w:spacing w:after="0" w:line="259" w:lineRule="auto"/>
        <w:tabs>
          <w:tab w:leader="none" w:pos="1108"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59" w:lineRule="exact"/>
        <w:rPr>
          <w:rFonts w:ascii="Arial" w:cs="Arial" w:eastAsia="Arial" w:hAnsi="Arial"/>
          <w:sz w:val="18"/>
          <w:szCs w:val="18"/>
          <w:color w:val="auto"/>
        </w:rPr>
      </w:pPr>
    </w:p>
    <w:p>
      <w:pPr>
        <w:ind w:left="460" w:right="220" w:firstLine="443"/>
        <w:spacing w:after="0" w:line="259" w:lineRule="auto"/>
        <w:tabs>
          <w:tab w:leader="none" w:pos="11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59"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34" w:lineRule="exact"/>
        <w:rPr>
          <w:rFonts w:ascii="Arial" w:cs="Arial" w:eastAsia="Arial" w:hAnsi="Arial"/>
          <w:sz w:val="16"/>
          <w:szCs w:val="16"/>
          <w:color w:val="auto"/>
        </w:rPr>
      </w:pPr>
    </w:p>
    <w:p>
      <w:pPr>
        <w:ind w:left="460" w:right="40" w:firstLine="443"/>
        <w:spacing w:after="0" w:line="259" w:lineRule="auto"/>
        <w:tabs>
          <w:tab w:leader="none" w:pos="1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59"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w:t>
      </w:r>
    </w:p>
    <w:p>
      <w:pPr>
        <w:spacing w:after="0" w:line="177" w:lineRule="exact"/>
        <w:rPr>
          <w:sz w:val="20"/>
          <w:szCs w:val="20"/>
          <w:color w:val="auto"/>
        </w:rPr>
      </w:pPr>
    </w:p>
    <w:p>
      <w:pPr>
        <w:ind w:right="320" w:firstLine="456"/>
        <w:spacing w:after="0" w:line="288" w:lineRule="auto"/>
        <w:rPr>
          <w:sz w:val="20"/>
          <w:szCs w:val="20"/>
          <w:color w:val="auto"/>
        </w:rPr>
      </w:pPr>
      <w:r>
        <w:rPr>
          <w:rFonts w:ascii="Arial" w:cs="Arial" w:eastAsia="Arial" w:hAnsi="Arial"/>
          <w:sz w:val="16"/>
          <w:szCs w:val="16"/>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8" w:name="page29"/>
    <w:bookmarkEnd w:id="28"/>
    <w:p>
      <w:pPr>
        <w:ind w:right="3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29" w:name="page30"/>
    <w:bookmarkEnd w:id="29"/>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30" w:name="page31"/>
    <w:bookmarkEnd w:id="30"/>
    <w:p>
      <w:pPr>
        <w:ind w:left="5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90" w:lineRule="exact"/>
        <w:rPr>
          <w:sz w:val="20"/>
          <w:szCs w:val="20"/>
          <w:color w:val="auto"/>
        </w:rPr>
      </w:pPr>
    </w:p>
    <w:p>
      <w:pPr>
        <w:ind w:left="460" w:right="160" w:firstLine="443"/>
        <w:spacing w:after="0" w:line="259" w:lineRule="auto"/>
        <w:tabs>
          <w:tab w:leader="none" w:pos="11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59" w:lineRule="exact"/>
        <w:rPr>
          <w:rFonts w:ascii="Arial" w:cs="Arial" w:eastAsia="Arial" w:hAnsi="Arial"/>
          <w:sz w:val="18"/>
          <w:szCs w:val="18"/>
          <w:color w:val="auto"/>
        </w:rPr>
      </w:pPr>
    </w:p>
    <w:p>
      <w:pPr>
        <w:ind w:left="460" w:right="40" w:firstLine="443"/>
        <w:spacing w:after="0" w:line="291" w:lineRule="auto"/>
        <w:tabs>
          <w:tab w:leader="none" w:pos="1147"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VIII.</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IX.</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2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32" w:name="page33"/>
    <w:bookmarkEnd w:id="32"/>
    <w:p>
      <w:pPr>
        <w:ind w:right="1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32" w:lineRule="exact"/>
        <w:rPr>
          <w:sz w:val="20"/>
          <w:szCs w:val="20"/>
          <w:color w:val="auto"/>
        </w:rPr>
      </w:pPr>
    </w:p>
    <w:p>
      <w:pPr>
        <w:jc w:val="center"/>
        <w:ind w:left="460" w:right="240"/>
        <w:spacing w:after="0" w:line="440"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29</w:t>
      </w:r>
    </w:p>
    <w:p>
      <w:pPr>
        <w:sectPr>
          <w:pgSz w:w="11900" w:h="16838" w:orient="portrait"/>
          <w:cols w:equalWidth="0" w:num="1">
            <w:col w:w="11320"/>
          </w:cols>
          <w:pgMar w:left="240" w:top="280"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4.2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8, 2013</w:t>
      </w:r>
    </w:p>
    <w:p>
      <w:pPr>
        <w:spacing w:after="0" w:line="17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Reference is made to the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Texas Instruments Incorporated (the “</w:t>
      </w:r>
      <w:r>
        <w:rPr>
          <w:rFonts w:ascii="Arial" w:cs="Arial" w:eastAsia="Arial" w:hAnsi="Arial"/>
          <w:sz w:val="16"/>
          <w:szCs w:val="16"/>
          <w:b w:val="1"/>
          <w:bCs w:val="1"/>
          <w:color w:val="auto"/>
        </w:rPr>
        <w:t>Issuer</w:t>
      </w:r>
      <w:r>
        <w:rPr>
          <w:rFonts w:ascii="Arial" w:cs="Arial" w:eastAsia="Arial" w:hAnsi="Arial"/>
          <w:sz w:val="16"/>
          <w:szCs w:val="16"/>
          <w:color w:val="auto"/>
        </w:rPr>
        <w:t>”)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The Trustee is the trustee for any and all securities issued under the Indenture. Pursuant to Section 2.01 and Section 2.03 of the Indenture, the undersigned officer does hereby certify, in connection with the issuance of (i) $500,000,000 aggregate principal amount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1.000% Notes due 2018 (the “</w:t>
      </w:r>
      <w:r>
        <w:rPr>
          <w:rFonts w:ascii="Arial" w:cs="Arial" w:eastAsia="Arial" w:hAnsi="Arial"/>
          <w:sz w:val="16"/>
          <w:szCs w:val="16"/>
          <w:b w:val="1"/>
          <w:bCs w:val="1"/>
          <w:color w:val="auto"/>
        </w:rPr>
        <w:t>2018 Notes</w:t>
      </w:r>
      <w:r>
        <w:rPr>
          <w:rFonts w:ascii="Arial" w:cs="Arial" w:eastAsia="Arial" w:hAnsi="Arial"/>
          <w:sz w:val="16"/>
          <w:szCs w:val="16"/>
          <w:color w:val="auto"/>
        </w:rPr>
        <w:t>”) and (ii) $500,000,000 aggregate principal amount of 2.250% Notes due 2023 (the “</w:t>
      </w:r>
      <w:r>
        <w:rPr>
          <w:rFonts w:ascii="Arial" w:cs="Arial" w:eastAsia="Arial" w:hAnsi="Arial"/>
          <w:sz w:val="16"/>
          <w:szCs w:val="16"/>
          <w:b w:val="1"/>
          <w:bCs w:val="1"/>
          <w:color w:val="auto"/>
        </w:rPr>
        <w:t>2023 Notes</w:t>
      </w:r>
      <w:r>
        <w:rPr>
          <w:rFonts w:ascii="Arial" w:cs="Arial" w:eastAsia="Arial" w:hAnsi="Arial"/>
          <w:sz w:val="16"/>
          <w:szCs w:val="16"/>
          <w:color w:val="auto"/>
        </w:rPr>
        <w:t>” and together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 Notes, the “</w:t>
      </w:r>
      <w:r>
        <w:rPr>
          <w:rFonts w:ascii="Arial" w:cs="Arial" w:eastAsia="Arial" w:hAnsi="Arial"/>
          <w:sz w:val="18"/>
          <w:szCs w:val="18"/>
          <w:b w:val="1"/>
          <w:bCs w:val="1"/>
          <w:color w:val="auto"/>
        </w:rPr>
        <w:t>Notes</w:t>
      </w:r>
      <w:r>
        <w:rPr>
          <w:rFonts w:ascii="Arial" w:cs="Arial" w:eastAsia="Arial" w:hAnsi="Arial"/>
          <w:sz w:val="18"/>
          <w:szCs w:val="18"/>
          <w:color w:val="auto"/>
        </w:rPr>
        <w:t>”), that the terms of the Notes are as follows: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otherwise defined herein shall have the meanings specified in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Notes</w:t>
      </w: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Title: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1.000% Notes due 2018</w:t>
      </w:r>
    </w:p>
    <w:p>
      <w:pPr>
        <w:spacing w:after="0" w:line="151"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Texas Instruments Incorporated</w:t>
      </w:r>
    </w:p>
    <w:p>
      <w:pPr>
        <w:spacing w:after="0" w:line="151"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line="268"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U.S. Bank National Association</w:t>
      </w:r>
    </w:p>
    <w:p>
      <w:pPr>
        <w:spacing w:after="0" w:line="140" w:lineRule="exact"/>
        <w:rPr>
          <w:sz w:val="20"/>
          <w:szCs w:val="20"/>
          <w:color w:val="auto"/>
        </w:rPr>
      </w:pPr>
    </w:p>
    <w:p>
      <w:pPr>
        <w:sectPr>
          <w:pgSz w:w="11900" w:h="16838" w:orient="portrait"/>
          <w:cols w:equalWidth="0" w:num="2">
            <w:col w:w="4020" w:space="440"/>
            <w:col w:w="69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$500,000,000</w:t>
      </w:r>
    </w:p>
    <w:p>
      <w:pPr>
        <w:spacing w:after="0" w:line="140"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Principal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 2018</w:t>
      </w:r>
    </w:p>
    <w:p>
      <w:pPr>
        <w:spacing w:after="0" w:line="140"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1.000% per annum</w:t>
      </w:r>
    </w:p>
    <w:p>
      <w:pPr>
        <w:spacing w:after="0" w:line="151"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8, 2013</w:t>
      </w:r>
    </w:p>
    <w:p>
      <w:pPr>
        <w:spacing w:after="0" w:line="140" w:lineRule="exact"/>
        <w:rPr>
          <w:sz w:val="20"/>
          <w:szCs w:val="20"/>
          <w:color w:val="auto"/>
        </w:rPr>
      </w:pPr>
    </w:p>
    <w:p>
      <w:pPr>
        <w:sectPr>
          <w:pgSz w:w="11900" w:h="16838" w:orient="portrait"/>
          <w:cols w:equalWidth="0" w:num="2">
            <w:col w:w="3740" w:space="720"/>
            <w:col w:w="696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Interest Payment Dates:</w:t>
      </w:r>
    </w:p>
    <w:p>
      <w:pPr>
        <w:spacing w:after="0" w:line="20" w:lineRule="exact"/>
        <w:rPr>
          <w:sz w:val="20"/>
          <w:szCs w:val="20"/>
          <w:color w:val="auto"/>
        </w:rPr>
      </w:pPr>
      <w:r>
        <w:rPr>
          <w:sz w:val="20"/>
          <w:szCs w:val="20"/>
          <w:color w:val="auto"/>
        </w:rPr>
        <w:br w:type="column"/>
      </w:r>
    </w:p>
    <w:p>
      <w:pPr>
        <w:jc w:val="center"/>
        <w:ind w:right="2720"/>
        <w:spacing w:after="0"/>
        <w:rPr>
          <w:sz w:val="20"/>
          <w:szCs w:val="20"/>
          <w:color w:val="auto"/>
        </w:rPr>
      </w:pPr>
      <w:r>
        <w:rPr>
          <w:rFonts w:ascii="Arial" w:cs="Arial" w:eastAsia="Arial" w:hAnsi="Arial"/>
          <w:sz w:val="15"/>
          <w:szCs w:val="15"/>
          <w:color w:val="auto"/>
        </w:rPr>
        <w:t>May 1 and November 1, commencing on November 1, 2013</w:t>
      </w:r>
    </w:p>
    <w:p>
      <w:pPr>
        <w:sectPr>
          <w:pgSz w:w="11900" w:h="16838" w:orient="portrait"/>
          <w:cols w:equalWidth="0" w:num="2">
            <w:col w:w="3740" w:space="720"/>
            <w:col w:w="6960"/>
          </w:cols>
          <w:pgMar w:left="240" w:top="125"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Sinking Fund: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Denominations: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Trustee, Registrar, Transfer Agent, Authenticating Agent, and Paying Agent: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Principal Amount at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The Issuer may at its option redeem the 2018 Notes in whole or in part, at any time or from time to time prior to their maturity, on at least 30 days, but not more than 60 days, prior notice mailed to the registered address of each holder of the 2018 Notes, at a redemption price, calculated by the Issuer,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-648970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2" w:lineRule="exact"/>
        <w:rPr>
          <w:sz w:val="20"/>
          <w:szCs w:val="20"/>
          <w:color w:val="auto"/>
        </w:rPr>
      </w:pPr>
    </w:p>
    <w:p>
      <w:pPr>
        <w:ind w:left="220" w:hanging="215"/>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 of the principal amount of the 2018 Notes being redeemed; and</w:t>
      </w:r>
    </w:p>
    <w:p>
      <w:pPr>
        <w:spacing w:after="0" w:line="90" w:lineRule="exact"/>
        <w:rPr>
          <w:rFonts w:ascii="Arial" w:cs="Arial" w:eastAsia="Arial" w:hAnsi="Arial"/>
          <w:sz w:val="18"/>
          <w:szCs w:val="18"/>
          <w:color w:val="auto"/>
        </w:rPr>
      </w:pPr>
    </w:p>
    <w:p>
      <w:pPr>
        <w:ind w:right="140" w:firstLine="5"/>
        <w:spacing w:after="0" w:line="255" w:lineRule="auto"/>
        <w:tabs>
          <w:tab w:leader="none" w:pos="2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(exclusive of interest accrued as of the date of redemption) discounted to the redemption date on a semiannual basis (assuming a 360-day year consisting of twelve 30-day months) of the 2018 Notes being redeemed at the Treasury Rate (as defined in the 2018 Notes) plus 10 basis points;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multiples of $1,000 thereafter</w:t>
      </w:r>
    </w:p>
    <w:p>
      <w:pPr>
        <w:spacing w:after="0" w:line="11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 xml:space="preserve">The terms of the 2018 Notes shall include such other terms as are set forth in the form of 2018 Notes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in the Indenture.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2.250% Notes due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1,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2.250% per annum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8, 2013</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4020" w:space="440"/>
            <w:col w:w="6940"/>
          </w:cols>
          <w:pgMar w:left="240" w:top="280" w:right="259" w:bottom="1440" w:gutter="0" w:footer="0" w:header="0"/>
        </w:sectPr>
      </w:pPr>
    </w:p>
    <w:bookmarkStart w:id="35" w:name="page36"/>
    <w:bookmarkEnd w:id="35"/>
    <w:p>
      <w:pPr>
        <w:spacing w:after="0"/>
        <w:rPr>
          <w:sz w:val="20"/>
          <w:szCs w:val="20"/>
          <w:color w:val="auto"/>
        </w:rPr>
      </w:pPr>
      <w:r>
        <w:rPr>
          <w:rFonts w:ascii="Arial" w:cs="Arial" w:eastAsia="Arial" w:hAnsi="Arial"/>
          <w:sz w:val="15"/>
          <w:szCs w:val="15"/>
          <w:i w:val="1"/>
          <w:i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May 1 and November 1, commencing on November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-198120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2820" w:space="720"/>
            <w:col w:w="7820"/>
          </w:cols>
          <w:pgMar w:left="240" w:top="280" w:right="299" w:bottom="1440" w:gutter="0" w:footer="0" w:header="0"/>
        </w:sectPr>
      </w:pPr>
    </w:p>
    <w:p>
      <w:pPr>
        <w:spacing w:after="0"/>
        <w:rPr>
          <w:sz w:val="20"/>
          <w:szCs w:val="20"/>
          <w:color w:val="auto"/>
        </w:rPr>
      </w:pPr>
      <w:r>
        <w:rPr>
          <w:rFonts w:ascii="Arial" w:cs="Arial" w:eastAsia="Arial" w:hAnsi="Arial"/>
          <w:sz w:val="15"/>
          <w:szCs w:val="15"/>
          <w:i w:val="1"/>
          <w:iCs w:val="1"/>
          <w:color w:val="auto"/>
        </w:rPr>
        <w:t>Redemption:</w:t>
      </w:r>
    </w:p>
    <w:p>
      <w:pPr>
        <w:spacing w:after="0" w:line="20" w:lineRule="exact"/>
        <w:rPr>
          <w:sz w:val="20"/>
          <w:szCs w:val="20"/>
          <w:color w:val="auto"/>
        </w:rPr>
      </w:pPr>
      <w:r>
        <w:rPr>
          <w:sz w:val="20"/>
          <w:szCs w:val="20"/>
          <w:color w:val="auto"/>
        </w:rPr>
        <w:br w:type="column"/>
      </w:r>
    </w:p>
    <w:p>
      <w:pPr>
        <w:ind w:right="160"/>
        <w:spacing w:after="0" w:line="298" w:lineRule="auto"/>
        <w:rPr>
          <w:sz w:val="20"/>
          <w:szCs w:val="20"/>
          <w:color w:val="auto"/>
        </w:rPr>
      </w:pPr>
      <w:r>
        <w:rPr>
          <w:rFonts w:ascii="Arial" w:cs="Arial" w:eastAsia="Arial" w:hAnsi="Arial"/>
          <w:sz w:val="16"/>
          <w:szCs w:val="16"/>
          <w:color w:val="auto"/>
        </w:rPr>
        <w:t>At any time prior to February 1, 2023 (three months prior to their maturity date) the Issuer may at its option redeem the 2023 Notes in whole or in part, at any time or from time to time prior to their maturity, on at least 30 days, but not more than 60 days, prior notice mailed to the registered address of each holder of the 2023 Notes, at a redemption price, calculated by the Issuer, equal to the greater of:</w:t>
      </w:r>
    </w:p>
    <w:p>
      <w:pPr>
        <w:spacing w:after="0" w:line="32" w:lineRule="exact"/>
        <w:rPr>
          <w:sz w:val="20"/>
          <w:szCs w:val="20"/>
          <w:color w:val="auto"/>
        </w:rPr>
      </w:pPr>
    </w:p>
    <w:p>
      <w:pPr>
        <w:sectPr>
          <w:pgSz w:w="11900" w:h="16838" w:orient="portrait"/>
          <w:cols w:equalWidth="0" w:num="2">
            <w:col w:w="2820" w:space="720"/>
            <w:col w:w="7820"/>
          </w:cols>
          <w:pgMar w:left="240" w:top="280" w:right="299" w:bottom="1440" w:gutter="0" w:footer="0" w:header="0"/>
          <w:type w:val="continuous"/>
        </w:sectPr>
      </w:pPr>
    </w:p>
    <w:p>
      <w:pPr>
        <w:ind w:left="3540"/>
        <w:spacing w:after="0"/>
        <w:rPr>
          <w:sz w:val="20"/>
          <w:szCs w:val="20"/>
          <w:color w:val="auto"/>
        </w:rPr>
      </w:pPr>
      <w:r>
        <w:rPr>
          <w:rFonts w:ascii="Arial" w:cs="Arial" w:eastAsia="Arial" w:hAnsi="Arial"/>
          <w:sz w:val="18"/>
          <w:szCs w:val="18"/>
          <w:color w:val="auto"/>
        </w:rPr>
        <w:t>(i) 100% of the principal amount of the 2023 Notes being redeemed; and</w:t>
      </w:r>
    </w:p>
    <w:p>
      <w:pPr>
        <w:spacing w:after="0" w:line="90" w:lineRule="exact"/>
        <w:rPr>
          <w:sz w:val="20"/>
          <w:szCs w:val="20"/>
          <w:color w:val="auto"/>
        </w:rPr>
      </w:pPr>
    </w:p>
    <w:p>
      <w:pPr>
        <w:ind w:left="3540" w:right="80"/>
        <w:spacing w:after="0" w:line="298" w:lineRule="auto"/>
        <w:rPr>
          <w:sz w:val="20"/>
          <w:szCs w:val="20"/>
          <w:color w:val="auto"/>
        </w:rPr>
      </w:pPr>
      <w:r>
        <w:rPr>
          <w:rFonts w:ascii="Arial" w:cs="Arial" w:eastAsia="Arial" w:hAnsi="Arial"/>
          <w:sz w:val="16"/>
          <w:szCs w:val="16"/>
          <w:color w:val="auto"/>
        </w:rPr>
        <w:t>(ii) the sum of the present values of the remaining scheduled payments of principal and interest thereon (exclusive of interest accrued as of the date of redemption) discounted to the redemption date on a semiannual basis (assuming a 360-day year consisting of twelve 30-day months) of the 2023 Notes being redeemed at the Treasury Rate (as defined in the 2023 Notes) plus 15 basis points;</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90" w:lineRule="exact"/>
        <w:rPr>
          <w:sz w:val="20"/>
          <w:szCs w:val="20"/>
          <w:color w:val="auto"/>
        </w:rPr>
      </w:pPr>
    </w:p>
    <w:p>
      <w:pPr>
        <w:ind w:left="3540"/>
        <w:spacing w:after="0" w:line="255" w:lineRule="auto"/>
        <w:rPr>
          <w:sz w:val="20"/>
          <w:szCs w:val="20"/>
          <w:color w:val="auto"/>
        </w:rPr>
      </w:pPr>
      <w:r>
        <w:rPr>
          <w:rFonts w:ascii="Arial" w:cs="Arial" w:eastAsia="Arial" w:hAnsi="Arial"/>
          <w:sz w:val="18"/>
          <w:szCs w:val="18"/>
          <w:color w:val="auto"/>
        </w:rPr>
        <w:t>At any time on or after February 1, 2023 (three months prior to their maturity date), the Issuer may at its option redeem the 2023 Notes in whole or in part, at any time or from time to time prior to their maturity, on at least 30 days, but not more than 60 days, prior notice mailed to the registered holder of the 2023 Notes, at a redemption price equal to 100% of the principal amount of the 2023 Notes being redeemed plus accrued interest thereon to the date of redemption.</w:t>
      </w:r>
    </w:p>
    <w:p>
      <w:pPr>
        <w:sectPr>
          <w:pgSz w:w="11900" w:h="16838" w:orient="portrait"/>
          <w:cols w:equalWidth="0" w:num="1">
            <w:col w:w="11360"/>
          </w:cols>
          <w:pgMar w:left="240" w:top="280" w:right="29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2820" w:space="720"/>
            <w:col w:w="782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2820" w:space="720"/>
            <w:col w:w="782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multiples of $1,000 thereafter</w:t>
      </w:r>
    </w:p>
    <w:p>
      <w:pPr>
        <w:spacing w:after="0" w:line="140" w:lineRule="exact"/>
        <w:rPr>
          <w:sz w:val="20"/>
          <w:szCs w:val="20"/>
          <w:color w:val="auto"/>
        </w:rPr>
      </w:pPr>
    </w:p>
    <w:p>
      <w:pPr>
        <w:sectPr>
          <w:pgSz w:w="11900" w:h="16838" w:orient="portrait"/>
          <w:cols w:equalWidth="0" w:num="2">
            <w:col w:w="2820" w:space="720"/>
            <w:col w:w="7820"/>
          </w:cols>
          <w:pgMar w:left="240" w:top="280" w:right="29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Miscellaneous:</w:t>
      </w:r>
    </w:p>
    <w:p>
      <w:pPr>
        <w:spacing w:after="0" w:line="20" w:lineRule="exact"/>
        <w:rPr>
          <w:sz w:val="20"/>
          <w:szCs w:val="20"/>
          <w:color w:val="auto"/>
        </w:rPr>
      </w:pPr>
      <w:r>
        <w:rPr>
          <w:sz w:val="20"/>
          <w:szCs w:val="20"/>
          <w:color w:val="auto"/>
        </w:rPr>
        <w:br w:type="column"/>
      </w:r>
    </w:p>
    <w:p>
      <w:pPr>
        <w:ind w:right="100"/>
        <w:spacing w:after="0" w:line="268" w:lineRule="auto"/>
        <w:rPr>
          <w:sz w:val="20"/>
          <w:szCs w:val="20"/>
          <w:color w:val="auto"/>
        </w:rPr>
      </w:pPr>
      <w:r>
        <w:rPr>
          <w:rFonts w:ascii="Arial" w:cs="Arial" w:eastAsia="Arial" w:hAnsi="Arial"/>
          <w:sz w:val="18"/>
          <w:szCs w:val="18"/>
          <w:color w:val="auto"/>
        </w:rPr>
        <w:t xml:space="preserve">The terms of the 2023 Notes shall include such other terms as are set forth in the form of 2023 Notes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and in the Indenture.</w:t>
      </w:r>
    </w:p>
    <w:p>
      <w:pPr>
        <w:spacing w:after="0" w:line="118" w:lineRule="exact"/>
        <w:rPr>
          <w:sz w:val="20"/>
          <w:szCs w:val="20"/>
          <w:color w:val="auto"/>
        </w:rPr>
      </w:pPr>
    </w:p>
    <w:p>
      <w:pPr>
        <w:sectPr>
          <w:pgSz w:w="11900" w:h="16838" w:orient="portrait"/>
          <w:cols w:equalWidth="0" w:num="2">
            <w:col w:w="2820" w:space="720"/>
            <w:col w:w="7820"/>
          </w:cols>
          <w:pgMar w:left="240" w:top="280" w:right="299" w:bottom="1440" w:gutter="0" w:footer="0" w:header="0"/>
          <w:type w:val="continuous"/>
        </w:sect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60"/>
          </w:cols>
          <w:pgMar w:left="240" w:top="280" w:right="299" w:bottom="1440" w:gutter="0" w:footer="0" w:header="0"/>
          <w:type w:val="continuous"/>
        </w:sectPr>
      </w:pPr>
    </w:p>
    <w:bookmarkStart w:id="36" w:name="page37"/>
    <w:bookmarkEnd w:id="36"/>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each series of notes issued hereby. Any such additional notes of a series shall have identical terms as the 2018 Notes or the 2023 Notes, as the case may be, issued on the issue date, other than with respect to the date of issuance and the issue price (together, the “</w:t>
      </w:r>
      <w:r>
        <w:rPr>
          <w:rFonts w:ascii="Arial" w:cs="Arial" w:eastAsia="Arial" w:hAnsi="Arial"/>
          <w:sz w:val="18"/>
          <w:szCs w:val="18"/>
          <w:b w:val="1"/>
          <w:bCs w:val="1"/>
          <w:color w:val="auto"/>
        </w:rPr>
        <w:t>Additional Notes</w:t>
      </w:r>
      <w:r>
        <w:rPr>
          <w:rFonts w:ascii="Arial" w:cs="Arial" w:eastAsia="Arial" w:hAnsi="Arial"/>
          <w:sz w:val="18"/>
          <w:szCs w:val="18"/>
          <w:color w:val="auto"/>
        </w:rPr>
        <w:t>”). Any Additional Notes will be issued in accordance with Section 2.03 of the Indenture.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28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Issuer have duly executed this certificate as of the date first set forth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TEXAS INSTRUMENTS INCORPORATED</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10795</wp:posOffset>
            </wp:positionV>
            <wp:extent cx="2735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670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Alan C.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10795</wp:posOffset>
            </wp:positionV>
            <wp:extent cx="2735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Alan C. Boyd</w:t>
      </w:r>
    </w:p>
    <w:p>
      <w:pPr>
        <w:spacing w:after="0" w:line="15" w:lineRule="exact"/>
        <w:rPr>
          <w:sz w:val="20"/>
          <w:szCs w:val="20"/>
          <w:color w:val="auto"/>
        </w:rPr>
      </w:pPr>
    </w:p>
    <w:p>
      <w:pPr>
        <w:ind w:left="6700"/>
        <w:spacing w:after="0"/>
        <w:tabs>
          <w:tab w:leader="none" w:pos="7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16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ectPr>
          <w:pgSz w:w="11900" w:h="16838" w:orient="portrait"/>
          <w:cols w:equalWidth="0" w:num="1">
            <w:col w:w="9759"/>
          </w:cols>
          <w:pgMar w:left="700" w:top="280"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2018]</w:t>
      </w:r>
    </w:p>
    <w:p>
      <w:pPr>
        <w:spacing w:after="0" w:line="17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27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 Notes due 2018</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CUSIP No.: 882508 AV6</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US882508AV68</w:t>
      </w:r>
    </w:p>
    <w:p>
      <w:pPr>
        <w:spacing w:after="0" w:line="134" w:lineRule="exact"/>
        <w:rPr>
          <w:sz w:val="20"/>
          <w:szCs w:val="20"/>
          <w:color w:val="auto"/>
        </w:rPr>
      </w:pPr>
    </w:p>
    <w:p>
      <w:pPr>
        <w:sectPr>
          <w:pgSz w:w="11900" w:h="16838" w:orient="portrait"/>
          <w:cols w:equalWidth="0" w:num="2">
            <w:col w:w="8800" w:space="720"/>
            <w:col w:w="1900"/>
          </w:cols>
          <w:pgMar w:left="240" w:top="274" w:right="239" w:bottom="1440" w:gutter="0" w:footer="0" w:header="0"/>
          <w:type w:val="continuous"/>
        </w:sectPr>
      </w:pPr>
    </w:p>
    <w:p>
      <w:pPr>
        <w:ind w:left="10460"/>
        <w:spacing w:after="0"/>
        <w:rPr>
          <w:sz w:val="20"/>
          <w:szCs w:val="20"/>
          <w:color w:val="auto"/>
        </w:rPr>
      </w:pPr>
      <w:r>
        <w:rPr>
          <w:rFonts w:ascii="Arial" w:cs="Arial" w:eastAsia="Arial" w:hAnsi="Arial"/>
          <w:sz w:val="15"/>
          <w:szCs w:val="15"/>
          <w:color w:val="auto"/>
        </w:rPr>
        <w:t>$500,000,000</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FIVE HUNDRED MILLION DOLLARS on May 1, 2018.</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40" w:name="page41"/>
    <w:bookmarkEnd w:id="4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Alan C. Boyd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Daniel M. Drory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Assistant Secretary</w:t>
      </w:r>
    </w:p>
    <w:p>
      <w:pPr>
        <w:sectPr>
          <w:pgSz w:w="11900" w:h="16838" w:orient="portrait"/>
          <w:cols w:equalWidth="0" w:num="1">
            <w:col w:w="11140"/>
          </w:cols>
          <w:pgMar w:left="240" w:top="280" w:right="51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2013</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U.S. BANK NATIONAL ASSOCIATION,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19"/>
          </w:cols>
          <w:pgMar w:left="240" w:top="280" w:right="1440"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NOTE)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1.000% Notes due 2018</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165"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Texas Instruments Incorporated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Note at the rate per annum described above. Cash interest on the Notes will accrue from the most recent date to which interest has been paid; or, if no interest has been paid, from May 8, 2013. Interest on this Note will be paid to but excluding the relevant Interest Payment Date. The Issuer will pay interest semi-annually in arrears on each Interest Payment Date, commencing November 1, 2013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1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Paying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U.S.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Indenture; Defined Terms.</w:t>
      </w:r>
    </w:p>
    <w:p>
      <w:pPr>
        <w:spacing w:after="0" w:line="165"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color w:val="auto"/>
        </w:rPr>
        <w:t>This Note is one of the 1.000% Notes due 2018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May 23, 2011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between the Issuer and the Trustee, and established pursuant to an Officer’s Certificate dated May 8, 2013,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Indenture.</w:t>
      </w:r>
    </w:p>
    <w:p>
      <w:pPr>
        <w:spacing w:after="0" w:line="10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ectPr>
          <w:pgSz w:w="11900" w:h="16838" w:orient="portrait"/>
          <w:cols w:equalWidth="0" w:num="1">
            <w:col w:w="11420"/>
          </w:cols>
          <w:pgMar w:left="240" w:top="280"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Redemption.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Issuer may at its option redeem any of the Notes in whole or in part at any time, each at a redemption price calculated by the Issuer equal to the greater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165" w:lineRule="exact"/>
        <w:rPr>
          <w:sz w:val="20"/>
          <w:szCs w:val="20"/>
          <w:color w:val="auto"/>
        </w:rPr>
      </w:pPr>
    </w:p>
    <w:p>
      <w:pPr>
        <w:ind w:left="680" w:hanging="216"/>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ind w:right="60" w:firstLine="464"/>
        <w:spacing w:after="0" w:line="259" w:lineRule="auto"/>
        <w:tabs>
          <w:tab w:leader="none" w:pos="71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ten basis points,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ectPr>
          <w:pgSz w:w="11900" w:h="16838" w:orient="portrait"/>
          <w:cols w:equalWidth="0" w:num="1">
            <w:col w:w="11380"/>
          </w:cols>
          <w:pgMar w:left="240" w:top="280" w:right="279" w:bottom="1440" w:gutter="0" w:footer="0" w:header="0"/>
        </w:sectPr>
      </w:pPr>
    </w:p>
    <w:bookmarkStart w:id="44" w:name="page45"/>
    <w:bookmarkEnd w:id="44"/>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2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32" w:lineRule="exact"/>
        <w:rPr>
          <w:sz w:val="20"/>
          <w:szCs w:val="20"/>
          <w:color w:val="auto"/>
        </w:rPr>
      </w:pPr>
    </w:p>
    <w:p>
      <w:pPr>
        <w:ind w:right="18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Price</w:t>
      </w:r>
      <w:r>
        <w:rPr>
          <w:rFonts w:ascii="Arial" w:cs="Arial" w:eastAsia="Arial" w:hAnsi="Arial"/>
          <w:sz w:val="15"/>
          <w:szCs w:val="15"/>
          <w:color w:val="auto"/>
        </w:rPr>
        <w:t>”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171"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xml:space="preserve">” means (i) J.P. Morgan Securities LLC, Morgan Stanley &amp; Co. LLC, Citigroup Global Markets Inc. and Mizuho Securities USA Inc. (or their respective affiliates that are Primary Treasury Dealers) and their respective successors;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03" w:lineRule="exact"/>
        <w:rPr>
          <w:sz w:val="20"/>
          <w:szCs w:val="20"/>
          <w:color w:val="auto"/>
        </w:rPr>
      </w:pPr>
    </w:p>
    <w:p>
      <w:pPr>
        <w:ind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79" w:lineRule="exact"/>
        <w:rPr>
          <w:sz w:val="20"/>
          <w:szCs w:val="20"/>
          <w:color w:val="auto"/>
        </w:rPr>
      </w:pPr>
    </w:p>
    <w:p>
      <w:pPr>
        <w:jc w:val="both"/>
        <w:ind w:right="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ectPr>
          <w:pgSz w:w="11900" w:h="16838" w:orient="portrait"/>
          <w:cols w:equalWidth="0" w:num="1">
            <w:col w:w="11360"/>
          </w:cols>
          <w:pgMar w:left="240" w:top="280" w:right="299" w:bottom="1440" w:gutter="0" w:footer="0" w:header="0"/>
        </w:sectPr>
      </w:pPr>
    </w:p>
    <w:bookmarkStart w:id="45" w:name="page46"/>
    <w:bookmarkEnd w:id="45"/>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Defaults and Remedies.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Abbreviations and Defined Terms.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ectPr>
          <w:pgSz w:w="11900" w:h="16838" w:orient="portrait"/>
          <w:cols w:equalWidth="0" w:num="1">
            <w:col w:w="11400"/>
          </w:cols>
          <w:pgMar w:left="240" w:top="280" w:right="259" w:bottom="1440" w:gutter="0" w:footer="0" w:header="0"/>
        </w:sectPr>
      </w:pPr>
    </w:p>
    <w:bookmarkStart w:id="46" w:name="page47"/>
    <w:bookmarkEnd w:id="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 CUSIP Numbers.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Governing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1300"/>
          </w:cols>
          <w:pgMar w:left="240" w:top="280" w:right="3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0" w:type="dxa"/>
            <w:vAlign w:val="bottom"/>
            <w:gridSpan w:val="4"/>
          </w:tcPr>
          <w:p>
            <w:pPr>
              <w:ind w:left="120"/>
              <w:spacing w:after="0"/>
              <w:rPr>
                <w:sz w:val="20"/>
                <w:szCs w:val="20"/>
                <w:color w:val="auto"/>
              </w:rPr>
            </w:pPr>
            <w:r>
              <w:rPr>
                <w:rFonts w:ascii="Arial" w:cs="Arial" w:eastAsia="Arial" w:hAnsi="Arial"/>
                <w:sz w:val="18"/>
                <w:szCs w:val="18"/>
                <w:color w:val="auto"/>
              </w:rPr>
              <w:t>(Print or type assignee’s name, address and zip code)</w:t>
            </w:r>
          </w:p>
        </w:tc>
      </w:tr>
      <w:tr>
        <w:trPr>
          <w:trHeight w:val="378"/>
        </w:trPr>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0" w:type="dxa"/>
            <w:vAlign w:val="bottom"/>
            <w:gridSpan w:val="4"/>
          </w:tcPr>
          <w:p>
            <w:pPr>
              <w:ind w:left="120"/>
              <w:spacing w:after="0"/>
              <w:rPr>
                <w:sz w:val="20"/>
                <w:szCs w:val="20"/>
                <w:color w:val="auto"/>
              </w:rPr>
            </w:pPr>
            <w:r>
              <w:rPr>
                <w:rFonts w:ascii="Arial" w:cs="Arial" w:eastAsia="Arial" w:hAnsi="Arial"/>
                <w:sz w:val="18"/>
                <w:szCs w:val="18"/>
                <w:color w:val="auto"/>
              </w:rPr>
              <w:t>(Insert assignee’s soc. sec. or tax I.D. No.)</w:t>
            </w:r>
          </w:p>
        </w:tc>
      </w:tr>
      <w:tr>
        <w:trPr>
          <w:trHeight w:val="378"/>
        </w:trPr>
        <w:tc>
          <w:tcPr>
            <w:tcW w:w="1820" w:type="dxa"/>
            <w:vAlign w:val="bottom"/>
            <w:gridSpan w:val="2"/>
          </w:tcPr>
          <w:p>
            <w:pPr>
              <w:spacing w:after="0"/>
              <w:rPr>
                <w:sz w:val="20"/>
                <w:szCs w:val="20"/>
                <w:color w:val="auto"/>
              </w:rPr>
            </w:pPr>
            <w:r>
              <w:rPr>
                <w:rFonts w:ascii="Arial" w:cs="Arial" w:eastAsia="Arial" w:hAnsi="Arial"/>
                <w:sz w:val="18"/>
                <w:szCs w:val="18"/>
                <w:color w:val="auto"/>
                <w:w w:val="96"/>
              </w:rPr>
              <w:t>and irrevocably appoint</w:t>
            </w:r>
          </w:p>
        </w:tc>
        <w:tc>
          <w:tcPr>
            <w:tcW w:w="9600" w:type="dxa"/>
            <w:vAlign w:val="bottom"/>
            <w:gridSpan w:val="4"/>
          </w:tcPr>
          <w:p>
            <w:pPr>
              <w:ind w:left="82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18"/>
        </w:trPr>
        <w:tc>
          <w:tcPr>
            <w:tcW w:w="1820" w:type="dxa"/>
            <w:vAlign w:val="bottom"/>
            <w:tcBorders>
              <w:bottom w:val="single" w:sz="8" w:color="auto"/>
            </w:tcBorders>
            <w:gridSpan w:val="2"/>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7840" w:type="dxa"/>
            <w:vAlign w:val="bottom"/>
            <w:tcBorders>
              <w:bottom w:val="single" w:sz="8" w:color="auto"/>
            </w:tcBorders>
            <w:gridSpan w:val="3"/>
          </w:tcPr>
          <w:p>
            <w:pPr>
              <w:spacing w:after="0"/>
              <w:rPr>
                <w:sz w:val="18"/>
                <w:szCs w:val="18"/>
                <w:color w:val="auto"/>
              </w:rPr>
            </w:pPr>
          </w:p>
        </w:tc>
      </w:tr>
      <w:tr>
        <w:trPr>
          <w:trHeight w:val="411"/>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1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360" w:type="dxa"/>
            <w:vAlign w:val="bottom"/>
          </w:tcPr>
          <w:p>
            <w:pPr>
              <w:ind w:left="120"/>
              <w:spacing w:after="0"/>
              <w:rPr>
                <w:sz w:val="20"/>
                <w:szCs w:val="20"/>
                <w:color w:val="auto"/>
              </w:rPr>
            </w:pPr>
            <w:r>
              <w:rPr>
                <w:rFonts w:ascii="Arial" w:cs="Arial" w:eastAsia="Arial" w:hAnsi="Arial"/>
                <w:sz w:val="18"/>
                <w:szCs w:val="18"/>
                <w:color w:val="auto"/>
                <w:w w:val="97"/>
              </w:rPr>
              <w:t>Your Signature:</w:t>
            </w:r>
          </w:p>
        </w:tc>
        <w:tc>
          <w:tcPr>
            <w:tcW w:w="3300" w:type="dxa"/>
            <w:vAlign w:val="bottom"/>
            <w:tcBorders>
              <w:bottom w:val="single" w:sz="8" w:color="auto"/>
            </w:tcBorders>
          </w:tcPr>
          <w:p>
            <w:pPr>
              <w:spacing w:after="0"/>
              <w:rPr>
                <w:sz w:val="24"/>
                <w:szCs w:val="24"/>
                <w:color w:val="auto"/>
              </w:rPr>
            </w:pPr>
          </w:p>
        </w:tc>
        <w:tc>
          <w:tcPr>
            <w:tcW w:w="3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234315</wp:posOffset>
            </wp:positionV>
            <wp:extent cx="34734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48" w:name="page49"/>
    <w:bookmarkEnd w:id="48"/>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exchanges of a part of this Global Note for Physical Notes or a part of another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4"/>
              </w:rPr>
              <w:t>Amount of decrease</w:t>
            </w:r>
          </w:p>
        </w:tc>
      </w:tr>
      <w:tr>
        <w:trPr>
          <w:trHeight w:val="149"/>
        </w:trPr>
        <w:tc>
          <w:tcPr>
            <w:tcW w:w="1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Date of Exchange</w:t>
            </w:r>
          </w:p>
        </w:tc>
        <w:tc>
          <w:tcPr>
            <w:tcW w:w="166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Amount of increase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principal amount</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14408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Principal amount of</w:t>
            </w:r>
          </w:p>
        </w:tc>
        <w:tc>
          <w:tcPr>
            <w:tcW w:w="1180" w:type="dxa"/>
            <w:vAlign w:val="bottom"/>
          </w:tcPr>
          <w:p>
            <w:pPr>
              <w:spacing w:after="0"/>
              <w:rPr>
                <w:sz w:val="14"/>
                <w:szCs w:val="14"/>
                <w:color w:val="auto"/>
              </w:rPr>
            </w:pP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180" w:type="dxa"/>
            <w:vAlign w:val="bottom"/>
          </w:tcPr>
          <w:p>
            <w:pPr>
              <w:spacing w:after="0"/>
              <w:rPr>
                <w:sz w:val="12"/>
                <w:szCs w:val="12"/>
                <w:color w:val="auto"/>
              </w:rPr>
            </w:pPr>
          </w:p>
        </w:tc>
      </w:tr>
      <w:tr>
        <w:trPr>
          <w:trHeight w:val="149"/>
        </w:trPr>
        <w:tc>
          <w:tcPr>
            <w:tcW w:w="17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decrease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6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(or increase)</w:t>
            </w:r>
          </w:p>
        </w:tc>
        <w:tc>
          <w:tcPr>
            <w:tcW w:w="5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Trustee</w:t>
            </w:r>
          </w:p>
        </w:tc>
      </w:tr>
    </w:tbl>
    <w:p>
      <w:pPr>
        <w:sectPr>
          <w:pgSz w:w="11900" w:h="16838" w:orient="portrait"/>
          <w:cols w:equalWidth="0" w:num="3">
            <w:col w:w="5700" w:space="720"/>
            <w:col w:w="1400" w:space="720"/>
            <w:col w:w="2880"/>
          </w:cols>
          <w:pgMar w:left="240" w:top="280" w:right="23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NOTES DUE 2023]</w:t>
      </w:r>
    </w:p>
    <w:p>
      <w:pPr>
        <w:spacing w:after="0" w:line="171"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UNLESS THIS NOTE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TRANSFERS OF THIS NOTE ARE LIMITED TO TRANSFERS IN WHOLE, BUT NOT IN PART, TO NOMINEES OF DTC OR TO A SUCCESSOR THEREOF OR SUCH SUCCESSOR’S NOMINEE AND TRANSFERS OF PORTIONS OF THIS GLOBAL NOTE ARE LIMITED TO TRANSFERS MADE IN ACCORDANCE WITH THE TRANSFER PROVISIONS OF THE INDENTURE.</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420"/>
          </w:cols>
          <w:pgMar w:left="240" w:top="27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TEXAS INSTRUMENTS INCORPORATED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2.250% Notes due 2023</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CUSIP No.: 882508 AW4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ISIN No.: US882508AW42</w:t>
      </w:r>
    </w:p>
    <w:p>
      <w:pPr>
        <w:spacing w:after="0" w:line="134" w:lineRule="exact"/>
        <w:rPr>
          <w:sz w:val="20"/>
          <w:szCs w:val="20"/>
          <w:color w:val="auto"/>
        </w:rPr>
      </w:pPr>
    </w:p>
    <w:p>
      <w:pPr>
        <w:sectPr>
          <w:pgSz w:w="11900" w:h="16838" w:orient="portrait"/>
          <w:cols w:equalWidth="0" w:num="2">
            <w:col w:w="8760" w:space="720"/>
            <w:col w:w="1940"/>
          </w:cols>
          <w:pgMar w:left="240" w:top="274" w:right="239" w:bottom="1440" w:gutter="0" w:footer="0" w:header="0"/>
          <w:type w:val="continuous"/>
        </w:sectPr>
      </w:pPr>
    </w:p>
    <w:p>
      <w:pPr>
        <w:ind w:left="10460"/>
        <w:spacing w:after="0"/>
        <w:rPr>
          <w:sz w:val="20"/>
          <w:szCs w:val="20"/>
          <w:color w:val="auto"/>
        </w:rPr>
      </w:pPr>
      <w:r>
        <w:rPr>
          <w:rFonts w:ascii="Arial" w:cs="Arial" w:eastAsia="Arial" w:hAnsi="Arial"/>
          <w:sz w:val="15"/>
          <w:szCs w:val="15"/>
          <w:color w:val="auto"/>
        </w:rPr>
        <w:t>$500,000,000</w:t>
      </w:r>
    </w:p>
    <w:p>
      <w:pPr>
        <w:sectPr>
          <w:pgSz w:w="11900" w:h="16838" w:orient="portrait"/>
          <w:cols w:equalWidth="0" w:num="1">
            <w:col w:w="11420"/>
          </w:cols>
          <w:pgMar w:left="240" w:top="274" w:right="239" w:bottom="1440" w:gutter="0" w:footer="0" w:header="0"/>
          <w:type w:val="continuous"/>
        </w:sectPr>
      </w:pPr>
    </w:p>
    <w:p>
      <w:pPr>
        <w:spacing w:after="0" w:line="20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TEXAS INSTRUMENTS INCORPORATED, a Delaware corporation (the “</w:t>
      </w:r>
      <w:r>
        <w:rPr>
          <w:rFonts w:ascii="Arial" w:cs="Arial" w:eastAsia="Arial" w:hAnsi="Arial"/>
          <w:sz w:val="18"/>
          <w:szCs w:val="18"/>
          <w:b w:val="1"/>
          <w:bCs w:val="1"/>
          <w:color w:val="auto"/>
        </w:rPr>
        <w:t>Issuer</w:t>
      </w:r>
      <w:r>
        <w:rPr>
          <w:rFonts w:ascii="Arial" w:cs="Arial" w:eastAsia="Arial" w:hAnsi="Arial"/>
          <w:sz w:val="18"/>
          <w:szCs w:val="18"/>
          <w:color w:val="auto"/>
        </w:rPr>
        <w:t>”), for value received promises to pay to CEDE &amp; CO. or registered assigns the principal sum of FIVE HUNDRED MILLION DOLLARS on May 1, 2023.</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Reference is made to the further provisions of this Note contained herein, which will for all purposes have the same effect as if set forth at this place.</w:t>
      </w:r>
    </w:p>
    <w:p>
      <w:pPr>
        <w:sectPr>
          <w:pgSz w:w="11900" w:h="16838" w:orient="portrait"/>
          <w:cols w:equalWidth="0" w:num="1">
            <w:col w:w="11420"/>
          </w:cols>
          <w:pgMar w:left="240" w:top="274" w:right="239" w:bottom="1440" w:gutter="0" w:footer="0" w:header="0"/>
          <w:type w:val="continuous"/>
        </w:sectPr>
      </w:pPr>
    </w:p>
    <w:bookmarkStart w:id="51" w:name="page52"/>
    <w:bookmarkEnd w:id="5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Issuer has caused this Note to be signed manually or by facsimile by its duly authorized officers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TEXAS INSTRUMENTS INCORPORATED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Kevin P. March</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Financial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Alan C. Boyd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Texas Instruments Incorporated]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Daniel M. Drory</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Assistant Secretary</w:t>
      </w:r>
    </w:p>
    <w:p>
      <w:pPr>
        <w:sectPr>
          <w:pgSz w:w="11900" w:h="16838" w:orient="portrait"/>
          <w:cols w:equalWidth="0" w:num="1">
            <w:col w:w="11140"/>
          </w:cols>
          <w:pgMar w:left="240" w:top="280" w:right="519" w:bottom="144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Notes of the series designated herein and referred to in the within-mentioned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2013</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U.S. BANK NATIONAL ASSOCIATION,</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19"/>
          </w:cols>
          <w:pgMar w:left="240" w:top="280" w:right="1440"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NOTE)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TEXAS INSTRUMENTS INCORPORATED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2.250% Notes due 2023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Interest.</w:t>
      </w:r>
    </w:p>
    <w:p>
      <w:pPr>
        <w:spacing w:after="0" w:line="165"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Texas Instruments Incorporated (the “</w:t>
      </w:r>
      <w:r>
        <w:rPr>
          <w:rFonts w:ascii="Arial" w:cs="Arial" w:eastAsia="Arial" w:hAnsi="Arial"/>
          <w:sz w:val="16"/>
          <w:szCs w:val="16"/>
          <w:b w:val="1"/>
          <w:bCs w:val="1"/>
          <w:color w:val="auto"/>
        </w:rPr>
        <w:t>Issuer</w:t>
      </w:r>
      <w:r>
        <w:rPr>
          <w:rFonts w:ascii="Arial" w:cs="Arial" w:eastAsia="Arial" w:hAnsi="Arial"/>
          <w:sz w:val="16"/>
          <w:szCs w:val="16"/>
          <w:color w:val="auto"/>
        </w:rPr>
        <w:t>”) promises to pay interest on the principal amount of this Note at the rate per annum described above. Cash interest on the Notes will accrue from the most recent date to which interest has been paid; or, if no interest has been paid, from May 8, 2013. Interest on this Note will be paid to but excluding the relevant Interest Payment Date. The Issuer will pay interest semi-annually in arrears on each Interest Payment Date, commencing November 1, 2013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14"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Paying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Initially, U.S.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will act as paying agent. The Issuer may change any paying agent without notice to the Holders.</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Indenture; Defined Terms.</w:t>
      </w:r>
    </w:p>
    <w:p>
      <w:pPr>
        <w:spacing w:after="0" w:line="165"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color w:val="auto"/>
        </w:rPr>
        <w:t>This Note is one of the 2.250% Notes due 2023 (the “</w:t>
      </w:r>
      <w:r>
        <w:rPr>
          <w:rFonts w:ascii="Arial" w:cs="Arial" w:eastAsia="Arial" w:hAnsi="Arial"/>
          <w:sz w:val="16"/>
          <w:szCs w:val="16"/>
          <w:b w:val="1"/>
          <w:bCs w:val="1"/>
          <w:color w:val="auto"/>
        </w:rPr>
        <w:t>Notes</w:t>
      </w:r>
      <w:r>
        <w:rPr>
          <w:rFonts w:ascii="Arial" w:cs="Arial" w:eastAsia="Arial" w:hAnsi="Arial"/>
          <w:sz w:val="16"/>
          <w:szCs w:val="16"/>
          <w:color w:val="auto"/>
        </w:rPr>
        <w:t>”) issued under an indenture dated as of May 23, 2011 (the “</w:t>
      </w:r>
      <w:r>
        <w:rPr>
          <w:rFonts w:ascii="Arial" w:cs="Arial" w:eastAsia="Arial" w:hAnsi="Arial"/>
          <w:sz w:val="16"/>
          <w:szCs w:val="16"/>
          <w:b w:val="1"/>
          <w:bCs w:val="1"/>
          <w:color w:val="auto"/>
        </w:rPr>
        <w:t>Base Indenture</w:t>
      </w:r>
      <w:r>
        <w:rPr>
          <w:rFonts w:ascii="Arial" w:cs="Arial" w:eastAsia="Arial" w:hAnsi="Arial"/>
          <w:sz w:val="16"/>
          <w:szCs w:val="16"/>
          <w:color w:val="auto"/>
        </w:rPr>
        <w:t>”) by and between the Issuer and the Trustee, and established pursuant to an Officer’s Certificate dated May 8, 2013, issued pursuant to Section 2.01 and Section 2.03 thereof (together, the “</w:t>
      </w:r>
      <w:r>
        <w:rPr>
          <w:rFonts w:ascii="Arial" w:cs="Arial" w:eastAsia="Arial" w:hAnsi="Arial"/>
          <w:sz w:val="16"/>
          <w:szCs w:val="16"/>
          <w:b w:val="1"/>
          <w:bCs w:val="1"/>
          <w:color w:val="auto"/>
        </w:rPr>
        <w:t>Indenture</w:t>
      </w:r>
      <w:r>
        <w:rPr>
          <w:rFonts w:ascii="Arial" w:cs="Arial" w:eastAsia="Arial" w:hAnsi="Arial"/>
          <w:sz w:val="16"/>
          <w:szCs w:val="16"/>
          <w:color w:val="auto"/>
        </w:rPr>
        <w:t>”). This Note is a “Security” and the Notes are “Securities” under the Indenture.</w:t>
      </w:r>
    </w:p>
    <w:p>
      <w:pPr>
        <w:spacing w:after="0" w:line="10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on which the Indenture was qualified under the TIA. Notwithstanding anything to the contrary herein, the Notes are subject to all such terms, and Holders of Notes are referred to the Indenture and the TIA for a statement of them. To the extent the terms of the Indenture and this Note are inconsistent, the terms of the Indenture shall govern.</w:t>
      </w:r>
    </w:p>
    <w:p>
      <w:pPr>
        <w:sectPr>
          <w:pgSz w:w="11900" w:h="16838" w:orient="portrait"/>
          <w:cols w:equalWidth="0" w:num="1">
            <w:col w:w="11420"/>
          </w:cols>
          <w:pgMar w:left="240" w:top="280" w:right="239" w:bottom="1440" w:gutter="0" w:footer="0" w:header="0"/>
        </w:sectPr>
      </w:pPr>
    </w:p>
    <w:bookmarkStart w:id="54" w:name="page55"/>
    <w:bookmarkEnd w:id="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Denominations; Transfer; Exchange.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Notes are in registered form, without coupons, in denominations of $2,000 and multiples of $1,000 thereafter.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Amendment; Supplement; Waiver.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Redemption.</w:t>
      </w:r>
    </w:p>
    <w:p>
      <w:pPr>
        <w:spacing w:after="0" w:line="171" w:lineRule="exact"/>
        <w:rPr>
          <w:sz w:val="20"/>
          <w:szCs w:val="20"/>
          <w:color w:val="auto"/>
        </w:rPr>
      </w:pPr>
    </w:p>
    <w:p>
      <w:pPr>
        <w:ind w:right="26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any time before February 1, 2023, the Issuer may at its option redeem any of the Notes in whole or in part at any time, each at a redemption price calculated by the Issuer equal to the greater of:</w:t>
      </w:r>
    </w:p>
    <w:p>
      <w:pPr>
        <w:spacing w:after="0" w:line="132" w:lineRule="exact"/>
        <w:rPr>
          <w:sz w:val="20"/>
          <w:szCs w:val="20"/>
          <w:color w:val="auto"/>
        </w:rPr>
      </w:pPr>
    </w:p>
    <w:p>
      <w:pPr>
        <w:ind w:left="680" w:hanging="216"/>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71" w:lineRule="exact"/>
        <w:rPr>
          <w:rFonts w:ascii="Arial" w:cs="Arial" w:eastAsia="Arial" w:hAnsi="Arial"/>
          <w:sz w:val="18"/>
          <w:szCs w:val="18"/>
          <w:color w:val="auto"/>
        </w:rPr>
      </w:pPr>
    </w:p>
    <w:p>
      <w:pPr>
        <w:ind w:right="60" w:firstLine="464"/>
        <w:spacing w:after="0" w:line="259" w:lineRule="auto"/>
        <w:tabs>
          <w:tab w:leader="none" w:pos="7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Treasury Rate (as defined below) plus fifteen basis points,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ectPr>
          <w:pgSz w:w="11900" w:h="16838" w:orient="portrait"/>
          <w:cols w:equalWidth="0" w:num="1">
            <w:col w:w="11380"/>
          </w:cols>
          <w:pgMar w:left="240" w:top="280" w:right="279" w:bottom="1440" w:gutter="0" w:footer="0" w:header="0"/>
        </w:sectPr>
      </w:pPr>
    </w:p>
    <w:bookmarkStart w:id="55" w:name="page56"/>
    <w:bookmarkEnd w:id="55"/>
    <w:p>
      <w:pPr>
        <w:ind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any time on or after February 1, 2023, the Issuer may at its option redeem any of the Notes in whole or in part at any time, each at a redemption price equal to 100% of the principal amount of the Notes to be redeemed plus accrued interest thereon to the date of redemption.</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34" w:lineRule="exact"/>
        <w:rPr>
          <w:sz w:val="20"/>
          <w:szCs w:val="20"/>
          <w:color w:val="auto"/>
        </w:rPr>
      </w:pPr>
    </w:p>
    <w:p>
      <w:pPr>
        <w:ind w:right="2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32" w:lineRule="exact"/>
        <w:rPr>
          <w:sz w:val="20"/>
          <w:szCs w:val="20"/>
          <w:color w:val="auto"/>
        </w:rPr>
      </w:pPr>
    </w:p>
    <w:p>
      <w:pPr>
        <w:ind w:right="2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Comparable Treasury Price</w:t>
      </w:r>
      <w:r>
        <w:rPr>
          <w:rFonts w:ascii="Arial" w:cs="Arial" w:eastAsia="Arial" w:hAnsi="Arial"/>
          <w:sz w:val="15"/>
          <w:szCs w:val="15"/>
          <w:color w:val="auto"/>
        </w:rPr>
        <w:t>” means, with respect to any redemption date, (i) the average of four Reference Treasury Dealer Quotations for such redemption date, after excluding the highest and lowest such Reference Treasury Dealer Quotations, or (ii) if the Quotation Agent obtains fewer than four such Reference Treasury Dealer Quotations, the average of all such quotations, or (iii) if only one Reference Treasury Dealer Quotation is received, such quotation.</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Agent</w:t>
      </w:r>
      <w:r>
        <w:rPr>
          <w:rFonts w:ascii="Arial" w:cs="Arial" w:eastAsia="Arial" w:hAnsi="Arial"/>
          <w:sz w:val="18"/>
          <w:szCs w:val="18"/>
          <w:color w:val="auto"/>
        </w:rPr>
        <w:t>” means the Reference Treasury Dealer appointed by the Issuer.</w:t>
      </w:r>
    </w:p>
    <w:p>
      <w:pPr>
        <w:spacing w:after="0" w:line="171" w:lineRule="exact"/>
        <w:rPr>
          <w:sz w:val="20"/>
          <w:szCs w:val="20"/>
          <w:color w:val="auto"/>
        </w:rPr>
      </w:pPr>
    </w:p>
    <w:p>
      <w:pPr>
        <w:ind w:right="20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Reference Treasury Dealer</w:t>
      </w:r>
      <w:r>
        <w:rPr>
          <w:rFonts w:ascii="Arial" w:cs="Arial" w:eastAsia="Arial" w:hAnsi="Arial"/>
          <w:sz w:val="16"/>
          <w:szCs w:val="16"/>
          <w:color w:val="auto"/>
        </w:rPr>
        <w:t xml:space="preserve">” means (i) J.P. Morgan Securities LLC, Morgan Stanley &amp; Co. LLC, Citigroup Global Markets Inc. and Mizuho Securities USA Inc. (or their respective affiliates that are Primary Treasury Dealers) and their respective successors;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of the foregoing shall cease to be a primary U.S. Government securities dealer in New York City (a “Primary Treasury Dealer”), the Issuer will substitute therefor another Primary Treasury Dealer, and (ii) any other Primary Treasury Dealer selected by the Issuer.</w:t>
      </w:r>
    </w:p>
    <w:p>
      <w:pPr>
        <w:spacing w:after="0" w:line="103" w:lineRule="exact"/>
        <w:rPr>
          <w:sz w:val="20"/>
          <w:szCs w:val="20"/>
          <w:color w:val="auto"/>
        </w:rPr>
      </w:pPr>
    </w:p>
    <w:p>
      <w:pPr>
        <w:ind w:right="6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Reference Treasury Dealer Quotations</w:t>
      </w:r>
      <w:r>
        <w:rPr>
          <w:rFonts w:ascii="Arial" w:cs="Arial" w:eastAsia="Arial" w:hAnsi="Arial"/>
          <w:sz w:val="15"/>
          <w:szCs w:val="15"/>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ectPr>
          <w:pgSz w:w="11900" w:h="16838" w:orient="portrait"/>
          <w:cols w:equalWidth="0" w:num="1">
            <w:col w:w="11420"/>
          </w:cols>
          <w:pgMar w:left="240" w:top="280" w:right="239" w:bottom="1440" w:gutter="0" w:footer="0" w:header="0"/>
        </w:sectPr>
      </w:pPr>
    </w:p>
    <w:bookmarkStart w:id="56" w:name="page57"/>
    <w:bookmarkEnd w:id="56"/>
    <w:p>
      <w:pPr>
        <w:jc w:val="both"/>
        <w:ind w:right="12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Defaults and Remedies.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 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not be valid until the Trustee manually signs the certificate of authentication on this Note.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 Abbreviations and Defined Terms.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ectPr>
          <w:pgSz w:w="11900" w:h="16838" w:orient="portrait"/>
          <w:cols w:equalWidth="0" w:num="1">
            <w:col w:w="11400"/>
          </w:cols>
          <w:pgMar w:left="240" w:top="274" w:right="259"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 CUSIP Numbers.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 Governing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Note thereof.</w:t>
      </w:r>
    </w:p>
    <w:p>
      <w:pPr>
        <w:sectPr>
          <w:pgSz w:w="11900" w:h="16838" w:orient="portrait"/>
          <w:cols w:equalWidth="0" w:num="1">
            <w:col w:w="11300"/>
          </w:cols>
          <w:pgMar w:left="240" w:top="280" w:right="35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assign this Note, fill in the form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600" w:type="dxa"/>
            <w:vAlign w:val="bottom"/>
            <w:gridSpan w:val="4"/>
          </w:tcPr>
          <w:p>
            <w:pPr>
              <w:ind w:left="120"/>
              <w:spacing w:after="0"/>
              <w:rPr>
                <w:sz w:val="20"/>
                <w:szCs w:val="20"/>
                <w:color w:val="auto"/>
              </w:rPr>
            </w:pPr>
            <w:r>
              <w:rPr>
                <w:rFonts w:ascii="Arial" w:cs="Arial" w:eastAsia="Arial" w:hAnsi="Arial"/>
                <w:sz w:val="18"/>
                <w:szCs w:val="18"/>
                <w:color w:val="auto"/>
              </w:rPr>
              <w:t>(Print or type assignee’s name, address and zip code)</w:t>
            </w:r>
          </w:p>
        </w:tc>
      </w:tr>
      <w:tr>
        <w:trPr>
          <w:trHeight w:val="378"/>
        </w:trPr>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00" w:type="dxa"/>
            <w:vAlign w:val="bottom"/>
            <w:gridSpan w:val="4"/>
          </w:tcPr>
          <w:p>
            <w:pPr>
              <w:ind w:left="120"/>
              <w:spacing w:after="0"/>
              <w:rPr>
                <w:sz w:val="20"/>
                <w:szCs w:val="20"/>
                <w:color w:val="auto"/>
              </w:rPr>
            </w:pPr>
            <w:r>
              <w:rPr>
                <w:rFonts w:ascii="Arial" w:cs="Arial" w:eastAsia="Arial" w:hAnsi="Arial"/>
                <w:sz w:val="18"/>
                <w:szCs w:val="18"/>
                <w:color w:val="auto"/>
              </w:rPr>
              <w:t>(Insert assignee’s soc. sec. or tax I.D. No.)</w:t>
            </w:r>
          </w:p>
        </w:tc>
      </w:tr>
      <w:tr>
        <w:trPr>
          <w:trHeight w:val="378"/>
        </w:trPr>
        <w:tc>
          <w:tcPr>
            <w:tcW w:w="1820" w:type="dxa"/>
            <w:vAlign w:val="bottom"/>
            <w:gridSpan w:val="2"/>
          </w:tcPr>
          <w:p>
            <w:pPr>
              <w:spacing w:after="0"/>
              <w:rPr>
                <w:sz w:val="20"/>
                <w:szCs w:val="20"/>
                <w:color w:val="auto"/>
              </w:rPr>
            </w:pPr>
            <w:r>
              <w:rPr>
                <w:rFonts w:ascii="Arial" w:cs="Arial" w:eastAsia="Arial" w:hAnsi="Arial"/>
                <w:sz w:val="18"/>
                <w:szCs w:val="18"/>
                <w:color w:val="auto"/>
                <w:w w:val="96"/>
              </w:rPr>
              <w:t>and irrevocably appoint</w:t>
            </w:r>
          </w:p>
        </w:tc>
        <w:tc>
          <w:tcPr>
            <w:tcW w:w="9600" w:type="dxa"/>
            <w:vAlign w:val="bottom"/>
            <w:gridSpan w:val="4"/>
          </w:tcPr>
          <w:p>
            <w:pPr>
              <w:ind w:left="820"/>
              <w:spacing w:after="0"/>
              <w:rPr>
                <w:sz w:val="20"/>
                <w:szCs w:val="20"/>
                <w:color w:val="auto"/>
              </w:rPr>
            </w:pPr>
            <w:r>
              <w:rPr>
                <w:rFonts w:ascii="Arial" w:cs="Arial" w:eastAsia="Arial" w:hAnsi="Arial"/>
                <w:sz w:val="18"/>
                <w:szCs w:val="18"/>
                <w:color w:val="auto"/>
              </w:rPr>
              <w:t>agent to transfer this Note on the books of the Issuer. The agent may substitute another to act for him.</w:t>
            </w:r>
          </w:p>
        </w:tc>
      </w:tr>
      <w:tr>
        <w:trPr>
          <w:trHeight w:val="218"/>
        </w:trPr>
        <w:tc>
          <w:tcPr>
            <w:tcW w:w="1820" w:type="dxa"/>
            <w:vAlign w:val="bottom"/>
            <w:tcBorders>
              <w:bottom w:val="single" w:sz="8" w:color="auto"/>
            </w:tcBorders>
            <w:gridSpan w:val="2"/>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7640" w:type="dxa"/>
            <w:vAlign w:val="bottom"/>
            <w:tcBorders>
              <w:bottom w:val="single" w:sz="8" w:color="auto"/>
            </w:tcBorders>
            <w:gridSpan w:val="3"/>
          </w:tcPr>
          <w:p>
            <w:pPr>
              <w:spacing w:after="0"/>
              <w:rPr>
                <w:sz w:val="18"/>
                <w:szCs w:val="18"/>
                <w:color w:val="auto"/>
              </w:rPr>
            </w:pPr>
          </w:p>
        </w:tc>
      </w:tr>
      <w:tr>
        <w:trPr>
          <w:trHeight w:val="411"/>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1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w w:val="97"/>
              </w:rPr>
              <w:t>Your Signature:</w:t>
            </w:r>
          </w:p>
        </w:tc>
        <w:tc>
          <w:tcPr>
            <w:tcW w:w="320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234315</wp:posOffset>
            </wp:positionV>
            <wp:extent cx="34734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5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Signature must be guaranteed</w:t>
      </w:r>
      <w:r>
        <w:rPr>
          <w:sz w:val="20"/>
          <w:szCs w:val="20"/>
          <w:color w:val="auto"/>
        </w:rPr>
        <w:tab/>
      </w:r>
      <w:r>
        <w:rPr>
          <w:rFonts w:ascii="Arial" w:cs="Arial" w:eastAsia="Arial" w:hAnsi="Arial"/>
          <w:sz w:val="15"/>
          <w:szCs w:val="15"/>
          <w:color w:val="auto"/>
        </w:rPr>
        <w:t>Signature</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16"/>
          <w:szCs w:val="16"/>
          <w:b w:val="1"/>
          <w:bCs w:val="1"/>
          <w:color w:val="auto"/>
        </w:rPr>
        <w:t>STAMP</w:t>
      </w:r>
      <w:r>
        <w:rPr>
          <w:rFonts w:ascii="Arial" w:cs="Arial" w:eastAsia="Arial" w:hAnsi="Arial"/>
          <w:sz w:val="16"/>
          <w:szCs w:val="16"/>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9" w:right="239" w:bottom="1440" w:gutter="0" w:footer="0" w:header="0"/>
        </w:sectPr>
      </w:pPr>
    </w:p>
    <w:bookmarkStart w:id="59" w:name="page60"/>
    <w:bookmarkEnd w:id="59"/>
    <w:p>
      <w:pPr>
        <w:ind w:left="4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EXCHANGES OF NOTES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exchanges of a part of this Global Note for Physical Notes or a part of another Global Note have been made:</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84"/>
              </w:rPr>
              <w:t>Amount of decrease</w:t>
            </w:r>
          </w:p>
        </w:tc>
      </w:tr>
      <w:tr>
        <w:trPr>
          <w:trHeight w:val="149"/>
        </w:trPr>
        <w:tc>
          <w:tcPr>
            <w:tcW w:w="1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principal amount</w:t>
            </w:r>
          </w:p>
        </w:tc>
      </w:tr>
      <w:tr>
        <w:trPr>
          <w:trHeight w:val="168"/>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Date of Exchange</w:t>
            </w:r>
          </w:p>
        </w:tc>
        <w:tc>
          <w:tcPr>
            <w:tcW w:w="166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this Global Note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Amount of increase</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principal amount</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14408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Principal amount of</w:t>
            </w:r>
          </w:p>
        </w:tc>
        <w:tc>
          <w:tcPr>
            <w:tcW w:w="1180" w:type="dxa"/>
            <w:vAlign w:val="bottom"/>
          </w:tcPr>
          <w:p>
            <w:pPr>
              <w:spacing w:after="0"/>
              <w:rPr>
                <w:sz w:val="14"/>
                <w:szCs w:val="14"/>
                <w:color w:val="auto"/>
              </w:rPr>
            </w:pP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this Global Note</w:t>
            </w:r>
          </w:p>
        </w:tc>
        <w:tc>
          <w:tcPr>
            <w:tcW w:w="1180" w:type="dxa"/>
            <w:vAlign w:val="bottom"/>
          </w:tcPr>
          <w:p>
            <w:pPr>
              <w:spacing w:after="0"/>
              <w:rPr>
                <w:sz w:val="12"/>
                <w:szCs w:val="12"/>
                <w:color w:val="auto"/>
              </w:rPr>
            </w:pPr>
          </w:p>
        </w:tc>
      </w:tr>
      <w:tr>
        <w:trPr>
          <w:trHeight w:val="149"/>
        </w:trPr>
        <w:tc>
          <w:tcPr>
            <w:tcW w:w="17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following such</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Signature of</w:t>
            </w:r>
          </w:p>
        </w:tc>
      </w:tr>
      <w:tr>
        <w:trPr>
          <w:trHeight w:val="149"/>
        </w:trPr>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decrease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authorized officer of</w:t>
            </w:r>
          </w:p>
        </w:tc>
      </w:tr>
      <w:tr>
        <w:trPr>
          <w:trHeight w:val="16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(or increase)</w:t>
            </w:r>
          </w:p>
        </w:tc>
        <w:tc>
          <w:tcPr>
            <w:tcW w:w="5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Trustee</w:t>
            </w:r>
          </w:p>
        </w:tc>
      </w:tr>
    </w:tbl>
    <w:p>
      <w:pPr>
        <w:sectPr>
          <w:pgSz w:w="11900" w:h="16838" w:orient="portrait"/>
          <w:cols w:equalWidth="0" w:num="3">
            <w:col w:w="5700" w:space="720"/>
            <w:col w:w="1400" w:space="720"/>
            <w:col w:w="2880"/>
          </w:cols>
          <w:pgMar w:left="240" w:top="280" w:right="239" w:bottom="1440" w:gutter="0" w:footer="0" w:header="0"/>
          <w:type w:val="continuous"/>
        </w:sectPr>
      </w:pPr>
    </w:p>
    <w:bookmarkStart w:id="60" w:name="page61"/>
    <w:bookmarkEnd w:id="60"/>
    <w:p>
      <w:pPr>
        <w:spacing w:after="0" w:line="1" w:lineRule="exact"/>
        <w:rPr>
          <w:sz w:val="20"/>
          <w:szCs w:val="20"/>
          <w:color w:val="auto"/>
        </w:rPr>
      </w:pPr>
    </w:p>
    <w:tbl>
      <w:tblPr>
        <w:tblLayout w:type="fixed"/>
        <w:tblInd w:w="8580" w:type="dxa"/>
        <w:tblCellMar>
          <w:top w:w="0" w:type="dxa"/>
          <w:left w:w="0" w:type="dxa"/>
          <w:bottom w:w="0" w:type="dxa"/>
          <w:right w:w="0" w:type="dxa"/>
        </w:tblCellMar>
      </w:tblPr>
      <w:tr>
        <w:trPr>
          <w:trHeight w:val="228"/>
        </w:trPr>
        <w:tc>
          <w:tcPr>
            <w:tcW w:w="1480" w:type="dxa"/>
            <w:vAlign w:val="bottom"/>
          </w:tcPr>
          <w:p>
            <w:pPr>
              <w:spacing w:after="0"/>
              <w:rPr>
                <w:sz w:val="19"/>
                <w:szCs w:val="19"/>
                <w:color w:val="auto"/>
              </w:rPr>
            </w:pPr>
          </w:p>
        </w:tc>
        <w:tc>
          <w:tcPr>
            <w:tcW w:w="1360" w:type="dxa"/>
            <w:vAlign w:val="bottom"/>
          </w:tcPr>
          <w:p>
            <w:pPr>
              <w:ind w:left="540"/>
              <w:spacing w:after="0"/>
              <w:rPr>
                <w:sz w:val="20"/>
                <w:szCs w:val="20"/>
                <w:color w:val="auto"/>
              </w:rPr>
            </w:pPr>
            <w:r>
              <w:rPr>
                <w:rFonts w:ascii="Arial" w:cs="Arial" w:eastAsia="Arial" w:hAnsi="Arial"/>
                <w:sz w:val="18"/>
                <w:szCs w:val="18"/>
                <w:b w:val="1"/>
                <w:bCs w:val="1"/>
                <w:color w:val="auto"/>
                <w:w w:val="88"/>
              </w:rPr>
              <w:t>Exhibit 5.1</w:t>
            </w:r>
          </w:p>
        </w:tc>
      </w:tr>
      <w:tr>
        <w:trPr>
          <w:trHeight w:val="406"/>
        </w:trPr>
        <w:tc>
          <w:tcPr>
            <w:tcW w:w="1480" w:type="dxa"/>
            <w:vAlign w:val="bottom"/>
          </w:tcPr>
          <w:p>
            <w:pPr>
              <w:spacing w:after="0"/>
              <w:rPr>
                <w:sz w:val="20"/>
                <w:szCs w:val="20"/>
                <w:color w:val="auto"/>
              </w:rPr>
            </w:pPr>
            <w:r>
              <w:rPr>
                <w:rFonts w:ascii="Arial" w:cs="Arial" w:eastAsia="Arial" w:hAnsi="Arial"/>
                <w:sz w:val="18"/>
                <w:szCs w:val="18"/>
                <w:b w:val="1"/>
                <w:bCs w:val="1"/>
                <w:color w:val="auto"/>
              </w:rPr>
              <w:t>New York</w:t>
            </w:r>
          </w:p>
        </w:tc>
        <w:tc>
          <w:tcPr>
            <w:tcW w:w="1360" w:type="dxa"/>
            <w:vAlign w:val="bottom"/>
          </w:tcPr>
          <w:p>
            <w:pPr>
              <w:spacing w:after="0"/>
              <w:rPr>
                <w:sz w:val="24"/>
                <w:szCs w:val="24"/>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b w:val="1"/>
                <w:bCs w:val="1"/>
                <w:color w:val="auto"/>
              </w:rPr>
              <w:t>Menlo Park</w:t>
            </w:r>
          </w:p>
        </w:tc>
        <w:tc>
          <w:tcPr>
            <w:tcW w:w="1360" w:type="dxa"/>
            <w:vAlign w:val="bottom"/>
          </w:tcPr>
          <w:p>
            <w:pPr>
              <w:spacing w:after="0"/>
              <w:rPr>
                <w:sz w:val="18"/>
                <w:szCs w:val="18"/>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b w:val="1"/>
                <w:bCs w:val="1"/>
                <w:color w:val="auto"/>
              </w:rPr>
              <w:t>Washington DC</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w w:val="98"/>
              </w:rPr>
              <w:t>Paris Madrid</w:t>
            </w:r>
          </w:p>
        </w:tc>
      </w:tr>
      <w:tr>
        <w:trPr>
          <w:trHeight w:val="216"/>
        </w:trPr>
        <w:tc>
          <w:tcPr>
            <w:tcW w:w="1480" w:type="dxa"/>
            <w:vAlign w:val="bottom"/>
          </w:tcPr>
          <w:p>
            <w:pPr>
              <w:spacing w:after="0"/>
              <w:rPr>
                <w:sz w:val="20"/>
                <w:szCs w:val="20"/>
                <w:color w:val="auto"/>
              </w:rPr>
            </w:pPr>
            <w:r>
              <w:rPr>
                <w:rFonts w:ascii="Arial" w:cs="Arial" w:eastAsia="Arial" w:hAnsi="Arial"/>
                <w:sz w:val="18"/>
                <w:szCs w:val="18"/>
                <w:b w:val="1"/>
                <w:bCs w:val="1"/>
                <w:color w:val="auto"/>
              </w:rPr>
              <w:t>São Paulo</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w w:val="89"/>
              </w:rPr>
              <w:t>Tokyo Beijing</w:t>
            </w:r>
          </w:p>
        </w:tc>
      </w:tr>
      <w:tr>
        <w:trPr>
          <w:trHeight w:val="242"/>
        </w:trPr>
        <w:tc>
          <w:tcPr>
            <w:tcW w:w="1480" w:type="dxa"/>
            <w:vAlign w:val="bottom"/>
          </w:tcPr>
          <w:p>
            <w:pPr>
              <w:spacing w:after="0"/>
              <w:rPr>
                <w:sz w:val="20"/>
                <w:szCs w:val="20"/>
                <w:color w:val="auto"/>
              </w:rPr>
            </w:pPr>
            <w:r>
              <w:rPr>
                <w:rFonts w:ascii="Arial" w:cs="Arial" w:eastAsia="Arial" w:hAnsi="Arial"/>
                <w:sz w:val="18"/>
                <w:szCs w:val="18"/>
                <w:b w:val="1"/>
                <w:bCs w:val="1"/>
                <w:color w:val="auto"/>
              </w:rPr>
              <w:t>London</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rPr>
              <w:t>Hong Kong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372235" cy="266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2235" cy="26606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 xml:space="preserve">Davis Polk &amp; Wardwell </w:t>
            </w:r>
            <w:r>
              <w:rPr>
                <w:rFonts w:ascii="Arial" w:cs="Arial" w:eastAsia="Arial" w:hAnsi="Arial"/>
                <w:sz w:val="14"/>
                <w:szCs w:val="14"/>
                <w:b w:val="1"/>
                <w:bCs w:val="1"/>
                <w:color w:val="auto"/>
              </w:rPr>
              <w:t>LLP</w:t>
            </w:r>
          </w:p>
        </w:tc>
        <w:tc>
          <w:tcPr>
            <w:tcW w:w="1940" w:type="dxa"/>
            <w:vAlign w:val="bottom"/>
          </w:tcPr>
          <w:p>
            <w:pPr>
              <w:ind w:left="720"/>
              <w:spacing w:after="0"/>
              <w:rPr>
                <w:sz w:val="20"/>
                <w:szCs w:val="20"/>
                <w:color w:val="auto"/>
              </w:rPr>
            </w:pPr>
            <w:r>
              <w:rPr>
                <w:rFonts w:ascii="Arial" w:cs="Arial" w:eastAsia="Arial" w:hAnsi="Arial"/>
                <w:sz w:val="18"/>
                <w:szCs w:val="18"/>
                <w:b w:val="1"/>
                <w:bCs w:val="1"/>
                <w:color w:val="auto"/>
                <w:w w:val="88"/>
              </w:rPr>
              <w:t>650 752 2000 tel</w:t>
            </w: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1600 El Camino Real</w:t>
            </w:r>
          </w:p>
        </w:tc>
        <w:tc>
          <w:tcPr>
            <w:tcW w:w="1940" w:type="dxa"/>
            <w:vAlign w:val="bottom"/>
          </w:tcPr>
          <w:p>
            <w:pPr>
              <w:ind w:left="720"/>
              <w:spacing w:after="0"/>
              <w:rPr>
                <w:sz w:val="20"/>
                <w:szCs w:val="20"/>
                <w:color w:val="auto"/>
              </w:rPr>
            </w:pPr>
            <w:r>
              <w:rPr>
                <w:rFonts w:ascii="Arial" w:cs="Arial" w:eastAsia="Arial" w:hAnsi="Arial"/>
                <w:sz w:val="18"/>
                <w:szCs w:val="18"/>
                <w:b w:val="1"/>
                <w:bCs w:val="1"/>
                <w:color w:val="auto"/>
                <w:w w:val="85"/>
              </w:rPr>
              <w:t>650 752 2111 fax</w:t>
            </w:r>
          </w:p>
        </w:tc>
      </w:tr>
      <w:tr>
        <w:trPr>
          <w:trHeight w:val="228"/>
        </w:trPr>
        <w:tc>
          <w:tcPr>
            <w:tcW w:w="2820" w:type="dxa"/>
            <w:vAlign w:val="bottom"/>
          </w:tcPr>
          <w:p>
            <w:pPr>
              <w:spacing w:after="0"/>
              <w:rPr>
                <w:sz w:val="20"/>
                <w:szCs w:val="20"/>
                <w:color w:val="auto"/>
              </w:rPr>
            </w:pPr>
            <w:r>
              <w:rPr>
                <w:rFonts w:ascii="Arial" w:cs="Arial" w:eastAsia="Arial" w:hAnsi="Arial"/>
                <w:sz w:val="18"/>
                <w:szCs w:val="18"/>
                <w:b w:val="1"/>
                <w:bCs w:val="1"/>
                <w:color w:val="auto"/>
              </w:rPr>
              <w:t>Menlo Park, CA 94025</w:t>
            </w:r>
          </w:p>
        </w:tc>
        <w:tc>
          <w:tcPr>
            <w:tcW w:w="1940" w:type="dxa"/>
            <w:vAlign w:val="bottom"/>
          </w:tcPr>
          <w:p>
            <w:pPr>
              <w:spacing w:after="0"/>
              <w:rPr>
                <w:sz w:val="19"/>
                <w:szCs w:val="19"/>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May 8,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75266-0199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We have acted as special counsel for Texas Instruments Incorporated, a Delaware corporation (the “Company”), in connection with the Company’s offering of $500,000,000 aggregate principal amount of 1.000% Notes due 2018 (the “2018 Notes”) and $500,000,000 aggregate principal amount of 2.250% Notes due 2023 (the “2023 Notes” and together with the 2018 Notes, the “Notes”) in an underwritten public offering pursuant to an underwriting agreement dated May 1, 2013 (the “Underwriting Agreement”) among the Company and J.P. Morgan Securities LLC and Morgan Stanley &amp; Co. LLC (the “Representatives”), as representatives of the several underwriters listed in Schedule II thereto (the “Underwriters”). The Notes are to be issued pursuant to an Indenture dated as of May 23, 2011 (the “Indenture”) by and between the Company and U.S. Bank National Association, as Trustee, and an Officer’s Certificate to be issued pursuant thereto on or about May 8, 2013. The Company has filed with the Securities and Exchange Commission a Registration Statement on Form S-3 (File No. 333-186803, the “Registration Statement”) for the purpose of registering under the Securities Act of 1933, as amended.</w:t>
      </w:r>
    </w:p>
    <w:p>
      <w:pPr>
        <w:spacing w:after="0" w:line="11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4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Based upon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ectPr>
          <w:pgSz w:w="11900" w:h="16838" w:orient="portrait"/>
          <w:cols w:equalWidth="0" w:num="1">
            <w:col w:w="11420"/>
          </w:cols>
          <w:pgMar w:left="240" w:top="125"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Texas Instruments Incorporated</w:t>
            </w:r>
          </w:p>
        </w:tc>
        <w:tc>
          <w:tcPr>
            <w:tcW w:w="4180" w:type="dxa"/>
            <w:vAlign w:val="bottom"/>
          </w:tcPr>
          <w:p>
            <w:pPr>
              <w:jc w:val="right"/>
              <w:ind w:right="2232"/>
              <w:spacing w:after="0"/>
              <w:rPr>
                <w:sz w:val="20"/>
                <w:szCs w:val="20"/>
                <w:color w:val="auto"/>
              </w:rPr>
            </w:pPr>
            <w:r>
              <w:rPr>
                <w:rFonts w:ascii="Arial" w:cs="Arial" w:eastAsia="Arial" w:hAnsi="Arial"/>
                <w:sz w:val="18"/>
                <w:szCs w:val="18"/>
                <w:color w:val="auto"/>
              </w:rPr>
              <w:t>2</w:t>
            </w:r>
          </w:p>
        </w:tc>
        <w:tc>
          <w:tcPr>
            <w:tcW w:w="3220" w:type="dxa"/>
            <w:vAlign w:val="bottom"/>
          </w:tcPr>
          <w:p>
            <w:pPr>
              <w:ind w:left="2320"/>
              <w:spacing w:after="0"/>
              <w:rPr>
                <w:sz w:val="20"/>
                <w:szCs w:val="20"/>
                <w:color w:val="auto"/>
              </w:rPr>
            </w:pPr>
            <w:r>
              <w:rPr>
                <w:rFonts w:ascii="Arial" w:cs="Arial" w:eastAsia="Arial" w:hAnsi="Arial"/>
                <w:sz w:val="18"/>
                <w:szCs w:val="18"/>
                <w:color w:val="auto"/>
                <w:w w:val="88"/>
              </w:rPr>
              <w:t>May 8, 2013</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spacing w:after="0" w:line="291" w:lineRule="auto"/>
        <w:rPr>
          <w:sz w:val="20"/>
          <w:szCs w:val="20"/>
          <w:color w:val="auto"/>
        </w:rPr>
      </w:pPr>
      <w:r>
        <w:rPr>
          <w:rFonts w:ascii="Arial" w:cs="Arial" w:eastAsia="Arial" w:hAnsi="Arial"/>
          <w:sz w:val="16"/>
          <w:szCs w:val="16"/>
          <w:color w:val="auto"/>
        </w:rPr>
        <w:t>In connection with the opinions expressed above, we have assumed that (i) the Registration Statement became effective upon filing with the Commission and such effectiveness shall not have been terminated or rescinded; and (ii) at or prior to the time of the delivery of the Notes, the Indenture and the Notes are each valid, binding and enforceable agreements of each party thereto (other than as expressly covered above in respect of the Company). We have also assumed that the execution, delivery and performance by the Company of the Notes (a) require no action by or in respect of, or filing with, any governmental body, agency or official and (b) do not contravene, or constitute a default under, any public policy, any provision of applicable law or regulation or any judgment, injunction, order or decree or any agreement or other instrument binding upon the Company.</w:t>
      </w:r>
    </w:p>
    <w:p>
      <w:pPr>
        <w:spacing w:after="0" w:line="12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w:t>
      </w:r>
    </w:p>
    <w:p>
      <w:pPr>
        <w:spacing w:after="0" w:line="13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hereby consent to the filing of this opinion as an exhibit to a report on Form 8-K to be filed by the Company on the date hereof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lowerLetter"/>
      <w:start w:val="4"/>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2"/>
    </w:lvl>
    <w:lvl w:ilvl="1">
      <w:lvlJc w:val="left"/>
      <w:lvlText w:val="(%2)"/>
      <w:numFmt w:val="lowerRoman"/>
      <w:start w:val="1"/>
    </w:lvl>
  </w:abstractNum>
  <w:abstractNum w:abstractNumId="5">
    <w:nsid w:val="25E45D32"/>
    <w:multiLevelType w:val="hybridMultilevel"/>
    <w:lvl w:ilvl="0">
      <w:lvlJc w:val="left"/>
      <w:lvlText w:val="(%1)"/>
      <w:numFmt w:val="lowerRoman"/>
      <w:start w:val="7"/>
    </w:lvl>
  </w:abstractNum>
  <w:abstractNum w:abstractNumId="6">
    <w:nsid w:val="519B500D"/>
    <w:multiLevelType w:val="hybridMultilevel"/>
    <w:lvl w:ilvl="0">
      <w:lvlJc w:val="left"/>
      <w:lvlText w:val="(%1)"/>
      <w:numFmt w:val="lowerLetter"/>
      <w:start w:val="3"/>
    </w:lvl>
    <w:lvl w:ilvl="1">
      <w:lvlJc w:val="left"/>
      <w:lvlText w:val="(%2)"/>
      <w:numFmt w:val="lowerRoman"/>
      <w:start w:val="1"/>
    </w:lvl>
  </w:abstractNum>
  <w:abstractNum w:abstractNumId="7">
    <w:nsid w:val="431BD7B7"/>
    <w:multiLevelType w:val="hybridMultilevel"/>
    <w:lvl w:ilvl="0">
      <w:lvlJc w:val="left"/>
      <w:lvlText w:val="(%1)"/>
      <w:numFmt w:val="lowerRoman"/>
      <w:start w:val="6"/>
    </w:lvl>
  </w:abstractNum>
  <w:abstractNum w:abstractNumId="8">
    <w:nsid w:val="3F2DBA31"/>
    <w:multiLevelType w:val="hybridMultilevel"/>
    <w:lvl w:ilvl="0">
      <w:lvlJc w:val="left"/>
      <w:lvlText w:val="(%1)"/>
      <w:numFmt w:val="lowerRoman"/>
      <w:start w:val="9"/>
    </w:lvl>
  </w:abstractNum>
  <w:abstractNum w:abstractNumId="9">
    <w:nsid w:val="7C83E458"/>
    <w:multiLevelType w:val="hybridMultilevel"/>
    <w:lvl w:ilvl="0">
      <w:lvlJc w:val="left"/>
      <w:lvlText w:val="%1"/>
      <w:numFmt w:val="lowerLetter"/>
      <w:start w:val="1"/>
    </w:lvl>
    <w:lvl w:ilvl="1">
      <w:lvlJc w:val="left"/>
      <w:lvlText w:val="(%2)"/>
      <w:numFmt w:val="lowerRoman"/>
      <w:start w:val="12"/>
    </w:lvl>
  </w:abstractNum>
  <w:abstractNum w:abstractNumId="10">
    <w:nsid w:val="257130A3"/>
    <w:multiLevelType w:val="hybridMultilevel"/>
    <w:lvl w:ilvl="0">
      <w:lvlJc w:val="left"/>
      <w:lvlText w:val="(%1)"/>
      <w:numFmt w:val="lowerLetter"/>
      <w:start w:val="4"/>
    </w:lvl>
    <w:lvl w:ilvl="1">
      <w:lvlJc w:val="left"/>
      <w:lvlText w:val="%2"/>
      <w:numFmt w:val="lowerRoman"/>
      <w:start w:val="1"/>
    </w:lvl>
  </w:abstractNum>
  <w:abstractNum w:abstractNumId="11">
    <w:nsid w:val="62BBD95A"/>
    <w:multiLevelType w:val="hybridMultilevel"/>
    <w:lvl w:ilvl="0">
      <w:lvlJc w:val="left"/>
      <w:lvlText w:val="(%1)"/>
      <w:numFmt w:val="lowerLetter"/>
      <w:start w:val="5"/>
    </w:lvl>
  </w:abstractNum>
  <w:abstractNum w:abstractNumId="12">
    <w:nsid w:val="436C6125"/>
    <w:multiLevelType w:val="hybridMultilevel"/>
    <w:lvl w:ilvl="0">
      <w:lvlJc w:val="left"/>
      <w:lvlText w:val="(%1)"/>
      <w:numFmt w:val="lowerLetter"/>
      <w:start w:val="1"/>
    </w:lvl>
  </w:abstractNum>
  <w:abstractNum w:abstractNumId="13">
    <w:nsid w:val="628C895D"/>
    <w:multiLevelType w:val="hybridMultilevel"/>
    <w:lvl w:ilvl="0">
      <w:lvlJc w:val="left"/>
      <w:lvlText w:val="(%1)"/>
      <w:numFmt w:val="lowerLetter"/>
      <w:start w:val="5"/>
    </w:lvl>
  </w:abstractNum>
  <w:abstractNum w:abstractNumId="14">
    <w:nsid w:val="333AB105"/>
    <w:multiLevelType w:val="hybridMultilevel"/>
    <w:lvl w:ilvl="0">
      <w:lvlJc w:val="left"/>
      <w:lvlText w:val="%1"/>
      <w:numFmt w:val="lowerLetter"/>
      <w:start w:val="1"/>
    </w:lvl>
    <w:lvl w:ilvl="1">
      <w:lvlJc w:val="left"/>
      <w:lvlText w:val="(%2)"/>
      <w:numFmt w:val="lowerLetter"/>
      <w:start w:val="8"/>
    </w:lvl>
  </w:abstractNum>
  <w:abstractNum w:abstractNumId="15">
    <w:nsid w:val="721DA317"/>
    <w:multiLevelType w:val="hybridMultilevel"/>
    <w:lvl w:ilvl="0">
      <w:lvlJc w:val="left"/>
      <w:lvlText w:val="(%1)"/>
      <w:numFmt w:val="lowerLetter"/>
      <w:start w:val="9"/>
    </w:lvl>
    <w:lvl w:ilvl="1">
      <w:lvlJc w:val="left"/>
      <w:lvlText w:val="(%2)"/>
      <w:numFmt w:val="lowerLetter"/>
      <w:start w:val="10"/>
    </w:lvl>
  </w:abstractNum>
  <w:abstractNum w:abstractNumId="16">
    <w:nsid w:val="2443A858"/>
    <w:multiLevelType w:val="hybridMultilevel"/>
    <w:lvl w:ilvl="0">
      <w:lvlJc w:val="left"/>
      <w:lvlText w:val="(%1)"/>
      <w:numFmt w:val="lowerLetter"/>
      <w:start w:val="13"/>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3"/>
    </w:lvl>
  </w:abstractNum>
  <w:abstractNum w:abstractNumId="19">
    <w:nsid w:val="75A2A8D4"/>
    <w:multiLevelType w:val="hybridMultilevel"/>
    <w:lvl w:ilvl="0">
      <w:lvlJc w:val="left"/>
      <w:lvlText w:val="%1"/>
      <w:numFmt w:val="lowerLetter"/>
      <w:start w:val="1"/>
    </w:lvl>
    <w:lvl w:ilvl="1">
      <w:lvlJc w:val="left"/>
      <w:lvlText w:val="(%2)"/>
      <w:numFmt w:val="lowerLetter"/>
      <w:start w:val="7"/>
    </w:lvl>
  </w:abstractNum>
  <w:abstractNum w:abstractNumId="20">
    <w:nsid w:val="8EDBDAB"/>
    <w:multiLevelType w:val="hybridMultilevel"/>
    <w:lvl w:ilvl="0">
      <w:lvlJc w:val="left"/>
      <w:lvlText w:val="(%1)"/>
      <w:numFmt w:val="lowerLetter"/>
      <w:start w:val="61"/>
    </w:lvl>
    <w:lvl w:ilvl="1">
      <w:lvlJc w:val="left"/>
      <w:lvlText w:val="%2"/>
      <w:numFmt w:val="lowerLetter"/>
      <w:start w:val="1"/>
    </w:lvl>
  </w:abstractNum>
  <w:abstractNum w:abstractNumId="21">
    <w:nsid w:val="79838CB2"/>
    <w:multiLevelType w:val="hybridMultilevel"/>
    <w:lvl w:ilvl="0">
      <w:lvlJc w:val="left"/>
      <w:lvlText w:val="(%1)"/>
      <w:numFmt w:val="lowerLetter"/>
      <w:start w:val="12"/>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Roman"/>
      <w:start w:val="1"/>
    </w:lvl>
  </w:abstractNum>
  <w:abstractNum w:abstractNumId="24">
    <w:nsid w:val="189A769B"/>
    <w:multiLevelType w:val="hybridMultilevel"/>
    <w:lvl w:ilvl="0">
      <w:lvlJc w:val="left"/>
      <w:lvlText w:val="(%1)"/>
      <w:numFmt w:val="lowerRoman"/>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Roman"/>
      <w:start w:val="1"/>
    </w:lvl>
  </w:abstractNum>
  <w:abstractNum w:abstractNumId="27">
    <w:nsid w:val="2CA8861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2019-12-05T16:29:36Z</dcterms:created>
  <dcterms:modified xsi:type="dcterms:W3CDTF">2019-12-05T16:29:36Z</dcterms:modified>
</cp:coreProperties>
</file>