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18,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544"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60" w:space="720"/>
            <w:col w:w="2760" w:space="720"/>
            <w:col w:w="2660"/>
          </w:cols>
          <w:pgMar w:left="240" w:top="544" w:right="739" w:bottom="1440" w:gutter="0" w:footer="0" w:header="0"/>
          <w:type w:val="continuous"/>
        </w:sectPr>
      </w:pPr>
    </w:p>
    <w:p>
      <w:pPr>
        <w:spacing w:after="0" w:line="3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544" w:right="73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20"/>
          </w:cols>
          <w:pgMar w:left="240" w:top="544"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annual meeting of stockholders held on April 18, 2013, the stockholders elected TI’s Board of Directors and voted upon two Board proposals contained within our Proxy Statement dated March 5,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Broker</w:t>
            </w:r>
          </w:p>
        </w:tc>
      </w:tr>
      <w:tr>
        <w:trPr>
          <w:trHeight w:val="241"/>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Nominee</w:t>
            </w:r>
          </w:p>
        </w:tc>
        <w:tc>
          <w:tcPr>
            <w:tcW w:w="258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w w:val="96"/>
              </w:rPr>
              <w:t>For</w:t>
            </w:r>
          </w:p>
        </w:tc>
        <w:tc>
          <w:tcPr>
            <w:tcW w:w="18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Against</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2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Non-Votes</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Ralph W. Babb, Jr.</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874,071,967</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11,995,787</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5,352,476</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0"/>
              </w:rPr>
              <w:t>95,086,912</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Mark A. Blinn</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882,932,441</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3,070,824</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5,416,965</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0"/>
              </w:rPr>
              <w:t>95,086,912</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Daniel A. Carp</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878,329,318</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7,806,606</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5,284,306</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0"/>
              </w:rPr>
              <w:t>95,086,912</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Carrie S. Cox</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861,581,426</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24,470,378</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5,368,426</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0"/>
              </w:rPr>
              <w:t>95,086,912</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Pamela H. Patsley</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866,071,955</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20,006,896</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5,341,379</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0"/>
              </w:rPr>
              <w:t>95,086,912</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Robert E. Sanchez</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873,891,072</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12,108,616</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5,421,042</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0"/>
              </w:rPr>
              <w:t>95,086,912</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Wayne R. Sanders</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858,073,265</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28,005,275</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5,341,690</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0"/>
              </w:rPr>
              <w:t>95,086,912</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Ruth J. Simmons</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857,819,310</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28,269,228</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5,331,692</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0"/>
              </w:rPr>
              <w:t>95,086,912</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Richard K. Templeton</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863,298,353</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19,466,305</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8,655,572</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0"/>
              </w:rPr>
              <w:t>95,086,912</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Christine Todd Whitman</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877,861,934</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8,326,766</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5,231,530</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0"/>
              </w:rPr>
              <w:t>95,086,912</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voted on the following proposals and cast their votes as described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Broker</w:t>
            </w:r>
          </w:p>
        </w:tc>
      </w:tr>
      <w:tr>
        <w:trPr>
          <w:trHeight w:val="241"/>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7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6"/>
              </w:rPr>
              <w:t>For</w:t>
            </w:r>
          </w:p>
        </w:tc>
        <w:tc>
          <w:tcPr>
            <w:tcW w:w="11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7"/>
              </w:rPr>
              <w:t>Against</w:t>
            </w:r>
          </w:p>
        </w:tc>
        <w:tc>
          <w:tcPr>
            <w:tcW w:w="18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6"/>
              </w:rPr>
              <w:t>Abstentions</w:t>
            </w:r>
          </w:p>
        </w:tc>
        <w:tc>
          <w:tcPr>
            <w:tcW w:w="1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Non-Votes</w:t>
            </w:r>
          </w:p>
        </w:tc>
      </w:tr>
      <w:tr>
        <w:trPr>
          <w:trHeight w:val="418"/>
        </w:trPr>
        <w:tc>
          <w:tcPr>
            <w:tcW w:w="4760" w:type="dxa"/>
            <w:vAlign w:val="bottom"/>
          </w:tcPr>
          <w:p>
            <w:pPr>
              <w:spacing w:after="0"/>
              <w:rPr>
                <w:sz w:val="20"/>
                <w:szCs w:val="20"/>
                <w:color w:val="auto"/>
              </w:rPr>
            </w:pPr>
            <w:r>
              <w:rPr>
                <w:rFonts w:ascii="Arial" w:cs="Arial" w:eastAsia="Arial" w:hAnsi="Arial"/>
                <w:sz w:val="18"/>
                <w:szCs w:val="18"/>
                <w:color w:val="auto"/>
              </w:rPr>
              <w:t>Board proposal regarding advisory approval of the</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9"/>
              </w:rPr>
              <w:t>843,730,241</w:t>
            </w:r>
          </w:p>
        </w:tc>
        <w:tc>
          <w:tcPr>
            <w:tcW w:w="1140" w:type="dxa"/>
            <w:vAlign w:val="bottom"/>
          </w:tcPr>
          <w:p>
            <w:pPr>
              <w:jc w:val="right"/>
              <w:spacing w:after="0"/>
              <w:rPr>
                <w:sz w:val="20"/>
                <w:szCs w:val="20"/>
                <w:color w:val="auto"/>
              </w:rPr>
            </w:pPr>
            <w:r>
              <w:rPr>
                <w:rFonts w:ascii="Arial" w:cs="Arial" w:eastAsia="Arial" w:hAnsi="Arial"/>
                <w:sz w:val="18"/>
                <w:szCs w:val="18"/>
                <w:color w:val="auto"/>
              </w:rPr>
              <w:t>39,933,782</w:t>
            </w:r>
          </w:p>
        </w:tc>
        <w:tc>
          <w:tcPr>
            <w:tcW w:w="1840" w:type="dxa"/>
            <w:vAlign w:val="bottom"/>
          </w:tcPr>
          <w:p>
            <w:pPr>
              <w:jc w:val="right"/>
              <w:ind w:right="390"/>
              <w:spacing w:after="0"/>
              <w:rPr>
                <w:sz w:val="20"/>
                <w:szCs w:val="20"/>
                <w:color w:val="auto"/>
              </w:rPr>
            </w:pPr>
            <w:r>
              <w:rPr>
                <w:rFonts w:ascii="Arial" w:cs="Arial" w:eastAsia="Arial" w:hAnsi="Arial"/>
                <w:sz w:val="18"/>
                <w:szCs w:val="18"/>
                <w:color w:val="auto"/>
              </w:rPr>
              <w:t>7,756,207</w:t>
            </w:r>
          </w:p>
        </w:tc>
        <w:tc>
          <w:tcPr>
            <w:tcW w:w="1980" w:type="dxa"/>
            <w:vAlign w:val="bottom"/>
          </w:tcPr>
          <w:p>
            <w:pPr>
              <w:jc w:val="center"/>
              <w:ind w:right="10"/>
              <w:spacing w:after="0"/>
              <w:rPr>
                <w:sz w:val="20"/>
                <w:szCs w:val="20"/>
                <w:color w:val="auto"/>
              </w:rPr>
            </w:pPr>
            <w:r>
              <w:rPr>
                <w:rFonts w:ascii="Arial" w:cs="Arial" w:eastAsia="Arial" w:hAnsi="Arial"/>
                <w:sz w:val="18"/>
                <w:szCs w:val="18"/>
                <w:color w:val="auto"/>
                <w:w w:val="88"/>
              </w:rPr>
              <w:t>95,086,912</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company’s executive compensation</w:t>
            </w: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25"/>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6"/>
              </w:rPr>
              <w:t>For</w:t>
            </w:r>
          </w:p>
        </w:tc>
        <w:tc>
          <w:tcPr>
            <w:tcW w:w="1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830"/>
              <w:spacing w:after="0"/>
              <w:rPr>
                <w:sz w:val="20"/>
                <w:szCs w:val="20"/>
                <w:color w:val="auto"/>
              </w:rPr>
            </w:pPr>
            <w:r>
              <w:rPr>
                <w:rFonts w:ascii="Arial" w:cs="Arial" w:eastAsia="Arial" w:hAnsi="Arial"/>
                <w:sz w:val="18"/>
                <w:szCs w:val="18"/>
                <w:b w:val="1"/>
                <w:bCs w:val="1"/>
                <w:color w:val="auto"/>
                <w:w w:val="90"/>
              </w:rPr>
              <w:t>Against</w:t>
            </w:r>
          </w:p>
        </w:tc>
        <w:tc>
          <w:tcPr>
            <w:tcW w:w="1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Abstentions</w:t>
            </w:r>
          </w:p>
        </w:tc>
      </w:tr>
      <w:tr>
        <w:trPr>
          <w:trHeight w:val="418"/>
        </w:trPr>
        <w:tc>
          <w:tcPr>
            <w:tcW w:w="4760" w:type="dxa"/>
            <w:vAlign w:val="bottom"/>
          </w:tcPr>
          <w:p>
            <w:pPr>
              <w:spacing w:after="0"/>
              <w:rPr>
                <w:sz w:val="20"/>
                <w:szCs w:val="20"/>
                <w:color w:val="auto"/>
              </w:rPr>
            </w:pPr>
            <w:r>
              <w:rPr>
                <w:rFonts w:ascii="Arial" w:cs="Arial" w:eastAsia="Arial" w:hAnsi="Arial"/>
                <w:sz w:val="18"/>
                <w:szCs w:val="18"/>
                <w:color w:val="auto"/>
              </w:rPr>
              <w:t>Board proposal to ratify the appointment of Ernst &amp; Young</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9"/>
              </w:rPr>
              <w:t>954,767,834</w:t>
            </w:r>
          </w:p>
        </w:tc>
        <w:tc>
          <w:tcPr>
            <w:tcW w:w="1140" w:type="dxa"/>
            <w:vAlign w:val="bottom"/>
          </w:tcPr>
          <w:p>
            <w:pPr>
              <w:spacing w:after="0"/>
              <w:rPr>
                <w:sz w:val="24"/>
                <w:szCs w:val="24"/>
                <w:color w:val="auto"/>
              </w:rPr>
            </w:pPr>
          </w:p>
        </w:tc>
        <w:tc>
          <w:tcPr>
            <w:tcW w:w="1840" w:type="dxa"/>
            <w:vAlign w:val="bottom"/>
          </w:tcPr>
          <w:p>
            <w:pPr>
              <w:jc w:val="right"/>
              <w:ind w:right="890"/>
              <w:spacing w:after="0"/>
              <w:rPr>
                <w:sz w:val="20"/>
                <w:szCs w:val="20"/>
                <w:color w:val="auto"/>
              </w:rPr>
            </w:pPr>
            <w:r>
              <w:rPr>
                <w:rFonts w:ascii="Arial" w:cs="Arial" w:eastAsia="Arial" w:hAnsi="Arial"/>
                <w:sz w:val="18"/>
                <w:szCs w:val="18"/>
                <w:color w:val="auto"/>
                <w:w w:val="93"/>
              </w:rPr>
              <w:t>26,197,364</w:t>
            </w:r>
          </w:p>
        </w:tc>
        <w:tc>
          <w:tcPr>
            <w:tcW w:w="1980" w:type="dxa"/>
            <w:vAlign w:val="bottom"/>
          </w:tcPr>
          <w:p>
            <w:pPr>
              <w:jc w:val="right"/>
              <w:ind w:right="670"/>
              <w:spacing w:after="0"/>
              <w:rPr>
                <w:sz w:val="20"/>
                <w:szCs w:val="20"/>
                <w:color w:val="auto"/>
              </w:rPr>
            </w:pPr>
            <w:r>
              <w:rPr>
                <w:rFonts w:ascii="Arial" w:cs="Arial" w:eastAsia="Arial" w:hAnsi="Arial"/>
                <w:sz w:val="18"/>
                <w:szCs w:val="18"/>
                <w:color w:val="auto"/>
              </w:rPr>
              <w:t>5,541,944</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LLP as the company’s independent registered public</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accounting firm for 2013</w:t>
            </w: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ectPr>
          <w:pgSz w:w="11900" w:h="16838" w:orient="portrait"/>
          <w:cols w:equalWidth="0" w:num="1">
            <w:col w:w="11420"/>
          </w:cols>
          <w:pgMar w:left="240" w:top="517"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20" w:val="left"/>
          <w:tab w:leader="none" w:pos="6300" w:val="left"/>
        </w:tabs>
        <w:rPr>
          <w:sz w:val="20"/>
          <w:szCs w:val="20"/>
          <w:color w:val="auto"/>
        </w:rPr>
      </w:pPr>
      <w:r>
        <w:rPr>
          <w:rFonts w:ascii="Arial" w:cs="Arial" w:eastAsia="Arial" w:hAnsi="Arial"/>
          <w:sz w:val="18"/>
          <w:szCs w:val="18"/>
          <w:color w:val="auto"/>
        </w:rPr>
        <w:t>Date: April 22,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Secretary and General Counsel</w:t>
      </w:r>
    </w:p>
    <w:sectPr>
      <w:pgSz w:w="11900" w:h="16838" w:orient="portrait"/>
      <w:cols w:equalWidth="0" w:num="1">
        <w:col w:w="11280"/>
      </w:cols>
      <w:pgMar w:left="240" w:top="5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2019-12-05T16:10:22Z</dcterms:created>
  <dcterms:modified xsi:type="dcterms:W3CDTF">2019-12-05T16:10:22Z</dcterms:modified>
</cp:coreProperties>
</file>