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3240"/>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For Quarter Ended June 30, 2003</w:t>
      </w:r>
    </w:p>
    <w:p>
      <w:pPr>
        <w:spacing w:after="0" w:line="158"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Commission File Number 1-3761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840" w:type="dxa"/>
        <w:tblCellMar>
          <w:top w:w="0" w:type="dxa"/>
          <w:left w:w="0" w:type="dxa"/>
          <w:bottom w:w="0" w:type="dxa"/>
          <w:right w:w="0" w:type="dxa"/>
        </w:tblCellMar>
      </w:tblPr>
      <w:tr>
        <w:trPr>
          <w:trHeight w:val="218"/>
        </w:trPr>
        <w:tc>
          <w:tcPr>
            <w:tcW w:w="6560" w:type="dxa"/>
            <w:vAlign w:val="bottom"/>
          </w:tcPr>
          <w:p>
            <w:pPr>
              <w:jc w:val="center"/>
              <w:ind w:right="2622"/>
              <w:spacing w:after="0"/>
              <w:rPr>
                <w:sz w:val="20"/>
                <w:szCs w:val="20"/>
                <w:color w:val="auto"/>
              </w:rPr>
            </w:pPr>
            <w:r>
              <w:rPr>
                <w:rFonts w:ascii="Arial" w:cs="Arial" w:eastAsia="Arial" w:hAnsi="Arial"/>
                <w:sz w:val="18"/>
                <w:szCs w:val="18"/>
                <w:b w:val="1"/>
                <w:bCs w:val="1"/>
                <w:color w:val="auto"/>
                <w:w w:val="88"/>
              </w:rPr>
              <w:t>Delaware</w:t>
            </w:r>
          </w:p>
        </w:tc>
        <w:tc>
          <w:tcPr>
            <w:tcW w:w="2280" w:type="dxa"/>
            <w:vAlign w:val="bottom"/>
          </w:tcPr>
          <w:p>
            <w:pPr>
              <w:jc w:val="center"/>
              <w:ind w:left="12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6560" w:type="dxa"/>
            <w:vAlign w:val="bottom"/>
          </w:tcPr>
          <w:p>
            <w:pPr>
              <w:jc w:val="center"/>
              <w:ind w:right="2622"/>
              <w:spacing w:after="0"/>
              <w:rPr>
                <w:sz w:val="20"/>
                <w:szCs w:val="20"/>
                <w:color w:val="auto"/>
              </w:rPr>
            </w:pPr>
            <w:r>
              <w:rPr>
                <w:rFonts w:ascii="Arial" w:cs="Arial" w:eastAsia="Arial" w:hAnsi="Arial"/>
                <w:sz w:val="14"/>
                <w:szCs w:val="14"/>
                <w:b w:val="1"/>
                <w:bCs w:val="1"/>
                <w:color w:val="auto"/>
                <w:w w:val="89"/>
              </w:rPr>
              <w:t>(State of Incorporation)</w:t>
            </w:r>
          </w:p>
        </w:tc>
        <w:tc>
          <w:tcPr>
            <w:tcW w:w="22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6560" w:type="dxa"/>
            <w:vAlign w:val="bottom"/>
          </w:tcPr>
          <w:p>
            <w:pPr>
              <w:jc w:val="center"/>
              <w:ind w:right="262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2280" w:type="dxa"/>
            <w:vAlign w:val="bottom"/>
          </w:tcPr>
          <w:p>
            <w:pPr>
              <w:jc w:val="center"/>
              <w:ind w:left="12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6560" w:type="dxa"/>
            <w:vAlign w:val="bottom"/>
          </w:tcPr>
          <w:p>
            <w:pPr>
              <w:jc w:val="center"/>
              <w:ind w:right="26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2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560" w:type="dxa"/>
            <w:vAlign w:val="bottom"/>
          </w:tcPr>
          <w:p>
            <w:pPr>
              <w:jc w:val="right"/>
              <w:ind w:right="1102"/>
              <w:spacing w:after="0"/>
              <w:rPr>
                <w:sz w:val="20"/>
                <w:szCs w:val="20"/>
                <w:color w:val="auto"/>
              </w:rPr>
            </w:pPr>
            <w:r>
              <w:rPr>
                <w:rFonts w:ascii="Arial" w:cs="Arial" w:eastAsia="Arial" w:hAnsi="Arial"/>
                <w:sz w:val="18"/>
                <w:szCs w:val="18"/>
                <w:b w:val="1"/>
                <w:bCs w:val="1"/>
                <w:color w:val="auto"/>
              </w:rPr>
              <w:t>972-995-3773</w:t>
            </w:r>
          </w:p>
        </w:tc>
        <w:tc>
          <w:tcPr>
            <w:tcW w:w="2280" w:type="dxa"/>
            <w:vAlign w:val="bottom"/>
          </w:tcPr>
          <w:p>
            <w:pPr>
              <w:spacing w:after="0"/>
              <w:rPr>
                <w:sz w:val="24"/>
                <w:szCs w:val="24"/>
                <w:color w:val="auto"/>
              </w:rPr>
            </w:pPr>
          </w:p>
        </w:tc>
      </w:tr>
      <w:tr>
        <w:trPr>
          <w:trHeight w:val="174"/>
        </w:trPr>
        <w:tc>
          <w:tcPr>
            <w:tcW w:w="6560" w:type="dxa"/>
            <w:vAlign w:val="bottom"/>
          </w:tcPr>
          <w:p>
            <w:pPr>
              <w:jc w:val="center"/>
              <w:ind w:left="3122"/>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22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3"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1,731,251,468</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Number of shares of Registrant’s common stock outstanding as of June 30,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00"/>
          </w:cols>
          <w:pgMar w:left="240" w:top="422"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I—FINANCIAL INFORMATION</w:t>
      </w:r>
    </w:p>
    <w:p>
      <w:pPr>
        <w:spacing w:after="0" w:line="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88"/>
              </w:rPr>
              <w:t>For Three Months Ended</w:t>
            </w:r>
          </w:p>
        </w:tc>
        <w:tc>
          <w:tcPr>
            <w:tcW w:w="100" w:type="dxa"/>
            <w:vAlign w:val="bottom"/>
          </w:tcPr>
          <w:p>
            <w:pPr>
              <w:spacing w:after="0"/>
              <w:rPr>
                <w:sz w:val="15"/>
                <w:szCs w:val="15"/>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9"/>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20"/>
                <w:szCs w:val="20"/>
                <w:color w:val="auto"/>
              </w:rPr>
            </w:pPr>
          </w:p>
        </w:tc>
        <w:tc>
          <w:tcPr>
            <w:tcW w:w="14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20"/>
                <w:szCs w:val="20"/>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Arial" w:cs="Arial" w:eastAsia="Arial" w:hAnsi="Arial"/>
                <w:sz w:val="14"/>
                <w:szCs w:val="14"/>
                <w:b w:val="1"/>
                <w:bCs w:val="1"/>
                <w:color w:val="auto"/>
                <w:w w:val="96"/>
              </w:rPr>
              <w:t>2003</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2002</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2,162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4,531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480" w:type="dxa"/>
            <w:vAlign w:val="bottom"/>
            <w:vMerge w:val="restart"/>
          </w:tcPr>
          <w:p>
            <w:pPr>
              <w:jc w:val="right"/>
              <w:ind w:right="1332"/>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-1320800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-1320800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-1320800</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-1320800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-1320800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-1320800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-1320800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-1320800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-1320800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-1320800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-1320800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-1320800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-1020445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-1020445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-1020445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-1020445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-1020445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-1020445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-1020445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-1020445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-1020445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-1020445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-1020445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-1020445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-720725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-720725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-720725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-720725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-720725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-720725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-720725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-720725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-720725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-720725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-720725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-720725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-420370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-420370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-420370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-420370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-420370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-420370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-420370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-420370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-420370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-420370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-420370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-420370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174"/>
        </w:trPr>
        <w:tc>
          <w:tcPr>
            <w:tcW w:w="9680" w:type="dxa"/>
            <w:vAlign w:val="bottom"/>
            <w:gridSpan w:val="3"/>
          </w:tcPr>
          <w:p>
            <w:pPr>
              <w:spacing w:after="0"/>
              <w:rPr>
                <w:sz w:val="20"/>
                <w:szCs w:val="20"/>
                <w:color w:val="auto"/>
              </w:rPr>
            </w:pPr>
            <w:r>
              <w:rPr>
                <w:rFonts w:ascii="Arial" w:cs="Arial" w:eastAsia="Arial" w:hAnsi="Arial"/>
                <w:sz w:val="14"/>
                <w:szCs w:val="14"/>
                <w:b w:val="1"/>
                <w:bCs w:val="1"/>
                <w:color w:val="auto"/>
              </w:rPr>
              <w:t>Balance Sheet</w:t>
            </w:r>
          </w:p>
        </w:tc>
        <w:tc>
          <w:tcPr>
            <w:tcW w:w="90" w:type="dxa"/>
            <w:vAlign w:val="bottom"/>
          </w:tcPr>
          <w:p>
            <w:pPr>
              <w:spacing w:after="0"/>
              <w:rPr>
                <w:sz w:val="15"/>
                <w:szCs w:val="15"/>
                <w:color w:val="auto"/>
              </w:rPr>
            </w:pPr>
          </w:p>
        </w:tc>
        <w:tc>
          <w:tcPr>
            <w:tcW w:w="51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2,075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 for customer adjustments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 doubtful accounts of $63 million in 2003 and $60 million in 2002</w:t>
            </w:r>
          </w:p>
        </w:tc>
        <w:tc>
          <w:tcPr>
            <w:tcW w:w="90" w:type="dxa"/>
            <w:vAlign w:val="bottom"/>
            <w:shd w:val="clear" w:color="auto" w:fill="CCEEFF"/>
          </w:tcPr>
          <w:p>
            <w:pPr>
              <w:spacing w:after="0"/>
              <w:rPr>
                <w:sz w:val="19"/>
                <w:szCs w:val="19"/>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Raw materials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640"/>
              <w:spacing w:after="0"/>
              <w:rPr>
                <w:sz w:val="20"/>
                <w:szCs w:val="20"/>
                <w:color w:val="auto"/>
              </w:rPr>
            </w:pPr>
            <w:r>
              <w:rPr>
                <w:rFonts w:ascii="Arial" w:cs="Arial" w:eastAsia="Arial" w:hAnsi="Arial"/>
                <w:sz w:val="18"/>
                <w:szCs w:val="18"/>
                <w:color w:val="auto"/>
              </w:rPr>
              <w:t>Work in process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590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Finished goods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327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w:t>
            </w:r>
          </w:p>
        </w:tc>
        <w:tc>
          <w:tcPr>
            <w:tcW w:w="90" w:type="dxa"/>
            <w:vAlign w:val="bottom"/>
          </w:tcPr>
          <w:p>
            <w:pPr>
              <w:spacing w:after="0"/>
              <w:rPr>
                <w:sz w:val="19"/>
                <w:szCs w:val="19"/>
                <w:color w:val="auto"/>
              </w:rPr>
            </w:pPr>
          </w:p>
        </w:tc>
        <w:tc>
          <w:tcPr>
            <w:tcW w:w="95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(4,986)</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(4,722)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Property, plant and equipment (net)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924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Acquisition-related intangibles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471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1,295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Accrued retirement costs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813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Deferred credits and other liabilities</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342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Preferred stock, $25 par value. Authorized—10,000,000 shares.</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ind w:left="640"/>
              <w:spacing w:after="0"/>
              <w:rPr>
                <w:sz w:val="20"/>
                <w:szCs w:val="20"/>
                <w:color w:val="auto"/>
              </w:rPr>
            </w:pPr>
            <w:r>
              <w:rPr>
                <w:rFonts w:ascii="Arial" w:cs="Arial" w:eastAsia="Arial" w:hAnsi="Arial"/>
                <w:sz w:val="18"/>
                <w:szCs w:val="18"/>
                <w:color w:val="auto"/>
              </w:rPr>
              <w:t>Participating cumulative preferred. None issued.</w:t>
            </w:r>
          </w:p>
        </w:tc>
        <w:tc>
          <w:tcPr>
            <w:tcW w:w="90" w:type="dxa"/>
            <w:vAlign w:val="bottom"/>
          </w:tcPr>
          <w:p>
            <w:pPr>
              <w:spacing w:after="0"/>
              <w:rPr>
                <w:sz w:val="19"/>
                <w:szCs w:val="19"/>
                <w:color w:val="auto"/>
              </w:rPr>
            </w:pPr>
          </w:p>
        </w:tc>
        <w:tc>
          <w:tcPr>
            <w:tcW w:w="95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$1 par value. Authorized—2,400,000,000 shares.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Shares issued: 2003—1,740,470,215; 2002—1,740,364,197</w:t>
            </w:r>
          </w:p>
        </w:tc>
        <w:tc>
          <w:tcPr>
            <w:tcW w:w="90" w:type="dxa"/>
            <w:vAlign w:val="bottom"/>
            <w:shd w:val="clear" w:color="auto" w:fill="CCEEFF"/>
          </w:tcPr>
          <w:p>
            <w:pPr>
              <w:spacing w:after="0"/>
              <w:rPr>
                <w:sz w:val="19"/>
                <w:szCs w:val="19"/>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Paid-in capital</w:t>
            </w: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966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Less treasury common stock at cost.</w:t>
            </w: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Shares: 2003—9,218,747; 2002—9,775,781</w:t>
            </w: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90" w:type="dxa"/>
            <w:vAlign w:val="bottom"/>
          </w:tcPr>
          <w:p>
            <w:pPr>
              <w:spacing w:after="0"/>
              <w:rPr>
                <w:sz w:val="18"/>
                <w:szCs w:val="18"/>
                <w:color w:val="auto"/>
              </w:rPr>
            </w:pPr>
          </w:p>
        </w:tc>
        <w:tc>
          <w:tcPr>
            <w:tcW w:w="95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5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85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-4068445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-4068445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-4068445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-4068445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-4068445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-4068445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95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74" w:right="239" w:bottom="95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11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5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4"/>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Cash Flows</w:t>
            </w:r>
          </w:p>
        </w:tc>
        <w:tc>
          <w:tcPr>
            <w:tcW w:w="110" w:type="dxa"/>
            <w:vAlign w:val="bottom"/>
          </w:tcPr>
          <w:p>
            <w:pPr>
              <w:spacing w:after="0"/>
              <w:rPr>
                <w:sz w:val="15"/>
                <w:szCs w:val="15"/>
                <w:color w:val="auto"/>
              </w:rPr>
            </w:pPr>
          </w:p>
        </w:tc>
        <w:tc>
          <w:tcPr>
            <w:tcW w:w="47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2003</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tcPr>
          <w:p>
            <w:pPr>
              <w:jc w:val="right"/>
              <w:spacing w:after="0"/>
              <w:rPr>
                <w:sz w:val="20"/>
                <w:szCs w:val="20"/>
                <w:color w:val="auto"/>
              </w:rPr>
            </w:pPr>
            <w:r>
              <w:rPr>
                <w:rFonts w:ascii="Arial" w:cs="Arial" w:eastAsia="Arial" w:hAnsi="Arial"/>
                <w:sz w:val="18"/>
                <w:szCs w:val="18"/>
                <w:color w:val="auto"/>
              </w:rPr>
              <w:t>238</w:t>
            </w: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53</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Write-downs of equity investments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working capital (excluding cash and cash equivalents, short-term</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investments, deferred income taxes, and loans payable and current portion long-term debt):</w:t>
            </w:r>
          </w:p>
        </w:tc>
        <w:tc>
          <w:tcPr>
            <w:tcW w:w="110" w:type="dxa"/>
            <w:vAlign w:val="bottom"/>
            <w:shd w:val="clear" w:color="auto" w:fill="CCEEFF"/>
          </w:tcPr>
          <w:p>
            <w:pPr>
              <w:spacing w:after="0"/>
              <w:rPr>
                <w:sz w:val="19"/>
                <w:szCs w:val="19"/>
                <w:color w:val="auto"/>
              </w:rPr>
            </w:pPr>
          </w:p>
        </w:tc>
        <w:tc>
          <w:tcPr>
            <w:tcW w:w="47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Income taxes payable</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retirement and profit sharing contributions</w:t>
            </w:r>
          </w:p>
        </w:tc>
        <w:tc>
          <w:tcPr>
            <w:tcW w:w="11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Increase (decrease) in noncurrent accrued retirement costs</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920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1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1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Purchases of short-term investments</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1,804</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w w:val="87"/>
              </w:rPr>
              <w:t>(1,443)</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Purchases of equity investments</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10" w:type="dxa"/>
            <w:vAlign w:val="bottom"/>
          </w:tcPr>
          <w:p>
            <w:pPr>
              <w:spacing w:after="0"/>
              <w:rPr>
                <w:sz w:val="19"/>
                <w:szCs w:val="19"/>
                <w:color w:val="auto"/>
              </w:rPr>
            </w:pPr>
          </w:p>
        </w:tc>
        <w:tc>
          <w:tcPr>
            <w:tcW w:w="145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391"/>
        </w:trPr>
        <w:tc>
          <w:tcPr>
            <w:tcW w:w="920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loans payable</w:t>
            </w:r>
          </w:p>
        </w:tc>
        <w:tc>
          <w:tcPr>
            <w:tcW w:w="11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Payments on loans payable</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on long-term debt</w:t>
            </w:r>
          </w:p>
        </w:tc>
        <w:tc>
          <w:tcPr>
            <w:tcW w:w="11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 program</w:t>
            </w:r>
          </w:p>
        </w:tc>
        <w:tc>
          <w:tcPr>
            <w:tcW w:w="110" w:type="dxa"/>
            <w:vAlign w:val="bottom"/>
          </w:tcPr>
          <w:p>
            <w:pPr>
              <w:spacing w:after="0"/>
              <w:rPr>
                <w:sz w:val="18"/>
                <w:szCs w:val="18"/>
                <w:color w:val="auto"/>
              </w:rPr>
            </w:pPr>
          </w:p>
        </w:tc>
        <w:tc>
          <w:tcPr>
            <w:tcW w:w="1450" w:type="dxa"/>
            <w:vAlign w:val="bottom"/>
            <w:gridSpan w:val="2"/>
          </w:tcPr>
          <w:p>
            <w:pPr>
              <w:jc w:val="right"/>
              <w:ind w:right="9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current assets for restricted cash</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1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Cash and cash equivalents, January 1</w:t>
            </w:r>
          </w:p>
        </w:tc>
        <w:tc>
          <w:tcPr>
            <w:tcW w:w="11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949</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June 30</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00" w:type="dxa"/>
            <w:vAlign w:val="bottom"/>
            <w:gridSpan w:val="3"/>
            <w:vMerge w:val="restart"/>
          </w:tcPr>
          <w:p>
            <w:pPr>
              <w:jc w:val="right"/>
              <w:ind w:right="3440"/>
              <w:spacing w:after="0"/>
              <w:rPr>
                <w:sz w:val="20"/>
                <w:szCs w:val="20"/>
                <w:color w:val="auto"/>
              </w:rPr>
            </w:pPr>
            <w:r>
              <w:rPr>
                <w:rFonts w:ascii="Arial" w:cs="Arial" w:eastAsia="Arial" w:hAnsi="Arial"/>
                <w:sz w:val="18"/>
                <w:szCs w:val="18"/>
                <w:color w:val="auto"/>
              </w:rPr>
              <w:t>4</w:t>
            </w:r>
          </w:p>
        </w:tc>
        <w:tc>
          <w:tcPr>
            <w:tcW w:w="11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9200" w:type="dxa"/>
            <w:vAlign w:val="bottom"/>
            <w:gridSpan w:val="3"/>
            <w:vMerge w:val="continue"/>
          </w:tcPr>
          <w:p>
            <w:pPr>
              <w:spacing w:after="0"/>
              <w:rPr>
                <w:sz w:val="24"/>
                <w:szCs w:val="24"/>
                <w:color w:val="auto"/>
              </w:rPr>
            </w:pPr>
          </w:p>
        </w:tc>
        <w:tc>
          <w:tcPr>
            <w:tcW w:w="11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-420370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-420370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-420370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-420370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-420370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-420370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ind w:right="41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ind w:right="414"/>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ind w:left="446" w:right="320" w:hanging="446"/>
        <w:spacing w:after="0" w:line="325" w:lineRule="auto"/>
        <w:tabs>
          <w:tab w:leader="none" w:pos="446" w:val="left"/>
        </w:tabs>
        <w:numPr>
          <w:ilvl w:val="0"/>
          <w:numId w:val="1"/>
        </w:numPr>
        <w:rPr>
          <w:rFonts w:ascii="Arial" w:cs="Arial" w:eastAsia="Arial" w:hAnsi="Arial"/>
          <w:sz w:val="16"/>
          <w:szCs w:val="16"/>
          <w:color w:val="auto"/>
        </w:rPr>
      </w:pPr>
      <w:r>
        <w:rPr>
          <w:rFonts w:ascii="Arial" w:cs="Arial" w:eastAsia="Arial" w:hAnsi="Arial"/>
          <w:sz w:val="16"/>
          <w:szCs w:val="16"/>
          <w:color w:val="auto"/>
        </w:rPr>
        <w:t>Diluted earnings per common share are based on average common and dilutive potential common shares outstanding (1762.6 and 1774.4 million shares for the second quarters of 2003 and 2002 and 1758.0 and 1775.4 for the six months ended June 30, 2003 and 2002).</w:t>
      </w:r>
    </w:p>
    <w:p>
      <w:pPr>
        <w:spacing w:after="0" w:line="1" w:lineRule="exact"/>
        <w:rPr>
          <w:rFonts w:ascii="Arial" w:cs="Arial" w:eastAsia="Arial" w:hAnsi="Arial"/>
          <w:sz w:val="16"/>
          <w:szCs w:val="16"/>
          <w:color w:val="auto"/>
        </w:rPr>
      </w:pPr>
    </w:p>
    <w:p>
      <w:pPr>
        <w:ind w:left="446" w:right="40" w:hanging="446"/>
        <w:spacing w:after="0" w:line="298" w:lineRule="auto"/>
        <w:tabs>
          <w:tab w:leader="none" w:pos="446"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Income for the second quarter of 2003 includes, in millions of dollars, a charge of $49, of which $26 is for the initial phase of restructuring associated with moving certain production lines in the Sensors &amp; Controls business from Attleboro to other TI sites and $23 is for the initial phase of restructuring to achieve manufacturing efficiencies in the Semiconductor business. The $49 restructuring charge is primarily for severance cost. Of the $49 charge, $43 is included in cost of revenue and $6 is in selling, general and administrative expense.</w:t>
      </w:r>
    </w:p>
    <w:p>
      <w:pPr>
        <w:spacing w:after="0" w:line="18"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February 2003, the company redeemed $250 million principal amount of 4.25% convertible subordinated notes due 2007 that were originally issued by Burr-Brown Corporation, which was acquired by the Company in August 2000. Income for the first quarter of 2003 includes, in millions of dollars, a charge of $10 in other income (expense) net from the redemption of this debt.</w:t>
      </w:r>
    </w:p>
    <w:p>
      <w:pPr>
        <w:spacing w:after="0" w:line="45" w:lineRule="exact"/>
        <w:rPr>
          <w:rFonts w:ascii="Arial" w:cs="Arial" w:eastAsia="Arial" w:hAnsi="Arial"/>
          <w:sz w:val="18"/>
          <w:szCs w:val="18"/>
          <w:color w:val="auto"/>
        </w:rPr>
      </w:pPr>
    </w:p>
    <w:p>
      <w:pPr>
        <w:ind w:left="446" w:right="240" w:hanging="446"/>
        <w:spacing w:after="0" w:line="256"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for the second quarter of 2002 includes, in millions of dollars, net gains of $16, of which $20 is the reversal of a warranty reserve taken against the gain on the sale of the software business unit in 1997 because the warranty period had expired. Of the $16 net gains, $20 is included in other income, $5 is in selling, general and administrative expense, $2 is a reduction in cost of revenues and $1 is in research and development expense.</w:t>
      </w:r>
    </w:p>
    <w:p>
      <w:pPr>
        <w:spacing w:after="0" w:line="48" w:lineRule="exact"/>
        <w:rPr>
          <w:rFonts w:ascii="Arial" w:cs="Arial" w:eastAsia="Arial" w:hAnsi="Arial"/>
          <w:sz w:val="18"/>
          <w:szCs w:val="18"/>
          <w:color w:val="auto"/>
        </w:rPr>
      </w:pPr>
    </w:p>
    <w:p>
      <w:pPr>
        <w:ind w:left="446" w:right="220" w:hanging="446"/>
        <w:spacing w:after="0" w:line="256"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 for the first quarter of 2002 includes, in millions of dollars, a charge of $17, of which $14 is for restructuring charges primarily related to the closing of the Semiconductor manufacturing facility in Merrimack, New Hampshire. Of the $14, $9 is for the acceleration of depreciation over the remaining service life of the facility, and $4 is for fixed asset write-downs for assets held for sale. Of the $17 charge, $16 is included in cost of revenues and $1 is in other income (expense) net.</w:t>
      </w:r>
    </w:p>
    <w:p>
      <w:pPr>
        <w:spacing w:after="0" w:line="48"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in other income (expense) net for the second quarters of 2003 and 2002, in millions of dollars, are investment write-downs of $11 and $96 for declines in value determined to be other-than-temporary. A decline in the market value of Hynix Global Depositary Shares accounted for most of the investment write-down in second quarter 2002.</w:t>
      </w:r>
    </w:p>
    <w:p>
      <w:pPr>
        <w:spacing w:after="0" w:line="45" w:lineRule="exact"/>
        <w:rPr>
          <w:rFonts w:ascii="Arial" w:cs="Arial" w:eastAsia="Arial" w:hAnsi="Arial"/>
          <w:sz w:val="18"/>
          <w:szCs w:val="18"/>
          <w:color w:val="auto"/>
        </w:rPr>
      </w:pPr>
    </w:p>
    <w:p>
      <w:pPr>
        <w:jc w:val="both"/>
        <w:ind w:left="446" w:right="20" w:hanging="446"/>
        <w:spacing w:after="0" w:line="259"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accounts for its stock-based employee compensation plans under the recognition and measurement principles of Accounting Principles Board (APB) Opinion No. 25, Accounting for Stock Issued to Employees, and related Interpretations. No stock option compensation cost is reflected in net income, as</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74" w:right="259" w:bottom="1440" w:gutter="0" w:footer="0" w:header="0"/>
        </w:sectPr>
      </w:pPr>
    </w:p>
    <w:bookmarkStart w:id="5" w:name="page6"/>
    <w:bookmarkEnd w:id="5"/>
    <w:p>
      <w:pPr>
        <w:ind w:left="920"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options granted under the plans had an exercise price equal to the market value of the underlying common stock on the date of grant (except options granted under the company’s employee stock purchase plans and acquisition-related stock option awards). The following table illustrates the effect on net income and earnings per common share if the company had applied the fair value recognition provisions of Statement of Financial Accounting Standards (SFAS) No. 123, Accounting for Stock-Based Compensation, to stock-based employee compensation.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89"/>
              </w:rPr>
              <w:t>For Three Months</w:t>
            </w:r>
          </w:p>
        </w:tc>
        <w:tc>
          <w:tcPr>
            <w:tcW w:w="100" w:type="dxa"/>
            <w:vAlign w:val="bottom"/>
          </w:tcPr>
          <w:p>
            <w:pPr>
              <w:spacing w:after="0"/>
              <w:rPr>
                <w:sz w:val="14"/>
                <w:szCs w:val="14"/>
                <w:color w:val="auto"/>
              </w:rPr>
            </w:pPr>
          </w:p>
        </w:tc>
        <w:tc>
          <w:tcPr>
            <w:tcW w:w="1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For 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w w:val="99"/>
              </w:rPr>
              <w:t>June 30,</w:t>
            </w:r>
          </w:p>
        </w:tc>
        <w:tc>
          <w:tcPr>
            <w:tcW w:w="50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34"/>
              <w:spacing w:after="0"/>
              <w:rPr>
                <w:sz w:val="20"/>
                <w:szCs w:val="20"/>
                <w:color w:val="auto"/>
              </w:rPr>
            </w:pPr>
            <w:r>
              <w:rPr>
                <w:rFonts w:ascii="Arial" w:cs="Arial" w:eastAsia="Arial" w:hAnsi="Arial"/>
                <w:sz w:val="14"/>
                <w:szCs w:val="14"/>
                <w:b w:val="1"/>
                <w:bCs w:val="1"/>
                <w:color w:val="auto"/>
                <w:w w:val="76"/>
              </w:rPr>
              <w:t>2002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 (in millions)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reported net income, net of tax</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Deduct: Total stock-based employee compensation expense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determined under fair value based method for all awards,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(108)</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(106)</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(215)</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Diluted—as reported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Diluted—as adjusted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Basic—as adjusted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-1367155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-1367155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-1367155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-1367155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-1367155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-1367155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-1367155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-1367155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-1367155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-1367155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-1367155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-1367155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-929640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-929640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-929640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-929640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-929640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-929640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-929640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-929640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-929640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-929640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-929640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-929640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-629285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-629285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-629285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-629285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-629285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-629285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-629285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-629285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-629285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-629285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-629285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-629285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-329565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-329565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-329565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-329565</wp:posOffset>
            </wp:positionV>
            <wp:extent cx="33845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-329565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-329565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900" w:right="16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comprehensive income, i.e., net income plus investment and pension liability adjustments to stockholders’ equity, for the second quarters of 2003 and 2002, in millions of dollars, was positive $242 and negative $400. For the six months ended June 30, 2003 and 2002, it was positive $293 and negative $362.</w:t>
      </w:r>
    </w:p>
    <w:p>
      <w:pPr>
        <w:spacing w:after="0" w:line="45" w:lineRule="exact"/>
        <w:rPr>
          <w:rFonts w:ascii="Arial" w:cs="Arial" w:eastAsia="Arial" w:hAnsi="Arial"/>
          <w:sz w:val="18"/>
          <w:szCs w:val="18"/>
          <w:color w:val="auto"/>
        </w:rPr>
      </w:pPr>
    </w:p>
    <w:p>
      <w:pPr>
        <w:ind w:left="900" w:right="40" w:hanging="446"/>
        <w:spacing w:after="0" w:line="312"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Italian government auditors have substantially completed a review, conducted in the ordinary course, of approximately $250 million of grants from the Italian government to TI’s former memory operations in Italy for 13 separate projects. To date, the auditors have issued audit reports on 12 of the projects. The auditors have raised a number of issues relating to compliance with grant requirements and the eligibility of specific expenses for the grants. The Ministry of Industry is responsible for reviewing the auditor’s findings. Depending on the Ministry’s decision, the review may result in a demand from the Italian government that TI repay a portion of the grants. The company believes that the grants were obtained and used in compliance with applicable law and contractual obligations. The Ministry has published final concession decrees on 6 of the projects, 4 in the second quarter of 2003. TI does not expect the outcome to have a material impact on the company’s financial condition, results of operation or liquidity.</w:t>
      </w:r>
    </w:p>
    <w:p>
      <w:pPr>
        <w:spacing w:after="0" w:line="10" w:lineRule="exact"/>
        <w:rPr>
          <w:rFonts w:ascii="Arial" w:cs="Arial" w:eastAsia="Arial" w:hAnsi="Arial"/>
          <w:sz w:val="15"/>
          <w:szCs w:val="15"/>
          <w:color w:val="auto"/>
        </w:rPr>
      </w:pPr>
    </w:p>
    <w:p>
      <w:pPr>
        <w:ind w:left="900" w:right="3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rate. The estimated annualized tax 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left="92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2003 is 22 percent exclusive of the tax impact from the sale of shares of Micron Technology, Inc. (Micron) common stock (see Note 14). The primary reason the effective annualized tax rate for 2003 differs from the 35 percent statutory corporate tax rate is due to the expected utilization of tax benefits such as the credit for research activities.</w:t>
      </w:r>
    </w:p>
    <w:p>
      <w:pPr>
        <w:spacing w:after="0" w:line="46" w:lineRule="exact"/>
        <w:rPr>
          <w:sz w:val="20"/>
          <w:szCs w:val="20"/>
          <w:color w:val="auto"/>
        </w:rPr>
      </w:pPr>
    </w:p>
    <w:p>
      <w:pPr>
        <w:ind w:left="900" w:right="40" w:hanging="446"/>
        <w:spacing w:after="0" w:line="331"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statement of operations and statement of cash flows for the periods ended June 30, 2003, and the balance sheet as of June 30, 2003, are not audited but reflect all adjustments which are of a normal recurring nature and are, in the opinion of management, necessary for a fair statement of the results of the periods shown. Certain amounts in the prior period’s financial statements have been reclassified to conform to the current presentation.</w:t>
      </w:r>
    </w:p>
    <w:p>
      <w:pPr>
        <w:spacing w:after="0" w:line="2" w:lineRule="exact"/>
        <w:rPr>
          <w:rFonts w:ascii="Arial" w:cs="Arial" w:eastAsia="Arial" w:hAnsi="Arial"/>
          <w:sz w:val="15"/>
          <w:szCs w:val="15"/>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segment information follows (in millions of dollars):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43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w w:val="92"/>
              </w:rPr>
              <w:t>For Three Months Ended</w:t>
            </w:r>
          </w:p>
        </w:tc>
        <w:tc>
          <w:tcPr>
            <w:tcW w:w="100" w:type="dxa"/>
            <w:vAlign w:val="bottom"/>
          </w:tcPr>
          <w:p>
            <w:pPr>
              <w:spacing w:after="0"/>
              <w:rPr>
                <w:sz w:val="15"/>
                <w:szCs w:val="15"/>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552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Net Revenue</w:t>
            </w:r>
          </w:p>
        </w:tc>
        <w:tc>
          <w:tcPr>
            <w:tcW w:w="14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1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2003</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$ 1,922</w:t>
            </w:r>
          </w:p>
        </w:tc>
        <w:tc>
          <w:tcPr>
            <w:tcW w:w="7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$ 1,761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$ 3,786</w:t>
            </w:r>
          </w:p>
        </w:tc>
        <w:tc>
          <w:tcPr>
            <w:tcW w:w="7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3"/>
              </w:rPr>
              <w:t>$ 3,275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1,927</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3,794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14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3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Educational &amp; Productivity Solutions</w:t>
            </w:r>
          </w:p>
        </w:tc>
        <w:tc>
          <w:tcPr>
            <w:tcW w:w="14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w:t>
            </w: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20" w:type="dxa"/>
            <w:vAlign w:val="bottom"/>
            <w:gridSpan w:val="4"/>
          </w:tcPr>
          <w:p>
            <w:pPr>
              <w:spacing w:after="0"/>
              <w:rPr>
                <w:sz w:val="20"/>
                <w:szCs w:val="20"/>
                <w:color w:val="auto"/>
              </w:rPr>
            </w:pPr>
            <w:r>
              <w:rPr>
                <w:rFonts w:ascii="Arial" w:cs="Arial" w:eastAsia="Arial" w:hAnsi="Arial"/>
                <w:sz w:val="18"/>
                <w:szCs w:val="18"/>
                <w:color w:val="auto"/>
              </w:rPr>
              <w:t>Corporate activities</w:t>
            </w:r>
          </w:p>
        </w:tc>
        <w:tc>
          <w:tcPr>
            <w:tcW w:w="14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190" w:type="dxa"/>
            <w:vAlign w:val="bottom"/>
            <w:gridSpan w:val="3"/>
          </w:tcPr>
          <w:p>
            <w:pPr>
              <w:jc w:val="right"/>
              <w:ind w:right="7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$ 2,339</w:t>
            </w:r>
          </w:p>
        </w:tc>
        <w:tc>
          <w:tcPr>
            <w:tcW w:w="7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$ 2,162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$ 4,531</w:t>
            </w:r>
          </w:p>
        </w:tc>
        <w:tc>
          <w:tcPr>
            <w:tcW w:w="7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$ 3,989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gridSpan w:val="2"/>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Borders>
              <w:bottom w:val="single" w:sz="8" w:color="auto"/>
            </w:tcBorders>
            <w:gridSpan w:val="4"/>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43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w w:val="92"/>
              </w:rPr>
              <w:t>For Three Months Ended</w:t>
            </w:r>
          </w:p>
        </w:tc>
        <w:tc>
          <w:tcPr>
            <w:tcW w:w="100" w:type="dxa"/>
            <w:vAlign w:val="bottom"/>
          </w:tcPr>
          <w:p>
            <w:pPr>
              <w:spacing w:after="0"/>
              <w:rPr>
                <w:sz w:val="24"/>
                <w:szCs w:val="24"/>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Borders>
              <w:bottom w:val="single" w:sz="8" w:color="auto"/>
            </w:tcBorders>
            <w:gridSpan w:val="4"/>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720" w:type="dxa"/>
            <w:vAlign w:val="bottom"/>
            <w:gridSpan w:val="2"/>
          </w:tcPr>
          <w:p>
            <w:pPr>
              <w:spacing w:after="0"/>
              <w:rPr>
                <w:sz w:val="8"/>
                <w:szCs w:val="8"/>
                <w:color w:val="auto"/>
              </w:rPr>
            </w:pPr>
          </w:p>
        </w:tc>
        <w:tc>
          <w:tcPr>
            <w:tcW w:w="1300" w:type="dxa"/>
            <w:vAlign w:val="bottom"/>
            <w:tcBorders>
              <w:bottom w:val="single" w:sz="8" w:color="auto"/>
            </w:tcBorders>
            <w:gridSpan w:val="3"/>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552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Profit</w:t>
            </w:r>
          </w:p>
        </w:tc>
        <w:tc>
          <w:tcPr>
            <w:tcW w:w="14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1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2003</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55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Sensors &amp; Controls</w:t>
            </w:r>
          </w:p>
        </w:tc>
        <w:tc>
          <w:tcPr>
            <w:tcW w:w="14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3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Corporate activities</w:t>
            </w:r>
          </w:p>
        </w:tc>
        <w:tc>
          <w:tcPr>
            <w:tcW w:w="14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gridSpan w:val="3"/>
          </w:tcPr>
          <w:p>
            <w:pPr>
              <w:jc w:val="right"/>
              <w:ind w:right="7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14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of applicable profit sharing</w:t>
            </w:r>
          </w:p>
        </w:tc>
        <w:tc>
          <w:tcPr>
            <w:tcW w:w="146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119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w w:val="91"/>
              </w:rPr>
              <w:t>Interest on loans/other income (expense) net, excluding a first-quarter 2003</w:t>
            </w:r>
          </w:p>
        </w:tc>
        <w:tc>
          <w:tcPr>
            <w:tcW w:w="14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w w:val="89"/>
              </w:rPr>
              <w:t>charge of $10, a second-quarter 2002 gain of $20 and a first-quarter 2002</w:t>
            </w:r>
          </w:p>
        </w:tc>
        <w:tc>
          <w:tcPr>
            <w:tcW w:w="14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w w:val="95"/>
              </w:rPr>
              <w:t>charge of $1 included above in Charges/gains and acquisition-related</w:t>
            </w:r>
          </w:p>
        </w:tc>
        <w:tc>
          <w:tcPr>
            <w:tcW w:w="14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3"/>
          </w:tcPr>
          <w:p>
            <w:pPr>
              <w:ind w:left="200"/>
              <w:spacing w:after="0"/>
              <w:rPr>
                <w:sz w:val="20"/>
                <w:szCs w:val="20"/>
                <w:color w:val="auto"/>
              </w:rPr>
            </w:pPr>
            <w:r>
              <w:rPr>
                <w:rFonts w:ascii="Arial" w:cs="Arial" w:eastAsia="Arial" w:hAnsi="Arial"/>
                <w:sz w:val="18"/>
                <w:szCs w:val="18"/>
                <w:color w:val="auto"/>
              </w:rPr>
              <w:t>amortization</w:t>
            </w:r>
          </w:p>
        </w:tc>
        <w:tc>
          <w:tcPr>
            <w:tcW w:w="14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3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5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4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7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60" w:type="dxa"/>
            <w:vAlign w:val="bottom"/>
            <w:vMerge w:val="restart"/>
          </w:tcPr>
          <w:p>
            <w:pPr>
              <w:jc w:val="right"/>
              <w:ind w:right="1132"/>
              <w:spacing w:after="0"/>
              <w:rPr>
                <w:sz w:val="20"/>
                <w:szCs w:val="20"/>
                <w:color w:val="auto"/>
              </w:rPr>
            </w:pPr>
            <w:r>
              <w:rPr>
                <w:rFonts w:ascii="Arial" w:cs="Arial" w:eastAsia="Arial" w:hAnsi="Arial"/>
                <w:sz w:val="18"/>
                <w:szCs w:val="18"/>
                <w:color w:val="auto"/>
              </w:rPr>
              <w:t>7</w:t>
            </w: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-2950210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-2950210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-2950210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-2950210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-2950210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-2950210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-2950210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-2950210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-2950210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-2950210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-2950210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-2950210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-420370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-420370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-420370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-420370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-420370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-420370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-420370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-420370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-420370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-420370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-420370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-420370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 w:name="page8"/>
    <w:bookmarkEnd w:id="7"/>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Restructuring Actions</w:t>
      </w:r>
    </w:p>
    <w:p>
      <w:pPr>
        <w:spacing w:after="0" w:line="7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Effective January 1, 2003, the company adopted SFAS No. 146, Accounting for Costs Associated with Exit or Disposal Activities.</w:t>
      </w:r>
    </w:p>
    <w:p>
      <w:pPr>
        <w:spacing w:after="0" w:line="77" w:lineRule="exact"/>
        <w:rPr>
          <w:sz w:val="20"/>
          <w:szCs w:val="20"/>
          <w:color w:val="auto"/>
        </w:rPr>
      </w:pPr>
    </w:p>
    <w:p>
      <w:pPr>
        <w:ind w:left="466" w:right="160"/>
        <w:spacing w:after="0" w:line="290" w:lineRule="auto"/>
        <w:rPr>
          <w:sz w:val="20"/>
          <w:szCs w:val="20"/>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850 jobs through voluntary retirement and involuntary termination programs over the next two years, primarily at the Attleboro headquarters of the Sensors &amp; Controls business. The total cost of this restructuring action is expected to be about $70 million. In the second quarter of 2003, the company recorded net pretax charges of $26 million, primarily for severance costs. Of the $26 million, $22 million is included in cost of revenue, and $4 million is included in selling, general and administrative expense. The total number of employees affected was 183, primarily at the Attleboro location.</w:t>
      </w:r>
    </w:p>
    <w:p>
      <w:pPr>
        <w:spacing w:after="0" w:line="24" w:lineRule="exact"/>
        <w:rPr>
          <w:sz w:val="20"/>
          <w:szCs w:val="20"/>
          <w:color w:val="auto"/>
        </w:rPr>
      </w:pPr>
    </w:p>
    <w:p>
      <w:pPr>
        <w:ind w:left="466" w:right="220"/>
        <w:spacing w:after="0" w:line="254" w:lineRule="auto"/>
        <w:rPr>
          <w:sz w:val="20"/>
          <w:szCs w:val="20"/>
          <w:color w:val="auto"/>
        </w:rPr>
      </w:pPr>
      <w:r>
        <w:rPr>
          <w:rFonts w:ascii="Arial" w:cs="Arial" w:eastAsia="Arial" w:hAnsi="Arial"/>
          <w:sz w:val="18"/>
          <w:szCs w:val="18"/>
          <w:color w:val="auto"/>
        </w:rPr>
        <w:t>Semiconductor Restructuring Action: Also in the second quarter of 2003, the company announced a restructuring action that is expected to affect about 860 jobs in Semiconductor manufacturing operations in the U.S. and international locations, as those operations continue to become more productive with fewer people. The total cost of this restructuring action is expected to be about $80 million. In the second quarter of 2003, the company recorded net pretax charges of $23 million, primarily for severance costs. Of the $23 million, $21 million is included in cost of revenue, and $2 million is included in selling, general and administrative expense. The total number of employees affected was 105 at U.S. and Germany locations.</w:t>
      </w:r>
    </w:p>
    <w:p>
      <w:pPr>
        <w:spacing w:after="0" w:line="50"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color w:val="auto"/>
        </w:rPr>
        <w:t>Semiconductor Severance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in severance and benefit costs, of which $11 million was included in cost of revenue, $4 million in selling, general and administrative expense, and $2 million in research and development expense. As of June 30, 2003, all employees have been terminated and a balance of $2 million of severance and benefit costs remains to be paid. Payments are expected to be completed in 2003.</w:t>
      </w:r>
    </w:p>
    <w:p>
      <w:pPr>
        <w:spacing w:after="0" w:line="24" w:lineRule="exact"/>
        <w:rPr>
          <w:sz w:val="20"/>
          <w:szCs w:val="20"/>
          <w:color w:val="auto"/>
        </w:rPr>
      </w:pPr>
    </w:p>
    <w:p>
      <w:pPr>
        <w:ind w:left="466" w:right="20"/>
        <w:spacing w:after="0" w:line="298" w:lineRule="auto"/>
        <w:rPr>
          <w:sz w:val="20"/>
          <w:szCs w:val="20"/>
          <w:color w:val="auto"/>
        </w:rPr>
      </w:pPr>
      <w:r>
        <w:rPr>
          <w:rFonts w:ascii="Arial" w:cs="Arial" w:eastAsia="Arial" w:hAnsi="Arial"/>
          <w:sz w:val="16"/>
          <w:szCs w:val="16"/>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Employees affected by this plan, primarily in manufacturing operations, totaled 5724.</w:t>
      </w:r>
    </w:p>
    <w:p>
      <w:pPr>
        <w:spacing w:after="0" w:line="18" w:lineRule="exact"/>
        <w:rPr>
          <w:sz w:val="20"/>
          <w:szCs w:val="20"/>
          <w:color w:val="auto"/>
        </w:rPr>
      </w:pPr>
    </w:p>
    <w:p>
      <w:pPr>
        <w:jc w:val="center"/>
        <w:ind w:right="774"/>
        <w:spacing w:after="0" w:line="440" w:lineRule="auto"/>
        <w:rPr>
          <w:sz w:val="20"/>
          <w:szCs w:val="20"/>
          <w:color w:val="auto"/>
        </w:rPr>
      </w:pPr>
      <w:r>
        <w:rPr>
          <w:rFonts w:ascii="Arial" w:cs="Arial" w:eastAsia="Arial" w:hAnsi="Arial"/>
          <w:sz w:val="18"/>
          <w:szCs w:val="18"/>
          <w:color w:val="auto"/>
        </w:rPr>
        <w:t>Voluntary/Involuntary Programs in U.S.: In the first quarter of 2001, the company announced a voluntary retirement program and a 8</w:t>
      </w:r>
    </w:p>
    <w:p>
      <w:pPr>
        <w:sectPr>
          <w:pgSz w:w="11900" w:h="16838" w:orient="portrait"/>
          <w:cols w:equalWidth="0" w:num="1">
            <w:col w:w="10926"/>
          </w:cols>
          <w:pgMar w:left="694" w:top="280" w:right="279" w:bottom="1440" w:gutter="0" w:footer="0" w:header="0"/>
        </w:sectPr>
      </w:pPr>
    </w:p>
    <w:bookmarkStart w:id="8" w:name="page9"/>
    <w:bookmarkEnd w:id="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 was included in cost of revenue, $48 million in selling, general, and administrative expense, $1 million in research and development expense, and $3 million in other income. At year-end 2002, this program was complete.</w:t>
      </w:r>
    </w:p>
    <w:p>
      <w:pPr>
        <w:spacing w:after="0" w:line="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were included in cost of revenue.</w:t>
      </w:r>
    </w:p>
    <w:p>
      <w:pPr>
        <w:spacing w:after="0" w:line="2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cost of revenue. As of June 30, 2003, this program was complete.</w:t>
      </w:r>
    </w:p>
    <w:p>
      <w:pPr>
        <w:spacing w:after="0" w:line="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As of June 30, 2003, all employees have been terminated and a balance of $27 million of severance and benefit costs remains to be paid. Payments are expected to continue through 2007, of which $11 million is to be paid in 2003, $5 million in 2004, $5 million in 2005, and $3 million in both 2006 and 2007.</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Prior Actions: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years prior to 2001, actions were taken to terminate employees primarily in the company’s European locations. As of June 30, 2003, a balance of $4 million in severance and benefit costs remains to be paid. Payments are expected to continue through 2004, of which $2 million is to be paid in 2003 and $2 million in 2004.</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0"/>
          </w:cols>
          <w:pgMar w:left="116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Year of Charge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26"/>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83"/>
              </w:rPr>
              <w:t>Balance,</w:t>
            </w: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prior</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SC</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actions –</w:t>
            </w: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SC site</w:t>
            </w:r>
          </w:p>
        </w:tc>
        <w:tc>
          <w:tcPr>
            <w:tcW w:w="3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SC</w:t>
            </w:r>
          </w:p>
        </w:tc>
        <w:tc>
          <w:tcPr>
            <w:tcW w:w="80" w:type="dxa"/>
            <w:vAlign w:val="bottom"/>
          </w:tcPr>
          <w:p>
            <w:pPr>
              <w:spacing w:after="0"/>
              <w:rPr>
                <w:sz w:val="12"/>
                <w:szCs w:val="12"/>
                <w:color w:val="auto"/>
              </w:rPr>
            </w:pPr>
          </w:p>
        </w:tc>
        <w:tc>
          <w:tcPr>
            <w:tcW w:w="5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S&amp;C</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primarily</w:t>
            </w: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closings</w:t>
            </w:r>
          </w:p>
        </w:tc>
        <w:tc>
          <w:tcPr>
            <w:tcW w:w="3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Severance</w:t>
            </w:r>
          </w:p>
        </w:tc>
        <w:tc>
          <w:tcPr>
            <w:tcW w:w="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1"/>
              </w:rPr>
              <w:t>Severance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Severance</w:t>
            </w:r>
          </w:p>
        </w:tc>
        <w:tc>
          <w:tcPr>
            <w:tcW w:w="0" w:type="dxa"/>
            <w:vAlign w:val="bottom"/>
          </w:tcPr>
          <w:p>
            <w:pPr>
              <w:spacing w:after="0"/>
              <w:rPr>
                <w:sz w:val="1"/>
                <w:szCs w:val="1"/>
                <w:color w:val="auto"/>
              </w:rPr>
            </w:pPr>
          </w:p>
        </w:tc>
      </w:tr>
      <w:tr>
        <w:trPr>
          <w:trHeight w:val="174"/>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78"/>
              </w:rPr>
              <w:t>severance</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U.S.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actions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action</w:t>
            </w:r>
          </w:p>
        </w:tc>
        <w:tc>
          <w:tcPr>
            <w:tcW w:w="80" w:type="dxa"/>
            <w:vAlign w:val="bottom"/>
          </w:tcPr>
          <w:p>
            <w:pPr>
              <w:spacing w:after="0"/>
              <w:rPr>
                <w:sz w:val="15"/>
                <w:szCs w:val="15"/>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7"/>
              </w:rPr>
              <w:t>Action</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620" w:type="dxa"/>
            <w:vAlign w:val="bottom"/>
            <w:gridSpan w:val="3"/>
          </w:tcPr>
          <w:p>
            <w:pPr>
              <w:spacing w:after="0"/>
              <w:rPr>
                <w:sz w:val="20"/>
                <w:szCs w:val="20"/>
                <w:color w:val="auto"/>
              </w:rPr>
            </w:pPr>
            <w:r>
              <w:rPr>
                <w:rFonts w:ascii="Arial" w:cs="Arial" w:eastAsia="Arial" w:hAnsi="Arial"/>
                <w:sz w:val="18"/>
                <w:szCs w:val="18"/>
                <w:color w:val="auto"/>
              </w:rPr>
              <w:t>DISPOSITIONS: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620" w:type="dxa"/>
            <w:vAlign w:val="bottom"/>
            <w:gridSpan w:val="3"/>
          </w:tcPr>
          <w:p>
            <w:pPr>
              <w:spacing w:after="0"/>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acceleration of depreciation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620" w:type="dxa"/>
            <w:vAlign w:val="bottom"/>
            <w:gridSpan w:val="3"/>
          </w:tcPr>
          <w:p>
            <w:pPr>
              <w:spacing w:after="0"/>
              <w:rPr>
                <w:sz w:val="20"/>
                <w:szCs w:val="20"/>
                <w:color w:val="auto"/>
              </w:rPr>
            </w:pPr>
            <w:r>
              <w:rPr>
                <w:rFonts w:ascii="Arial" w:cs="Arial" w:eastAsia="Arial" w:hAnsi="Arial"/>
                <w:sz w:val="18"/>
                <w:szCs w:val="18"/>
                <w:color w:val="auto"/>
              </w:rPr>
              <w:t>DISPOSITIONS: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transfer to accumulated depreciation</w:t>
            </w: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gridSpan w:val="2"/>
            <w:vMerge w:val="restart"/>
          </w:tcPr>
          <w:p>
            <w:pPr>
              <w:ind w:left="220"/>
              <w:spacing w:after="0"/>
              <w:rPr>
                <w:sz w:val="20"/>
                <w:szCs w:val="20"/>
                <w:color w:val="auto"/>
              </w:rPr>
            </w:pPr>
            <w:r>
              <w:rPr>
                <w:rFonts w:ascii="Arial" w:cs="Arial" w:eastAsia="Arial" w:hAnsi="Arial"/>
                <w:sz w:val="18"/>
                <w:szCs w:val="18"/>
                <w:color w:val="auto"/>
              </w:rPr>
              <w:t>*Abbreviations</w:t>
            </w: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-325755</wp:posOffset>
            </wp:positionV>
            <wp:extent cx="25273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-325755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-325755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-325755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4070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 = Semiconductor</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S&amp;C = Sensors and Controls</w:t>
      </w:r>
    </w:p>
    <w:p>
      <w:pPr>
        <w:spacing w:after="0" w:line="151" w:lineRule="exact"/>
        <w:rPr>
          <w:sz w:val="20"/>
          <w:szCs w:val="20"/>
          <w:color w:val="auto"/>
        </w:rPr>
      </w:pPr>
    </w:p>
    <w:p>
      <w:pPr>
        <w:ind w:left="900" w:right="8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July 2003, the company sold 24.7 million shares of Micron common stock. TI will recognize a pre-tax gain in accordance with generally accepted accounting principles of $106 million from this sale, which will be recorded in other income (expense) net in the third quarter.</w:t>
      </w:r>
    </w:p>
    <w:p>
      <w:pPr>
        <w:spacing w:after="0" w:line="1" w:lineRule="exact"/>
        <w:rPr>
          <w:sz w:val="20"/>
          <w:szCs w:val="20"/>
          <w:color w:val="auto"/>
        </w:rPr>
      </w:pPr>
    </w:p>
    <w:p>
      <w:pPr>
        <w:ind w:left="920" w:right="40"/>
        <w:spacing w:after="0" w:line="253" w:lineRule="auto"/>
        <w:rPr>
          <w:sz w:val="20"/>
          <w:szCs w:val="20"/>
          <w:color w:val="auto"/>
        </w:rPr>
      </w:pPr>
      <w:r>
        <w:rPr>
          <w:rFonts w:ascii="Arial" w:cs="Arial" w:eastAsia="Arial" w:hAnsi="Arial"/>
          <w:sz w:val="18"/>
          <w:szCs w:val="18"/>
          <w:color w:val="auto"/>
        </w:rPr>
        <w:t>TI carries its public stock holdings at current market value on its balance sheet and records an impairment write-down against earnings if a stock’s value declines below its cost basis and the decline is deemed other than temporary. In the fourth quarter of 2002, TI recorded an impairment write-down of its Micron common stock but fully reserved the tax benefit associated with the write-down due to uncertainty as to its ultimate realization. $162 million of TI’s tax benefit associated with the prior year write-down was realized upon the July 2003 sale of the Micron common stock through the utilization of a capital loss carryback that was due to expire at the end of 2003. The combined effect of the gain and the tax benefit will be an increase of $230 million to the company’s net income for the third quarter of 2003. TI continues to hold 32.3 million shares of Micron common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18"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For the second quarter of 2003, TI’s revenue of $2339 million increased 7 percent sequentially due to seasonal growth in Educational &amp; Productivity Solutions (E&amp;PS) as well as growth in Semiconductor. Revenue grew 8 percent compared with the year-ago quarter due to growth in Semiconductor. TI’s revenue growth in the second quarter demonstrates the benefit of diversity in its products and markets as sequential growth across almost all of its major product lines more than offset a decline in wireless. The company believes it continues to gain share in critical markets, including broadband communications, digital signal processing and analog.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Semiconductor revenue increased 3 percent sequentially as growth from a broad range of semiconductor products offset a sequential decline in wireless.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 Semiconductor revenue increased 9 percent due to growth in demand across most product lines.</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Revenue from the wireless market was down 5 percent sequentially and was up 16 percent from the year-ago quarter. Despite the sequential decline, wireless revenue was higher than the company expected in its June 10 financial update due to strong customer demand during the last few days of the quarter. Broadband revenue grew 44 percent on a sequential basis and 84 percent compared with the year-ago quarter. Analog revenue grew 5 percent sequentially and 4 percent compared with the year-ago quarter. DSP revenue was about even sequentially and grew 21 percent compared with the year-ago quarter.</w:t>
      </w:r>
    </w:p>
    <w:p>
      <w:pPr>
        <w:spacing w:after="0" w:line="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Sensors &amp; Controls revenue increased 3 percent sequentially and 4 percent compared with the year-ago quarter. In a seasonally strong quarter, E&amp;PS revenue increased 104 percent sequentially and 4 percent compared with the year-ago period.</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second quarter, the company incurred $49 million in restructuring charges. Of that total, $43 million is included in cost of revenue, and $6 million is in selling, general and administrative (SG&amp;A) expense. TI expects an additional $100 million in restructuring charges by the end of 2004. These charges are related to job reductions and will be distributed over the quarters in which jobs are eliminated. When completed, the restructuring actions are expected to result in about $105 million of annual savings, of which $65 million will be in Semiconductor and $40 million will be in Sensors &amp; Controls.</w:t>
      </w:r>
    </w:p>
    <w:p>
      <w:pPr>
        <w:spacing w:after="0" w:line="99"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Cost of revenue in the second quarter was $1462 million or 62.5 percent of revenue, compared with $1330 million or 60.7 percent of revenue in the first quarter of 2003 and $1306 million or 60.4 percent of revenue in the year-ago quarter. Cost of revenue as a percent of revenue increased due to restructuring charges.</w:t>
      </w:r>
    </w:p>
    <w:p>
      <w:pPr>
        <w:spacing w:after="0" w:line="4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Gross profit of $877 million increased 2 percent sequentially and 3 percent compared with the year-ago quarter. Gross profit margin was 37.5 percent of revenue, a decrease of 1.8 percentage points sequentially and 2.1 percentage points compared with the year-ago quarter primarily due to restructuring charges.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11" w:name="page12"/>
    <w:bookmarkEnd w:id="11"/>
    <w:p>
      <w:pPr>
        <w:jc w:val="both"/>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development (R&amp;D) expense of $424 million was up 4 percent sequentially and 5 percent compared with the year-ago quarter due to increased product development activity within Semiconductor, especially for wireless products. R&amp;D expense as a percent of revenue decreased 0.5 percentage points sequentially and decreased 0.6 percentage points compared with the year-ago quarter due to higher revenue.</w:t>
      </w:r>
    </w:p>
    <w:p>
      <w:pPr>
        <w:spacing w:after="0" w:line="9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SG&amp;A expense of $328 million increased 9 percent sequentially and 10 percent compared with the year-ago period primarily due to higher general and administrative expenses, including lease termination and restructuring expenses. Seasonally higher E&amp;PS marketing expenses also contributed to the sequential growth in SG&amp;A. SG&amp;A expense as a percent of revenue increased 0.3 percentage points sequentially and compared with the year-ago quarter.</w:t>
      </w:r>
    </w:p>
    <w:p>
      <w:pPr>
        <w:spacing w:after="0" w:line="9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Operating profit of $125 million, or 5.3 percent of revenue, decreased $28 million sequentially and $30 million compared with the year-ago quarter due to restructuring charges.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income (expense) net (OI&amp;E) of $36 million includes interest income, investment gains (losses) and other items. OI&amp;E increased sequentially and compared with the year-ago quarter due to lower net investment losses as well as a $10 million charge in the first quarter of 2003 associated with the redemption of convertible notes originally issued by Burr-Brown Corporation, which was acquired by TI. Interest expense of $10 million declined on a sequential basis and compared with the year-ago quarter due to the company’s lower debt level.</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income in the quarter was $121 million, or $0.07 per share. The effective tax rate for the quarter was 20 percent, lower than previously expected due to a revision in the company’s expected tax rate for the year and the resulting cumulative catch-up tax benefit of $3 million.</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TI orders of $2311 million and Semiconductor orders of $1901 million in the second quarter were about even sequentially and compared with the year-ago period. The Semiconductor book-to-bill ratio was 0.99 for the second quarter, compared with 1.03 in the prior quarter.</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Total cash (cash and cash equivalents plus short-term investments and long-term cash investments) of $4183 million increased by $38 million compared with the end of the prior quarter and increased by $709 million from the end of the year-ago quarter. Cash flow from operations increased to $378 million compared with $196 million in the prior quarter due to working capital, and decreased slightly compared with $387 million in the year-ago quarter.</w:t>
      </w:r>
    </w:p>
    <w:p>
      <w:pPr>
        <w:spacing w:after="0" w:line="93"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Accounts receivable increased sequentially by $75 million due to seasonally higher sales of E&amp;PS products. Accounts receivable were about even with the year-ago quarter. Days sales outstanding were 55 days at the end of the second quarter compared with 56 days in the prior quarter and 60 days in the year-ago quarter.</w:t>
      </w:r>
    </w:p>
    <w:p>
      <w:pPr>
        <w:spacing w:after="0" w:line="49"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Inventory increased by $118 million sequentially primarily to support reduced product lead times. In addition, delays by certain wireless customers of product shipments from second quarter into third quarter and a normal seasonal increase in E&amp;PS contributed to higher inventory. Compared with the year-ago quarter, inventory increased $180 million primarily due to the higher revenue level and to support reduced product leadtimes. Days of inventory increased to 62 days at the end of the second quarter compared with 60 days at the end of the prior quarter and 56 days at the end of the year-ago quarter.</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8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2"/>
              </w:rPr>
              <w:t>For Three Months Ended</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2,339</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 % of revenue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R&amp;D % of revenue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328</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SG&amp;A % of revenue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Operating income % of revenue</w:t>
            </w:r>
          </w:p>
        </w:tc>
        <w:tc>
          <w:tcPr>
            <w:tcW w:w="120" w:type="dxa"/>
            <w:vAlign w:val="bottom"/>
          </w:tcPr>
          <w:p>
            <w:pPr>
              <w:spacing w:after="0"/>
              <w:rPr>
                <w:sz w:val="18"/>
                <w:szCs w:val="18"/>
                <w:color w:val="auto"/>
              </w:rPr>
            </w:pP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Interest on loans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-329565</wp:posOffset>
            </wp:positionV>
            <wp:extent cx="3556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-329565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-329565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3556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TI intends to provide a mid-quarter update to its financial outlook on September 9 by issuing a press release and holding a conference call. Both will be available on the company’s web site.</w:t>
      </w:r>
    </w:p>
    <w:p>
      <w:pPr>
        <w:spacing w:after="0" w:line="11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For the third quarter of 2003, TI expects total revenue to be in the range of $2290 million to $2490 million. Inside that total, Semiconductor revenue is expected to be in the range of $1890 million to $2050 million; Sensors &amp; Controls revenue is expected to be in the range of $230 million to $250 million; and E&amp;PS revenue is expected to be in the range of $170 million to $190 million. Third quarter results will also include about $45 million in restructuring charges. TI expects the restructuring charges to drop down to one-third this level in the fourth quarter and then drop down to approximately $10 million per quarter in 2004.</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TI expects earnings per share to be in the range of $0.19 to $0.23, including a $0.13 per share contribution from the company’s previously announced sale of 24.7 million shares of Micron Technology Inc. (Micron), common stock.</w:t>
      </w:r>
    </w:p>
    <w:p>
      <w:pPr>
        <w:spacing w:after="0" w:line="11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For 2003, TI continues to expect: R&amp;D to be about $1.7 billion</w:t>
      </w:r>
      <w:r>
        <w:rPr>
          <w:rFonts w:ascii="Arial" w:cs="Arial" w:eastAsia="Arial" w:hAnsi="Arial"/>
          <w:sz w:val="18"/>
          <w:szCs w:val="18"/>
          <w:i w:val="1"/>
          <w:iCs w:val="1"/>
          <w:color w:val="auto"/>
        </w:rPr>
        <w:t>;</w:t>
      </w:r>
      <w:r>
        <w:rPr>
          <w:rFonts w:ascii="Arial" w:cs="Arial" w:eastAsia="Arial" w:hAnsi="Arial"/>
          <w:sz w:val="18"/>
          <w:szCs w:val="18"/>
          <w:color w:val="auto"/>
        </w:rPr>
        <w:t xml:space="preserve"> capital expenditures to be about $800 million; and depreciation to be about $1.4 billion. The effective tax rate for the year is expected to be about 22 percent, exclusive of the tax impact of the Micron stock transaction, compared with the company’s previous estimate of 24 percent.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Semiconductor revenue in the second quarter was $1927 million, up 3 percent sequentially as strength across a broad range of product areas offset a decline in wireless. Revenue was up 9 percent from the year-ago quarter due to strength across most product areas.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Gross profit for the second quarter was $743 million compared with $748 million in the prior period. Second-quarter gross profit was up from $703 million in the year-ago quarter due to higher revenue.</w:t>
      </w:r>
    </w:p>
    <w:p>
      <w:pPr>
        <w:spacing w:after="0" w:line="118"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color w:val="auto"/>
        </w:rPr>
        <w:t>Gross profit margin of 38.6 percent in the quarter declined 1.4 percentage points sequentially. Much of the second quarter’s revenue growth came from newer products that are still ramping to mature manufacturing yields, and from commodity products that are affected by cyclical price pressure. Gross profit margin declined 1.2 percentage points compared with the year-ago quarter primarily due to lower royalties. Royalties declined from the year-ago quarter due to a $30 million catch-up royalty in the second quarter of 2002 from a new semiconductor cross-license agreement.</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Semiconductor operating profit for the second quarter declined to $126 million, or 6.5 percent of revenue, compared with $147 million in the prior quarter and $132 million in the year-ago quarter due to higher operating expenses.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Analog revenue increased 5 percent sequentially primarily due to higher shipments of display drivers, broadband products and high-performance analog products. Analog revenue increased 4 percent from the year-ago quarter primarily due to growth in high-performance analog standard product shipments as well as strength in storage, display drivers and broadband more than offsetting declines in analog wireless. In the first half of 2003, about 40 percent of total Semiconductor revenue came from Analog.</w:t>
      </w:r>
    </w:p>
    <w:p>
      <w:pPr>
        <w:spacing w:after="0" w:line="1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DSP revenue was about even sequentially as growth in shipments for the digital consumer and broadband markets offset lower wireless revenue in the second quarter of 2003. DSP revenue grew 21 percent from the year-ago quarter due to higher shipments into the wireless, broadband and digital consumer markets. In the first half of 2003, about 30 percent of total Semiconductor revenue came from DSP.</w:t>
      </w:r>
    </w:p>
    <w:p>
      <w:pPr>
        <w:spacing w:after="0" w:line="12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TI’s remaining Semiconductor revenue increased 4 percent sequentially primarily due to higher shipments of standard logic products as well as growth in RISC microprocessors. RISC microprocessors grew in line with overall Semiconductor growth. Revenue from Digital Light Processing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(DLP</w:t>
      </w:r>
      <w:r>
        <w:rPr>
          <w:rFonts w:ascii="Arial" w:cs="Arial" w:eastAsia="Arial" w:hAnsi="Arial"/>
          <w:sz w:val="20"/>
          <w:szCs w:val="20"/>
          <w:color w:val="auto"/>
          <w:vertAlign w:val="superscript"/>
        </w:rPr>
        <w:t>™</w:t>
      </w:r>
      <w:r>
        <w:rPr>
          <w:rFonts w:ascii="Arial" w:cs="Arial" w:eastAsia="Arial" w:hAnsi="Arial"/>
          <w:sz w:val="16"/>
          <w:szCs w:val="16"/>
          <w:color w:val="auto"/>
        </w:rPr>
        <w:t>) products, microcontrollers and royalties declined on a sequential basis due to lower shipments. Compared with the year-ago quarter, revenue increased 4 percent due to higher shipments of DLP products, RISC microprocessors and standard logic, while revenue from royalties and microcontrollers declined.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TI’s Semiconductor revenue in key markets was as follows:</w:t>
      </w:r>
    </w:p>
    <w:p>
      <w:pPr>
        <w:spacing w:after="0" w:line="77" w:lineRule="exact"/>
        <w:rPr>
          <w:sz w:val="20"/>
          <w:szCs w:val="20"/>
          <w:color w:val="auto"/>
        </w:rPr>
      </w:pPr>
    </w:p>
    <w:p>
      <w:pPr>
        <w:ind w:left="780" w:right="6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Wireless revenue decreased 5 percent compared with the first quarter. The sequential decline was most pronounced in products, particularly chipsets, for 2G handsets. Chipset sales were down about 25 percent compared with the first quarter. In the second quarter, TI’s wireless customers experienced a slowdown in demand for handsets and excess inventory, particularly in Asia. TI’s 2.5G-related handset revenue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jc w:val="both"/>
        <w:ind w:left="800" w:right="2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continued to grow sequentially and was over 60 percent of total wireless revenue in the quarter. The average selling price of 2.5G digital baseband processors continued to be more than double that of 2G digital basebands. Compared with the year-ago period, TI’s wireless revenue increased 16 percent primarily due to higher shipments of 2.5G products and OMAP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applications processors. In the first half of 2003, about 30 percent of total Semiconductor revenue came from wireless.</w:t>
      </w:r>
    </w:p>
    <w:p>
      <w:pPr>
        <w:spacing w:after="0" w:line="62" w:lineRule="exact"/>
        <w:rPr>
          <w:sz w:val="20"/>
          <w:szCs w:val="20"/>
          <w:color w:val="auto"/>
        </w:rPr>
      </w:pPr>
    </w:p>
    <w:p>
      <w:pPr>
        <w:ind w:left="780" w:right="200" w:hanging="326"/>
        <w:spacing w:after="0" w:line="347"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Revenue from TI’s catalog products, composed of high-performance analog and catalog DSP, was up 6 percent sequentially and 14 percent from the year-ago quarter due to higher shipments. In the first half of 2003, about 15 percent of total Semiconductor revenue came from catalog products.</w:t>
      </w:r>
    </w:p>
    <w:p>
      <w:pPr>
        <w:ind w:left="780" w:right="18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packet (VoP) and wireless local area networks (WLANs), increased 44 percent sequentially and 84 percent from the year-ago quarter due to higher shipments. In the first half of 2003, about 5 percent of total Semiconductor revenue came from broadband communications.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Semiconductor orders were $1901 million, about even sequentially and compared with the year-ago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Sensors &amp; Controls revenue was $261 million in the second quarter, up 3 percent sequentially and 4 percent compared with the year-ago quarter due about equally to higher shipments of sensor products and higher shipments of control products.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was $98 million, or 37.6 percent of revenue, up from $90 million in the prior quarter and $84 million in the year-ago quarter. About $4 million of gross profit in the second quarter was due to a settlement of litigation. The gain in gross profit from the year-ago quarter was primarily due to manufacturing cost reductions.</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profit was $68 million, or 26.0 percent of revenue, up from $61 million in the prior quarter and $56 million in the year-ago quarter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E&amp;PS revenue was $156 million in the second quarter, up 104 percent sequentially due to the start of retail stocking of calculators ahead of the back-to-school season. Compared with the year-ago period, revenue was up 4 percent due to higher sales to U.S. retailers.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Gross profit was $89 million, or 57.0 percent of revenue, up 135 percent sequentially due to higher revenue and up 12 percent from the year-ago quarter primarily due to a combination of higher revenue and product cost reductions.</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Operating profit was $58 million, or 37.1 percent of revenue, up from $15 million in the previous quarter and $49 million in the year-ago quarter due to higher gross profit.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Half of 2003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2003, TI reported the following:</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 revenue was $4531 million, up from $3989 million in the first six months of 2002, due to Semiconductor.</w:t>
      </w:r>
    </w:p>
    <w:p>
      <w:pPr>
        <w:spacing w:after="0" w:line="103" w:lineRule="exact"/>
        <w:rPr>
          <w:rFonts w:ascii="Arial" w:cs="Arial" w:eastAsia="Arial" w:hAnsi="Arial"/>
          <w:sz w:val="18"/>
          <w:szCs w:val="18"/>
          <w:color w:val="auto"/>
        </w:rPr>
      </w:pPr>
    </w:p>
    <w:p>
      <w:pPr>
        <w:ind w:left="780" w:hanging="326"/>
        <w:spacing w:after="0" w:line="325"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of revenue was $2793 million or 61.6 percent of revenue, compared with $2523 million or 63.2 percent of revenue in the first six months of 2002. Cost of revenue as a percent of revenue decreased primarily due to higher Semiconductor factory utilization and lower depreciation expense.</w:t>
      </w:r>
    </w:p>
    <w:p>
      <w:pPr>
        <w:spacing w:after="0" w:line="1"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of $1738 million increased 19 percent compared with the year-ago period due to Semiconductor. Gross profit margin was 38.4 percent of revenue, an increase of 1.6 percentage points from the year-ago period primarily due to higher Semiconductor factory utilization and lower depreciation.</w:t>
      </w:r>
    </w:p>
    <w:p>
      <w:pPr>
        <w:spacing w:after="0" w:line="45"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R&amp;D expense of $832 million was up 5 percent compared with the year-ago period due to product development in wireless. R&amp;D expense as a percent of revenue decreased 1.5 percentage points compared with the year-ago period due to higher revenue.</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SG&amp;A expense of $629 million increased 12 percent from the year-ago period primarily due to Semiconductor. SG&amp;A expense as a percent of revenue decreased 0.2 percentage points compared with the year-ago period due to higher revenue.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Operating profit of $277 million, or 6.1 percent of revenue, increased $166 million compared with the year-ago period due to higher gross profit.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OI&amp;E was $51 million, an increase of $64 million from the first six months of 2002 due to lower investment write-downs.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 tax rate was 22 percent.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income was $238 million, or $0.14 per share, compared with $57 million, or $0.03 per share in the year-ago period due to higher operating profit.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Orders of $4606 million increased compared with $4197 million in the year-ago period due to Semiconductor.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Semiconductor revenue in the first six months was $3794 million, up 16 percent from the year-ago period due to increased shipments across a broad range of products.</w:t>
      </w:r>
    </w:p>
    <w:p>
      <w:pPr>
        <w:spacing w:after="0" w:line="118"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Gross profit for the first six months was $1490 million, or 39.3 percent of revenue, compared with $1225 million and 37.3 percent in the year-ago period. The increase from the year-ago period was primarily the result of higher Semiconductor factory utilization and lower depreciation.</w:t>
      </w:r>
    </w:p>
    <w:p>
      <w:pPr>
        <w:spacing w:after="0" w:line="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Semiconductor operating profit for the first six months was $272 million, or 7.2 percent of revenue, up from $105 million and 3.2 percent in the year-ago period, primarily due to higher gross profit.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orders for the first six months were $3815 million, up 12 percent from $3415 million in the year-ago period due to increased demand across a broad range of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Sensors &amp; Controls revenue was $514 million in the first six months of 2003, up 7 percent from $480 million in the year-ago period primarily due to higher shipments of automotive sensors.</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Gross profit for the first six months was $188 million, or 36.6 percent of revenue, compared with $159 million and 33.0 percent in the year-ago period. The increase from the year-ago period was primarily due to manufacturing cost reductions.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Operating profit was $129 million, or 25.0 percent of revenue, up from $104 million and 21.7 percent in the first six months of 2002. Operating profit increased primarily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was $233 million for the first six months, about even with the year-ago period.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profit for the first six months was $127 million, or 54.5 percent of revenue, up from $121 million and 51.4 percent in the year-ago period primarily due to product cost reductions.</w:t>
      </w:r>
    </w:p>
    <w:p>
      <w:pPr>
        <w:spacing w:after="0" w:line="118" w:lineRule="exact"/>
        <w:rPr>
          <w:sz w:val="20"/>
          <w:szCs w:val="20"/>
          <w:color w:val="auto"/>
        </w:rPr>
      </w:pPr>
    </w:p>
    <w:p>
      <w:pPr>
        <w:ind w:right="1240"/>
        <w:spacing w:after="0" w:line="375" w:lineRule="auto"/>
        <w:rPr>
          <w:sz w:val="20"/>
          <w:szCs w:val="20"/>
          <w:color w:val="auto"/>
        </w:rPr>
      </w:pPr>
      <w:r>
        <w:rPr>
          <w:rFonts w:ascii="Arial" w:cs="Arial" w:eastAsia="Arial" w:hAnsi="Arial"/>
          <w:sz w:val="18"/>
          <w:szCs w:val="18"/>
          <w:color w:val="auto"/>
        </w:rPr>
        <w:t xml:space="preserve">Operating profit was $73 million, or 31.1 percent of revenue, up from $68 million and 28.9 percent in the prior period due to higher gross profit. </w:t>
      </w:r>
      <w:r>
        <w:rPr>
          <w:rFonts w:ascii="Arial" w:cs="Arial" w:eastAsia="Arial" w:hAnsi="Arial"/>
          <w:sz w:val="18"/>
          <w:szCs w:val="18"/>
          <w:b w:val="1"/>
          <w:bCs w:val="1"/>
          <w:color w:val="auto"/>
        </w:rPr>
        <w:t>Financial Condition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TI’s financial position is strong. In the first six months of 2003, total cash (cash and cash equivalents plus short-term investments and long-term cash investments) increased by $41 million to $4183 million due to operating activities.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six months of 2003, accounts receivable increased by $223 million due to seasonally higher revenue from E&amp;PS products and higher Semiconductor revenue. Accounts receivable were about even with the year-ago period. Days sales outstanding were 55 days at the end of the first six months of 2003 compared with 60 days in the year-ago period.</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first six months of 2003, inventory increased by $210 million due to support for reduced product leadtimes, a normal seasonal increase in E&amp;PS inventory and delays by certain wireless customers of product shipments in the second quarter into the third quarter. Inventory increased $180 million compared with the year-ago period primarily due to the higher revenue level and support for reduced product leadtimes. Days of inventory increased to 62 days at the end of the first six months of 2003 compared with 56 days at the end of the year-ago period</w:t>
      </w:r>
      <w:r>
        <w:rPr>
          <w:rFonts w:ascii="Arial" w:cs="Arial" w:eastAsia="Arial" w:hAnsi="Arial"/>
          <w:sz w:val="18"/>
          <w:szCs w:val="18"/>
          <w:i w:val="1"/>
          <w:iCs w:val="1"/>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were $294 million in the first six months of 2003, down from $297 million in the first six months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$702 million in the first six months of 2003, down from $787 million in the first six months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and Capital Resources</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the end of the first six months of 2003, the debt-to-total-capital ratio was 0.07, down from 0.10 at the end of 2002. This ratio reflects the company’s view that it is prudent to maintain a low debt level considering the volatile nature of the semiconductor industry.</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first six months of 2003, cash flow from operations decreased to $574 million compared with $683 million in the first six months of 2002 due to working capital.</w:t>
      </w:r>
    </w:p>
    <w:p>
      <w:pPr>
        <w:spacing w:after="0" w:line="1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Net cash used in investing activities was $261 million for the first six months of 2003 versus the use of $428 million for the same period a year ago primarily due to sales and maturities of investments net of purchases. In order to take advantage of higher yields, as of June 30, 2003, the company had $1089 million in long-term cash investments (i.e., fixed-income, investment-grade securities with maturities between thirteen and twenty-four months).</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first six months of 2003, net cash used in financing activities totaled $249 million versus $203 million in the year-ago period. In the first six months of 2003, the company used $109 million of cash to repurchase approximately 6 million shares of its common stock, compared with $210 million used to repurchase approximately 7 million shares of its common stock in the year-ago period. These repurchases are intended to neutralize the potential dilutive effect of shares expected to be issued upon exercise of stock options under the company’s long-term incentive and employee stock purchase plans. Also, the company paid a total of $74 million of common stock dividends in each period.</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primary source of liquidity is $1019 million of cash and cash equivalents, $2075 million of short-term investments, and $1089 million of long-term cash investments, totaling $4183 million. Another source of liquidity is authorized borrowings of $500 million for commercial paper, backed by a 364-day revolving credit facility, which is currently not utilized. The company maintains the ability to issue up to $1.0 billion in debt under a U.S. Securities and Exchange Commission shelf registration. As of June 30, 2003, the company also had equity investments of $924 million, including 57 million shares ($669 million) of liquid, publicly traded, Micron common stock. The company believes it has the necessary financial resources to fund its working capital needs, capital expenditures, dividend payments and other business requirements for at least the next 12 months.</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July 2003, the company sold 24.7 million shares of Micron common stock. TI will recognize a pre-tax gain in accordance with generally accepted accounting principles of $106 million from this sale, which will be recorded in other income (expense) net in the third quarter.</w:t>
      </w:r>
    </w:p>
    <w:p>
      <w:pPr>
        <w:spacing w:after="0" w:line="11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TI carries its public stock holdings at current market value on its balance sheet and records an impairment write-down against earnings if a stock’s value declines below its cost basis and the decline is deemed other than temporary. In the fourth quarter of 2002, TI recorded an impairment write-down of its Micron common stock but fully reserved the tax benefit associated with the write-down due to uncertainty as to its ultimate realization.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18" w:name="page19"/>
    <w:bookmarkEnd w:id="18"/>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$162 million of TI’s tax benefit associated with the prior year write-down was realized upon the July 2003 sale of the Micron common stock through the utilization of a capital loss carryback that was due to expire at the end of 2003. The combined effect of the gain and the tax benefit will be an increase of $230 million to the company’s net income for the third quarter of 2003. TI continues to hold 32.3 million shares of Micron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 and Other Items</w:t>
      </w:r>
    </w:p>
    <w:p>
      <w:pPr>
        <w:spacing w:after="0" w:line="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850 jobs through voluntary retirement and involuntary termination programs over the next two years, primarily at the Attleboro headquarters of the Sensors &amp; Controls business. The total cost of this restructuring action is expected to be about $70 million. In the second quarter of 2003, the company recorded net pretax charges of $26 million, primarily for severance costs. Of the $26 million, $22 million is included in cost of revenue, and $4 million is included in selling, general and administrative expense. The total number of employees affected was 183, primarily at the Attleboro location. The projected savings from this restructuring action plan are estimated to be an annualized $40 million, predominantly comprised of payroll and benefits savings.</w:t>
      </w:r>
    </w:p>
    <w:p>
      <w:pPr>
        <w:spacing w:after="0" w:line="1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Semiconductor Restructuring Action: Also in the second quarter of 2003, the company announced a restructuring action that is expected to affect about 860 jobs in Semiconductor manufacturing operations in the U.S. and international locations, as those operations continue to become more productive with fewer people. The total cost of this restructuring action is expected to be about $80 million. In the second quarter of 2003, the company recorded net pretax charges of $23 million, primarily for severance costs. Of the $23 million, $21 million is included in cost of revenue, and $2 million is included in selling, general and administrative expense. The total number of employees affected was 105 in U.S. and Germany locations. The projected savings from the cost-reduction plan were estimated to be an annualized $65 million, predominantly comprised of payroll and benefits savings.</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Semiconductor Severance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in severance and benefit costs, of which $11 million was included in cost of revenue, $4 million in selling, general and administrative expense, and $2 million in research and development expense. The projected savings from the cost-reduction plan were estimated to be an annualized $30 million, predominantly comprised of payroll and benefits savings. As of June 30, 2003, all employees have been terminated and a balance of $2 million of severance and benefit costs remains to be paid. Payments are expected to be completed in 2003.</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in Santa Cruz, California; Merrimack, New Hampshire; and Tustin, California. The projected savings from the cost-reduction plan were estimated to be an annualized $600 million, predominantly comprised of payroll and benefits savings. Since the 5724 affected employees have terminated and the three facilities are closed, the savings from this cost-reduction plan are being realized. Employees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affected by this plan, primarily in manufacturing operations, totaled 5724.</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Voluntary/Involuntary Programs in U.S.: In the first quarter of 2001, the company announced a voluntary retirement program and a plan to involuntarily terminate employees in some of its U.S. locations. Of the total 5724 affected employees, 329 were in the company’s location in Massachusetts and 2038 were in other U.S. locations, primarily in Texas. The company recorded net pretax charges of $153 million in severance and benefit costs, of which $107 million was included in cost of revenue, $48 million in selling, general, and administrative expense, $1 million in research and development expense, and $3 million in other income. The savings from this element of the cost-reduction plan were estimated to be an annualized $290 million. At year-end 2002, this program was complete.</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Semiconductor Site Closings in U.S.: In the first and second quarters of 2001, the company announced a plan to consolidate certain manufacturing operations resulting in the closing of three Semiconductor facilities. Of the total 5724 affected employees, 1159 were in the company’s locations in California and New Hampshire. The company recorded net pretax charges of $88 million, of which $31 million was for severance and benefit costs, $46 million was for the acceleration of depreciation on the facilities’ assets over the remaining service life of the sites, and $11 million was for various other payments. Of the $31 million severance and benefit costs, $27 million was included in cost of revenue, and $4 million was included in selling, general, and administrative expense. The remaining $57 million of charges were included in cost of revenue. The savings from this element of the cost-reduction plan were estimated to be an annualized $170 million.</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2002, the company continued to record acceleration of depreciation of $15 million on the Semiconductor facility in New Hampshire. This acceleration of depreciation was included in cost of revenue. In addition, $5 million of additional severance and benefit costs was recorded related to these facility closings. The $5 million was included in cost of revenue. As of June 30, 2003, this program was complete.</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Semiconductor International Restructuring Actions: In the first quarter of 2001, the company announced a voluntary retirement program and a plan to involuntarily terminate employees in some of its international locations. Of the total 5724 affected employees, 471 were in the company’s locations in Europe, 1075 were in the company’s locations in Asia and 652 were in the company’s locations in Japan. The company recorded net pretax charges of $116 million of severance and benefit costs, of which $56 million was included in cost of revenue, $48 million was included in selling, general, and administrative expense, and $12 million was included in research and development expense. The savings from this element of the cost-reduction plan were estimated to be an annualized $140 million. As of June 30, 2003, all employees have been terminated and a balance of $27 million of severance and benefit costs remains to be paid. Payments are expected to continue through 2007, of which $11 million is to be paid in 2003, $5 million in 2004, $5 million in 2005, and $3 million in both 2006 and 2007.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Actions: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second quarter of 2002, there was a gain in other income from the reversal of a warranty reserve taken against the gain on the sale of the software business unit in 1997 because the warranty period had expired. In years prior to 2001, actions were taken to terminate employees primarily in the company’s European locations. As of June 30, 2003, a balance of $4 million in severance and benefit costs remains to be paid. Payments are expected to continue through 2004, of which $2 million is to be paid in 2003 and $2 million in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Year of Charge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2001</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2002</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3"/>
              </w:rPr>
              <w:t>Balance,</w:t>
            </w: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prior</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actions –</w:t>
            </w:r>
          </w:p>
        </w:tc>
        <w:tc>
          <w:tcPr>
            <w:tcW w:w="6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SC site</w:t>
            </w:r>
          </w:p>
        </w:tc>
        <w:tc>
          <w:tcPr>
            <w:tcW w:w="34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9"/>
              </w:rPr>
              <w:t>international</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SC</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S&amp;C</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primarily</w:t>
            </w:r>
          </w:p>
        </w:tc>
        <w:tc>
          <w:tcPr>
            <w:tcW w:w="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closings</w:t>
            </w:r>
          </w:p>
        </w:tc>
        <w:tc>
          <w:tcPr>
            <w:tcW w:w="34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restructuring</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Severance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1"/>
              </w:rPr>
              <w:t>Severance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7"/>
              </w:rPr>
              <w:t>Severance</w:t>
            </w:r>
          </w:p>
        </w:tc>
        <w:tc>
          <w:tcPr>
            <w:tcW w:w="0" w:type="dxa"/>
            <w:vAlign w:val="bottom"/>
          </w:tcPr>
          <w:p>
            <w:pPr>
              <w:spacing w:after="0"/>
              <w:rPr>
                <w:sz w:val="1"/>
                <w:szCs w:val="1"/>
                <w:color w:val="auto"/>
              </w:rPr>
            </w:pPr>
          </w:p>
        </w:tc>
      </w:tr>
      <w:tr>
        <w:trPr>
          <w:trHeight w:val="174"/>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1"/>
              </w:rPr>
              <w:t>severance</w:t>
            </w:r>
          </w:p>
        </w:tc>
        <w:tc>
          <w:tcPr>
            <w:tcW w:w="6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U.S.</w:t>
            </w:r>
          </w:p>
        </w:tc>
        <w:tc>
          <w:tcPr>
            <w:tcW w:w="340" w:type="dxa"/>
            <w:vAlign w:val="bottom"/>
          </w:tcPr>
          <w:p>
            <w:pPr>
              <w:spacing w:after="0"/>
              <w:rPr>
                <w:sz w:val="15"/>
                <w:szCs w:val="15"/>
                <w:color w:val="auto"/>
              </w:rPr>
            </w:pPr>
          </w:p>
        </w:tc>
        <w:tc>
          <w:tcPr>
            <w:tcW w:w="6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1"/>
              </w:rPr>
              <w:t>actions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2"/>
              </w:rPr>
              <w:t>action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7"/>
              </w:rPr>
              <w:t>Action</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DISPOSITIONS: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CHARGES: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acceleration of depreciation</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DISPOSITIONS: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transfer to accumulated depreciation</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write-down of fixed assets</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*Abbreviations</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SC = Semiconductor</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S&amp;C = Sensors and Controls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w w:val="94"/>
              </w:rPr>
              <w:t>Other items include the following (in millions of dollars):</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8"/>
          </w:tcPr>
          <w:p>
            <w:pPr>
              <w:ind w:left="180"/>
              <w:spacing w:after="0"/>
              <w:rPr>
                <w:sz w:val="20"/>
                <w:szCs w:val="20"/>
                <w:color w:val="auto"/>
              </w:rPr>
            </w:pPr>
            <w:r>
              <w:rPr>
                <w:rFonts w:ascii="Arial" w:cs="Arial" w:eastAsia="Arial" w:hAnsi="Arial"/>
                <w:sz w:val="14"/>
                <w:szCs w:val="14"/>
                <w:b w:val="1"/>
                <w:bCs w:val="1"/>
                <w:color w:val="auto"/>
                <w:w w:val="92"/>
              </w:rPr>
              <w:t>For Three Months Ended</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9"/>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4"/>
          </w:tcPr>
          <w:p>
            <w:pPr>
              <w:spacing w:after="0"/>
              <w:rPr>
                <w:sz w:val="8"/>
                <w:szCs w:val="8"/>
                <w:color w:val="auto"/>
              </w:rPr>
            </w:pPr>
          </w:p>
        </w:tc>
        <w:tc>
          <w:tcPr>
            <w:tcW w:w="640" w:type="dxa"/>
            <w:vAlign w:val="bottom"/>
            <w:gridSpan w:val="2"/>
          </w:tcPr>
          <w:p>
            <w:pPr>
              <w:spacing w:after="0"/>
              <w:rPr>
                <w:sz w:val="8"/>
                <w:szCs w:val="8"/>
                <w:color w:val="auto"/>
              </w:rPr>
            </w:pPr>
          </w:p>
        </w:tc>
        <w:tc>
          <w:tcPr>
            <w:tcW w:w="620" w:type="dxa"/>
            <w:vAlign w:val="bottom"/>
            <w:tcBorders>
              <w:bottom w:val="single" w:sz="8" w:color="auto"/>
            </w:tcBorders>
            <w:gridSpan w:val="4"/>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392"/>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acquisition-related costs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Purchased in-process research and development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of convertible notes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center"/>
              <w:ind w:right="36"/>
              <w:spacing w:after="0"/>
              <w:rPr>
                <w:sz w:val="20"/>
                <w:szCs w:val="20"/>
                <w:color w:val="auto"/>
              </w:rPr>
            </w:pPr>
            <w:r>
              <w:rPr>
                <w:rFonts w:ascii="Arial" w:cs="Arial" w:eastAsia="Arial" w:hAnsi="Arial"/>
                <w:sz w:val="18"/>
                <w:szCs w:val="18"/>
                <w:color w:val="auto"/>
                <w:w w:val="89"/>
              </w:rPr>
              <w:t>21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-2238375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-2238375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-2238375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-2238375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-2238375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-2238375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-2238375</wp:posOffset>
            </wp:positionV>
            <wp:extent cx="32131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-2238375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-2238375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-2238375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-2238375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-2238375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-2238375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-2238375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-2238375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-2238375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-2238375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-2238375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-2238375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1" w:name="page22"/>
    <w:bookmarkEnd w:id="21"/>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concerning market risk is contained on pages 44 and 45 of Exhibit 13 to Registrant’s Form 10-K for the year ended December 31, 2002 (pages 49 and 50 of the Registrant’s 2002 annual report to stockholders) and is incorporated by reference to such Exhibit.</w:t>
      </w:r>
    </w:p>
    <w:p>
      <w:pPr>
        <w:spacing w:after="0" w:line="1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13a-15(e) and 15d-15(e) under the Securities Exchange Act of 1934). Based upon that evaluation, the Chief Executive Officer and Chief Financial Officer concluded that those disclosure controls and procedures were adequate to ensure that information required to be disclosed by the Registrant in the reports that it files or submits under the Exchange Act is recorded, processed, summarized and reported, within the time periods specified in the Commission’s rules and forms.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25, 2003, a civil action, Qualcomm Incorporated v. Texas Instruments Incorporated, was filed in the Superior Court of New Castle County, Delaware. Qualcomm develops and markets digital wireless communications products based on Code Division Multiple Access (CDMA) technology. The complaint seeks a declaration (a) that the Registrant breached the Patent Portfolio Agreement dated December 2, 2000, between the Registrant and Qualcomm by disclosing information concerning the business relationship between the parties in violation of the confidentiality provisions in the Agreement and (b) that as a result Qualcomm is entitled to terminate the Registrant’s rights under the Agreement. The complaint also requests damages, attorneys’ fees and costs of suit. The Registrant intends to contest Qualcomm’s claims vigorously and believes it has meritorious defenses to them.</w:t>
      </w:r>
    </w:p>
    <w:p>
      <w:pPr>
        <w:spacing w:after="0" w:line="10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the annual meeting of stockholders held on April 17, 2003, in addition to the election of directors, the stockholders voted upon the two board proposals and one stockholder proposal contained in the Registrant’s Proxy Statement dated February 29,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as directors with the following vote:</w:t>
      </w:r>
    </w:p>
    <w:p>
      <w:pPr>
        <w:spacing w:after="0" w:line="7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Nominee</w:t>
            </w:r>
          </w:p>
        </w:tc>
        <w:tc>
          <w:tcPr>
            <w:tcW w:w="1280" w:type="dxa"/>
            <w:vAlign w:val="bottom"/>
          </w:tcPr>
          <w:p>
            <w:pPr>
              <w:spacing w:after="0"/>
              <w:rPr>
                <w:sz w:val="15"/>
                <w:szCs w:val="15"/>
                <w:color w:val="auto"/>
              </w:rPr>
            </w:pPr>
          </w:p>
        </w:tc>
        <w:tc>
          <w:tcPr>
            <w:tcW w:w="15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7"/>
              </w:rPr>
              <w:t>For</w:t>
            </w:r>
          </w:p>
        </w:tc>
        <w:tc>
          <w:tcPr>
            <w:tcW w:w="940" w:type="dxa"/>
            <w:vAlign w:val="bottom"/>
          </w:tcPr>
          <w:p>
            <w:pPr>
              <w:spacing w:after="0"/>
              <w:rPr>
                <w:sz w:val="15"/>
                <w:szCs w:val="15"/>
                <w:color w:val="auto"/>
              </w:rPr>
            </w:pPr>
          </w:p>
        </w:tc>
        <w:tc>
          <w:tcPr>
            <w:tcW w:w="16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R. Adams</w:t>
            </w:r>
          </w:p>
        </w:tc>
        <w:tc>
          <w:tcPr>
            <w:tcW w:w="2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1,137,437,972</w:t>
            </w:r>
          </w:p>
        </w:tc>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373,951,356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David L. Boren</w:t>
            </w:r>
          </w:p>
        </w:tc>
        <w:tc>
          <w:tcPr>
            <w:tcW w:w="2800" w:type="dxa"/>
            <w:vAlign w:val="bottom"/>
            <w:gridSpan w:val="3"/>
          </w:tcPr>
          <w:p>
            <w:pPr>
              <w:jc w:val="center"/>
              <w:spacing w:after="0"/>
              <w:rPr>
                <w:sz w:val="20"/>
                <w:szCs w:val="20"/>
                <w:color w:val="auto"/>
              </w:rPr>
            </w:pPr>
            <w:r>
              <w:rPr>
                <w:rFonts w:ascii="Arial" w:cs="Arial" w:eastAsia="Arial" w:hAnsi="Arial"/>
                <w:sz w:val="18"/>
                <w:szCs w:val="18"/>
                <w:color w:val="auto"/>
                <w:w w:val="88"/>
              </w:rPr>
              <w:t>1,026,023,155</w:t>
            </w:r>
          </w:p>
        </w:tc>
        <w:tc>
          <w:tcPr>
            <w:tcW w:w="2580" w:type="dxa"/>
            <w:vAlign w:val="bottom"/>
            <w:gridSpan w:val="3"/>
          </w:tcPr>
          <w:p>
            <w:pPr>
              <w:jc w:val="center"/>
              <w:spacing w:after="0"/>
              <w:rPr>
                <w:sz w:val="20"/>
                <w:szCs w:val="20"/>
                <w:color w:val="auto"/>
              </w:rPr>
            </w:pPr>
            <w:r>
              <w:rPr>
                <w:rFonts w:ascii="Arial" w:cs="Arial" w:eastAsia="Arial" w:hAnsi="Arial"/>
                <w:sz w:val="18"/>
                <w:szCs w:val="18"/>
                <w:color w:val="auto"/>
                <w:w w:val="87"/>
              </w:rPr>
              <w:t>485,366,173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A. Carp</w:t>
            </w:r>
          </w:p>
        </w:tc>
        <w:tc>
          <w:tcPr>
            <w:tcW w:w="2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1,138,599,096</w:t>
            </w:r>
          </w:p>
        </w:tc>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372,790,232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Thomas J. Engibous</w:t>
            </w:r>
          </w:p>
        </w:tc>
        <w:tc>
          <w:tcPr>
            <w:tcW w:w="2800" w:type="dxa"/>
            <w:vAlign w:val="bottom"/>
            <w:gridSpan w:val="3"/>
          </w:tcPr>
          <w:p>
            <w:pPr>
              <w:jc w:val="center"/>
              <w:spacing w:after="0"/>
              <w:rPr>
                <w:sz w:val="20"/>
                <w:szCs w:val="20"/>
                <w:color w:val="auto"/>
              </w:rPr>
            </w:pPr>
            <w:r>
              <w:rPr>
                <w:rFonts w:ascii="Arial" w:cs="Arial" w:eastAsia="Arial" w:hAnsi="Arial"/>
                <w:sz w:val="18"/>
                <w:szCs w:val="18"/>
                <w:color w:val="auto"/>
                <w:w w:val="88"/>
              </w:rPr>
              <w:t>1,138,436,076</w:t>
            </w:r>
          </w:p>
        </w:tc>
        <w:tc>
          <w:tcPr>
            <w:tcW w:w="2580" w:type="dxa"/>
            <w:vAlign w:val="bottom"/>
            <w:gridSpan w:val="3"/>
          </w:tcPr>
          <w:p>
            <w:pPr>
              <w:jc w:val="center"/>
              <w:spacing w:after="0"/>
              <w:rPr>
                <w:sz w:val="20"/>
                <w:szCs w:val="20"/>
                <w:color w:val="auto"/>
              </w:rPr>
            </w:pPr>
            <w:r>
              <w:rPr>
                <w:rFonts w:ascii="Arial" w:cs="Arial" w:eastAsia="Arial" w:hAnsi="Arial"/>
                <w:sz w:val="18"/>
                <w:szCs w:val="18"/>
                <w:color w:val="auto"/>
                <w:w w:val="87"/>
              </w:rPr>
              <w:t>372,953,252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Gerald W. Fronterhouse</w:t>
            </w:r>
          </w:p>
        </w:tc>
        <w:tc>
          <w:tcPr>
            <w:tcW w:w="2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1,136,208,807</w:t>
            </w:r>
          </w:p>
        </w:tc>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375,180,521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David R. Goode</w:t>
            </w:r>
          </w:p>
        </w:tc>
        <w:tc>
          <w:tcPr>
            <w:tcW w:w="2800" w:type="dxa"/>
            <w:vAlign w:val="bottom"/>
            <w:gridSpan w:val="3"/>
          </w:tcPr>
          <w:p>
            <w:pPr>
              <w:jc w:val="center"/>
              <w:spacing w:after="0"/>
              <w:rPr>
                <w:sz w:val="20"/>
                <w:szCs w:val="20"/>
                <w:color w:val="auto"/>
              </w:rPr>
            </w:pPr>
            <w:r>
              <w:rPr>
                <w:rFonts w:ascii="Arial" w:cs="Arial" w:eastAsia="Arial" w:hAnsi="Arial"/>
                <w:sz w:val="18"/>
                <w:szCs w:val="18"/>
                <w:color w:val="auto"/>
                <w:w w:val="88"/>
              </w:rPr>
              <w:t>1,025,490,219</w:t>
            </w:r>
          </w:p>
        </w:tc>
        <w:tc>
          <w:tcPr>
            <w:tcW w:w="2580" w:type="dxa"/>
            <w:vAlign w:val="bottom"/>
            <w:gridSpan w:val="3"/>
          </w:tcPr>
          <w:p>
            <w:pPr>
              <w:jc w:val="center"/>
              <w:spacing w:after="0"/>
              <w:rPr>
                <w:sz w:val="20"/>
                <w:szCs w:val="20"/>
                <w:color w:val="auto"/>
              </w:rPr>
            </w:pPr>
            <w:r>
              <w:rPr>
                <w:rFonts w:ascii="Arial" w:cs="Arial" w:eastAsia="Arial" w:hAnsi="Arial"/>
                <w:sz w:val="18"/>
                <w:szCs w:val="18"/>
                <w:color w:val="auto"/>
                <w:w w:val="87"/>
              </w:rPr>
              <w:t>485,899,109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Wayne R. Sanders</w:t>
            </w:r>
          </w:p>
        </w:tc>
        <w:tc>
          <w:tcPr>
            <w:tcW w:w="2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1,026,866,910</w:t>
            </w:r>
          </w:p>
        </w:tc>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484,522,418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Ruth J. Simmons</w:t>
            </w:r>
          </w:p>
        </w:tc>
        <w:tc>
          <w:tcPr>
            <w:tcW w:w="2800" w:type="dxa"/>
            <w:vAlign w:val="bottom"/>
            <w:gridSpan w:val="3"/>
          </w:tcPr>
          <w:p>
            <w:pPr>
              <w:jc w:val="center"/>
              <w:spacing w:after="0"/>
              <w:rPr>
                <w:sz w:val="20"/>
                <w:szCs w:val="20"/>
                <w:color w:val="auto"/>
              </w:rPr>
            </w:pPr>
            <w:r>
              <w:rPr>
                <w:rFonts w:ascii="Arial" w:cs="Arial" w:eastAsia="Arial" w:hAnsi="Arial"/>
                <w:sz w:val="18"/>
                <w:szCs w:val="18"/>
                <w:color w:val="auto"/>
                <w:w w:val="88"/>
              </w:rPr>
              <w:t>1,137,789,654</w:t>
            </w:r>
          </w:p>
        </w:tc>
        <w:tc>
          <w:tcPr>
            <w:tcW w:w="2580" w:type="dxa"/>
            <w:vAlign w:val="bottom"/>
            <w:gridSpan w:val="3"/>
          </w:tcPr>
          <w:p>
            <w:pPr>
              <w:jc w:val="center"/>
              <w:spacing w:after="0"/>
              <w:rPr>
                <w:sz w:val="20"/>
                <w:szCs w:val="20"/>
                <w:color w:val="auto"/>
              </w:rPr>
            </w:pPr>
            <w:r>
              <w:rPr>
                <w:rFonts w:ascii="Arial" w:cs="Arial" w:eastAsia="Arial" w:hAnsi="Arial"/>
                <w:sz w:val="18"/>
                <w:szCs w:val="18"/>
                <w:color w:val="auto"/>
                <w:w w:val="87"/>
              </w:rPr>
              <w:t>373,599,674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gridSpan w:val="2"/>
          </w:tcPr>
          <w:p>
            <w:pPr>
              <w:jc w:val="center"/>
              <w:ind w:left="1152"/>
              <w:spacing w:after="0"/>
              <w:rPr>
                <w:sz w:val="20"/>
                <w:szCs w:val="20"/>
                <w:color w:val="auto"/>
              </w:rPr>
            </w:pPr>
            <w:r>
              <w:rPr>
                <w:rFonts w:ascii="Arial" w:cs="Arial" w:eastAsia="Arial" w:hAnsi="Arial"/>
                <w:sz w:val="18"/>
                <w:szCs w:val="18"/>
                <w:color w:val="auto"/>
                <w:w w:val="89"/>
              </w:rPr>
              <w:t>22</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two Board proposals were approved with the following vote: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Abstentions</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(Other Than</w:t>
            </w:r>
          </w:p>
        </w:tc>
        <w:tc>
          <w:tcPr>
            <w:tcW w:w="340" w:type="dxa"/>
            <w:vAlign w:val="bottom"/>
          </w:tcPr>
          <w:p>
            <w:pPr>
              <w:spacing w:after="0"/>
              <w:rPr>
                <w:sz w:val="12"/>
                <w:szCs w:val="12"/>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3"/>
          </w:tcPr>
          <w:p>
            <w:pPr>
              <w:jc w:val="center"/>
              <w:ind w:left="52"/>
              <w:spacing w:after="0" w:line="149" w:lineRule="exact"/>
              <w:rPr>
                <w:sz w:val="20"/>
                <w:szCs w:val="20"/>
                <w:color w:val="auto"/>
              </w:rPr>
            </w:pPr>
            <w:r>
              <w:rPr>
                <w:rFonts w:ascii="Arial" w:cs="Arial" w:eastAsia="Arial" w:hAnsi="Arial"/>
                <w:sz w:val="14"/>
                <w:szCs w:val="14"/>
                <w:b w:val="1"/>
                <w:bCs w:val="1"/>
                <w:color w:val="auto"/>
                <w:w w:val="92"/>
              </w:rPr>
              <w:t>Broker</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gridSpan w:val="4"/>
          </w:tcPr>
          <w:p>
            <w:pPr>
              <w:ind w:left="80"/>
              <w:spacing w:after="0"/>
              <w:rPr>
                <w:sz w:val="20"/>
                <w:szCs w:val="20"/>
                <w:color w:val="auto"/>
              </w:rPr>
            </w:pPr>
            <w:r>
              <w:rPr>
                <w:rFonts w:ascii="Arial" w:cs="Arial" w:eastAsia="Arial" w:hAnsi="Arial"/>
                <w:sz w:val="14"/>
                <w:szCs w:val="14"/>
                <w:b w:val="1"/>
                <w:bCs w:val="1"/>
                <w:color w:val="auto"/>
              </w:rPr>
              <w:t>Proposal</w:t>
            </w:r>
          </w:p>
        </w:tc>
        <w:tc>
          <w:tcPr>
            <w:tcW w:w="180" w:type="dxa"/>
            <w:vAlign w:val="bottom"/>
          </w:tcPr>
          <w:p>
            <w:pPr>
              <w:spacing w:after="0"/>
              <w:rPr>
                <w:sz w:val="15"/>
                <w:szCs w:val="15"/>
                <w:color w:val="auto"/>
              </w:rPr>
            </w:pPr>
          </w:p>
        </w:tc>
        <w:tc>
          <w:tcPr>
            <w:tcW w:w="120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w:t>
            </w:r>
          </w:p>
        </w:tc>
        <w:tc>
          <w:tcPr>
            <w:tcW w:w="280" w:type="dxa"/>
            <w:vAlign w:val="bottom"/>
          </w:tcPr>
          <w:p>
            <w:pPr>
              <w:spacing w:after="0"/>
              <w:rPr>
                <w:sz w:val="15"/>
                <w:szCs w:val="15"/>
                <w:color w:val="auto"/>
              </w:rPr>
            </w:pPr>
          </w:p>
        </w:tc>
        <w:tc>
          <w:tcPr>
            <w:tcW w:w="940" w:type="dxa"/>
            <w:vAlign w:val="bottom"/>
            <w:gridSpan w:val="3"/>
          </w:tcPr>
          <w:p>
            <w:pPr>
              <w:ind w:left="280"/>
              <w:spacing w:after="0"/>
              <w:rPr>
                <w:sz w:val="20"/>
                <w:szCs w:val="20"/>
                <w:color w:val="auto"/>
              </w:rPr>
            </w:pPr>
            <w:r>
              <w:rPr>
                <w:rFonts w:ascii="Arial" w:cs="Arial" w:eastAsia="Arial" w:hAnsi="Arial"/>
                <w:sz w:val="14"/>
                <w:szCs w:val="14"/>
                <w:b w:val="1"/>
                <w:bCs w:val="1"/>
                <w:color w:val="auto"/>
              </w:rPr>
              <w:t>Against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5"/>
              </w:rPr>
              <w:t>Non-Votes)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78"/>
              </w:rPr>
              <w:t>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Board proposal to ratify the appointment of Ernst &amp; Young LLP as the Company’s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independent auditors</w:t>
            </w: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3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1,458,639,955</w:t>
            </w:r>
          </w:p>
        </w:tc>
        <w:tc>
          <w:tcPr>
            <w:tcW w:w="13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42,687,612</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10,068,586</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740" w:type="dxa"/>
            <w:vAlign w:val="bottom"/>
            <w:gridSpan w:val="9"/>
          </w:tcPr>
          <w:p>
            <w:pPr>
              <w:spacing w:after="0"/>
              <w:rPr>
                <w:sz w:val="20"/>
                <w:szCs w:val="20"/>
                <w:color w:val="auto"/>
              </w:rPr>
            </w:pPr>
            <w:r>
              <w:rPr>
                <w:rFonts w:ascii="Arial" w:cs="Arial" w:eastAsia="Arial" w:hAnsi="Arial"/>
                <w:sz w:val="18"/>
                <w:szCs w:val="18"/>
                <w:color w:val="auto"/>
              </w:rPr>
              <w:t>Board proposal with respect to adoption of the Texas Instruments 2003 Director</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Compensation Plan</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80" w:type="dxa"/>
            <w:vAlign w:val="bottom"/>
            <w:gridSpan w:val="5"/>
          </w:tcPr>
          <w:p>
            <w:pPr>
              <w:jc w:val="right"/>
              <w:ind w:right="60"/>
              <w:spacing w:after="0"/>
              <w:rPr>
                <w:sz w:val="20"/>
                <w:szCs w:val="20"/>
                <w:color w:val="auto"/>
              </w:rPr>
            </w:pPr>
            <w:r>
              <w:rPr>
                <w:rFonts w:ascii="Arial" w:cs="Arial" w:eastAsia="Arial" w:hAnsi="Arial"/>
                <w:sz w:val="18"/>
                <w:szCs w:val="18"/>
                <w:color w:val="auto"/>
              </w:rPr>
              <w:t>862,224,614</w:t>
            </w:r>
          </w:p>
        </w:tc>
        <w:tc>
          <w:tcPr>
            <w:tcW w:w="1360" w:type="dxa"/>
            <w:vAlign w:val="bottom"/>
            <w:gridSpan w:val="6"/>
          </w:tcPr>
          <w:p>
            <w:pPr>
              <w:jc w:val="right"/>
              <w:ind w:right="60"/>
              <w:spacing w:after="0"/>
              <w:rPr>
                <w:sz w:val="20"/>
                <w:szCs w:val="20"/>
                <w:color w:val="auto"/>
              </w:rPr>
            </w:pPr>
            <w:r>
              <w:rPr>
                <w:rFonts w:ascii="Arial" w:cs="Arial" w:eastAsia="Arial" w:hAnsi="Arial"/>
                <w:sz w:val="18"/>
                <w:szCs w:val="18"/>
                <w:color w:val="auto"/>
              </w:rPr>
              <w:t>635,067,414</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14,097,545</w:t>
            </w:r>
          </w:p>
        </w:tc>
        <w:tc>
          <w:tcPr>
            <w:tcW w:w="3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13"/>
        </w:trPr>
        <w:tc>
          <w:tcPr>
            <w:tcW w:w="6740" w:type="dxa"/>
            <w:vAlign w:val="bottom"/>
            <w:gridSpan w:val="9"/>
          </w:tcPr>
          <w:p>
            <w:pPr>
              <w:spacing w:after="0"/>
              <w:rPr>
                <w:sz w:val="20"/>
                <w:szCs w:val="20"/>
                <w:color w:val="auto"/>
              </w:rPr>
            </w:pPr>
            <w:r>
              <w:rPr>
                <w:rFonts w:ascii="Arial" w:cs="Arial" w:eastAsia="Arial" w:hAnsi="Arial"/>
                <w:sz w:val="18"/>
                <w:szCs w:val="18"/>
                <w:color w:val="auto"/>
              </w:rPr>
              <w:t>The stockholder proposal was not approved with the following vote:</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4"/>
              </w:rPr>
              <w:t>Abstentions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(Other Than</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Broker</w:t>
            </w:r>
          </w:p>
        </w:tc>
        <w:tc>
          <w:tcPr>
            <w:tcW w:w="12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gridSpan w:val="4"/>
          </w:tcPr>
          <w:p>
            <w:pPr>
              <w:ind w:left="40"/>
              <w:spacing w:after="0"/>
              <w:rPr>
                <w:sz w:val="20"/>
                <w:szCs w:val="20"/>
                <w:color w:val="auto"/>
              </w:rPr>
            </w:pPr>
            <w:r>
              <w:rPr>
                <w:rFonts w:ascii="Arial" w:cs="Arial" w:eastAsia="Arial" w:hAnsi="Arial"/>
                <w:sz w:val="14"/>
                <w:szCs w:val="14"/>
                <w:b w:val="1"/>
                <w:bCs w:val="1"/>
                <w:color w:val="auto"/>
              </w:rPr>
              <w:t>Proposal</w:t>
            </w:r>
          </w:p>
        </w:tc>
        <w:tc>
          <w:tcPr>
            <w:tcW w:w="180" w:type="dxa"/>
            <w:vAlign w:val="bottom"/>
          </w:tcPr>
          <w:p>
            <w:pPr>
              <w:spacing w:after="0"/>
              <w:rPr>
                <w:sz w:val="15"/>
                <w:szCs w:val="15"/>
                <w:color w:val="auto"/>
              </w:rPr>
            </w:pPr>
          </w:p>
        </w:tc>
        <w:tc>
          <w:tcPr>
            <w:tcW w:w="120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Against</w:t>
            </w:r>
          </w:p>
        </w:tc>
        <w:tc>
          <w:tcPr>
            <w:tcW w:w="12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5"/>
              </w:rPr>
              <w:t>Non-Votes)</w:t>
            </w:r>
          </w:p>
        </w:tc>
        <w:tc>
          <w:tcPr>
            <w:tcW w:w="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Non-Votes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gridSpan w:val="3"/>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120" w:type="dxa"/>
            <w:vAlign w:val="bottom"/>
            <w:gridSpan w:val="2"/>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4"/>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Stockholder proposal regarding indexing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344,060,175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866,062,035</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19,975,882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281,298,061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820" w:type="dxa"/>
            <w:vAlign w:val="bottom"/>
            <w:gridSpan w:val="7"/>
          </w:tcPr>
          <w:p>
            <w:pPr>
              <w:ind w:left="100"/>
              <w:spacing w:after="0"/>
              <w:rPr>
                <w:sz w:val="20"/>
                <w:szCs w:val="20"/>
                <w:color w:val="auto"/>
              </w:rPr>
            </w:pPr>
            <w:r>
              <w:rPr>
                <w:rFonts w:ascii="Arial" w:cs="Arial" w:eastAsia="Arial" w:hAnsi="Arial"/>
                <w:sz w:val="18"/>
                <w:szCs w:val="18"/>
                <w:b w:val="1"/>
                <w:bCs w:val="1"/>
                <w:color w:val="auto"/>
              </w:rPr>
              <w:t>Exhibits and Reports on Form 8-K.</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880" w:type="dxa"/>
            <w:vAlign w:val="bottom"/>
            <w:gridSpan w:val="2"/>
          </w:tcPr>
          <w:p>
            <w:pPr>
              <w:ind w:left="440"/>
              <w:spacing w:after="0"/>
              <w:rPr>
                <w:sz w:val="20"/>
                <w:szCs w:val="20"/>
                <w:color w:val="auto"/>
              </w:rPr>
            </w:pPr>
            <w:r>
              <w:rPr>
                <w:rFonts w:ascii="Arial" w:cs="Arial" w:eastAsia="Arial" w:hAnsi="Arial"/>
                <w:sz w:val="18"/>
                <w:szCs w:val="18"/>
                <w:color w:val="auto"/>
              </w:rPr>
              <w:t>(a) Exhibits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Designation of</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Exhibits in</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This Report</w:t>
            </w:r>
          </w:p>
        </w:tc>
        <w:tc>
          <w:tcPr>
            <w:tcW w:w="980" w:type="dxa"/>
            <w:vAlign w:val="bottom"/>
          </w:tcPr>
          <w:p>
            <w:pPr>
              <w:spacing w:after="0"/>
              <w:rPr>
                <w:sz w:val="15"/>
                <w:szCs w:val="15"/>
                <w:color w:val="auto"/>
              </w:rPr>
            </w:pPr>
          </w:p>
        </w:tc>
        <w:tc>
          <w:tcPr>
            <w:tcW w:w="4840" w:type="dxa"/>
            <w:vAlign w:val="bottom"/>
            <w:gridSpan w:val="6"/>
          </w:tcPr>
          <w:p>
            <w:pPr>
              <w:spacing w:after="0"/>
              <w:rPr>
                <w:sz w:val="20"/>
                <w:szCs w:val="20"/>
                <w:color w:val="auto"/>
              </w:rPr>
            </w:pPr>
            <w:r>
              <w:rPr>
                <w:rFonts w:ascii="Arial" w:cs="Arial" w:eastAsia="Arial" w:hAnsi="Arial"/>
                <w:sz w:val="14"/>
                <w:szCs w:val="14"/>
                <w:b w:val="1"/>
                <w:bCs w:val="1"/>
                <w:color w:val="auto"/>
              </w:rPr>
              <w:t>Description of Exhibit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Borders>
              <w:bottom w:val="single" w:sz="8" w:color="auto"/>
            </w:tcBorders>
            <w:gridSpan w:val="3"/>
          </w:tcPr>
          <w:p>
            <w:pPr>
              <w:spacing w:after="0"/>
              <w:rPr>
                <w:sz w:val="8"/>
                <w:szCs w:val="8"/>
                <w:color w:val="auto"/>
              </w:rPr>
            </w:pPr>
          </w:p>
        </w:tc>
        <w:tc>
          <w:tcPr>
            <w:tcW w:w="316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10(n)</w:t>
            </w:r>
          </w:p>
        </w:tc>
        <w:tc>
          <w:tcPr>
            <w:tcW w:w="980" w:type="dxa"/>
            <w:vAlign w:val="bottom"/>
          </w:tcPr>
          <w:p>
            <w:pPr>
              <w:spacing w:after="0"/>
              <w:rPr>
                <w:sz w:val="24"/>
                <w:szCs w:val="24"/>
                <w:color w:val="auto"/>
              </w:rPr>
            </w:pPr>
          </w:p>
        </w:tc>
        <w:tc>
          <w:tcPr>
            <w:tcW w:w="4840" w:type="dxa"/>
            <w:vAlign w:val="bottom"/>
            <w:gridSpan w:val="6"/>
          </w:tcPr>
          <w:p>
            <w:pPr>
              <w:spacing w:after="0"/>
              <w:rPr>
                <w:sz w:val="20"/>
                <w:szCs w:val="20"/>
                <w:color w:val="auto"/>
              </w:rPr>
            </w:pPr>
            <w:r>
              <w:rPr>
                <w:rFonts w:ascii="Arial" w:cs="Arial" w:eastAsia="Arial" w:hAnsi="Arial"/>
                <w:sz w:val="18"/>
                <w:szCs w:val="18"/>
                <w:color w:val="auto"/>
              </w:rPr>
              <w:t>Texas Instruments 2003 Director Compensation Plan.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ind w:left="300"/>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24"/>
                <w:szCs w:val="24"/>
                <w:color w:val="auto"/>
              </w:rPr>
            </w:pPr>
          </w:p>
        </w:tc>
        <w:tc>
          <w:tcPr>
            <w:tcW w:w="7440" w:type="dxa"/>
            <w:vAlign w:val="bottom"/>
            <w:gridSpan w:val="15"/>
          </w:tcPr>
          <w:p>
            <w:pPr>
              <w:spacing w:after="0"/>
              <w:rPr>
                <w:sz w:val="20"/>
                <w:szCs w:val="20"/>
                <w:color w:val="auto"/>
              </w:rPr>
            </w:pPr>
            <w:r>
              <w:rPr>
                <w:rFonts w:ascii="Arial" w:cs="Arial" w:eastAsia="Arial" w:hAnsi="Arial"/>
                <w:sz w:val="18"/>
                <w:szCs w:val="18"/>
                <w:color w:val="auto"/>
                <w:w w:val="97"/>
              </w:rPr>
              <w:t>Computation of Basic and Diluted Earnings Per Common and Dilutive Potential Common Share.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ind w:left="300"/>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4840" w:type="dxa"/>
            <w:vAlign w:val="bottom"/>
            <w:gridSpan w:val="6"/>
          </w:tcPr>
          <w:p>
            <w:pPr>
              <w:spacing w:after="0"/>
              <w:rPr>
                <w:sz w:val="20"/>
                <w:szCs w:val="20"/>
                <w:color w:val="auto"/>
              </w:rPr>
            </w:pPr>
            <w:r>
              <w:rPr>
                <w:rFonts w:ascii="Arial" w:cs="Arial" w:eastAsia="Arial" w:hAnsi="Arial"/>
                <w:sz w:val="18"/>
                <w:szCs w:val="18"/>
                <w:color w:val="auto"/>
              </w:rPr>
              <w:t>Computation of Ratio of Earnings to Fixed Charges.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980" w:type="dxa"/>
            <w:vAlign w:val="bottom"/>
          </w:tcPr>
          <w:p>
            <w:pPr>
              <w:spacing w:after="0"/>
              <w:rPr>
                <w:sz w:val="24"/>
                <w:szCs w:val="24"/>
                <w:color w:val="auto"/>
              </w:rPr>
            </w:pPr>
          </w:p>
        </w:tc>
        <w:tc>
          <w:tcPr>
            <w:tcW w:w="7440" w:type="dxa"/>
            <w:vAlign w:val="bottom"/>
            <w:gridSpan w:val="15"/>
          </w:tcPr>
          <w:p>
            <w:pPr>
              <w:spacing w:after="0"/>
              <w:rPr>
                <w:sz w:val="20"/>
                <w:szCs w:val="20"/>
                <w:color w:val="auto"/>
              </w:rPr>
            </w:pPr>
            <w:r>
              <w:rPr>
                <w:rFonts w:ascii="Arial" w:cs="Arial" w:eastAsia="Arial" w:hAnsi="Arial"/>
                <w:sz w:val="18"/>
                <w:szCs w:val="18"/>
                <w:color w:val="auto"/>
                <w:w w:val="89"/>
              </w:rPr>
              <w:t>Certification of Chief Executive Officer of Periodic Report Pursuant to Rule 13a-15(e) or Rule 15d-15(e).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980" w:type="dxa"/>
            <w:vAlign w:val="bottom"/>
          </w:tcPr>
          <w:p>
            <w:pPr>
              <w:spacing w:after="0"/>
              <w:rPr>
                <w:sz w:val="24"/>
                <w:szCs w:val="24"/>
                <w:color w:val="auto"/>
              </w:rPr>
            </w:pPr>
          </w:p>
        </w:tc>
        <w:tc>
          <w:tcPr>
            <w:tcW w:w="7440" w:type="dxa"/>
            <w:vAlign w:val="bottom"/>
            <w:gridSpan w:val="15"/>
          </w:tcPr>
          <w:p>
            <w:pPr>
              <w:spacing w:after="0"/>
              <w:rPr>
                <w:sz w:val="20"/>
                <w:szCs w:val="20"/>
                <w:color w:val="auto"/>
              </w:rPr>
            </w:pPr>
            <w:r>
              <w:rPr>
                <w:rFonts w:ascii="Arial" w:cs="Arial" w:eastAsia="Arial" w:hAnsi="Arial"/>
                <w:sz w:val="18"/>
                <w:szCs w:val="18"/>
                <w:color w:val="auto"/>
                <w:w w:val="90"/>
              </w:rPr>
              <w:t>Certification of Chief Financial Officer of Periodic Report Pursuant to Rule 13a-15(e) or Rule 15d-15(e).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40" w:type="dxa"/>
            <w:vAlign w:val="bottom"/>
            <w:gridSpan w:val="6"/>
          </w:tcPr>
          <w:p>
            <w:pPr>
              <w:ind w:left="37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ind w:left="40"/>
        <w:spacing w:after="0"/>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32.1</w:t>
      </w:r>
      <w:r>
        <w:rPr>
          <w:sz w:val="20"/>
          <w:szCs w:val="20"/>
          <w:color w:val="auto"/>
        </w:rPr>
        <w:tab/>
      </w:r>
      <w:r>
        <w:rPr>
          <w:rFonts w:ascii="Arial" w:cs="Arial" w:eastAsia="Arial" w:hAnsi="Arial"/>
          <w:sz w:val="16"/>
          <w:szCs w:val="16"/>
          <w:color w:val="auto"/>
        </w:rPr>
        <w:t>Certification by Chief Executive Officer of Periodic Report Pursuant to 18 U.S.C. Section 1350.</w:t>
      </w:r>
    </w:p>
    <w:p>
      <w:pPr>
        <w:spacing w:after="0" w:line="117"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Report Pursuant to 18 U.S.C. Section 1350.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Reports on Form 8-K.</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quarter ended June 30, 2003, the Registrant filed the following reports on Form 8-K: a Form 8-K dated May 5, 2003, reconfirming its outlook for the second quarter of 2003 as originally set forth in its earnings release dated April 15, 2003, and a second Form 8-K dated June 10, 2003, updating its outlook for the second quarter of 2003.</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Market demand for semiconductors, particularly for digital signal processors and analog chips in key markets such as telecommunications and computers;</w:t>
      </w:r>
    </w:p>
    <w:p>
      <w:pPr>
        <w:spacing w:after="0" w:line="76" w:lineRule="exact"/>
        <w:rPr>
          <w:sz w:val="20"/>
          <w:szCs w:val="20"/>
          <w:color w:val="auto"/>
        </w:rPr>
      </w:pPr>
    </w:p>
    <w:p>
      <w:pPr>
        <w:ind w:left="460" w:right="160" w:hanging="446"/>
        <w:spacing w:after="0" w:line="268" w:lineRule="auto"/>
        <w:rPr>
          <w:sz w:val="20"/>
          <w:szCs w:val="20"/>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TI’s ability to develop, manufacture and market innovative products in a rapidly changing technological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TI’s ability to compete in products and prices in an intensely competitive industry;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TI’s ability to maintain and enforce a strong intellectual property portfolio and obtain needed licenses from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Consolidation of TI’s patent licensees and market conditions reducing royalty payments to TI;</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Timely completion and successful integration of announced acquisitions;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Economic, social and political conditions in the countries in which TI, its customers or its suppliers operate, including security risks,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88" w:right="25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possible disruptions in the transportation networks and fluctuations in foreign currency exchange rates;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Losses or curtailments of purchases from key customers or the timing of customer inventory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Availability of raw materials and critical manufacturing equipment;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TI’s ability to recruit and retain skilled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Fluctuations in the market value of TI’s investments and in interest rates;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Timely implementation of new manufacturing technologies and installation of manufacturing equipment.</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this report and TI undertakes no obligation to update the forward-looking statements to reflect subsequent events or circumstances.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EXAS</w:t>
      </w:r>
      <w:r>
        <w:rPr>
          <w:rFonts w:ascii="Arial" w:cs="Arial" w:eastAsia="Arial" w:hAnsi="Arial"/>
          <w:sz w:val="18"/>
          <w:szCs w:val="18"/>
          <w:color w:val="auto"/>
        </w:rPr>
        <w:t xml:space="preserve"> I</w:t>
      </w:r>
      <w:r>
        <w:rPr>
          <w:rFonts w:ascii="Arial" w:cs="Arial" w:eastAsia="Arial" w:hAnsi="Arial"/>
          <w:sz w:val="14"/>
          <w:szCs w:val="14"/>
          <w:color w:val="auto"/>
        </w:rPr>
        <w:t>NSTRUMENTS</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William A. Aylesworth</w:t>
      </w:r>
    </w:p>
    <w:p>
      <w:pPr>
        <w:jc w:val="center"/>
        <w:ind w:left="726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726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28, 2003</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280" w:right="4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10(n)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2003 DIRECTOR COMPENSATION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17,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Texas Instruments 2003 Director Compensation Plan is designed to attract and retain qualified individuals to serve as directors of the Company and to increase the proprietary and vested interest of such directors in the growth and performance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8 of the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or other stock-based award under the Plan.</w:t>
      </w:r>
    </w:p>
    <w:p>
      <w:pPr>
        <w:spacing w:after="0" w:line="76"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 may, but</w:t>
      </w:r>
      <w:r>
        <w:rPr>
          <w:rFonts w:ascii="Arial" w:cs="Arial" w:eastAsia="Arial" w:hAnsi="Arial"/>
          <w:sz w:val="18"/>
          <w:szCs w:val="18"/>
          <w:i w:val="1"/>
          <w:iCs w:val="1"/>
          <w:color w:val="auto"/>
        </w:rPr>
        <w:t xml:space="preserve"> </w:t>
      </w:r>
      <w:r>
        <w:rPr>
          <w:rFonts w:ascii="Arial" w:cs="Arial" w:eastAsia="Arial" w:hAnsi="Arial"/>
          <w:sz w:val="18"/>
          <w:szCs w:val="18"/>
          <w:color w:val="auto"/>
        </w:rPr>
        <w:t>need not, be executed or acknowledged by a Director.</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 established pursuant to Section 8(c) on behalf of each Director who elects pursuant to Section 8(b)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any of his or her Deferred Compensation credited to a cash account.</w:t>
      </w:r>
    </w:p>
    <w:p>
      <w:pPr>
        <w:spacing w:after="0" w:line="37" w:lineRule="exact"/>
        <w:rPr>
          <w:rFonts w:ascii="Arial" w:cs="Arial" w:eastAsia="Arial" w:hAnsi="Arial"/>
          <w:sz w:val="18"/>
          <w:szCs w:val="18"/>
          <w:color w:val="auto"/>
        </w:rPr>
      </w:pPr>
    </w:p>
    <w:p>
      <w:pPr>
        <w:ind w:left="460" w:right="120" w:hanging="452"/>
        <w:spacing w:after="0" w:line="289"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an event when (a) any Person, alone or together with its Affiliates and Associates or otherwise, shall become an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otherwise than pursuant to a transaction or agreement approved by the Board prior to the time the Acquiring Person became such, or (b)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as in effect on the date hereof; provided, however, that if the percentage employed in the definition of Acquiring Person is reduced hereafter from 20% in such Rights Agreement, then such reduction shall also be applicable for the purposes hereof.</w:t>
      </w:r>
    </w:p>
    <w:p>
      <w:pPr>
        <w:sectPr>
          <w:pgSz w:w="11900" w:h="16838" w:orient="portrait"/>
          <w:cols w:equalWidth="0" w:num="1">
            <w:col w:w="11420"/>
          </w:cols>
          <w:pgMar w:left="240" w:top="125" w:right="239" w:bottom="1440" w:gutter="0" w:footer="0" w:header="0"/>
        </w:sectPr>
      </w:pPr>
    </w:p>
    <w:bookmarkStart w:id="26" w:name="page27"/>
    <w:bookmarkEnd w:id="26"/>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“Code” </w:t>
      </w:r>
      <w:r>
        <w:rPr>
          <w:rFonts w:ascii="Arial" w:cs="Arial" w:eastAsia="Arial" w:hAnsi="Arial"/>
          <w:sz w:val="18"/>
          <w:szCs w:val="18"/>
          <w:color w:val="auto"/>
        </w:rPr>
        <w:t>means the Internal Revenue Code of 1986, as amended.</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76" w:lineRule="exact"/>
        <w:rPr>
          <w:rFonts w:ascii="Arial" w:cs="Arial" w:eastAsia="Arial" w:hAnsi="Arial"/>
          <w:sz w:val="18"/>
          <w:szCs w:val="18"/>
          <w:color w:val="auto"/>
        </w:rPr>
      </w:pPr>
    </w:p>
    <w:p>
      <w:pPr>
        <w:ind w:left="452" w:right="460" w:hanging="452"/>
        <w:spacing w:after="0" w:line="268"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8(a)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Plan.</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76" w:lineRule="exact"/>
        <w:rPr>
          <w:rFonts w:ascii="Arial" w:cs="Arial" w:eastAsia="Arial" w:hAnsi="Arial"/>
          <w:sz w:val="18"/>
          <w:szCs w:val="18"/>
          <w:color w:val="auto"/>
        </w:rPr>
      </w:pPr>
    </w:p>
    <w:p>
      <w:pPr>
        <w:ind w:left="452" w:right="100" w:hanging="452"/>
        <w:spacing w:after="0" w:line="306"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“Eligible Compensation” </w:t>
      </w:r>
      <w:r>
        <w:rPr>
          <w:rFonts w:ascii="Arial" w:cs="Arial" w:eastAsia="Arial" w:hAnsi="Arial"/>
          <w:sz w:val="16"/>
          <w:szCs w:val="16"/>
          <w:color w:val="auto"/>
        </w:rPr>
        <w:t>means the cash portion of any compensation payable by the Company to a Director for his or her services as a Director but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 include any reimbursement by the Company of expenses incurred by a Director incidental to attendance at a meeting of the Company’s stockholders, the Board, or any committee of the Board, or of any other expense incurred on behalf of the Company.</w:t>
      </w:r>
    </w:p>
    <w:p>
      <w:pPr>
        <w:spacing w:after="0" w:line="12" w:lineRule="exact"/>
        <w:rPr>
          <w:rFonts w:ascii="Arial" w:cs="Arial" w:eastAsia="Arial" w:hAnsi="Arial"/>
          <w:sz w:val="16"/>
          <w:szCs w:val="16"/>
          <w:color w:val="auto"/>
        </w:rPr>
      </w:pPr>
    </w:p>
    <w:p>
      <w:pPr>
        <w:ind w:left="452" w:hanging="452"/>
        <w:spacing w:after="0" w:line="256"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average of the high and low prices of the Shares on the date specified rounded up to the next whole cent (or, if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on the New York Stock Exchange on such date, then on the first previous date on which there is such trading) as reported in “New York Stock Exchange Composite Transactions” in “The Wall Street Journal” or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Administrator.</w:t>
      </w:r>
    </w:p>
    <w:p>
      <w:pPr>
        <w:spacing w:after="0" w:line="48"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“O&amp;N Committee” </w:t>
      </w:r>
      <w:r>
        <w:rPr>
          <w:rFonts w:ascii="Arial" w:cs="Arial" w:eastAsia="Arial" w:hAnsi="Arial"/>
          <w:sz w:val="18"/>
          <w:szCs w:val="18"/>
          <w:color w:val="auto"/>
        </w:rPr>
        <w:t>means the Board Organization and Nominating Committee of the Board or any successor committee.</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Section 6.</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2003 Director Compensation Plan.</w:t>
      </w:r>
    </w:p>
    <w:p>
      <w:pPr>
        <w:spacing w:after="0" w:line="76"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Section 7 that is denominated in Shares, each of which represents a right to receive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terms and conditions set forth in the Plan and the applicable Award Agreement.</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76" w:lineRule="exact"/>
        <w:rPr>
          <w:rFonts w:ascii="Arial" w:cs="Arial" w:eastAsia="Arial" w:hAnsi="Arial"/>
          <w:sz w:val="18"/>
          <w:szCs w:val="18"/>
          <w:color w:val="auto"/>
        </w:rPr>
      </w:pPr>
    </w:p>
    <w:p>
      <w:pPr>
        <w:ind w:left="452" w:right="340" w:hanging="452"/>
        <w:spacing w:after="0" w:line="268"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 established, pursuant to Section 8(d), on behalf of each Director who elects, pursuant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8(b), to have any of his or her Deferred Compensation credited to a stock unit account.</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27" w:name="page28"/>
    <w:bookmarkEnd w:id="27"/>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Year</w:t>
      </w:r>
      <w:r>
        <w:rPr>
          <w:rFonts w:ascii="Arial" w:cs="Arial" w:eastAsia="Arial" w:hAnsi="Arial"/>
          <w:sz w:val="18"/>
          <w:szCs w:val="18"/>
          <w:color w:val="auto"/>
        </w:rPr>
        <w:t>” means a calendar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compensation and to receive Awards under the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w:t>
      </w:r>
    </w:p>
    <w:p>
      <w:pPr>
        <w:spacing w:after="0" w:line="38" w:lineRule="exact"/>
        <w:rPr>
          <w:sz w:val="20"/>
          <w:szCs w:val="20"/>
          <w:color w:val="auto"/>
        </w:rPr>
      </w:pPr>
    </w:p>
    <w:p>
      <w:pPr>
        <w:ind w:right="40" w:firstLine="8"/>
        <w:spacing w:after="0" w:line="295" w:lineRule="auto"/>
        <w:tabs>
          <w:tab w:leader="none" w:pos="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SUBJECT TO THE PLAN.</w:t>
      </w:r>
    </w:p>
    <w:p>
      <w:pPr>
        <w:spacing w:after="0" w:line="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2,000,000 Shares.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or Stock Unit Account, or to which such an Award relates, are forfeited, or if such an Award or Account otherwise terminates without the delivery of Shares, then such Shares, to the extent of any such forfeiture or termination, shall again be, or shall become, available for issuance under the Plan.</w:t>
      </w:r>
    </w:p>
    <w:p>
      <w:pPr>
        <w:spacing w:after="0" w:line="45"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that any Award granted hereunder is exercised through the delivery of Shares, or in the event that withholding tax liabilities arising from such Award are satisfied by the withholding of Shares by the Company, the number of Shares available for Awards under the Plan shall be increased by the number of Shares so surrendered or withheld.</w:t>
      </w:r>
    </w:p>
    <w:p>
      <w:pPr>
        <w:spacing w:after="0" w:line="45"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or of treasury Shares.</w:t>
      </w:r>
    </w:p>
    <w:p>
      <w:pPr>
        <w:spacing w:after="0" w:line="37"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the Administrator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Administrator to be appropriate in order to prevent dilution or enlargement of the benefits or potential benefits intended to be made available under the Plan, then the Administrator shall, in such manner as it may deem equitable, adjust any or all of (i) the number of outstanding Restricted Stock Units, (ii) the number and type of Shares credited to Stock Unit Accounts (iii) the number and type of Shares subject to Options, (iv) the exercise price with respect to any Option or, if deemed appropriate, make provision for a cash payment to the holder of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8" w:name="page29"/>
    <w:bookmarkEnd w:id="28"/>
    <w:p>
      <w:pPr>
        <w:ind w:left="46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Option, and (v) the aggregate limit specified in Section 5(a); provided, however, that no fractional Restricted Stock Units or Shares shall be issued or outstanding hereunder.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OPTIONS.</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After the effective date of this Plan, each Director will be granted annually an Option to purchase 15,000 Shares. The Options granted will be nonstatutory stock options not intended to qualify under Section 422 of the Code and shall have the following terms and conditions:</w:t>
      </w:r>
    </w:p>
    <w:p>
      <w:pPr>
        <w:spacing w:after="0" w:line="37" w:lineRule="exact"/>
        <w:rPr>
          <w:sz w:val="20"/>
          <w:szCs w:val="20"/>
          <w:color w:val="auto"/>
        </w:rPr>
      </w:pPr>
    </w:p>
    <w:p>
      <w:pPr>
        <w:ind w:left="460" w:right="4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Price and Term of Options</w:t>
      </w:r>
      <w:r>
        <w:rPr>
          <w:rFonts w:ascii="Arial" w:cs="Arial" w:eastAsia="Arial" w:hAnsi="Arial"/>
          <w:sz w:val="16"/>
          <w:szCs w:val="16"/>
          <w:color w:val="auto"/>
        </w:rPr>
        <w:t>. The purchase price per share of Shares deliverable upon the exercise of each Option shall be 100% of the Fair Market Value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the Shares on the date the Option is granted. Each Option shall have a term not to exceed ten years from the date of grant.</w:t>
      </w:r>
    </w:p>
    <w:p>
      <w:pPr>
        <w:spacing w:after="0" w:line="1"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any combination thereof, having a Fair Market Value on the exercise date equal to the relevant exercise price, in which payment of the exercise price with respect to an Option may be made or deemed to have been made.</w:t>
      </w:r>
    </w:p>
    <w:p>
      <w:pPr>
        <w:spacing w:after="0" w:line="45"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Sections 6(d) and 6(e), Options shall become exercisable in four equal annual installments commencing on the first anniversary</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grant.</w:t>
      </w:r>
    </w:p>
    <w:p>
      <w:pPr>
        <w:spacing w:after="0" w:line="37"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the provisions of Section 6(c) shall not apply and Options outstanding under the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exercisable in full and continue to full term.</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director shall be as follows: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All outstanding Options held by the Participant shall be canceled immediately upon termination.</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All outstanding Options held by the Participant shall continue to full term, becoming exercisable in accordance with Section 6(c),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by such Participant’s heirs.</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Permanent disability: </w:t>
      </w:r>
      <w:r>
        <w:rPr>
          <w:rFonts w:ascii="Arial" w:cs="Arial" w:eastAsia="Arial" w:hAnsi="Arial"/>
          <w:sz w:val="18"/>
          <w:szCs w:val="18"/>
          <w:color w:val="auto"/>
        </w:rPr>
        <w:t>All outstanding Options held by the Participant shall continue to full term, becoming exercisable in accordance with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6(c).</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after 8 years of service: </w:t>
      </w:r>
      <w:r>
        <w:rPr>
          <w:rFonts w:ascii="Arial" w:cs="Arial" w:eastAsia="Arial" w:hAnsi="Arial"/>
          <w:sz w:val="18"/>
          <w:szCs w:val="18"/>
          <w:color w:val="auto"/>
        </w:rPr>
        <w:t>All outstanding Options held by the Participant shall continue to full term, becoming exercisable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Section 6(c).</w:t>
      </w:r>
    </w:p>
    <w:p>
      <w:pPr>
        <w:spacing w:after="0" w:line="37" w:lineRule="exact"/>
        <w:rPr>
          <w:rFonts w:ascii="Arial" w:cs="Arial" w:eastAsia="Arial" w:hAnsi="Arial"/>
          <w:sz w:val="18"/>
          <w:szCs w:val="18"/>
          <w:color w:val="auto"/>
        </w:rPr>
      </w:pPr>
    </w:p>
    <w:p>
      <w:pPr>
        <w:ind w:left="900" w:right="4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reason of ineligibility to stand for reelection under the Company’s by-laws: </w:t>
      </w:r>
      <w:r>
        <w:rPr>
          <w:rFonts w:ascii="Arial" w:cs="Arial" w:eastAsia="Arial" w:hAnsi="Arial"/>
          <w:sz w:val="18"/>
          <w:szCs w:val="18"/>
          <w:color w:val="auto"/>
        </w:rPr>
        <w:t>All outstanding Options held by the Participant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full term, becoming exercisable in accordance with Section 6(c).</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For any termination other than those specified above, 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9" w:name="page30"/>
    <w:bookmarkEnd w:id="29"/>
    <w:p>
      <w:pPr>
        <w:ind w:left="92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Options held by the Participant shall be exercisable for 30 days after the date of termination, only to the extent that such Options were exercisable on the date of termination, except as follows:</w:t>
      </w:r>
    </w:p>
    <w:p>
      <w:pPr>
        <w:spacing w:after="0" w:line="37" w:lineRule="exact"/>
        <w:rPr>
          <w:sz w:val="20"/>
          <w:szCs w:val="20"/>
          <w:color w:val="auto"/>
        </w:rPr>
      </w:pPr>
    </w:p>
    <w:p>
      <w:pPr>
        <w:ind w:left="900" w:hanging="446"/>
        <w:spacing w:after="0" w:line="325"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 w:lineRule="exact"/>
        <w:rPr>
          <w:rFonts w:ascii="Arial" w:cs="Arial" w:eastAsia="Arial" w:hAnsi="Arial"/>
          <w:sz w:val="16"/>
          <w:szCs w:val="16"/>
          <w:color w:val="auto"/>
        </w:rPr>
      </w:pPr>
    </w:p>
    <w:p>
      <w:pPr>
        <w:ind w:left="900" w:right="8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Participant’s termination occurs within 30 days before the effective date of a Change in Control, then the Change in Control will be deemed to have occurred first and the Options shall be exercisable in accordance with Section 6(d).</w:t>
      </w:r>
    </w:p>
    <w:p>
      <w:pPr>
        <w:spacing w:after="0" w:line="118"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hereunder shall be evidenced by an Award Agreement with the Company, which shall contain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set forth herein and shall otherwise be consistent with the provisions of 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STOCK UNITS.</w:t>
      </w:r>
    </w:p>
    <w:p>
      <w:pPr>
        <w:spacing w:after="0" w:line="83" w:lineRule="exact"/>
        <w:rPr>
          <w:sz w:val="20"/>
          <w:szCs w:val="20"/>
          <w:color w:val="auto"/>
        </w:rPr>
      </w:pPr>
    </w:p>
    <w:p>
      <w:pPr>
        <w:ind w:left="460" w:right="20" w:hanging="452"/>
        <w:spacing w:after="0" w:line="287"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Grants of Restricted Stock Units</w:t>
      </w:r>
      <w:r>
        <w:rPr>
          <w:rFonts w:ascii="Arial" w:cs="Arial" w:eastAsia="Arial" w:hAnsi="Arial"/>
          <w:sz w:val="16"/>
          <w:szCs w:val="16"/>
          <w:color w:val="auto"/>
        </w:rPr>
        <w:t>. Following the effective date of this Plan, each Director shall, effective as of the date of such individual’s initial election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to the Board, be granted 2,000 Restricted Stock Units. Each Restricted Stock Unit shall be paid or settled by the issuance of one Share upon the termination of such recipient’s service as a director of the Company, provided that such termination of service shall have occurred (i) after the age at which a director is ineligible under the Company’s by-laws to stand for reelection to the Board, (ii) after the completion of at least eight years of service as a director of the Company, (iii) as a result of the Director’s death or disability, or (iv) in connection with or as a result of a Change in Control. In the event such recipient’s membership on the Board shall terminate prior to the attainment of the age for ineligibility for reelection and prior to the completion of eight years of service as a director for reasons other than death or disability, such Restricted Stock Units shall terminate and all of the rights, title and interest of the recipient thereunder shall be forfeited in their entirety. Notwithstanding the foregoing, in no event shall Shares be issued pursuant to a Restricted Stock Unit granted under this Section 7 if a Director’s service on the board terminates less than six months after the date of grant for any reason other than death or disability.</w:t>
      </w:r>
    </w:p>
    <w:p>
      <w:pPr>
        <w:spacing w:after="0" w:line="28" w:lineRule="exact"/>
        <w:rPr>
          <w:rFonts w:ascii="Arial" w:cs="Arial" w:eastAsia="Arial" w:hAnsi="Arial"/>
          <w:sz w:val="16"/>
          <w:szCs w:val="16"/>
          <w:color w:val="auto"/>
        </w:rPr>
      </w:pPr>
    </w:p>
    <w:p>
      <w:pPr>
        <w:ind w:left="460" w:right="60" w:hanging="452"/>
        <w:spacing w:after="0" w:line="29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Right to Dividend Equivalents</w:t>
      </w:r>
      <w:r>
        <w:rPr>
          <w:rFonts w:ascii="Arial" w:cs="Arial" w:eastAsia="Arial" w:hAnsi="Arial"/>
          <w:sz w:val="16"/>
          <w:szCs w:val="16"/>
          <w:color w:val="auto"/>
        </w:rPr>
        <w:t>. Each recipient of Restricted Stock Units under this Plan shall have the right, during the period when such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pay such accumulated amounts without interest annually.</w:t>
      </w:r>
    </w:p>
    <w:p>
      <w:pPr>
        <w:spacing w:after="0" w:line="18"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Issuance of Shares Upon Lapse of Restrictions</w:t>
      </w:r>
      <w:r>
        <w:rPr>
          <w:rFonts w:ascii="Arial" w:cs="Arial" w:eastAsia="Arial" w:hAnsi="Arial"/>
          <w:sz w:val="18"/>
          <w:szCs w:val="18"/>
          <w:color w:val="auto"/>
        </w:rPr>
        <w:t>. A stock certificate or certificates shall be registered and issued in the name of the holder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and delivered to such holder as soon as practicable after such Restricted Stock Units have become payable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settleable in accordance with the terms of the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DEFERRED COMPENSATION.</w:t>
      </w:r>
    </w:p>
    <w:p>
      <w:pPr>
        <w:spacing w:after="0" w:line="83" w:lineRule="exact"/>
        <w:rPr>
          <w:sz w:val="20"/>
          <w:szCs w:val="20"/>
          <w:color w:val="auto"/>
        </w:rPr>
      </w:pPr>
    </w:p>
    <w:p>
      <w:pPr>
        <w:ind w:left="460" w:right="38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eligible Director may elect, with respect to any Year, that all or any portion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37"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 Alternatives</w:t>
      </w:r>
      <w:r>
        <w:rPr>
          <w:rFonts w:ascii="Arial" w:cs="Arial" w:eastAsia="Arial" w:hAnsi="Arial"/>
          <w:sz w:val="18"/>
          <w:szCs w:val="18"/>
          <w:color w:val="auto"/>
        </w:rPr>
        <w:t>. Each Director may elect that his or her Deferred Compensation for any Year be credited to a Cash Account or a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to any combination thereof.</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20" w:right="320" w:hanging="545"/>
        <w:spacing w:after="0" w:line="268"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shall establish and maintain a separate unfunded Cash Account for each Director who has elected that any portion of his or her Deferred Compensation be credited to a Cash Account.</w:t>
      </w:r>
    </w:p>
    <w:p>
      <w:pPr>
        <w:spacing w:after="0" w:line="37" w:lineRule="exact"/>
        <w:rPr>
          <w:rFonts w:ascii="Arial" w:cs="Arial" w:eastAsia="Arial" w:hAnsi="Arial"/>
          <w:sz w:val="18"/>
          <w:szCs w:val="18"/>
          <w:color w:val="auto"/>
        </w:rPr>
      </w:pPr>
    </w:p>
    <w:p>
      <w:pPr>
        <w:ind w:left="1120" w:right="120" w:hanging="545"/>
        <w:spacing w:after="0" w:line="325"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As of the date on which any amount of a Director’s Deferred Compensation becomes payable, his or her Cash Account shall be credited with an amount equal to that portion of such Deferred Compensation as such Director has elected be credited to his or her Cash Account.</w:t>
      </w:r>
    </w:p>
    <w:p>
      <w:pPr>
        <w:spacing w:after="0" w:line="1" w:lineRule="exact"/>
        <w:rPr>
          <w:rFonts w:ascii="Arial" w:cs="Arial" w:eastAsia="Arial" w:hAnsi="Arial"/>
          <w:sz w:val="16"/>
          <w:szCs w:val="16"/>
          <w:color w:val="auto"/>
        </w:rPr>
      </w:pPr>
    </w:p>
    <w:p>
      <w:pPr>
        <w:ind w:left="1120" w:right="140" w:hanging="545"/>
        <w:spacing w:after="0" w:line="255"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as may be determined by the O&amp;N Committee for each Year.</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Stock Unit Accounts.</w:t>
      </w:r>
    </w:p>
    <w:p>
      <w:pPr>
        <w:spacing w:after="0" w:line="76" w:lineRule="exact"/>
        <w:rPr>
          <w:rFonts w:ascii="Arial" w:cs="Arial" w:eastAsia="Arial" w:hAnsi="Arial"/>
          <w:sz w:val="18"/>
          <w:szCs w:val="18"/>
          <w:color w:val="auto"/>
        </w:rPr>
      </w:pPr>
    </w:p>
    <w:p>
      <w:pPr>
        <w:ind w:left="1120" w:right="380" w:hanging="545"/>
        <w:spacing w:after="0" w:line="268"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shall establish and maintain a separate unfunded Stock Unit Account for each Director who has elected that any portion of his Deferred Compensation be credited to a Stock Unit Account.</w:t>
      </w:r>
    </w:p>
    <w:p>
      <w:pPr>
        <w:spacing w:after="0" w:line="37" w:lineRule="exact"/>
        <w:rPr>
          <w:rFonts w:ascii="Arial" w:cs="Arial" w:eastAsia="Arial" w:hAnsi="Arial"/>
          <w:sz w:val="18"/>
          <w:szCs w:val="18"/>
          <w:color w:val="auto"/>
        </w:rPr>
      </w:pPr>
    </w:p>
    <w:p>
      <w:pPr>
        <w:ind w:left="1120" w:hanging="545"/>
        <w:spacing w:after="0" w:line="256"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Compensation as such Director has elected be credited to his or her Stock Unit Account.</w:t>
      </w:r>
    </w:p>
    <w:p>
      <w:pPr>
        <w:spacing w:after="0" w:line="48" w:lineRule="exact"/>
        <w:rPr>
          <w:rFonts w:ascii="Arial" w:cs="Arial" w:eastAsia="Arial" w:hAnsi="Arial"/>
          <w:sz w:val="18"/>
          <w:szCs w:val="18"/>
          <w:color w:val="auto"/>
        </w:rPr>
      </w:pPr>
    </w:p>
    <w:p>
      <w:pPr>
        <w:ind w:left="1120" w:right="40" w:hanging="545"/>
        <w:spacing w:after="0" w:line="256"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31" w:name="page32"/>
    <w:bookmarkEnd w:id="31"/>
    <w:p>
      <w:pPr>
        <w:ind w:left="460" w:hanging="452"/>
        <w:spacing w:after="0" w:line="29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and Time of Election</w:t>
      </w:r>
      <w:r>
        <w:rPr>
          <w:rFonts w:ascii="Arial" w:cs="Arial" w:eastAsia="Arial" w:hAnsi="Arial"/>
          <w:sz w:val="16"/>
          <w:szCs w:val="16"/>
          <w:color w:val="auto"/>
        </w:rPr>
        <w:t>. A Director’s election to defer all or any portion of his or her Eligible Compensation for any Year shall be irrevocable.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shall be made in writing in the form (“Election Form”) prescribed by the Secretary. Except as hereinafter provided, to be effective, an Election Form for any Year shall be required to be received by the Secretary on or before December 31 of the preceding Year. In the case of a Director’s initial election to the Board, the initial Election Form shall be received not more than 30 days following his or her election to the Board and, if not received within such 30-day period, the Election Form shall be effective only for Eligible Compensation earned after its receipt.</w:t>
      </w:r>
    </w:p>
    <w:p>
      <w:pPr>
        <w:spacing w:after="0" w:line="21" w:lineRule="exact"/>
        <w:rPr>
          <w:rFonts w:ascii="Arial" w:cs="Arial" w:eastAsia="Arial" w:hAnsi="Arial"/>
          <w:sz w:val="16"/>
          <w:szCs w:val="16"/>
          <w:color w:val="auto"/>
        </w:rPr>
      </w:pPr>
    </w:p>
    <w:p>
      <w:pPr>
        <w:ind w:left="460" w:right="20" w:hanging="452"/>
        <w:spacing w:after="0" w:line="28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Form and Time of Distributions</w:t>
      </w:r>
      <w:r>
        <w:rPr>
          <w:rFonts w:ascii="Arial" w:cs="Arial" w:eastAsia="Arial" w:hAnsi="Arial"/>
          <w:sz w:val="16"/>
          <w:szCs w:val="16"/>
          <w:color w:val="auto"/>
        </w:rPr>
        <w:t>. Distributions of amounts credited to each Director’s Cash Account shall be made in cash. Distribution of units credited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director’s Stock Unit Account shall be made by issuing to such Director an equivalent number of Shares; provided, however, that no fractional shares will be issued and any fractional unit will be distributed by payment of cash in the amount represented by such fractional unit based on the Fair Market Value on the date preceding the date of payment. Except as otherwise hereinafter provided, distributions shall be made (a) on the first day of the month following such Director’s termination of service on the Board for any reason other than death, or (b) at such later time as the Director has elected in accordance with the terms of this Plan. Notwithstanding the foregoing, an earlier distribution may be made, at the discretion of the Administrator, upon a finding that a Director is suffering a significant financial hardship caused by a recent event or events not within such Director’s control; provided, however, that in such event, the cash or shares distributed shall be limited to those amounts necessary to accommodate the financial hardship, as determined by the Administrator.</w:t>
      </w:r>
    </w:p>
    <w:p>
      <w:pPr>
        <w:spacing w:after="0" w:line="25" w:lineRule="exact"/>
        <w:rPr>
          <w:rFonts w:ascii="Arial" w:cs="Arial" w:eastAsia="Arial" w:hAnsi="Arial"/>
          <w:sz w:val="16"/>
          <w:szCs w:val="16"/>
          <w:color w:val="auto"/>
        </w:rPr>
      </w:pPr>
    </w:p>
    <w:p>
      <w:pPr>
        <w:ind w:left="460" w:right="280" w:hanging="452"/>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Death of Director</w:t>
      </w:r>
      <w:r>
        <w:rPr>
          <w:rFonts w:ascii="Arial" w:cs="Arial" w:eastAsia="Arial" w:hAnsi="Arial"/>
          <w:sz w:val="16"/>
          <w:szCs w:val="16"/>
          <w:color w:val="auto"/>
        </w:rPr>
        <w:t>. Notwithstanding the foregoing, in the event of the death of a Director prior to receipt by such Director of the full amount of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to be distributed to the Director, all such cash and/or shares will be distributed to the beneficiary or beneficiaries designated by the Director, or if no beneficiary has been designated, to the Director’s estate as soon as practicable following the month in which the death occurred.</w:t>
      </w:r>
    </w:p>
    <w:p>
      <w:pPr>
        <w:spacing w:after="0" w:line="12"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Certain Rights Reserved by the Company</w:t>
      </w:r>
      <w:r>
        <w:rPr>
          <w:rFonts w:ascii="Arial" w:cs="Arial" w:eastAsia="Arial" w:hAnsi="Arial"/>
          <w:sz w:val="16"/>
          <w:szCs w:val="16"/>
          <w:color w:val="auto"/>
        </w:rPr>
        <w:t>. In the event that, pursuant to Section 10, the Company suspends, modifies or terminates this Plan,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the right to distribute to each Director all amounts in such Director’s Cash Account or Shares equivalent to units in such Director’s Stock Unit Account, including, in the case of Stock Unit Accounts, the right to distribute cash equivalent to the units in such Accounts.</w:t>
      </w:r>
    </w:p>
    <w:p>
      <w:pPr>
        <w:spacing w:after="0" w:line="12" w:lineRule="exact"/>
        <w:rPr>
          <w:rFonts w:ascii="Arial" w:cs="Arial" w:eastAsia="Arial" w:hAnsi="Arial"/>
          <w:sz w:val="16"/>
          <w:szCs w:val="16"/>
          <w:color w:val="auto"/>
        </w:rPr>
      </w:pPr>
    </w:p>
    <w:p>
      <w:pPr>
        <w:ind w:left="460" w:right="20" w:hanging="452"/>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Certain Affiliations</w:t>
      </w:r>
      <w:r>
        <w:rPr>
          <w:rFonts w:ascii="Arial" w:cs="Arial" w:eastAsia="Arial" w:hAnsi="Arial"/>
          <w:sz w:val="16"/>
          <w:szCs w:val="16"/>
          <w:color w:val="auto"/>
        </w:rPr>
        <w:t>. In the event that any Director terminates his or her membership on the Board and becomes affiliated with a government agency or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private company or firm that the O&amp;N Committee believes to be in competition with the Company, the Board may, at its discretion, require a distribution of all amounts in any Director’s Cash Account or shares equivalent to units in such Director’s Stock Unit Account.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8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Administrator is hereby authorized to grant to Directors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2" w:name="page33"/>
    <w:bookmarkEnd w:id="3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deemed by the Administrator to be consistent with the purposes of the Plan. Subject to the terms of the Plan, the Administrator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AMENDMENT AND TERMINATION.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applicable law:</w:t>
      </w:r>
    </w:p>
    <w:p>
      <w:pPr>
        <w:spacing w:after="0" w:line="77" w:lineRule="exact"/>
        <w:rPr>
          <w:sz w:val="20"/>
          <w:szCs w:val="20"/>
          <w:color w:val="auto"/>
        </w:rPr>
      </w:pPr>
    </w:p>
    <w:p>
      <w:pPr>
        <w:ind w:left="460" w:hanging="452"/>
        <w:spacing w:after="0" w:line="287"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Amendments to the Plan</w:t>
      </w:r>
      <w:r>
        <w:rPr>
          <w:rFonts w:ascii="Arial" w:cs="Arial" w:eastAsia="Arial" w:hAnsi="Arial"/>
          <w:sz w:val="16"/>
          <w:szCs w:val="16"/>
          <w:color w:val="auto"/>
        </w:rPr>
        <w:t>. The Board may amend, alter, suspend, discontinue or terminate the Plan, including, without limitation,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subject to Awards granted pursuant to Sections 6 and 7,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qualify for or comply with any tax or regulatory requirement for which or with which the Board deems it necessary or desirable to qualify or comply or (ii) the consent of the affected Participant, if such action would adversely affect the rights of such Participant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amendment or alteration shall increase the aggregate number of shares that may be issued under the Plan except as provided in Section5(e). Notwithstanding any other provision of the Plan or any Award Agreement, no such amendment, alteration, suspension, discontinuation or termination shall be made that would (1) permit Options to be granted with a per Share exercise price of less than the Fair Market Value of a Share on the date of grant thereof or (2) except as provided in Section 5(e), reduce the exercise price of any Option established at the time of grant thereof.</w:t>
      </w:r>
    </w:p>
    <w:p>
      <w:pPr>
        <w:spacing w:after="0" w:line="28"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 inconsistency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or any Award in the manner and to the extent it shall deem desirable to carry the Plan into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GENERAL PROVISIONS.</w:t>
      </w:r>
    </w:p>
    <w:p>
      <w:pPr>
        <w:spacing w:after="0" w:line="83" w:lineRule="exact"/>
        <w:rPr>
          <w:sz w:val="20"/>
          <w:szCs w:val="20"/>
          <w:color w:val="auto"/>
        </w:rPr>
      </w:pPr>
    </w:p>
    <w:p>
      <w:pPr>
        <w:jc w:val="both"/>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respect of any Shares issuable under the Plan in connection with any Award or Account, in whole or in part, unless and until certificates for such shares shall have been issued.</w:t>
      </w:r>
    </w:p>
    <w:p>
      <w:pPr>
        <w:spacing w:after="0" w:line="46" w:lineRule="exact"/>
        <w:rPr>
          <w:sz w:val="20"/>
          <w:szCs w:val="20"/>
          <w:color w:val="auto"/>
        </w:rPr>
      </w:pPr>
    </w:p>
    <w:p>
      <w:pPr>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46" w:lineRule="exact"/>
        <w:rPr>
          <w:sz w:val="20"/>
          <w:szCs w:val="20"/>
          <w:color w:val="auto"/>
        </w:rPr>
      </w:pPr>
    </w:p>
    <w:p>
      <w:pPr>
        <w:jc w:val="center"/>
        <w:ind w:left="5680" w:right="820" w:hanging="5672"/>
        <w:spacing w:after="0" w:line="440" w:lineRule="auto"/>
        <w:tabs>
          <w:tab w:leader="none" w:pos="46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 Limit on Other Compensation Arrangements</w:t>
      </w:r>
      <w:r>
        <w:rPr>
          <w:rFonts w:ascii="Arial" w:cs="Arial" w:eastAsia="Arial" w:hAnsi="Arial"/>
          <w:sz w:val="18"/>
          <w:szCs w:val="18"/>
          <w:color w:val="auto"/>
        </w:rPr>
        <w:t>. Nothing contained in the Plan shall prevent the Company from adopting or continuing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3" w:name="page34"/>
    <w:bookmarkEnd w:id="33"/>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or additional compensation arrangements, and such arrangements may be either generally applicable or applicable only in specific cases.</w:t>
      </w:r>
    </w:p>
    <w:p>
      <w:pPr>
        <w:spacing w:after="0" w:line="100" w:lineRule="exact"/>
        <w:rPr>
          <w:sz w:val="20"/>
          <w:szCs w:val="20"/>
          <w:color w:val="auto"/>
        </w:rPr>
      </w:pPr>
    </w:p>
    <w:p>
      <w:pPr>
        <w:ind w:left="452" w:right="120" w:hanging="452"/>
        <w:spacing w:after="0" w:line="268"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State of Delaware and applicable federal law.</w:t>
      </w:r>
    </w:p>
    <w:p>
      <w:pPr>
        <w:spacing w:after="0" w:line="37" w:lineRule="exact"/>
        <w:rPr>
          <w:rFonts w:ascii="Arial" w:cs="Arial" w:eastAsia="Arial" w:hAnsi="Arial"/>
          <w:sz w:val="18"/>
          <w:szCs w:val="18"/>
          <w:color w:val="auto"/>
        </w:rPr>
      </w:pPr>
    </w:p>
    <w:p>
      <w:pPr>
        <w:ind w:left="452" w:right="60" w:hanging="452"/>
        <w:spacing w:after="0" w:line="294"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 jurisdiction,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21" w:lineRule="exact"/>
        <w:rPr>
          <w:rFonts w:ascii="Arial" w:cs="Arial" w:eastAsia="Arial" w:hAnsi="Arial"/>
          <w:sz w:val="16"/>
          <w:szCs w:val="16"/>
          <w:color w:val="auto"/>
        </w:rPr>
      </w:pPr>
    </w:p>
    <w:p>
      <w:pPr>
        <w:ind w:left="452" w:hanging="452"/>
        <w:spacing w:after="0" w:line="256"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48" w:lineRule="exact"/>
        <w:rPr>
          <w:rFonts w:ascii="Arial" w:cs="Arial" w:eastAsia="Arial" w:hAnsi="Arial"/>
          <w:sz w:val="18"/>
          <w:szCs w:val="18"/>
          <w:color w:val="auto"/>
        </w:rPr>
      </w:pPr>
    </w:p>
    <w:p>
      <w:pPr>
        <w:ind w:left="452" w:right="40" w:hanging="452"/>
        <w:spacing w:after="0" w:line="298"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Accounts Unsecured</w:t>
      </w:r>
      <w:r>
        <w:rPr>
          <w:rFonts w:ascii="Arial" w:cs="Arial" w:eastAsia="Arial" w:hAnsi="Arial"/>
          <w:sz w:val="16"/>
          <w:szCs w:val="16"/>
          <w:color w:val="auto"/>
        </w:rPr>
        <w:t>. Until distributed, all amounts credited to any Cash Accounts or represented by units credited to any Stock Unit Account 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account shall be property of the Company, available for the Company’s use, and subject to the claims of general creditors of the Company. The rights of any Director or beneficiary to distributions under this Plan are not subject to anticipation, alienation, sale, transfer, assignment, or encumbrance, and shall not be subject to the debts or liabilities of any Director or beneficiary.</w:t>
      </w:r>
    </w:p>
    <w:p>
      <w:pPr>
        <w:spacing w:after="0" w:line="18" w:lineRule="exact"/>
        <w:rPr>
          <w:rFonts w:ascii="Arial" w:cs="Arial" w:eastAsia="Arial" w:hAnsi="Arial"/>
          <w:sz w:val="16"/>
          <w:szCs w:val="16"/>
          <w:color w:val="auto"/>
        </w:rPr>
      </w:pPr>
    </w:p>
    <w:p>
      <w:pPr>
        <w:ind w:left="452" w:right="100" w:hanging="452"/>
        <w:spacing w:after="0" w:line="298" w:lineRule="auto"/>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The Company shall be authorized to withhold from any Awards granted or any transfer made under any Award or under the Plan or from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for the payment of any such taxes.</w:t>
      </w:r>
    </w:p>
    <w:p>
      <w:pPr>
        <w:spacing w:after="0" w:line="18" w:lineRule="exact"/>
        <w:rPr>
          <w:rFonts w:ascii="Arial" w:cs="Arial" w:eastAsia="Arial" w:hAnsi="Arial"/>
          <w:sz w:val="16"/>
          <w:szCs w:val="16"/>
          <w:color w:val="auto"/>
        </w:rPr>
      </w:pPr>
    </w:p>
    <w:p>
      <w:pPr>
        <w:ind w:left="452" w:right="60" w:hanging="452"/>
        <w:spacing w:after="0" w:line="256"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34" w:name="page35"/>
    <w:bookmarkEnd w:id="34"/>
    <w:p>
      <w:pPr>
        <w:ind w:left="460" w:right="8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Cancellation</w:t>
      </w:r>
      <w:r>
        <w:rPr>
          <w:rFonts w:ascii="Arial" w:cs="Arial" w:eastAsia="Arial" w:hAnsi="Arial"/>
          <w:sz w:val="18"/>
          <w:szCs w:val="18"/>
          <w:color w:val="auto"/>
        </w:rPr>
        <w:t>. Any provision of the Plan or any Award Agreement to the contrary notwithstanding, the Administrator may cause any Award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to be cancelled in consideration of a cash payment or alternative Award made to the holder of such cancelled Award equal in value to the Fair Market Value of such cancelled Award on the date of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EFFECTIVE DATE OF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TERM OF THE PLAN.</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Award shall be granted or compensation deferred under the Plan after the seventh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to amend, alter, adjust, suspend, discontinue, or terminate any such Award or Account, or to waive any conditions or rights thereunder, and the authority of the Board to amend the Plan, shall extend beyond such date.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280" w:right="439" w:bottom="1440" w:gutter="0" w:footer="0" w:header="0"/>
        </w:sectPr>
      </w:pPr>
    </w:p>
    <w:bookmarkStart w:id="35" w:name="page36"/>
    <w:bookmarkEnd w:id="35"/>
    <w:p>
      <w:pPr>
        <w:ind w:left="10660"/>
        <w:spacing w:after="0"/>
        <w:rPr>
          <w:sz w:val="20"/>
          <w:szCs w:val="20"/>
          <w:color w:val="auto"/>
        </w:rPr>
      </w:pPr>
      <w:r>
        <w:rPr>
          <w:rFonts w:ascii="Arial" w:cs="Arial" w:eastAsia="Arial" w:hAnsi="Arial"/>
          <w:sz w:val="16"/>
          <w:szCs w:val="16"/>
          <w:b w:val="1"/>
          <w:bCs w:val="1"/>
          <w:u w:val="single" w:color="auto"/>
          <w:color w:val="auto"/>
        </w:rPr>
        <w:t>Exhibit 11</w:t>
      </w:r>
    </w:p>
    <w:p>
      <w:pPr>
        <w:spacing w:after="0" w:line="18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TEXAS INSTRUMENTS INCORPORATED AND SUBSIDIARIES EARNINGS PER COMMON AND DILUTIVE POTENTIAL COMMON SHARE (In millions of dollars, except per-share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rPr>
              <w:t>For Three Months Ended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7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7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Diluted Earnings per Common and Dilutive Potential Common Share: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Weighted average common shares outstanding (in thousands)</w:t>
            </w:r>
          </w:p>
        </w:tc>
        <w:tc>
          <w:tcPr>
            <w:tcW w:w="15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1,731,806</w:t>
            </w: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1,734,658</w:t>
            </w: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1,730,863</w:t>
            </w: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1,734,537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dilutive potential common shares: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4"/>
          </w:tcPr>
          <w:p>
            <w:pPr>
              <w:ind w:left="420"/>
              <w:spacing w:after="0"/>
              <w:rPr>
                <w:sz w:val="20"/>
                <w:szCs w:val="20"/>
                <w:color w:val="auto"/>
              </w:rPr>
            </w:pPr>
            <w:r>
              <w:rPr>
                <w:rFonts w:ascii="Arial" w:cs="Arial" w:eastAsia="Arial" w:hAnsi="Arial"/>
                <w:sz w:val="18"/>
                <w:szCs w:val="18"/>
                <w:color w:val="auto"/>
              </w:rPr>
              <w:t>Stock option and compensation plans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30,821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39,762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27,175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common and dilutive potential common shares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1,762,627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1,774,420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1,758,038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1,775,430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00" w:type="dxa"/>
            <w:vAlign w:val="bottom"/>
            <w:tcBorders>
              <w:top w:val="single" w:sz="8" w:color="auto"/>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1,731,806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1,734,658</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1,730,863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1,734,537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-2061845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-2061845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-2061845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-2061845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-2061845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-2061845</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-2061845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-2061845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-2061845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-2061845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-2061845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-2061845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-1066800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-1066800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-1066800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-1066800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-1066800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-1066800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-1066800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-1066800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-1066800</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-1066800</wp:posOffset>
            </wp:positionV>
            <wp:extent cx="51879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-766445</wp:posOffset>
            </wp:positionV>
            <wp:extent cx="313436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3436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-329565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-329565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-329565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-329565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-329565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-329565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-329565</wp:posOffset>
            </wp:positionV>
            <wp:extent cx="51879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-329565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51879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147" w:lineRule="exact"/>
        <w:rPr>
          <w:sz w:val="20"/>
          <w:szCs w:val="20"/>
          <w:color w:val="auto"/>
        </w:rPr>
      </w:pPr>
    </w:p>
    <w:p>
      <w:pPr>
        <w:ind w:left="10260"/>
        <w:spacing w:after="0"/>
        <w:rPr>
          <w:sz w:val="20"/>
          <w:szCs w:val="20"/>
          <w:color w:val="auto"/>
        </w:rPr>
      </w:pPr>
      <w:r>
        <w:rPr>
          <w:rFonts w:ascii="Arial" w:cs="Arial" w:eastAsia="Arial" w:hAnsi="Arial"/>
          <w:sz w:val="14"/>
          <w:szCs w:val="14"/>
          <w:b w:val="1"/>
          <w:bCs w:val="1"/>
          <w:color w:val="auto"/>
        </w:rPr>
        <w:t>For Six Months</w:t>
      </w:r>
    </w:p>
    <w:p>
      <w:pPr>
        <w:spacing w:after="0" w:line="1" w:lineRule="exact"/>
        <w:rPr>
          <w:sz w:val="20"/>
          <w:szCs w:val="20"/>
          <w:color w:val="auto"/>
        </w:rPr>
      </w:pPr>
    </w:p>
    <w:p>
      <w:pPr>
        <w:ind w:left="1026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6419850</wp:posOffset>
            </wp:positionH>
            <wp:positionV relativeFrom="paragraph">
              <wp:posOffset>60325</wp:posOffset>
            </wp:positionV>
            <wp:extent cx="7632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1999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2000</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w w:val="96"/>
              </w:rPr>
              <w:t>Income (loss) from continuing operations before income taxes plus fixed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640"/>
              <w:spacing w:after="0"/>
              <w:rPr>
                <w:sz w:val="20"/>
                <w:szCs w:val="20"/>
                <w:color w:val="auto"/>
              </w:rPr>
            </w:pPr>
            <w:r>
              <w:rPr>
                <w:rFonts w:ascii="Arial" w:cs="Arial" w:eastAsia="Arial" w:hAnsi="Arial"/>
                <w:sz w:val="18"/>
                <w:szCs w:val="18"/>
                <w:color w:val="auto"/>
              </w:rPr>
              <w:t>charges and amortization of capitalized interest, less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640"/>
              <w:spacing w:after="0"/>
              <w:rPr>
                <w:sz w:val="20"/>
                <w:szCs w:val="20"/>
                <w:color w:val="auto"/>
              </w:rPr>
            </w:pPr>
            <w:r>
              <w:rPr>
                <w:rFonts w:ascii="Arial" w:cs="Arial" w:eastAsia="Arial" w:hAnsi="Arial"/>
                <w:sz w:val="18"/>
                <w:szCs w:val="18"/>
                <w:color w:val="auto"/>
              </w:rPr>
              <w:t>capitalized</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815</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2,205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4,702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(316)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(248)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119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Total interest on loans (expensed and capitalized)</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attributable to rental and lease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127</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-1186815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-1186815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-1186815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-1186815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-1186815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-1186815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-1186815</wp:posOffset>
            </wp:positionV>
            <wp:extent cx="3302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-1186815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-1186815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-1186815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-1186815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-1186815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-1186815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-1186815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-1186815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-1186815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-1186815</wp:posOffset>
            </wp:positionV>
            <wp:extent cx="2698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-329565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-329565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-329565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-329565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-329565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-329565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-329565</wp:posOffset>
            </wp:positionV>
            <wp:extent cx="244792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4792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85344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The coverage deficiency was $423 million in year 2001 and $334 million in 2002.</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Thomas J. Engibous, certify that:</w:t>
      </w:r>
    </w:p>
    <w:p>
      <w:pPr>
        <w:spacing w:after="0" w:line="77"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firstLine="4"/>
        <w:spacing w:after="0" w:line="25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660" w:hanging="19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38" w:name="page39"/>
    <w:bookmarkEnd w:id="38"/>
    <w:p>
      <w:pPr>
        <w:ind w:left="440" w:firstLine="4"/>
        <w:spacing w:after="0" w:line="268" w:lineRule="auto"/>
        <w:tabs>
          <w:tab w:leader="none" w:pos="63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2003</w:t>
      </w:r>
    </w:p>
    <w:p>
      <w:pPr>
        <w:spacing w:after="0" w:line="374"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 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80010</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Thomas J. Engibous</w:t>
      </w:r>
    </w:p>
    <w:p>
      <w:pPr>
        <w:jc w:val="center"/>
        <w:ind w:left="6840"/>
        <w:spacing w:after="0" w:line="223" w:lineRule="auto"/>
        <w:rPr>
          <w:sz w:val="20"/>
          <w:szCs w:val="20"/>
          <w:color w:val="auto"/>
        </w:rPr>
      </w:pPr>
      <w:r>
        <w:rPr>
          <w:rFonts w:ascii="Arial" w:cs="Arial" w:eastAsia="Arial" w:hAnsi="Arial"/>
          <w:sz w:val="14"/>
          <w:szCs w:val="14"/>
          <w:b w:val="1"/>
          <w:bCs w:val="1"/>
          <w:color w:val="auto"/>
        </w:rPr>
        <w:t>Chairman of the Board,</w:t>
      </w:r>
    </w:p>
    <w:p>
      <w:pPr>
        <w:jc w:val="center"/>
        <w:ind w:lef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080"/>
          </w:cols>
          <w:pgMar w:left="260" w:top="280" w:right="5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William A. Aylesworth, certify that:</w:t>
      </w:r>
    </w:p>
    <w:p>
      <w:pPr>
        <w:spacing w:after="0" w:line="77"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firstLine="4"/>
        <w:spacing w:after="0" w:line="259"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660" w:hanging="19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40" w:name="page41"/>
    <w:bookmarkEnd w:id="40"/>
    <w:p>
      <w:pPr>
        <w:ind w:left="440" w:firstLine="4"/>
        <w:spacing w:after="0" w:line="268" w:lineRule="auto"/>
        <w:tabs>
          <w:tab w:leader="none" w:pos="63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2003</w:t>
      </w:r>
    </w:p>
    <w:p>
      <w:pPr>
        <w:spacing w:after="0" w:line="158"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80010</wp:posOffset>
            </wp:positionV>
            <wp:extent cx="28987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William A. Aylesworth</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Senior Vice President and Chief Financial Officer</w:t>
      </w:r>
    </w:p>
    <w:p>
      <w:pPr>
        <w:sectPr>
          <w:pgSz w:w="11900" w:h="16838" w:orient="portrait"/>
          <w:cols w:equalWidth="0" w:num="1">
            <w:col w:w="11080"/>
          </w:cols>
          <w:pgMar w:left="260" w:top="280" w:right="5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purposes of 18 U.S.C. Section 1350, as adopted pursuant to Section 906 of the Sarbanes-Oxley Act of 2002, the undersigned, Thomas J. Engibous,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 Executive Officer of Texas Instruments Incorporated (the “Company”), hereby certifies that, to his knowledge:</w:t>
      </w:r>
    </w:p>
    <w:p>
      <w:pPr>
        <w:spacing w:after="0" w:line="93" w:lineRule="exact"/>
        <w:rPr>
          <w:sz w:val="20"/>
          <w:szCs w:val="20"/>
          <w:color w:val="auto"/>
        </w:rPr>
      </w:pPr>
    </w:p>
    <w:p>
      <w:pPr>
        <w:ind w:left="460" w:right="140" w:firstLine="4"/>
        <w:spacing w:after="0" w:line="325" w:lineRule="auto"/>
        <w:tabs>
          <w:tab w:leader="none" w:pos="67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2003,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28, 2003</w:t>
      </w:r>
    </w:p>
    <w:p>
      <w:pPr>
        <w:spacing w:after="0" w:line="374"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Thomas J. Engibous</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w:t>
      </w: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1" w:lineRule="exact"/>
        <w:rPr>
          <w:sz w:val="20"/>
          <w:szCs w:val="20"/>
          <w:color w:val="auto"/>
        </w:rPr>
      </w:pPr>
    </w:p>
    <w:p>
      <w:pPr>
        <w:ind w:right="14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William A. Aylesworth, Senior Vice President and Chief Financial Officer of Texas Instruments Incorporated (the “Company”), hereby certifies that, to his knowledge:</w:t>
      </w:r>
    </w:p>
    <w:p>
      <w:pPr>
        <w:spacing w:after="0" w:line="1" w:lineRule="exact"/>
        <w:rPr>
          <w:sz w:val="20"/>
          <w:szCs w:val="20"/>
          <w:color w:val="auto"/>
        </w:rPr>
      </w:pPr>
    </w:p>
    <w:p>
      <w:pPr>
        <w:ind w:left="460" w:right="140" w:firstLine="4"/>
        <w:spacing w:after="0" w:line="325" w:lineRule="auto"/>
        <w:tabs>
          <w:tab w:leader="none" w:pos="67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2003,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28, 2003</w:t>
      </w:r>
    </w:p>
    <w:p>
      <w:pPr>
        <w:spacing w:after="0" w:line="374" w:lineRule="exact"/>
        <w:rPr>
          <w:sz w:val="20"/>
          <w:szCs w:val="20"/>
          <w:color w:val="auto"/>
        </w:rPr>
      </w:pPr>
    </w:p>
    <w:p>
      <w:pPr>
        <w:ind w:left="8220"/>
        <w:spacing w:after="0"/>
        <w:tabs>
          <w:tab w:leader="none" w:pos="8580" w:val="left"/>
        </w:tabs>
        <w:rPr>
          <w:sz w:val="20"/>
          <w:szCs w:val="20"/>
          <w:color w:val="auto"/>
        </w:rPr>
      </w:pPr>
      <w:r>
        <w:rPr>
          <w:rFonts w:ascii="Arial" w:cs="Arial" w:eastAsia="Arial" w:hAnsi="Arial"/>
          <w:sz w:val="18"/>
          <w:szCs w:val="18"/>
          <w:color w:val="auto"/>
        </w:rPr>
        <w:t>/s/</w:t>
        <w:tab/>
        <w:t>William A. Aylesworth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William A. Aylesworth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8"/>
    </w:lvl>
  </w:abstractNum>
  <w:abstractNum w:abstractNumId="2">
    <w:nsid w:val="436C6125"/>
    <w:multiLevelType w:val="hybridMultilevel"/>
    <w:lvl w:ilvl="0">
      <w:lvlJc w:val="left"/>
      <w:lvlText w:val="%1."/>
      <w:numFmt w:val="decimal"/>
      <w:start w:val="11"/>
    </w:lvl>
  </w:abstractNum>
  <w:abstractNum w:abstractNumId="3">
    <w:nsid w:val="628C895D"/>
    <w:multiLevelType w:val="hybridMultilevel"/>
    <w:lvl w:ilvl="0">
      <w:lvlJc w:val="left"/>
      <w:lvlText w:val="%1."/>
      <w:numFmt w:val="decimal"/>
      <w:start w:val="13"/>
    </w:lvl>
  </w:abstractNum>
  <w:abstractNum w:abstractNumId="4">
    <w:nsid w:val="333AB105"/>
    <w:multiLevelType w:val="hybridMultilevel"/>
    <w:lvl w:ilvl="0">
      <w:lvlJc w:val="left"/>
      <w:lvlText w:val="%1."/>
      <w:numFmt w:val="decimal"/>
      <w:start w:val="14"/>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endash "/>
      <w:numFmt w:val="bullet"/>
      <w:start w:val="1"/>
    </w:lvl>
  </w:abstractNum>
  <w:abstractNum w:abstractNumId="9">
    <w:nsid w:val="75A2A8D4"/>
    <w:multiLevelType w:val="hybridMultilevel"/>
    <w:lvl w:ilvl="0">
      <w:lvlJc w:val="left"/>
      <w:lvlText w:val="\endash "/>
      <w:numFmt w:val="bullet"/>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8"/>
    </w:lvl>
  </w:abstractNum>
  <w:abstractNum w:abstractNumId="12">
    <w:nsid w:val="4353D0CD"/>
    <w:multiLevelType w:val="hybridMultilevel"/>
    <w:lvl w:ilvl="0">
      <w:lvlJc w:val="left"/>
      <w:lvlText w:val="(%1)"/>
      <w:numFmt w:val="lowerRoman"/>
      <w:start w:val="5"/>
    </w:lvl>
  </w:abstractNum>
  <w:abstractNum w:abstractNumId="13">
    <w:nsid w:val="B03E0C6"/>
    <w:multiLevelType w:val="hybridMultilevel"/>
    <w:lvl w:ilvl="0">
      <w:lvlJc w:val="left"/>
      <w:lvlText w:val="(%1)"/>
      <w:numFmt w:val="lowerRoman"/>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lvl w:ilvl="1">
      <w:lvlJc w:val="left"/>
      <w:lvlText w:val="(%2)"/>
      <w:numFmt w:val="lowerRoman"/>
      <w:start w:val="1"/>
    </w:lvl>
  </w:abstractNum>
  <w:abstractNum w:abstractNumId="16">
    <w:nsid w:val="71F32454"/>
    <w:multiLevelType w:val="hybridMultilevel"/>
    <w:lvl w:ilvl="0">
      <w:lvlJc w:val="left"/>
      <w:lvlText w:val="%1"/>
      <w:numFmt w:val="lowerLetter"/>
      <w:start w:val="1"/>
    </w:lvl>
    <w:lvl w:ilvl="1">
      <w:lvlJc w:val="left"/>
      <w:lvlText w:val="(%2)"/>
      <w:numFmt w:val="upperLetter"/>
      <w:start w:val="1"/>
    </w:lvl>
  </w:abstractNum>
  <w:abstractNum w:abstractNumId="17">
    <w:nsid w:val="2CA88611"/>
    <w:multiLevelType w:val="hybridMultilevel"/>
    <w:lvl w:ilvl="0">
      <w:lvlJc w:val="left"/>
      <w:lvlText w:val="(%1)"/>
      <w:numFmt w:val="lowerLetter"/>
      <w:start w:val="6"/>
    </w:lvl>
    <w:lvl w:ilvl="1">
      <w:lvlJc w:val="left"/>
      <w:lvlText w:val="%2"/>
      <w:numFmt w:val="upp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lvl w:ilvl="1">
      <w:lvlJc w:val="left"/>
      <w:lvlText w:val="(%2)"/>
      <w:numFmt w:val="lowerRoman"/>
      <w:start w:val="1"/>
    </w:lvl>
  </w:abstractNum>
  <w:abstractNum w:abstractNumId="20">
    <w:nsid w:val="3A95F874"/>
    <w:multiLevelType w:val="hybridMultilevel"/>
    <w:lvl w:ilvl="0">
      <w:lvlJc w:val="left"/>
      <w:lvlText w:val="(%1)"/>
      <w:numFmt w:val="lowerLetter"/>
      <w:start w:val="5"/>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3"/>
    </w:lvl>
  </w:abstractNum>
  <w:abstractNum w:abstractNumId="24">
    <w:nsid w:val="737B8DDC"/>
    <w:multiLevelType w:val="hybridMultilevel"/>
    <w:lvl w:ilvl="0">
      <w:lvlJc w:val="left"/>
      <w:lvlText w:val="(%1)"/>
      <w:numFmt w:val="lowerLetter"/>
      <w:start w:val="4"/>
    </w:lvl>
  </w:abstractNum>
  <w:abstractNum w:abstractNumId="25">
    <w:nsid w:val="6CEAF087"/>
    <w:multiLevelType w:val="hybridMultilevel"/>
    <w:lvl w:ilvl="0">
      <w:lvlJc w:val="left"/>
      <w:lvlText w:val="(%1)"/>
      <w:numFmt w:val="lowerLetter"/>
      <w:start w:val="10"/>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decimal"/>
      <w:start w:val="5"/>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5"/>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2"/>
    </w:lvl>
  </w:abstractNum>
  <w:abstractNum w:abstractNumId="36">
    <w:nsid w:val="7724C67E"/>
    <w:multiLevelType w:val="hybridMultilevel"/>
    <w:lvl w:ilvl="0">
      <w:lvlJc w:val="left"/>
      <w:lvlText w:val="(%1)"/>
      <w:numFmt w:val="lowerRoman"/>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2019-12-13T07:37:10Z</dcterms:created>
  <dcterms:modified xsi:type="dcterms:W3CDTF">2019-12-13T07:37:10Z</dcterms:modified>
</cp:coreProperties>
</file>