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1514475</wp:posOffset>
            </wp:positionH>
            <wp:positionV relativeFrom="paragraph">
              <wp:posOffset>13335</wp:posOffset>
            </wp:positionV>
            <wp:extent cx="4236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1514475</wp:posOffset>
            </wp:positionH>
            <wp:positionV relativeFrom="paragraph">
              <wp:posOffset>41275</wp:posOffset>
            </wp:positionV>
            <wp:extent cx="4236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January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1514475</wp:posOffset>
            </wp:positionH>
            <wp:positionV relativeFrom="paragraph">
              <wp:posOffset>28575</wp:posOffset>
            </wp:positionV>
            <wp:extent cx="4236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98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920" w:type="dxa"/>
            <w:vAlign w:val="bottom"/>
            <w:tcBorders>
              <w:bottom w:val="single" w:sz="8" w:color="auto"/>
            </w:tcBorders>
          </w:tcPr>
          <w:p>
            <w:pPr>
              <w:jc w:val="center"/>
              <w:ind w:right="699"/>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120" w:type="dxa"/>
            <w:vAlign w:val="bottom"/>
          </w:tcPr>
          <w:p>
            <w:pPr>
              <w:spacing w:after="0"/>
              <w:rPr>
                <w:sz w:val="20"/>
                <w:szCs w:val="20"/>
                <w:color w:val="auto"/>
              </w:rPr>
            </w:pPr>
          </w:p>
        </w:tc>
      </w:tr>
      <w:tr>
        <w:trPr>
          <w:trHeight w:val="659"/>
        </w:trPr>
        <w:tc>
          <w:tcPr>
            <w:tcW w:w="21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DELAWARE</w:t>
            </w:r>
          </w:p>
        </w:tc>
        <w:tc>
          <w:tcPr>
            <w:tcW w:w="5920" w:type="dxa"/>
            <w:vAlign w:val="bottom"/>
          </w:tcPr>
          <w:p>
            <w:pPr>
              <w:ind w:left="2220"/>
              <w:spacing w:after="0"/>
              <w:rPr>
                <w:sz w:val="20"/>
                <w:szCs w:val="20"/>
                <w:color w:val="auto"/>
              </w:rPr>
            </w:pPr>
            <w:r>
              <w:rPr>
                <w:rFonts w:ascii="Arial" w:cs="Arial" w:eastAsia="Arial" w:hAnsi="Arial"/>
                <w:sz w:val="18"/>
                <w:szCs w:val="18"/>
                <w:b w:val="1"/>
                <w:bCs w:val="1"/>
                <w:color w:val="auto"/>
              </w:rPr>
              <w:t>001-03761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75-0289970</w:t>
            </w:r>
          </w:p>
        </w:tc>
      </w:tr>
      <w:tr>
        <w:trPr>
          <w:trHeight w:val="180"/>
        </w:trPr>
        <w:tc>
          <w:tcPr>
            <w:tcW w:w="2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(State or other jurisdiction</w:t>
            </w:r>
          </w:p>
        </w:tc>
        <w:tc>
          <w:tcPr>
            <w:tcW w:w="5920" w:type="dxa"/>
            <w:vAlign w:val="bottom"/>
          </w:tcPr>
          <w:p>
            <w:pPr>
              <w:ind w:left="2200"/>
              <w:spacing w:after="0"/>
              <w:rPr>
                <w:sz w:val="20"/>
                <w:szCs w:val="20"/>
                <w:color w:val="auto"/>
              </w:rPr>
            </w:pPr>
            <w:r>
              <w:rPr>
                <w:rFonts w:ascii="Arial" w:cs="Arial" w:eastAsia="Arial" w:hAnsi="Arial"/>
                <w:sz w:val="14"/>
                <w:szCs w:val="14"/>
                <w:b w:val="1"/>
                <w:bCs w:val="1"/>
                <w:color w:val="auto"/>
              </w:rPr>
              <w:t>(Commission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2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of incorporation)</w:t>
            </w:r>
          </w:p>
        </w:tc>
        <w:tc>
          <w:tcPr>
            <w:tcW w:w="5920" w:type="dxa"/>
            <w:vAlign w:val="bottom"/>
          </w:tcPr>
          <w:p>
            <w:pPr>
              <w:ind w:left="2220"/>
              <w:spacing w:after="0"/>
              <w:rPr>
                <w:sz w:val="20"/>
                <w:szCs w:val="20"/>
                <w:color w:val="auto"/>
              </w:rPr>
            </w:pPr>
            <w:r>
              <w:rPr>
                <w:rFonts w:ascii="Arial" w:cs="Arial" w:eastAsia="Arial" w:hAnsi="Arial"/>
                <w:sz w:val="14"/>
                <w:szCs w:val="14"/>
                <w:b w:val="1"/>
                <w:bCs w:val="1"/>
                <w:color w:val="auto"/>
              </w:rPr>
              <w:t>file number)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identification no.)</w:t>
            </w:r>
          </w:p>
        </w:tc>
      </w:tr>
      <w:tr>
        <w:trPr>
          <w:trHeight w:val="426"/>
        </w:trPr>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20" w:type="dxa"/>
            <w:vAlign w:val="bottom"/>
          </w:tcPr>
          <w:p>
            <w:pPr>
              <w:jc w:val="center"/>
              <w:ind w:right="699"/>
              <w:spacing w:after="0"/>
              <w:rPr>
                <w:sz w:val="20"/>
                <w:szCs w:val="20"/>
                <w:color w:val="auto"/>
              </w:rPr>
            </w:pPr>
            <w:r>
              <w:rPr>
                <w:rFonts w:ascii="Arial" w:cs="Arial" w:eastAsia="Arial" w:hAnsi="Arial"/>
                <w:sz w:val="18"/>
                <w:szCs w:val="18"/>
                <w:b w:val="1"/>
                <w:bCs w:val="1"/>
                <w:color w:val="auto"/>
                <w:w w:val="97"/>
              </w:rPr>
              <w:t>12500 TI BOULEVARD</w:t>
            </w:r>
          </w:p>
        </w:tc>
        <w:tc>
          <w:tcPr>
            <w:tcW w:w="1120" w:type="dxa"/>
            <w:vAlign w:val="bottom"/>
          </w:tcPr>
          <w:p>
            <w:pPr>
              <w:spacing w:after="0"/>
              <w:rPr>
                <w:sz w:val="24"/>
                <w:szCs w:val="24"/>
                <w:color w:val="auto"/>
              </w:rPr>
            </w:pPr>
          </w:p>
        </w:tc>
      </w:tr>
      <w:tr>
        <w:trPr>
          <w:trHeight w:val="212"/>
        </w:trPr>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20" w:type="dxa"/>
            <w:vAlign w:val="bottom"/>
          </w:tcPr>
          <w:p>
            <w:pPr>
              <w:jc w:val="center"/>
              <w:ind w:right="679"/>
              <w:spacing w:after="0"/>
              <w:rPr>
                <w:sz w:val="20"/>
                <w:szCs w:val="20"/>
                <w:color w:val="auto"/>
              </w:rPr>
            </w:pPr>
            <w:r>
              <w:rPr>
                <w:rFonts w:ascii="Arial" w:cs="Arial" w:eastAsia="Arial" w:hAnsi="Arial"/>
                <w:sz w:val="18"/>
                <w:szCs w:val="18"/>
                <w:b w:val="1"/>
                <w:bCs w:val="1"/>
                <w:color w:val="auto"/>
                <w:w w:val="96"/>
              </w:rPr>
              <w:t>DALLAS, TEXAS 75243</w:t>
            </w:r>
          </w:p>
        </w:tc>
        <w:tc>
          <w:tcPr>
            <w:tcW w:w="1120" w:type="dxa"/>
            <w:vAlign w:val="bottom"/>
          </w:tcPr>
          <w:p>
            <w:pPr>
              <w:spacing w:after="0"/>
              <w:rPr>
                <w:sz w:val="18"/>
                <w:szCs w:val="18"/>
                <w:color w:val="auto"/>
              </w:rPr>
            </w:pPr>
          </w:p>
        </w:tc>
      </w:tr>
      <w:tr>
        <w:trPr>
          <w:trHeight w:val="186"/>
        </w:trPr>
        <w:tc>
          <w:tcPr>
            <w:tcW w:w="1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920" w:type="dxa"/>
            <w:vAlign w:val="bottom"/>
          </w:tcPr>
          <w:p>
            <w:pPr>
              <w:jc w:val="center"/>
              <w:ind w:right="6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20" w:type="dxa"/>
            <w:vAlign w:val="bottom"/>
          </w:tcPr>
          <w:p>
            <w:pPr>
              <w:spacing w:after="0"/>
              <w:rPr>
                <w:sz w:val="16"/>
                <w:szCs w:val="16"/>
                <w:color w:val="auto"/>
              </w:rPr>
            </w:pPr>
          </w:p>
        </w:tc>
      </w:tr>
      <w:tr>
        <w:trPr>
          <w:trHeight w:val="378"/>
        </w:trPr>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20" w:type="dxa"/>
            <w:vAlign w:val="bottom"/>
          </w:tcPr>
          <w:p>
            <w:pPr>
              <w:jc w:val="center"/>
              <w:ind w:right="699"/>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120" w:type="dxa"/>
            <w:vAlign w:val="bottom"/>
          </w:tcPr>
          <w:p>
            <w:pPr>
              <w:spacing w:after="0"/>
              <w:rPr>
                <w:sz w:val="24"/>
                <w:szCs w:val="24"/>
                <w:color w:val="auto"/>
              </w:rPr>
            </w:pPr>
          </w:p>
        </w:tc>
      </w:tr>
      <w:tr>
        <w:trPr>
          <w:trHeight w:val="26"/>
        </w:trPr>
        <w:tc>
          <w:tcPr>
            <w:tcW w:w="14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bl>
    <w:p>
      <w:pPr>
        <w:spacing w:after="0" w:line="364"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62" w:lineRule="exact"/>
        <w:rPr>
          <w:sz w:val="24"/>
          <w:szCs w:val="24"/>
          <w:color w:val="auto"/>
        </w:rPr>
      </w:pPr>
    </w:p>
    <w:p>
      <w:pPr>
        <w:ind w:left="780" w:hanging="75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7" w:lineRule="exact"/>
        <w:rPr>
          <w:rFonts w:ascii="MS PGothic" w:cs="MS PGothic" w:eastAsia="MS PGothic" w:hAnsi="MS PGothic"/>
          <w:sz w:val="18"/>
          <w:szCs w:val="18"/>
          <w:color w:val="auto"/>
        </w:rPr>
      </w:pPr>
    </w:p>
    <w:p>
      <w:pPr>
        <w:ind w:left="780" w:hanging="75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780" w:hanging="75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780" w:hanging="75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373"/>
        </w:trPr>
        <w:tc>
          <w:tcPr>
            <w:tcW w:w="4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Trading</w:t>
            </w:r>
          </w:p>
        </w:tc>
        <w:tc>
          <w:tcPr>
            <w:tcW w:w="4860" w:type="dxa"/>
            <w:vAlign w:val="bottom"/>
          </w:tcPr>
          <w:p>
            <w:pPr>
              <w:spacing w:after="0"/>
              <w:rPr>
                <w:sz w:val="24"/>
                <w:szCs w:val="24"/>
                <w:color w:val="auto"/>
              </w:rPr>
            </w:pPr>
          </w:p>
        </w:tc>
      </w:tr>
      <w:tr>
        <w:trPr>
          <w:trHeight w:val="234"/>
        </w:trPr>
        <w:tc>
          <w:tcPr>
            <w:tcW w:w="4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Title of each class</w:t>
            </w: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Symbol(s)</w:t>
            </w:r>
          </w:p>
        </w:tc>
        <w:tc>
          <w:tcPr>
            <w:tcW w:w="48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1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37"/>
        </w:trPr>
        <w:tc>
          <w:tcPr>
            <w:tcW w:w="4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Common Stock, par value $1.00</w:t>
            </w:r>
          </w:p>
        </w:tc>
        <w:tc>
          <w:tcPr>
            <w:tcW w:w="2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TXN</w:t>
            </w:r>
          </w:p>
        </w:tc>
        <w:tc>
          <w:tcPr>
            <w:tcW w:w="4860" w:type="dxa"/>
            <w:vAlign w:val="bottom"/>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r>
    </w:tbl>
    <w:p>
      <w:pPr>
        <w:spacing w:after="0" w:line="337" w:lineRule="exact"/>
        <w:rPr>
          <w:sz w:val="24"/>
          <w:szCs w:val="24"/>
          <w:color w:val="auto"/>
        </w:rPr>
      </w:pPr>
    </w:p>
    <w:p>
      <w:pPr>
        <w:jc w:val="both"/>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789940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287655</wp:posOffset>
            </wp:positionV>
            <wp:extent cx="7203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227965</wp:posOffset>
            </wp:positionV>
            <wp:extent cx="7203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Registrant’s news release dated January 22, 2020, regarding its fourth-quarter and 2019 results of operations and financial condition is attached hereto as Exhibit 99.</w:t>
      </w:r>
    </w:p>
    <w:p>
      <w:pPr>
        <w:spacing w:after="0" w:line="17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jc w:val="center"/>
              <w:ind w:right="282"/>
              <w:spacing w:after="0"/>
              <w:rPr>
                <w:sz w:val="20"/>
                <w:szCs w:val="20"/>
                <w:color w:val="auto"/>
              </w:rPr>
            </w:pPr>
            <w:r>
              <w:rPr>
                <w:rFonts w:ascii="Arial" w:cs="Arial" w:eastAsia="Arial" w:hAnsi="Arial"/>
                <w:sz w:val="14"/>
                <w:szCs w:val="14"/>
                <w:color w:val="auto"/>
                <w:w w:val="94"/>
              </w:rPr>
              <w:t>Designation</w:t>
            </w:r>
          </w:p>
        </w:tc>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60" w:type="dxa"/>
            <w:vAlign w:val="bottom"/>
          </w:tcPr>
          <w:p>
            <w:pPr>
              <w:spacing w:after="0"/>
              <w:rPr>
                <w:sz w:val="14"/>
                <w:szCs w:val="14"/>
                <w:color w:val="auto"/>
              </w:rPr>
            </w:pPr>
          </w:p>
        </w:tc>
      </w:tr>
      <w:tr>
        <w:trPr>
          <w:trHeight w:val="149"/>
        </w:trPr>
        <w:tc>
          <w:tcPr>
            <w:tcW w:w="1620" w:type="dxa"/>
            <w:vAlign w:val="bottom"/>
          </w:tcPr>
          <w:p>
            <w:pPr>
              <w:jc w:val="center"/>
              <w:ind w:right="282"/>
              <w:spacing w:after="0" w:line="149" w:lineRule="exact"/>
              <w:rPr>
                <w:sz w:val="20"/>
                <w:szCs w:val="20"/>
                <w:color w:val="auto"/>
              </w:rPr>
            </w:pPr>
            <w:r>
              <w:rPr>
                <w:rFonts w:ascii="Arial" w:cs="Arial" w:eastAsia="Arial" w:hAnsi="Arial"/>
                <w:sz w:val="14"/>
                <w:szCs w:val="14"/>
                <w:color w:val="auto"/>
              </w:rPr>
              <w:t>of Exhibit</w:t>
            </w:r>
          </w:p>
        </w:tc>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60" w:type="dxa"/>
            <w:vAlign w:val="bottom"/>
          </w:tcPr>
          <w:p>
            <w:pPr>
              <w:spacing w:after="0"/>
              <w:rPr>
                <w:sz w:val="12"/>
                <w:szCs w:val="12"/>
                <w:color w:val="auto"/>
              </w:rPr>
            </w:pPr>
          </w:p>
        </w:tc>
      </w:tr>
      <w:tr>
        <w:trPr>
          <w:trHeight w:val="149"/>
        </w:trPr>
        <w:tc>
          <w:tcPr>
            <w:tcW w:w="1620" w:type="dxa"/>
            <w:vAlign w:val="bottom"/>
          </w:tcPr>
          <w:p>
            <w:pPr>
              <w:jc w:val="center"/>
              <w:ind w:right="282"/>
              <w:spacing w:after="0" w:line="149" w:lineRule="exact"/>
              <w:rPr>
                <w:sz w:val="20"/>
                <w:szCs w:val="20"/>
                <w:color w:val="auto"/>
              </w:rPr>
            </w:pPr>
            <w:r>
              <w:rPr>
                <w:rFonts w:ascii="Arial" w:cs="Arial" w:eastAsia="Arial" w:hAnsi="Arial"/>
                <w:sz w:val="14"/>
                <w:szCs w:val="14"/>
                <w:color w:val="auto"/>
                <w:w w:val="92"/>
              </w:rPr>
              <w:t>in this</w:t>
            </w:r>
          </w:p>
        </w:tc>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60" w:type="dxa"/>
            <w:vAlign w:val="bottom"/>
          </w:tcPr>
          <w:p>
            <w:pPr>
              <w:spacing w:after="0"/>
              <w:rPr>
                <w:sz w:val="12"/>
                <w:szCs w:val="12"/>
                <w:color w:val="auto"/>
              </w:rPr>
            </w:pPr>
          </w:p>
        </w:tc>
      </w:tr>
      <w:tr>
        <w:trPr>
          <w:trHeight w:val="188"/>
        </w:trPr>
        <w:tc>
          <w:tcPr>
            <w:tcW w:w="1620" w:type="dxa"/>
            <w:vAlign w:val="bottom"/>
          </w:tcPr>
          <w:p>
            <w:pPr>
              <w:jc w:val="center"/>
              <w:ind w:right="282"/>
              <w:spacing w:after="0"/>
              <w:rPr>
                <w:sz w:val="20"/>
                <w:szCs w:val="20"/>
                <w:color w:val="auto"/>
              </w:rPr>
            </w:pPr>
            <w:r>
              <w:rPr>
                <w:rFonts w:ascii="Arial" w:cs="Arial" w:eastAsia="Arial" w:hAnsi="Arial"/>
                <w:sz w:val="14"/>
                <w:szCs w:val="14"/>
                <w:color w:val="auto"/>
                <w:w w:val="90"/>
              </w:rPr>
              <w:t>Report</w:t>
            </w:r>
          </w:p>
        </w:tc>
        <w:tc>
          <w:tcPr>
            <w:tcW w:w="20" w:type="dxa"/>
            <w:vAlign w:val="bottom"/>
            <w:tcBorders>
              <w:bottom w:val="single" w:sz="8" w:color="auto"/>
            </w:tcBorders>
          </w:tcPr>
          <w:p>
            <w:pPr>
              <w:spacing w:after="0"/>
              <w:rPr>
                <w:sz w:val="16"/>
                <w:szCs w:val="16"/>
                <w:color w:val="auto"/>
              </w:rPr>
            </w:pPr>
          </w:p>
        </w:tc>
        <w:tc>
          <w:tcPr>
            <w:tcW w:w="9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Description of Exhibit</w:t>
            </w:r>
          </w:p>
        </w:tc>
      </w:tr>
      <w:tr>
        <w:trPr>
          <w:trHeight w:val="445"/>
        </w:trPr>
        <w:tc>
          <w:tcPr>
            <w:tcW w:w="1620" w:type="dxa"/>
            <w:vAlign w:val="bottom"/>
          </w:tcPr>
          <w:p>
            <w:pPr>
              <w:jc w:val="right"/>
              <w:ind w:right="822"/>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4"/>
                <w:szCs w:val="24"/>
                <w:color w:val="auto"/>
              </w:rPr>
            </w:pPr>
          </w:p>
        </w:tc>
        <w:tc>
          <w:tcPr>
            <w:tcW w:w="1920" w:type="dxa"/>
            <w:vAlign w:val="bottom"/>
            <w:tcBorders>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Registrant’s News Release</w:t>
              </w:r>
            </w:hyperlink>
          </w:p>
        </w:tc>
        <w:tc>
          <w:tcPr>
            <w:tcW w:w="7860" w:type="dxa"/>
            <w:vAlign w:val="bottom"/>
          </w:tcPr>
          <w:p>
            <w:pPr>
              <w:spacing w:after="0"/>
              <w:rPr>
                <w:sz w:val="24"/>
                <w:szCs w:val="24"/>
                <w:color w:val="auto"/>
              </w:rPr>
            </w:pPr>
          </w:p>
        </w:tc>
      </w:tr>
      <w:tr>
        <w:trPr>
          <w:trHeight w:val="304"/>
        </w:trPr>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Dated January 22, 2020 (furnished pursuant to Item 2.02)</w:t>
            </w:r>
          </w:p>
        </w:tc>
      </w:tr>
      <w:tr>
        <w:trPr>
          <w:trHeight w:val="270"/>
        </w:trPr>
        <w:tc>
          <w:tcPr>
            <w:tcW w:w="1620" w:type="dxa"/>
            <w:vAlign w:val="bottom"/>
          </w:tcPr>
          <w:p>
            <w:pPr>
              <w:jc w:val="right"/>
              <w:ind w:right="782"/>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155"/>
        </w:trPr>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7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ind w:left="20"/>
        <w:spacing w:after="0"/>
        <w:tabs>
          <w:tab w:leader="none" w:pos="6220" w:val="left"/>
          <w:tab w:leader="none" w:pos="7060" w:val="left"/>
        </w:tabs>
        <w:rPr>
          <w:sz w:val="20"/>
          <w:szCs w:val="20"/>
          <w:color w:val="auto"/>
        </w:rPr>
      </w:pPr>
      <w:r>
        <w:rPr>
          <w:rFonts w:ascii="Arial" w:cs="Arial" w:eastAsia="Arial" w:hAnsi="Arial"/>
          <w:sz w:val="18"/>
          <w:szCs w:val="18"/>
          <w:color w:val="auto"/>
        </w:rPr>
        <w:t>Date: January 22,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31750</wp:posOffset>
            </wp:positionV>
            <wp:extent cx="2752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Rafael R. Lizardi</w:t>
      </w:r>
    </w:p>
    <w:p>
      <w:pPr>
        <w:spacing w:after="0" w:line="6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89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Q4 2019 and 2019 financial results and shareholder returns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DALLAS (January 22, 2020) – Texas Instruments Incorporated (TI) (Nasdaq: TXN) today reported fourth quarter revenue of $3.35 billion, net income of $1.07 billion and earnings per share of $1.12. Earnings per share include a 1-cent benefit for items that were not in the company’s original guidance.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237" w:lineRule="exact"/>
        <w:rPr>
          <w:sz w:val="20"/>
          <w:szCs w:val="20"/>
          <w:color w:val="auto"/>
        </w:rPr>
      </w:pPr>
    </w:p>
    <w:p>
      <w:pPr>
        <w:ind w:left="620" w:hanging="32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decreased 10% from the same quarter a year ago as most markets showed signs of stabilizing.</w:t>
      </w:r>
    </w:p>
    <w:p>
      <w:pPr>
        <w:spacing w:after="0" w:line="225" w:lineRule="exact"/>
        <w:rPr>
          <w:rFonts w:ascii="Arial" w:cs="Arial" w:eastAsia="Arial" w:hAnsi="Arial"/>
          <w:sz w:val="18"/>
          <w:szCs w:val="18"/>
          <w:color w:val="auto"/>
        </w:rPr>
      </w:pPr>
    </w:p>
    <w:p>
      <w:pPr>
        <w:ind w:left="620" w:hanging="32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our core businesses, Analog revenue declined 5% and Embedded Processing declined 20% from the same quarter a year ago.</w:t>
      </w:r>
    </w:p>
    <w:p>
      <w:pPr>
        <w:spacing w:after="0" w:line="225" w:lineRule="exact"/>
        <w:rPr>
          <w:rFonts w:ascii="Arial" w:cs="Arial" w:eastAsia="Arial" w:hAnsi="Arial"/>
          <w:sz w:val="18"/>
          <w:szCs w:val="18"/>
          <w:color w:val="auto"/>
        </w:rPr>
      </w:pPr>
    </w:p>
    <w:p>
      <w:pPr>
        <w:ind w:left="620" w:right="180" w:hanging="328"/>
        <w:spacing w:after="0" w:line="264"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cash flow from operations of $6.6 billion for the year again underscored the strength of our business model. Free cash flow for the year was $5.8 billion and 40% of revenue. This reflects the quality of our product portfolio, as well as the efficiency of our manufacturing strategy, including the benefit of 300-millimeter Analog production.</w:t>
      </w:r>
    </w:p>
    <w:p>
      <w:pPr>
        <w:spacing w:after="0" w:line="181" w:lineRule="exact"/>
        <w:rPr>
          <w:rFonts w:ascii="Arial" w:cs="Arial" w:eastAsia="Arial" w:hAnsi="Arial"/>
          <w:sz w:val="18"/>
          <w:szCs w:val="18"/>
          <w:color w:val="auto"/>
        </w:rPr>
      </w:pPr>
    </w:p>
    <w:p>
      <w:pPr>
        <w:ind w:left="620" w:right="100" w:hanging="328"/>
        <w:spacing w:after="0" w:line="264"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returned $6.0 billion to owners in 2019 through stock repurchases and dividends. For the year, our dividends represented 52% of free cash flow, underscoring their sustainability. Together, our stock repurchases and dividends reflect our continued commitment to return all free cash flow to our owners.</w:t>
      </w:r>
    </w:p>
    <w:p>
      <w:pPr>
        <w:spacing w:after="0" w:line="181" w:lineRule="exact"/>
        <w:rPr>
          <w:rFonts w:ascii="Arial" w:cs="Arial" w:eastAsia="Arial" w:hAnsi="Arial"/>
          <w:sz w:val="18"/>
          <w:szCs w:val="18"/>
          <w:color w:val="auto"/>
        </w:rPr>
      </w:pPr>
    </w:p>
    <w:p>
      <w:pPr>
        <w:ind w:left="620" w:right="640" w:hanging="328"/>
        <w:spacing w:after="0" w:line="342" w:lineRule="auto"/>
        <w:tabs>
          <w:tab w:leader="none" w:pos="615" w:val="left"/>
        </w:tabs>
        <w:numPr>
          <w:ilvl w:val="0"/>
          <w:numId w:val="2"/>
        </w:numPr>
        <w:rPr>
          <w:rFonts w:ascii="Arial" w:cs="Arial" w:eastAsia="Arial" w:hAnsi="Arial"/>
          <w:sz w:val="16"/>
          <w:szCs w:val="16"/>
          <w:color w:val="auto"/>
        </w:rPr>
      </w:pPr>
      <w:r>
        <w:rPr>
          <w:rFonts w:ascii="Arial" w:cs="Arial" w:eastAsia="Arial" w:hAnsi="Arial"/>
          <w:sz w:val="16"/>
          <w:szCs w:val="16"/>
          <w:color w:val="auto"/>
        </w:rPr>
        <w:t>“TI’s first quarter outlook is for revenue in the range of $3.12 billion to $3.38 billion, and earnings per share between $0.96 and $1.14, which includes an estimated $20 million discrete tax benefit. We continue to expect our 2020 annual operating tax rate to be about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20"/>
          <w:szCs w:val="20"/>
          <w:color w:val="707070"/>
        </w:rPr>
        <w:t>1</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i w:val="1"/>
          <w:iCs w:val="1"/>
          <w:color w:val="auto"/>
        </w:rPr>
        <w:t>Free cash flow, a non-GAAP financial measure, is cash flow from operations less capital expenditures.</w:t>
      </w:r>
    </w:p>
    <w:p>
      <w:pPr>
        <w:sectPr>
          <w:pgSz w:w="11900" w:h="16838" w:orient="portrait"/>
          <w:cols w:equalWidth="0" w:num="1">
            <w:col w:w="11420"/>
          </w:cols>
          <w:pgMar w:left="240" w:top="1111" w:right="23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Amounts are in millions of dollars, except per-share amounts.</w:t>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profit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Earnings per share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generation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 from operations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Capital expenditures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Free cash flow</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Free cash flow % of revenue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return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Dividends paid</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repurchases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cash returned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148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Q4 2019</w:t>
            </w:r>
          </w:p>
        </w:tc>
        <w:tc>
          <w:tcPr>
            <w:tcW w:w="20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Q4 2018</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Change</w:t>
            </w:r>
          </w:p>
        </w:tc>
      </w:tr>
      <w:tr>
        <w:trPr>
          <w:trHeight w:val="27"/>
        </w:trPr>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18"/>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3,350</w:t>
            </w:r>
          </w:p>
        </w:tc>
        <w:tc>
          <w:tcPr>
            <w:tcW w:w="1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3,717</w:t>
            </w:r>
          </w:p>
        </w:tc>
        <w:tc>
          <w:tcPr>
            <w:tcW w:w="100" w:type="dxa"/>
            <w:vAlign w:val="bottom"/>
          </w:tcPr>
          <w:p>
            <w:pPr>
              <w:spacing w:after="0"/>
              <w:rPr>
                <w:sz w:val="24"/>
                <w:szCs w:val="24"/>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 %</w:t>
            </w:r>
          </w:p>
        </w:tc>
      </w:tr>
      <w:tr>
        <w:trPr>
          <w:trHeight w:val="365"/>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1,249</w:t>
            </w:r>
          </w:p>
        </w:tc>
        <w:tc>
          <w:tcPr>
            <w:tcW w:w="1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4"/>
                <w:szCs w:val="24"/>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(18) %</w:t>
            </w:r>
          </w:p>
        </w:tc>
      </w:tr>
      <w:tr>
        <w:trPr>
          <w:trHeight w:val="365"/>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1,070</w:t>
            </w:r>
          </w:p>
        </w:tc>
        <w:tc>
          <w:tcPr>
            <w:tcW w:w="1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4"/>
                <w:szCs w:val="24"/>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(14) %</w:t>
            </w:r>
          </w:p>
        </w:tc>
      </w:tr>
      <w:tr>
        <w:trPr>
          <w:trHeight w:val="365"/>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4"/>
                <w:szCs w:val="24"/>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-908685</wp:posOffset>
            </wp:positionV>
            <wp:extent cx="6543040" cy="231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3040" cy="23177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-445135</wp:posOffset>
            </wp:positionV>
            <wp:extent cx="6543040" cy="231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4304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8"/>
                <w:szCs w:val="18"/>
                <w:color w:val="auto"/>
                <w:w w:val="93"/>
              </w:rPr>
              <w:t>Trailing 12 Months</w:t>
            </w:r>
          </w:p>
        </w:tc>
        <w:tc>
          <w:tcPr>
            <w:tcW w:w="1340" w:type="dxa"/>
            <w:vAlign w:val="bottom"/>
          </w:tcPr>
          <w:p>
            <w:pPr>
              <w:spacing w:after="0"/>
              <w:rPr>
                <w:sz w:val="20"/>
                <w:szCs w:val="20"/>
                <w:color w:val="auto"/>
              </w:rPr>
            </w:pPr>
          </w:p>
        </w:tc>
      </w:tr>
      <w:tr>
        <w:trPr>
          <w:trHeight w:val="27"/>
        </w:trPr>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Q4 2019</w:t>
            </w:r>
          </w:p>
        </w:tc>
        <w:tc>
          <w:tcPr>
            <w:tcW w:w="24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Q4 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Q4 2018</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Change</w:t>
            </w:r>
          </w:p>
        </w:tc>
      </w:tr>
      <w:tr>
        <w:trPr>
          <w:trHeight w:val="27"/>
        </w:trPr>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18"/>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1,754</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6,649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7,189</w:t>
            </w:r>
          </w:p>
        </w:tc>
        <w:tc>
          <w:tcPr>
            <w:tcW w:w="100" w:type="dxa"/>
            <w:vAlign w:val="bottom"/>
          </w:tcPr>
          <w:p>
            <w:pPr>
              <w:spacing w:after="0"/>
              <w:rPr>
                <w:sz w:val="24"/>
                <w:szCs w:val="24"/>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 %</w:t>
            </w:r>
          </w:p>
        </w:tc>
      </w:tr>
      <w:tr>
        <w:trPr>
          <w:trHeight w:val="365"/>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847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4"/>
                <w:szCs w:val="24"/>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(25) %</w:t>
            </w:r>
          </w:p>
        </w:tc>
      </w:tr>
      <w:tr>
        <w:trPr>
          <w:trHeight w:val="365"/>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1,591</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5,802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6,058</w:t>
            </w:r>
          </w:p>
        </w:tc>
        <w:tc>
          <w:tcPr>
            <w:tcW w:w="100" w:type="dxa"/>
            <w:vAlign w:val="bottom"/>
          </w:tcPr>
          <w:p>
            <w:pPr>
              <w:spacing w:after="0"/>
              <w:rPr>
                <w:sz w:val="24"/>
                <w:szCs w:val="24"/>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-676910</wp:posOffset>
            </wp:positionV>
            <wp:extent cx="6534785" cy="231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34785" cy="23177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-213995</wp:posOffset>
            </wp:positionV>
            <wp:extent cx="6534785" cy="231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34785" cy="231775"/>
                    </a:xfrm>
                    <a:prstGeom prst="rect">
                      <a:avLst/>
                    </a:prstGeom>
                    <a:noFill/>
                  </pic:spPr>
                </pic:pic>
              </a:graphicData>
            </a:graphic>
          </wp:anchor>
        </w:drawing>
      </w:r>
    </w:p>
    <w:p>
      <w:pPr>
        <w:spacing w:after="0" w:line="20"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40.3  %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38.4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945"/>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5"/>
          </w:tcPr>
          <w:p>
            <w:pPr>
              <w:ind w:left="20"/>
              <w:spacing w:after="0"/>
              <w:rPr>
                <w:sz w:val="20"/>
                <w:szCs w:val="20"/>
                <w:color w:val="auto"/>
              </w:rPr>
            </w:pPr>
            <w:r>
              <w:rPr>
                <w:rFonts w:ascii="Arial" w:cs="Arial" w:eastAsia="Arial" w:hAnsi="Arial"/>
                <w:sz w:val="18"/>
                <w:szCs w:val="18"/>
                <w:color w:val="auto"/>
              </w:rPr>
              <w:t>Trailing 12 Months</w:t>
            </w:r>
          </w:p>
        </w:tc>
      </w:tr>
      <w:tr>
        <w:trPr>
          <w:trHeight w:val="27"/>
        </w:trPr>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Q4 2019</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Q4 2019</w:t>
            </w:r>
          </w:p>
        </w:tc>
        <w:tc>
          <w:tcPr>
            <w:tcW w:w="200" w:type="dxa"/>
            <w:vAlign w:val="bottom"/>
          </w:tcPr>
          <w:p>
            <w:pPr>
              <w:spacing w:after="0"/>
              <w:rPr>
                <w:sz w:val="20"/>
                <w:szCs w:val="20"/>
                <w:color w:val="auto"/>
              </w:rPr>
            </w:pPr>
          </w:p>
        </w:tc>
        <w:tc>
          <w:tcPr>
            <w:tcW w:w="880" w:type="dxa"/>
            <w:vAlign w:val="bottom"/>
          </w:tcPr>
          <w:p>
            <w:pPr>
              <w:ind w:left="120"/>
              <w:spacing w:after="0"/>
              <w:rPr>
                <w:sz w:val="20"/>
                <w:szCs w:val="20"/>
                <w:color w:val="auto"/>
              </w:rPr>
            </w:pPr>
            <w:r>
              <w:rPr>
                <w:rFonts w:ascii="Arial" w:cs="Arial" w:eastAsia="Arial" w:hAnsi="Arial"/>
                <w:sz w:val="18"/>
                <w:szCs w:val="18"/>
                <w:color w:val="auto"/>
              </w:rPr>
              <w:t>Q4 2018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Change</w:t>
            </w:r>
          </w:p>
        </w:tc>
      </w:tr>
      <w:tr>
        <w:trPr>
          <w:trHeight w:val="27"/>
        </w:trPr>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318"/>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841</w:t>
            </w:r>
          </w:p>
        </w:tc>
        <w:tc>
          <w:tcPr>
            <w:tcW w:w="8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ind w:left="460"/>
              <w:spacing w:after="0"/>
              <w:rPr>
                <w:sz w:val="20"/>
                <w:szCs w:val="20"/>
                <w:color w:val="auto"/>
              </w:rPr>
            </w:pPr>
            <w:r>
              <w:rPr>
                <w:rFonts w:ascii="Arial" w:cs="Arial" w:eastAsia="Arial" w:hAnsi="Arial"/>
                <w:sz w:val="18"/>
                <w:szCs w:val="18"/>
                <w:color w:val="auto"/>
                <w:w w:val="88"/>
              </w:rPr>
              <w:t>2,555</w:t>
            </w:r>
          </w:p>
        </w:tc>
        <w:tc>
          <w:tcPr>
            <w:tcW w:w="1680" w:type="dxa"/>
            <w:vAlign w:val="bottom"/>
            <w:gridSpan w:val="3"/>
          </w:tcPr>
          <w:p>
            <w:pPr>
              <w:jc w:val="right"/>
              <w:ind w:right="110"/>
              <w:spacing w:after="0"/>
              <w:rPr>
                <w:sz w:val="20"/>
                <w:szCs w:val="20"/>
                <w:color w:val="auto"/>
              </w:rPr>
            </w:pPr>
            <w:r>
              <w:rPr>
                <w:rFonts w:ascii="Arial" w:cs="Arial" w:eastAsia="Arial" w:hAnsi="Arial"/>
                <w:sz w:val="18"/>
                <w:szCs w:val="18"/>
                <w:color w:val="auto"/>
              </w:rPr>
              <w:t>18 %</w:t>
            </w:r>
          </w:p>
        </w:tc>
      </w:tr>
      <w:tr>
        <w:trPr>
          <w:trHeight w:val="365"/>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ind w:left="460"/>
              <w:spacing w:after="0"/>
              <w:rPr>
                <w:sz w:val="20"/>
                <w:szCs w:val="20"/>
                <w:color w:val="auto"/>
              </w:rPr>
            </w:pPr>
            <w:r>
              <w:rPr>
                <w:rFonts w:ascii="Arial" w:cs="Arial" w:eastAsia="Arial" w:hAnsi="Arial"/>
                <w:sz w:val="18"/>
                <w:szCs w:val="18"/>
                <w:color w:val="auto"/>
                <w:w w:val="88"/>
              </w:rPr>
              <w:t>5,100</w:t>
            </w:r>
          </w:p>
        </w:tc>
        <w:tc>
          <w:tcPr>
            <w:tcW w:w="1680" w:type="dxa"/>
            <w:vAlign w:val="bottom"/>
            <w:gridSpan w:val="3"/>
          </w:tcPr>
          <w:p>
            <w:pPr>
              <w:jc w:val="right"/>
              <w:ind w:right="110"/>
              <w:spacing w:after="0"/>
              <w:rPr>
                <w:sz w:val="20"/>
                <w:szCs w:val="20"/>
                <w:color w:val="auto"/>
              </w:rPr>
            </w:pPr>
            <w:r>
              <w:rPr>
                <w:rFonts w:ascii="Arial" w:cs="Arial" w:eastAsia="Arial" w:hAnsi="Arial"/>
                <w:sz w:val="18"/>
                <w:szCs w:val="18"/>
                <w:color w:val="auto"/>
              </w:rPr>
              <w:t>(42) %</w:t>
            </w:r>
          </w:p>
        </w:tc>
      </w:tr>
      <w:tr>
        <w:trPr>
          <w:trHeight w:val="365"/>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1,330</w:t>
            </w:r>
          </w:p>
        </w:tc>
        <w:tc>
          <w:tcPr>
            <w:tcW w:w="8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5,968</w:t>
            </w:r>
          </w:p>
        </w:tc>
        <w:tc>
          <w:tcPr>
            <w:tcW w:w="10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ind w:left="460"/>
              <w:spacing w:after="0"/>
              <w:rPr>
                <w:sz w:val="20"/>
                <w:szCs w:val="20"/>
                <w:color w:val="auto"/>
              </w:rPr>
            </w:pPr>
            <w:r>
              <w:rPr>
                <w:rFonts w:ascii="Arial" w:cs="Arial" w:eastAsia="Arial" w:hAnsi="Arial"/>
                <w:sz w:val="18"/>
                <w:szCs w:val="18"/>
                <w:color w:val="auto"/>
                <w:w w:val="88"/>
              </w:rPr>
              <w:t>7,655</w:t>
            </w:r>
          </w:p>
        </w:tc>
        <w:tc>
          <w:tcPr>
            <w:tcW w:w="1680" w:type="dxa"/>
            <w:vAlign w:val="bottom"/>
            <w:gridSpan w:val="3"/>
          </w:tcPr>
          <w:p>
            <w:pPr>
              <w:jc w:val="right"/>
              <w:ind w:right="110"/>
              <w:spacing w:after="0"/>
              <w:rPr>
                <w:sz w:val="20"/>
                <w:szCs w:val="20"/>
                <w:color w:val="auto"/>
              </w:rPr>
            </w:pPr>
            <w:r>
              <w:rPr>
                <w:rFonts w:ascii="Arial" w:cs="Arial" w:eastAsia="Arial" w:hAnsi="Arial"/>
                <w:sz w:val="18"/>
                <w:szCs w:val="18"/>
                <w:color w:val="auto"/>
              </w:rPr>
              <w:t>(22)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-676910</wp:posOffset>
            </wp:positionV>
            <wp:extent cx="6577965" cy="231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77965" cy="23177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-213995</wp:posOffset>
            </wp:positionV>
            <wp:extent cx="6577965" cy="231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77965" cy="2317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260"/>
            <w:col w:w="6700"/>
          </w:cols>
          <w:pgMar w:left="240" w:top="111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320"/>
        <w:spacing w:after="0"/>
        <w:rPr>
          <w:sz w:val="20"/>
          <w:szCs w:val="20"/>
          <w:color w:val="auto"/>
        </w:rPr>
      </w:pPr>
      <w:r>
        <w:rPr>
          <w:rFonts w:ascii="Arial" w:cs="Arial" w:eastAsia="Arial" w:hAnsi="Arial"/>
          <w:sz w:val="16"/>
          <w:szCs w:val="16"/>
          <w:color w:val="707070"/>
        </w:rPr>
        <w:t>2</w:t>
      </w:r>
    </w:p>
    <w:p>
      <w:pPr>
        <w:sectPr>
          <w:pgSz w:w="11900" w:h="16838" w:orient="portrait"/>
          <w:cols w:equalWidth="0" w:num="1">
            <w:col w:w="11420"/>
          </w:cols>
          <w:pgMar w:left="240" w:top="1111" w:right="239" w:bottom="1440" w:gutter="0" w:footer="0" w:header="0"/>
          <w:type w:val="continuous"/>
        </w:sectPr>
      </w:pPr>
    </w:p>
    <w:bookmarkStart w:id="5" w:name="page6"/>
    <w:bookmarkEnd w:id="5"/>
    <w:p>
      <w:pPr>
        <w:jc w:val="center"/>
        <w:ind w:left="3100" w:right="1940"/>
        <w:spacing w:after="0" w:line="266" w:lineRule="auto"/>
        <w:rPr>
          <w:sz w:val="20"/>
          <w:szCs w:val="20"/>
          <w:color w:val="auto"/>
        </w:rPr>
      </w:pPr>
      <w:r>
        <w:rPr>
          <w:rFonts w:ascii="Arial" w:cs="Arial" w:eastAsia="Arial" w:hAnsi="Arial"/>
          <w:sz w:val="18"/>
          <w:szCs w:val="18"/>
          <w:b w:val="1"/>
          <w:bCs w:val="1"/>
          <w:color w:val="auto"/>
        </w:rPr>
        <w:t>TEXAS INSTRUMENTS INCORPORATED AND SUBSIDIARIES Consolidated Statements of Income (Millions of dollars, except share and per-share amounts)</w:t>
      </w:r>
    </w:p>
    <w:p>
      <w:pPr>
        <w:sectPr>
          <w:pgSz w:w="11900" w:h="16838" w:orient="portrait"/>
          <w:cols w:equalWidth="0" w:num="1">
            <w:col w:w="10260"/>
          </w:cols>
          <w:pgMar w:left="240" w:top="891" w:right="1399"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revenue (COR)</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Gross profit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and development (R&amp;D)</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Selling, general and administrative (SG&amp;A)</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 charges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Restructuring charges/other</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profit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 (expense), net (OI&amp;E)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and debt expense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before income taxes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Provision for income taxes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580" w:type="dxa"/>
            <w:vAlign w:val="bottom"/>
            <w:gridSpan w:val="5"/>
          </w:tcPr>
          <w:p>
            <w:pPr>
              <w:ind w:left="120"/>
              <w:spacing w:after="0"/>
              <w:rPr>
                <w:sz w:val="20"/>
                <w:szCs w:val="20"/>
                <w:color w:val="auto"/>
              </w:rPr>
            </w:pPr>
            <w:r>
              <w:rPr>
                <w:rFonts w:ascii="Arial" w:cs="Arial" w:eastAsia="Arial" w:hAnsi="Arial"/>
                <w:sz w:val="18"/>
                <w:szCs w:val="18"/>
                <w:b w:val="1"/>
                <w:bCs w:val="1"/>
                <w:color w:val="auto"/>
              </w:rPr>
              <w:t>For Three Months Ended</w:t>
            </w:r>
          </w:p>
        </w:tc>
        <w:tc>
          <w:tcPr>
            <w:tcW w:w="320" w:type="dxa"/>
            <w:vAlign w:val="bottom"/>
          </w:tcPr>
          <w:p>
            <w:pPr>
              <w:spacing w:after="0"/>
              <w:rPr>
                <w:sz w:val="18"/>
                <w:szCs w:val="18"/>
                <w:color w:val="auto"/>
              </w:rPr>
            </w:pPr>
          </w:p>
        </w:tc>
        <w:tc>
          <w:tcPr>
            <w:tcW w:w="24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For Years Ended</w:t>
            </w:r>
          </w:p>
        </w:tc>
      </w:tr>
      <w:tr>
        <w:trPr>
          <w:trHeight w:val="234"/>
        </w:trPr>
        <w:tc>
          <w:tcPr>
            <w:tcW w:w="24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0"/>
                <w:szCs w:val="20"/>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390"/>
              <w:spacing w:after="0"/>
              <w:rPr>
                <w:sz w:val="20"/>
                <w:szCs w:val="20"/>
                <w:color w:val="auto"/>
              </w:rPr>
            </w:pPr>
            <w:r>
              <w:rPr>
                <w:rFonts w:ascii="Arial" w:cs="Arial" w:eastAsia="Arial" w:hAnsi="Arial"/>
                <w:sz w:val="18"/>
                <w:szCs w:val="18"/>
                <w:b w:val="1"/>
                <w:bCs w:val="1"/>
                <w:color w:val="auto"/>
                <w:w w:val="84"/>
              </w:rPr>
              <w:t>2018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18"/>
        </w:trPr>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3,350</w:t>
            </w:r>
          </w:p>
        </w:tc>
        <w:tc>
          <w:tcPr>
            <w:tcW w:w="8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3,717</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14,383</w:t>
            </w:r>
          </w:p>
        </w:tc>
        <w:tc>
          <w:tcPr>
            <w:tcW w:w="10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15,784</w:t>
            </w:r>
          </w:p>
        </w:tc>
      </w:tr>
      <w:tr>
        <w:trPr>
          <w:trHeight w:val="365"/>
        </w:trPr>
        <w:tc>
          <w:tcPr>
            <w:tcW w:w="240" w:type="dxa"/>
            <w:vAlign w:val="bottom"/>
          </w:tcPr>
          <w:p>
            <w:pPr>
              <w:spacing w:after="0"/>
              <w:rPr>
                <w:sz w:val="24"/>
                <w:szCs w:val="24"/>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1,253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1,310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5,219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5,507</w:t>
            </w:r>
          </w:p>
        </w:tc>
      </w:tr>
      <w:tr>
        <w:trPr>
          <w:trHeight w:val="27"/>
        </w:trPr>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18"/>
        </w:trPr>
        <w:tc>
          <w:tcPr>
            <w:tcW w:w="240" w:type="dxa"/>
            <w:vAlign w:val="bottom"/>
          </w:tcPr>
          <w:p>
            <w:pPr>
              <w:spacing w:after="0"/>
              <w:rPr>
                <w:sz w:val="24"/>
                <w:szCs w:val="24"/>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2,097</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2,407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9,164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10,277</w:t>
            </w:r>
          </w:p>
        </w:tc>
      </w:tr>
      <w:tr>
        <w:trPr>
          <w:trHeight w:val="365"/>
        </w:trPr>
        <w:tc>
          <w:tcPr>
            <w:tcW w:w="240" w:type="dxa"/>
            <w:vAlign w:val="bottom"/>
          </w:tcPr>
          <w:p>
            <w:pPr>
              <w:spacing w:after="0"/>
              <w:rPr>
                <w:sz w:val="24"/>
                <w:szCs w:val="24"/>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386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1,544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1,559</w:t>
            </w:r>
          </w:p>
        </w:tc>
      </w:tr>
      <w:tr>
        <w:trPr>
          <w:trHeight w:val="365"/>
        </w:trPr>
        <w:tc>
          <w:tcPr>
            <w:tcW w:w="240" w:type="dxa"/>
            <w:vAlign w:val="bottom"/>
          </w:tcPr>
          <w:p>
            <w:pPr>
              <w:spacing w:after="0"/>
              <w:rPr>
                <w:sz w:val="24"/>
                <w:szCs w:val="24"/>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412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1,645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1,684</w:t>
            </w:r>
          </w:p>
        </w:tc>
      </w:tr>
      <w:tr>
        <w:trPr>
          <w:trHeight w:val="365"/>
        </w:trPr>
        <w:tc>
          <w:tcPr>
            <w:tcW w:w="240" w:type="dxa"/>
            <w:vAlign w:val="bottom"/>
          </w:tcPr>
          <w:p>
            <w:pPr>
              <w:spacing w:after="0"/>
              <w:rPr>
                <w:sz w:val="24"/>
                <w:szCs w:val="24"/>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50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288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318</w:t>
            </w:r>
          </w:p>
        </w:tc>
      </w:tr>
      <w:tr>
        <w:trPr>
          <w:trHeight w:val="365"/>
        </w:trPr>
        <w:tc>
          <w:tcPr>
            <w:tcW w:w="24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4"/>
                <w:szCs w:val="24"/>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3</w:t>
            </w:r>
          </w:p>
        </w:tc>
      </w:tr>
      <w:tr>
        <w:trPr>
          <w:trHeight w:val="27"/>
        </w:trPr>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18"/>
        </w:trPr>
        <w:tc>
          <w:tcPr>
            <w:tcW w:w="240" w:type="dxa"/>
            <w:vAlign w:val="bottom"/>
          </w:tcPr>
          <w:p>
            <w:pPr>
              <w:spacing w:after="0"/>
              <w:rPr>
                <w:sz w:val="24"/>
                <w:szCs w:val="24"/>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1,249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1,516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5,723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6,713</w:t>
            </w:r>
          </w:p>
        </w:tc>
      </w:tr>
      <w:tr>
        <w:trPr>
          <w:trHeight w:val="365"/>
        </w:trPr>
        <w:tc>
          <w:tcPr>
            <w:tcW w:w="240" w:type="dxa"/>
            <w:vAlign w:val="bottom"/>
          </w:tcPr>
          <w:p>
            <w:pPr>
              <w:spacing w:after="0"/>
              <w:rPr>
                <w:sz w:val="24"/>
                <w:szCs w:val="24"/>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53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175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98</w:t>
            </w:r>
          </w:p>
        </w:tc>
      </w:tr>
      <w:tr>
        <w:trPr>
          <w:trHeight w:val="365"/>
        </w:trPr>
        <w:tc>
          <w:tcPr>
            <w:tcW w:w="240" w:type="dxa"/>
            <w:vAlign w:val="bottom"/>
          </w:tcPr>
          <w:p>
            <w:pPr>
              <w:spacing w:after="0"/>
              <w:rPr>
                <w:sz w:val="24"/>
                <w:szCs w:val="24"/>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45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170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125</w:t>
            </w:r>
          </w:p>
        </w:tc>
      </w:tr>
      <w:tr>
        <w:trPr>
          <w:trHeight w:val="27"/>
        </w:trPr>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18"/>
        </w:trPr>
        <w:tc>
          <w:tcPr>
            <w:tcW w:w="240" w:type="dxa"/>
            <w:vAlign w:val="bottom"/>
          </w:tcPr>
          <w:p>
            <w:pPr>
              <w:spacing w:after="0"/>
              <w:rPr>
                <w:sz w:val="24"/>
                <w:szCs w:val="24"/>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1,257</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1,503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5,728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6,686</w:t>
            </w:r>
          </w:p>
        </w:tc>
      </w:tr>
      <w:tr>
        <w:trPr>
          <w:trHeight w:val="365"/>
        </w:trPr>
        <w:tc>
          <w:tcPr>
            <w:tcW w:w="240" w:type="dxa"/>
            <w:vAlign w:val="bottom"/>
          </w:tcPr>
          <w:p>
            <w:pPr>
              <w:spacing w:after="0"/>
              <w:rPr>
                <w:sz w:val="24"/>
                <w:szCs w:val="24"/>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187</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711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1,106</w:t>
            </w:r>
          </w:p>
        </w:tc>
      </w:tr>
      <w:tr>
        <w:trPr>
          <w:trHeight w:val="27"/>
        </w:trPr>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18"/>
        </w:trPr>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1,070</w:t>
            </w:r>
          </w:p>
        </w:tc>
        <w:tc>
          <w:tcPr>
            <w:tcW w:w="8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1,239</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5,017</w:t>
            </w:r>
          </w:p>
        </w:tc>
        <w:tc>
          <w:tcPr>
            <w:tcW w:w="10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5,580</w:t>
            </w:r>
          </w:p>
        </w:tc>
      </w:tr>
      <w:tr>
        <w:trPr>
          <w:trHeight w:val="27"/>
        </w:trPr>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-3043555</wp:posOffset>
            </wp:positionV>
            <wp:extent cx="6508750" cy="231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08750" cy="23177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-2580640</wp:posOffset>
            </wp:positionV>
            <wp:extent cx="6508750" cy="231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08750" cy="23177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-2117725</wp:posOffset>
            </wp:positionV>
            <wp:extent cx="6508750" cy="231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08750" cy="23177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-1654810</wp:posOffset>
            </wp:positionV>
            <wp:extent cx="6508750" cy="231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08750" cy="23177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-1191260</wp:posOffset>
            </wp:positionV>
            <wp:extent cx="6508750" cy="231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08750" cy="23177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-728345</wp:posOffset>
            </wp:positionV>
            <wp:extent cx="6508750" cy="231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08750" cy="23177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-265430</wp:posOffset>
            </wp:positionV>
            <wp:extent cx="6508750" cy="248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08750" cy="248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720"/>
            <w:col w:w="5600"/>
          </w:cols>
          <w:pgMar w:left="240" w:top="891" w:right="1399" w:bottom="90" w:gutter="0" w:footer="0" w:header="0"/>
          <w:type w:val="continuous"/>
        </w:sectPr>
      </w:pP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1.12</w:t>
            </w:r>
          </w:p>
        </w:tc>
        <w:tc>
          <w:tcPr>
            <w:tcW w:w="80" w:type="dxa"/>
            <w:vAlign w:val="bottom"/>
            <w:shd w:val="clear" w:color="auto" w:fill="CCEEFF"/>
          </w:tcPr>
          <w:p>
            <w:pPr>
              <w:spacing w:after="0"/>
              <w:rPr>
                <w:sz w:val="21"/>
                <w:szCs w:val="21"/>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21"/>
                <w:szCs w:val="21"/>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5.24</w:t>
            </w:r>
          </w:p>
        </w:tc>
        <w:tc>
          <w:tcPr>
            <w:tcW w:w="100" w:type="dxa"/>
            <w:vAlign w:val="bottom"/>
            <w:shd w:val="clear" w:color="auto" w:fill="CCEEFF"/>
          </w:tcPr>
          <w:p>
            <w:pPr>
              <w:spacing w:after="0"/>
              <w:rPr>
                <w:sz w:val="21"/>
                <w:szCs w:val="21"/>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134"/>
        </w:trPr>
        <w:tc>
          <w:tcPr>
            <w:tcW w:w="46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vMerge w:val="continue"/>
            <w:shd w:val="clear" w:color="auto" w:fill="CCEEFF"/>
          </w:tcPr>
          <w:p>
            <w:pPr>
              <w:spacing w:after="0"/>
              <w:rPr>
                <w:sz w:val="11"/>
                <w:szCs w:val="11"/>
                <w:color w:val="auto"/>
              </w:rPr>
            </w:pPr>
          </w:p>
        </w:tc>
        <w:tc>
          <w:tcPr>
            <w:tcW w:w="9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vMerge w:val="continue"/>
            <w:shd w:val="clear" w:color="auto" w:fill="CCEEFF"/>
          </w:tcPr>
          <w:p>
            <w:pPr>
              <w:spacing w:after="0"/>
              <w:rPr>
                <w:sz w:val="11"/>
                <w:szCs w:val="11"/>
                <w:color w:val="auto"/>
              </w:rPr>
            </w:pPr>
          </w:p>
        </w:tc>
        <w:tc>
          <w:tcPr>
            <w:tcW w:w="9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vMerge w:val="continue"/>
            <w:shd w:val="clear" w:color="auto" w:fill="CCEEFF"/>
          </w:tcPr>
          <w:p>
            <w:pPr>
              <w:spacing w:after="0"/>
              <w:rPr>
                <w:sz w:val="11"/>
                <w:szCs w:val="11"/>
                <w:color w:val="auto"/>
              </w:rPr>
            </w:pPr>
          </w:p>
        </w:tc>
        <w:tc>
          <w:tcPr>
            <w:tcW w:w="94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vMerge w:val="continue"/>
            <w:shd w:val="clear" w:color="auto" w:fill="CCEEFF"/>
          </w:tcPr>
          <w:p>
            <w:pPr>
              <w:spacing w:after="0"/>
              <w:rPr>
                <w:sz w:val="11"/>
                <w:szCs w:val="11"/>
                <w:color w:val="auto"/>
              </w:rPr>
            </w:pPr>
          </w:p>
        </w:tc>
        <w:tc>
          <w:tcPr>
            <w:tcW w:w="9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shares outstanding (millions):</w:t>
            </w: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6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1"/>
                <w:szCs w:val="21"/>
                <w:color w:val="auto"/>
              </w:rPr>
            </w:pPr>
          </w:p>
        </w:tc>
        <w:tc>
          <w:tcPr>
            <w:tcW w:w="9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933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color w:val="auto"/>
              </w:rPr>
              <w:t>953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936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95"/>
        </w:trPr>
        <w:tc>
          <w:tcPr>
            <w:tcW w:w="4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948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970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952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155"/>
        </w:trPr>
        <w:tc>
          <w:tcPr>
            <w:tcW w:w="46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.90</w:t>
            </w:r>
          </w:p>
        </w:tc>
        <w:tc>
          <w:tcPr>
            <w:tcW w:w="80" w:type="dxa"/>
            <w:vAlign w:val="bottom"/>
            <w:shd w:val="clear" w:color="auto" w:fill="CCEEFF"/>
          </w:tcPr>
          <w:p>
            <w:pPr>
              <w:spacing w:after="0"/>
              <w:rPr>
                <w:sz w:val="21"/>
                <w:szCs w:val="21"/>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21"/>
                <w:szCs w:val="21"/>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3.21</w:t>
            </w:r>
          </w:p>
        </w:tc>
        <w:tc>
          <w:tcPr>
            <w:tcW w:w="100" w:type="dxa"/>
            <w:vAlign w:val="bottom"/>
            <w:shd w:val="clear" w:color="auto" w:fill="CCEEFF"/>
          </w:tcPr>
          <w:p>
            <w:pPr>
              <w:spacing w:after="0"/>
              <w:rPr>
                <w:sz w:val="21"/>
                <w:szCs w:val="21"/>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vMerge w:val="continue"/>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65087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08750" cy="171450"/>
                    </a:xfrm>
                    <a:prstGeom prst="rect">
                      <a:avLst/>
                    </a:prstGeom>
                    <a:noFill/>
                  </pic:spPr>
                </pic:pic>
              </a:graphicData>
            </a:graphic>
          </wp:anchor>
        </w:drawing>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Provision for income taxes is based on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650875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08750" cy="308610"/>
                    </a:xfrm>
                    <a:prstGeom prst="rect">
                      <a:avLst/>
                    </a:prstGeom>
                    <a:noFill/>
                  </pic:spPr>
                </pic:pic>
              </a:graphicData>
            </a:graphic>
          </wp:anchor>
        </w:drawing>
      </w:r>
    </w:p>
    <w:p>
      <w:pPr>
        <w:sectPr>
          <w:pgSz w:w="11900" w:h="16838" w:orient="portrait"/>
          <w:cols w:equalWidth="0" w:num="1">
            <w:col w:w="10260"/>
          </w:cols>
          <w:pgMar w:left="240" w:top="891" w:right="1399" w:bottom="90" w:gutter="0" w:footer="0" w:header="0"/>
          <w:type w:val="continuous"/>
        </w:sectPr>
      </w:pPr>
    </w:p>
    <w:p>
      <w:pPr>
        <w:spacing w:after="0" w:line="333"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Operating taxes (calculated using the estimated annual effective tax rate)</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Discrete tax items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Provision for income taxes (effective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188</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320"/>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903</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1,304</w:t>
            </w:r>
          </w:p>
        </w:tc>
      </w:tr>
      <w:tr>
        <w:trPr>
          <w:trHeight w:val="365"/>
        </w:trPr>
        <w:tc>
          <w:tcPr>
            <w:tcW w:w="660" w:type="dxa"/>
            <w:vAlign w:val="bottom"/>
          </w:tcPr>
          <w:p>
            <w:pPr>
              <w:jc w:val="right"/>
              <w:ind w:right="250"/>
              <w:spacing w:after="0"/>
              <w:rPr>
                <w:sz w:val="20"/>
                <w:szCs w:val="20"/>
                <w:color w:val="auto"/>
              </w:rPr>
            </w:pPr>
            <w:r>
              <w:rPr>
                <w:rFonts w:ascii="Arial" w:cs="Arial" w:eastAsia="Arial" w:hAnsi="Arial"/>
                <w:sz w:val="18"/>
                <w:szCs w:val="18"/>
                <w:b w:val="1"/>
                <w:bCs w:val="1"/>
                <w:color w:val="auto"/>
              </w:rPr>
              <w:t>(1)</w:t>
            </w:r>
          </w:p>
        </w:tc>
        <w:tc>
          <w:tcPr>
            <w:tcW w:w="440" w:type="dxa"/>
            <w:vAlign w:val="bottom"/>
          </w:tcPr>
          <w:p>
            <w:pPr>
              <w:spacing w:after="0"/>
              <w:rPr>
                <w:sz w:val="24"/>
                <w:szCs w:val="24"/>
                <w:color w:val="auto"/>
              </w:rPr>
            </w:pPr>
          </w:p>
        </w:tc>
        <w:tc>
          <w:tcPr>
            <w:tcW w:w="880" w:type="dxa"/>
            <w:vAlign w:val="bottom"/>
          </w:tcPr>
          <w:p>
            <w:pPr>
              <w:ind w:left="3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(192)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(198)</w:t>
            </w:r>
          </w:p>
        </w:tc>
      </w:tr>
      <w:tr>
        <w:trPr>
          <w:trHeight w:val="27"/>
        </w:trPr>
        <w:tc>
          <w:tcPr>
            <w:tcW w:w="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187</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320"/>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711</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1,106</w:t>
            </w:r>
          </w:p>
        </w:tc>
      </w:tr>
      <w:tr>
        <w:trPr>
          <w:trHeight w:val="27"/>
        </w:trPr>
        <w:tc>
          <w:tcPr>
            <w:tcW w:w="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-265430</wp:posOffset>
            </wp:positionV>
            <wp:extent cx="6508750" cy="266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08750" cy="266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620" w:space="60"/>
            <w:col w:w="80" w:space="660"/>
            <w:col w:w="4840"/>
          </w:cols>
          <w:pgMar w:left="240" w:top="891" w:right="1399" w:bottom="90" w:gutter="0" w:footer="0" w:header="0"/>
          <w:type w:val="continuous"/>
        </w:sectPr>
      </w:pP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0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15 %</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18 %</w:t>
            </w:r>
          </w:p>
        </w:tc>
        <w:tc>
          <w:tcPr>
            <w:tcW w:w="146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12 %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bl>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annual operating tax rate, which does not include discrete tax items, was 16% compared with 20% in the prior year.</w:t>
      </w:r>
    </w:p>
    <w:p>
      <w:pPr>
        <w:spacing w:after="0" w:line="333" w:lineRule="exact"/>
        <w:rPr>
          <w:sz w:val="20"/>
          <w:szCs w:val="20"/>
          <w:color w:val="auto"/>
        </w:rPr>
      </w:pPr>
    </w:p>
    <w:p>
      <w:pPr>
        <w:ind w:left="20" w:right="700"/>
        <w:spacing w:after="0" w:line="277" w:lineRule="auto"/>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1,070</w:t>
            </w:r>
          </w:p>
        </w:tc>
        <w:tc>
          <w:tcPr>
            <w:tcW w:w="80" w:type="dxa"/>
            <w:vAlign w:val="bottom"/>
            <w:shd w:val="clear" w:color="auto" w:fill="CCEEFF"/>
          </w:tcPr>
          <w:p>
            <w:pPr>
              <w:spacing w:after="0"/>
              <w:rPr>
                <w:sz w:val="21"/>
                <w:szCs w:val="21"/>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1,239</w:t>
            </w:r>
          </w:p>
        </w:tc>
        <w:tc>
          <w:tcPr>
            <w:tcW w:w="80" w:type="dxa"/>
            <w:vAlign w:val="bottom"/>
            <w:shd w:val="clear" w:color="auto" w:fill="CCEEFF"/>
          </w:tcPr>
          <w:p>
            <w:pPr>
              <w:spacing w:after="0"/>
              <w:rPr>
                <w:sz w:val="21"/>
                <w:szCs w:val="21"/>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5,017</w:t>
            </w:r>
          </w:p>
        </w:tc>
        <w:tc>
          <w:tcPr>
            <w:tcW w:w="100" w:type="dxa"/>
            <w:vAlign w:val="bottom"/>
            <w:shd w:val="clear" w:color="auto" w:fill="CCEEFF"/>
          </w:tcPr>
          <w:p>
            <w:pPr>
              <w:spacing w:after="0"/>
              <w:rPr>
                <w:sz w:val="21"/>
                <w:szCs w:val="21"/>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94"/>
        </w:trPr>
        <w:tc>
          <w:tcPr>
            <w:tcW w:w="466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vMerge w:val="continue"/>
            <w:shd w:val="clear" w:color="auto" w:fill="CCEEFF"/>
          </w:tcPr>
          <w:p>
            <w:pPr>
              <w:spacing w:after="0"/>
              <w:rPr>
                <w:sz w:val="8"/>
                <w:szCs w:val="8"/>
                <w:color w:val="auto"/>
              </w:rPr>
            </w:pPr>
          </w:p>
        </w:tc>
        <w:tc>
          <w:tcPr>
            <w:tcW w:w="98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vMerge w:val="continue"/>
            <w:shd w:val="clear" w:color="auto" w:fill="CCEEFF"/>
          </w:tcPr>
          <w:p>
            <w:pPr>
              <w:spacing w:after="0"/>
              <w:rPr>
                <w:sz w:val="8"/>
                <w:szCs w:val="8"/>
                <w:color w:val="auto"/>
              </w:rPr>
            </w:pPr>
          </w:p>
        </w:tc>
        <w:tc>
          <w:tcPr>
            <w:tcW w:w="94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vMerge w:val="continue"/>
            <w:shd w:val="clear" w:color="auto" w:fill="CCEEFF"/>
          </w:tcPr>
          <w:p>
            <w:pPr>
              <w:spacing w:after="0"/>
              <w:rPr>
                <w:sz w:val="8"/>
                <w:szCs w:val="8"/>
                <w:color w:val="auto"/>
              </w:rPr>
            </w:pPr>
          </w:p>
        </w:tc>
        <w:tc>
          <w:tcPr>
            <w:tcW w:w="9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vMerge w:val="continue"/>
            <w:shd w:val="clear" w:color="auto" w:fill="CCEEFF"/>
          </w:tcPr>
          <w:p>
            <w:pPr>
              <w:spacing w:after="0"/>
              <w:rPr>
                <w:sz w:val="8"/>
                <w:szCs w:val="8"/>
                <w:color w:val="auto"/>
              </w:rPr>
            </w:pPr>
          </w:p>
        </w:tc>
        <w:tc>
          <w:tcPr>
            <w:tcW w:w="9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Income allocated to RSUs</w:t>
            </w:r>
          </w:p>
        </w:tc>
        <w:tc>
          <w:tcPr>
            <w:tcW w:w="360" w:type="dxa"/>
            <w:vAlign w:val="bottom"/>
          </w:tcPr>
          <w:p>
            <w:pPr>
              <w:spacing w:after="0"/>
              <w:rPr>
                <w:sz w:val="21"/>
                <w:szCs w:val="21"/>
                <w:color w:val="auto"/>
              </w:rPr>
            </w:pPr>
          </w:p>
        </w:tc>
        <w:tc>
          <w:tcPr>
            <w:tcW w:w="9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vMerge w:val="restart"/>
          </w:tcPr>
          <w:p>
            <w:pPr>
              <w:jc w:val="right"/>
              <w:ind w:right="15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vMerge w:val="restart"/>
          </w:tcPr>
          <w:p>
            <w:pPr>
              <w:jc w:val="right"/>
              <w:ind w:right="15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95"/>
        </w:trPr>
        <w:tc>
          <w:tcPr>
            <w:tcW w:w="4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1,064</w:t>
            </w:r>
          </w:p>
        </w:tc>
        <w:tc>
          <w:tcPr>
            <w:tcW w:w="8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1,231</w:t>
            </w:r>
          </w:p>
        </w:tc>
        <w:tc>
          <w:tcPr>
            <w:tcW w:w="8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4,986</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60"/>
          </w:cols>
          <w:pgMar w:left="240" w:top="891" w:right="1399" w:bottom="90" w:gutter="0" w:footer="0" w:header="0"/>
          <w:type w:val="continuous"/>
        </w:sectPr>
      </w:pPr>
    </w:p>
    <w:bookmarkStart w:id="6" w:name="page7"/>
    <w:bookmarkEnd w:id="6"/>
    <w:p>
      <w:pPr>
        <w:ind w:left="10120"/>
        <w:spacing w:after="0"/>
        <w:rPr>
          <w:sz w:val="20"/>
          <w:szCs w:val="20"/>
          <w:color w:val="auto"/>
        </w:rPr>
      </w:pPr>
      <w:r>
        <w:rPr>
          <w:rFonts w:ascii="Arial" w:cs="Arial" w:eastAsia="Arial" w:hAnsi="Arial"/>
          <w:sz w:val="16"/>
          <w:szCs w:val="16"/>
          <w:color w:val="707070"/>
        </w:rPr>
        <w:t>3</w:t>
      </w:r>
    </w:p>
    <w:p>
      <w:pPr>
        <w:sectPr>
          <w:pgSz w:w="11900" w:h="16838" w:orient="portrait"/>
          <w:cols w:equalWidth="0" w:num="1">
            <w:col w:w="10220"/>
          </w:cols>
          <w:pgMar w:left="1440" w:top="906" w:right="239" w:bottom="1440" w:gutter="0" w:footer="0" w:header="0"/>
        </w:sectPr>
      </w:pPr>
    </w:p>
    <w:bookmarkStart w:id="7" w:name="page8"/>
    <w:bookmarkEnd w:id="7"/>
    <w:p>
      <w:pPr>
        <w:spacing w:after="0" w:line="72" w:lineRule="exact"/>
        <w:rPr>
          <w:sz w:val="20"/>
          <w:szCs w:val="20"/>
          <w:color w:val="auto"/>
        </w:rPr>
      </w:pPr>
    </w:p>
    <w:p>
      <w:pPr>
        <w:jc w:val="center"/>
        <w:ind w:right="-1199"/>
        <w:spacing w:after="0"/>
        <w:rPr>
          <w:sz w:val="20"/>
          <w:szCs w:val="20"/>
          <w:color w:val="auto"/>
        </w:rPr>
      </w:pPr>
      <w:r>
        <w:rPr>
          <w:rFonts w:ascii="Arial" w:cs="Arial" w:eastAsia="Arial" w:hAnsi="Arial"/>
          <w:sz w:val="17"/>
          <w:szCs w:val="17"/>
          <w:b w:val="1"/>
          <w:bCs w:val="1"/>
          <w:color w:val="auto"/>
        </w:rPr>
        <w:t>TEXAS INSTRUMENTS INCORPORATED AND SUBSIDIARIES</w:t>
      </w:r>
    </w:p>
    <w:p>
      <w:pPr>
        <w:spacing w:after="0" w:line="39" w:lineRule="exact"/>
        <w:rPr>
          <w:sz w:val="20"/>
          <w:szCs w:val="20"/>
          <w:color w:val="auto"/>
        </w:rPr>
      </w:pPr>
    </w:p>
    <w:p>
      <w:pPr>
        <w:jc w:val="center"/>
        <w:ind w:right="-11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199"/>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45"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34290</wp:posOffset>
            </wp:positionV>
            <wp:extent cx="16554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57" w:lineRule="exact"/>
        <w:rPr>
          <w:sz w:val="20"/>
          <w:szCs w:val="20"/>
          <w:color w:val="auto"/>
        </w:rPr>
      </w:pPr>
    </w:p>
    <w:p>
      <w:pPr>
        <w:jc w:val="both"/>
        <w:ind w:left="8060"/>
        <w:spacing w:after="0"/>
        <w:tabs>
          <w:tab w:leader="none" w:pos="94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48335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83350" cy="180340"/>
                    </a:xfrm>
                    <a:prstGeom prst="rect">
                      <a:avLst/>
                    </a:prstGeom>
                    <a:noFill/>
                  </pic:spPr>
                </pic:pic>
              </a:graphicData>
            </a:graphic>
          </wp:anchor>
        </w:drawing>
      </w:r>
    </w:p>
    <w:p>
      <w:pPr>
        <w:sectPr>
          <w:pgSz w:w="11900" w:h="16864" w:orient="portrait"/>
          <w:cols w:equalWidth="0" w:num="1">
            <w:col w:w="10220"/>
          </w:cols>
          <w:pgMar w:left="240" w:top="1440" w:right="1439" w:bottom="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483350" cy="231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83350" cy="231775"/>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483350" cy="231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83350" cy="231775"/>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Accounts receivable, net of allowances of ($8) and ($19)</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483350" cy="231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83350" cy="231775"/>
                    </a:xfrm>
                    <a:prstGeom prst="rect">
                      <a:avLst/>
                    </a:prstGeom>
                    <a:noFill/>
                  </pic:spPr>
                </pic:pic>
              </a:graphicData>
            </a:graphic>
          </wp:anchor>
        </w:drawing>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Work in process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Finished goods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640" w:val="left"/>
          <w:tab w:leader="none" w:pos="1340" w:val="left"/>
          <w:tab w:leader="none" w:pos="19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2,437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2,438</w:t>
      </w:r>
    </w:p>
    <w:p>
      <w:pPr>
        <w:spacing w:after="0" w:line="158" w:lineRule="exact"/>
        <w:rPr>
          <w:sz w:val="20"/>
          <w:szCs w:val="20"/>
          <w:color w:val="auto"/>
        </w:rPr>
      </w:pPr>
    </w:p>
    <w:p>
      <w:pPr>
        <w:jc w:val="both"/>
        <w:ind w:left="660"/>
        <w:spacing w:after="0"/>
        <w:tabs>
          <w:tab w:leader="none" w:pos="1980" w:val="left"/>
        </w:tabs>
        <w:rPr>
          <w:sz w:val="20"/>
          <w:szCs w:val="20"/>
          <w:color w:val="auto"/>
        </w:rPr>
      </w:pPr>
      <w:r>
        <w:rPr>
          <w:rFonts w:ascii="Arial" w:cs="Arial" w:eastAsia="Arial" w:hAnsi="Arial"/>
          <w:sz w:val="18"/>
          <w:szCs w:val="18"/>
          <w:b w:val="1"/>
          <w:bCs w:val="1"/>
          <w:color w:val="auto"/>
        </w:rPr>
        <w:t>2,950</w:t>
      </w:r>
      <w:r>
        <w:rPr>
          <w:sz w:val="20"/>
          <w:szCs w:val="20"/>
          <w:color w:val="auto"/>
        </w:rPr>
        <w:tab/>
      </w:r>
      <w:r>
        <w:rPr>
          <w:rFonts w:ascii="Arial" w:cs="Arial" w:eastAsia="Arial" w:hAnsi="Arial"/>
          <w:sz w:val="18"/>
          <w:szCs w:val="18"/>
          <w:color w:val="auto"/>
        </w:rPr>
        <w:t>1,795</w:t>
      </w:r>
    </w:p>
    <w:p>
      <w:pPr>
        <w:spacing w:after="0" w:line="158" w:lineRule="exact"/>
        <w:rPr>
          <w:sz w:val="20"/>
          <w:szCs w:val="20"/>
          <w:color w:val="auto"/>
        </w:rPr>
      </w:pPr>
    </w:p>
    <w:p>
      <w:pPr>
        <w:jc w:val="both"/>
        <w:ind w:left="660"/>
        <w:spacing w:after="0"/>
        <w:tabs>
          <w:tab w:leader="none" w:pos="1980" w:val="left"/>
        </w:tabs>
        <w:rPr>
          <w:sz w:val="20"/>
          <w:szCs w:val="20"/>
          <w:color w:val="auto"/>
        </w:rPr>
      </w:pPr>
      <w:r>
        <w:rPr>
          <w:rFonts w:ascii="Arial" w:cs="Arial" w:eastAsia="Arial" w:hAnsi="Arial"/>
          <w:sz w:val="18"/>
          <w:szCs w:val="18"/>
          <w:b w:val="1"/>
          <w:bCs w:val="1"/>
          <w:color w:val="auto"/>
        </w:rPr>
        <w:t>1,074</w:t>
      </w:r>
      <w:r>
        <w:rPr>
          <w:sz w:val="20"/>
          <w:szCs w:val="20"/>
          <w:color w:val="auto"/>
        </w:rPr>
        <w:tab/>
      </w:r>
      <w:r>
        <w:rPr>
          <w:rFonts w:ascii="Arial" w:cs="Arial" w:eastAsia="Arial" w:hAnsi="Arial"/>
          <w:sz w:val="18"/>
          <w:szCs w:val="18"/>
          <w:color w:val="auto"/>
        </w:rPr>
        <w:t>1,207</w:t>
      </w:r>
    </w:p>
    <w:p>
      <w:pPr>
        <w:spacing w:after="0" w:line="162" w:lineRule="exact"/>
        <w:rPr>
          <w:sz w:val="20"/>
          <w:szCs w:val="20"/>
          <w:color w:val="auto"/>
        </w:rPr>
      </w:pPr>
    </w:p>
    <w:p>
      <w:pPr>
        <w:ind w:left="2140" w:hanging="1347"/>
        <w:spacing w:after="0"/>
        <w:tabs>
          <w:tab w:leader="none" w:pos="214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181</w:t>
      </w:r>
    </w:p>
    <w:p>
      <w:pPr>
        <w:spacing w:after="0" w:line="181" w:lineRule="exact"/>
        <w:rPr>
          <w:sz w:val="20"/>
          <w:szCs w:val="20"/>
          <w:color w:val="auto"/>
        </w:rPr>
      </w:pPr>
    </w:p>
    <w:p>
      <w:pPr>
        <w:ind w:left="2000" w:hanging="1207"/>
        <w:spacing w:after="0"/>
        <w:tabs>
          <w:tab w:leader="none" w:pos="20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1,070</w:t>
      </w:r>
    </w:p>
    <w:p>
      <w:pPr>
        <w:spacing w:after="0" w:line="181" w:lineRule="exact"/>
        <w:rPr>
          <w:sz w:val="20"/>
          <w:szCs w:val="20"/>
          <w:color w:val="auto"/>
        </w:rPr>
      </w:pPr>
    </w:p>
    <w:p>
      <w:pPr>
        <w:ind w:left="2140" w:hanging="1347"/>
        <w:spacing w:after="0"/>
        <w:tabs>
          <w:tab w:leader="none" w:pos="214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966</w:t>
      </w:r>
    </w:p>
    <w:p>
      <w:pPr>
        <w:spacing w:after="0" w:line="53" w:lineRule="exact"/>
        <w:rPr>
          <w:sz w:val="20"/>
          <w:szCs w:val="20"/>
          <w:color w:val="auto"/>
        </w:rPr>
      </w:pPr>
    </w:p>
    <w:p>
      <w:pPr>
        <w:sectPr>
          <w:pgSz w:w="11900" w:h="16864" w:orient="portrait"/>
          <w:cols w:equalWidth="0" w:num="2">
            <w:col w:w="6900" w:space="720"/>
            <w:col w:w="2600"/>
          </w:cols>
          <w:pgMar w:left="240" w:top="1440" w:right="1439" w:bottom="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6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124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2,001</w:t>
            </w:r>
          </w:p>
        </w:tc>
        <w:tc>
          <w:tcPr>
            <w:tcW w:w="10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114"/>
        </w:trPr>
        <w:tc>
          <w:tcPr>
            <w:tcW w:w="7620" w:type="dxa"/>
            <w:vAlign w:val="bottom"/>
            <w:tcBorders>
              <w:bottom w:val="single" w:sz="8" w:color="CCEEFF"/>
            </w:tcBorders>
            <w:shd w:val="clear" w:color="auto" w:fill="CCEEFF"/>
          </w:tcPr>
          <w:p>
            <w:pPr>
              <w:spacing w:after="0"/>
              <w:rPr>
                <w:sz w:val="9"/>
                <w:szCs w:val="9"/>
                <w:color w:val="auto"/>
              </w:rPr>
            </w:pPr>
          </w:p>
        </w:tc>
        <w:tc>
          <w:tcPr>
            <w:tcW w:w="124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6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762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24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299</w:t>
            </w:r>
          </w:p>
        </w:tc>
        <w:tc>
          <w:tcPr>
            <w:tcW w:w="100" w:type="dxa"/>
            <w:vAlign w:val="bottom"/>
          </w:tcPr>
          <w:p>
            <w:pPr>
              <w:spacing w:after="0"/>
              <w:rPr>
                <w:sz w:val="19"/>
                <w:szCs w:val="19"/>
                <w:color w:val="auto"/>
              </w:rPr>
            </w:pPr>
          </w:p>
        </w:tc>
        <w:tc>
          <w:tcPr>
            <w:tcW w:w="126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95"/>
        </w:trPr>
        <w:tc>
          <w:tcPr>
            <w:tcW w:w="762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12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8,761</w:t>
            </w:r>
          </w:p>
        </w:tc>
        <w:tc>
          <w:tcPr>
            <w:tcW w:w="100" w:type="dxa"/>
            <w:vAlign w:val="bottom"/>
            <w:shd w:val="clear" w:color="auto" w:fill="CCEEFF"/>
          </w:tcPr>
          <w:p>
            <w:pPr>
              <w:spacing w:after="0"/>
              <w:rPr>
                <w:sz w:val="19"/>
                <w:szCs w:val="19"/>
                <w:color w:val="auto"/>
              </w:rPr>
            </w:pPr>
          </w:p>
        </w:tc>
        <w:tc>
          <w:tcPr>
            <w:tcW w:w="12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8,097</w:t>
            </w:r>
          </w:p>
        </w:tc>
        <w:tc>
          <w:tcPr>
            <w:tcW w:w="0" w:type="dxa"/>
            <w:vAlign w:val="bottom"/>
          </w:tcPr>
          <w:p>
            <w:pPr>
              <w:spacing w:after="0"/>
              <w:rPr>
                <w:sz w:val="1"/>
                <w:szCs w:val="1"/>
                <w:color w:val="auto"/>
              </w:rPr>
            </w:pPr>
          </w:p>
        </w:tc>
      </w:tr>
      <w:tr>
        <w:trPr>
          <w:trHeight w:val="102"/>
        </w:trPr>
        <w:tc>
          <w:tcPr>
            <w:tcW w:w="762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64" w:orient="portrait"/>
          <w:cols w:equalWidth="0" w:num="1">
            <w:col w:w="10220"/>
          </w:cols>
          <w:pgMar w:left="240" w:top="1440" w:right="1439" w:bottom="0" w:gutter="0" w:footer="0" w:header="0"/>
          <w:type w:val="continuous"/>
        </w:sectPr>
      </w:pPr>
    </w:p>
    <w:p>
      <w:pPr>
        <w:ind w:left="20"/>
        <w:spacing w:after="0"/>
        <w:rPr>
          <w:sz w:val="20"/>
          <w:szCs w:val="20"/>
          <w:color w:val="auto"/>
        </w:rPr>
      </w:pPr>
      <w:r>
        <w:rPr>
          <w:rFonts w:ascii="Arial" w:cs="Arial" w:eastAsia="Arial" w:hAnsi="Arial"/>
          <w:sz w:val="18"/>
          <w:szCs w:val="18"/>
          <w:color w:val="auto"/>
        </w:rPr>
        <w:t>Property, plant and equipment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6483350" cy="231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83350" cy="231775"/>
                    </a:xfrm>
                    <a:prstGeom prst="rect">
                      <a:avLst/>
                    </a:prstGeom>
                    <a:noFill/>
                  </pic:spPr>
                </pic:pic>
              </a:graphicData>
            </a:graphic>
          </wp:anchor>
        </w:drawing>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Accumulated depreciation</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483350" cy="231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83350" cy="23177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investments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483350" cy="231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83350" cy="23177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Acquisition-related intangibles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483350" cy="231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83350" cy="23177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Capitalized software licenses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Overfunded 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483350" cy="231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83350" cy="23177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long-term assets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648335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83350" cy="18859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48335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8335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483350" cy="231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83350" cy="231775"/>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Accounts payable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483350" cy="2317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83350" cy="231775"/>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taxes payable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483350" cy="2317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83350" cy="231775"/>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current liabilities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483350" cy="2317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83350" cy="23177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Underfunded retirement plans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483350" cy="2317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83350" cy="23177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long-term liabilities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48335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83350" cy="18034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equity:</w:t>
      </w:r>
    </w:p>
    <w:p>
      <w:pPr>
        <w:spacing w:after="0" w:line="77" w:lineRule="exact"/>
        <w:rPr>
          <w:sz w:val="20"/>
          <w:szCs w:val="20"/>
          <w:color w:val="auto"/>
        </w:rPr>
      </w:pPr>
    </w:p>
    <w:p>
      <w:pPr>
        <w:ind w:left="220" w:right="2240" w:hanging="107"/>
        <w:spacing w:after="0" w:line="447" w:lineRule="auto"/>
        <w:rPr>
          <w:sz w:val="20"/>
          <w:szCs w:val="20"/>
          <w:color w:val="auto"/>
        </w:rPr>
      </w:pPr>
      <w:r>
        <w:rPr>
          <w:rFonts w:ascii="Arial" w:cs="Arial" w:eastAsia="Arial" w:hAnsi="Arial"/>
          <w:sz w:val="17"/>
          <w:szCs w:val="17"/>
          <w:color w:val="auto"/>
        </w:rPr>
        <w:t>Preferred stock, $25 par value. Authorized – 10,000,000 shares Participating cumulative preferred – None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6483350" cy="2317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83350" cy="23177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Common stock, $1 par value. Authorized – 2,400,000,000 shares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b w:val="1"/>
          <w:bCs w:val="1"/>
          <w:color w:val="auto"/>
        </w:rPr>
        <w:t>5,740</w:t>
      </w:r>
      <w:r>
        <w:rPr>
          <w:sz w:val="20"/>
          <w:szCs w:val="20"/>
          <w:color w:val="auto"/>
        </w:rPr>
        <w:tab/>
      </w:r>
      <w:r>
        <w:rPr>
          <w:rFonts w:ascii="Arial" w:cs="Arial" w:eastAsia="Arial" w:hAnsi="Arial"/>
          <w:sz w:val="18"/>
          <w:szCs w:val="18"/>
          <w:color w:val="auto"/>
        </w:rPr>
        <w:t>5,425</w:t>
      </w:r>
    </w:p>
    <w:p>
      <w:pPr>
        <w:spacing w:after="0" w:line="158" w:lineRule="exact"/>
        <w:rPr>
          <w:sz w:val="20"/>
          <w:szCs w:val="20"/>
          <w:color w:val="auto"/>
        </w:rPr>
      </w:pPr>
    </w:p>
    <w:p>
      <w:pPr>
        <w:jc w:val="both"/>
        <w:ind w:left="580"/>
        <w:spacing w:after="0"/>
        <w:tabs>
          <w:tab w:leader="none" w:pos="1920" w:val="left"/>
        </w:tabs>
        <w:rPr>
          <w:sz w:val="20"/>
          <w:szCs w:val="20"/>
          <w:color w:val="auto"/>
        </w:rPr>
      </w:pPr>
      <w:r>
        <w:rPr>
          <w:rFonts w:ascii="Arial" w:cs="Arial" w:eastAsia="Arial" w:hAnsi="Arial"/>
          <w:sz w:val="18"/>
          <w:szCs w:val="18"/>
          <w:b w:val="1"/>
          <w:bCs w:val="1"/>
          <w:color w:val="auto"/>
        </w:rPr>
        <w:t>(2,437)</w:t>
      </w:r>
      <w:r>
        <w:rPr>
          <w:sz w:val="20"/>
          <w:szCs w:val="20"/>
          <w:color w:val="auto"/>
        </w:rPr>
        <w:tab/>
      </w:r>
      <w:r>
        <w:rPr>
          <w:rFonts w:ascii="Arial" w:cs="Arial" w:eastAsia="Arial" w:hAnsi="Arial"/>
          <w:sz w:val="18"/>
          <w:szCs w:val="18"/>
          <w:color w:val="auto"/>
        </w:rPr>
        <w:t>(2,242)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6554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3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b w:val="1"/>
          <w:bCs w:val="1"/>
          <w:color w:val="auto"/>
        </w:rPr>
        <w:t>3,303</w:t>
      </w:r>
      <w:r>
        <w:rPr>
          <w:sz w:val="20"/>
          <w:szCs w:val="20"/>
          <w:color w:val="auto"/>
        </w:rPr>
        <w:tab/>
      </w:r>
      <w:r>
        <w:rPr>
          <w:rFonts w:ascii="Arial" w:cs="Arial" w:eastAsia="Arial" w:hAnsi="Arial"/>
          <w:sz w:val="18"/>
          <w:szCs w:val="18"/>
          <w:color w:val="auto"/>
        </w:rPr>
        <w:t>3,183</w:t>
      </w:r>
    </w:p>
    <w:p>
      <w:pPr>
        <w:spacing w:after="0" w:line="162" w:lineRule="exact"/>
        <w:rPr>
          <w:sz w:val="20"/>
          <w:szCs w:val="20"/>
          <w:color w:val="auto"/>
        </w:rPr>
      </w:pPr>
    </w:p>
    <w:p>
      <w:pPr>
        <w:ind w:left="2140" w:hanging="1347"/>
        <w:spacing w:after="0"/>
        <w:tabs>
          <w:tab w:leader="none" w:pos="21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251</w:t>
      </w:r>
    </w:p>
    <w:p>
      <w:pPr>
        <w:spacing w:after="0" w:line="15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b w:val="1"/>
          <w:bCs w:val="1"/>
          <w:color w:val="auto"/>
        </w:rPr>
        <w:t>4,362</w:t>
      </w:r>
      <w:r>
        <w:rPr>
          <w:sz w:val="20"/>
          <w:szCs w:val="20"/>
          <w:color w:val="auto"/>
        </w:rPr>
        <w:tab/>
      </w:r>
      <w:r>
        <w:rPr>
          <w:rFonts w:ascii="Arial" w:cs="Arial" w:eastAsia="Arial" w:hAnsi="Arial"/>
          <w:sz w:val="18"/>
          <w:szCs w:val="18"/>
          <w:color w:val="auto"/>
        </w:rPr>
        <w:t>4,362</w:t>
      </w:r>
    </w:p>
    <w:p>
      <w:pPr>
        <w:spacing w:after="0" w:line="162" w:lineRule="exact"/>
        <w:rPr>
          <w:sz w:val="20"/>
          <w:szCs w:val="20"/>
          <w:color w:val="auto"/>
        </w:rPr>
      </w:pPr>
    </w:p>
    <w:p>
      <w:pPr>
        <w:ind w:left="2140" w:hanging="1347"/>
        <w:spacing w:after="0"/>
        <w:tabs>
          <w:tab w:leader="none" w:pos="21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628</w:t>
      </w:r>
    </w:p>
    <w:p>
      <w:pPr>
        <w:spacing w:after="0" w:line="158" w:lineRule="exact"/>
        <w:rPr>
          <w:sz w:val="20"/>
          <w:szCs w:val="20"/>
          <w:color w:val="auto"/>
        </w:rPr>
      </w:pPr>
    </w:p>
    <w:p>
      <w:pPr>
        <w:ind w:left="2140" w:hanging="1347"/>
        <w:spacing w:after="0"/>
        <w:tabs>
          <w:tab w:leader="none" w:pos="21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295</w:t>
      </w:r>
    </w:p>
    <w:p>
      <w:pPr>
        <w:spacing w:after="0" w:line="158" w:lineRule="exact"/>
        <w:rPr>
          <w:sz w:val="20"/>
          <w:szCs w:val="20"/>
          <w:color w:val="auto"/>
        </w:rPr>
      </w:pPr>
    </w:p>
    <w:p>
      <w:pPr>
        <w:ind w:left="2240" w:hanging="1357"/>
        <w:spacing w:after="0"/>
        <w:tabs>
          <w:tab w:leader="none" w:pos="22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89</w:t>
      </w:r>
    </w:p>
    <w:p>
      <w:pPr>
        <w:spacing w:after="0" w:line="158" w:lineRule="exact"/>
        <w:rPr>
          <w:sz w:val="20"/>
          <w:szCs w:val="20"/>
          <w:color w:val="auto"/>
        </w:rPr>
      </w:pPr>
    </w:p>
    <w:p>
      <w:pPr>
        <w:ind w:left="2240" w:hanging="1447"/>
        <w:spacing w:after="0"/>
        <w:tabs>
          <w:tab w:leader="none" w:pos="22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92</w:t>
      </w:r>
    </w:p>
    <w:p>
      <w:pPr>
        <w:spacing w:after="0" w:line="158" w:lineRule="exact"/>
        <w:rPr>
          <w:sz w:val="20"/>
          <w:szCs w:val="20"/>
          <w:color w:val="auto"/>
        </w:rPr>
      </w:pPr>
    </w:p>
    <w:p>
      <w:pPr>
        <w:ind w:left="2140" w:hanging="1347"/>
        <w:spacing w:after="0"/>
        <w:tabs>
          <w:tab w:leader="none" w:pos="21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6554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34" w:lineRule="exact"/>
        <w:rPr>
          <w:sz w:val="20"/>
          <w:szCs w:val="20"/>
          <w:color w:val="auto"/>
        </w:rPr>
      </w:pPr>
    </w:p>
    <w:p>
      <w:pPr>
        <w:spacing w:after="0"/>
        <w:tabs>
          <w:tab w:leader="none" w:pos="540" w:val="left"/>
          <w:tab w:leader="none" w:pos="1340" w:val="left"/>
          <w:tab w:leader="none" w:pos="19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18,018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17,137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6554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80" w:val="left"/>
          <w:tab w:leader="none" w:pos="1340" w:val="left"/>
          <w:tab w:leader="none" w:pos="21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500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749</w:t>
      </w:r>
    </w:p>
    <w:p>
      <w:pPr>
        <w:spacing w:after="0" w:line="162" w:lineRule="exact"/>
        <w:rPr>
          <w:sz w:val="20"/>
          <w:szCs w:val="20"/>
          <w:color w:val="auto"/>
        </w:rPr>
      </w:pPr>
    </w:p>
    <w:p>
      <w:pPr>
        <w:ind w:left="2140" w:hanging="1347"/>
        <w:spacing w:after="0"/>
        <w:tabs>
          <w:tab w:leader="none" w:pos="21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478</w:t>
      </w:r>
    </w:p>
    <w:p>
      <w:pPr>
        <w:spacing w:after="0" w:line="158" w:lineRule="exact"/>
        <w:rPr>
          <w:sz w:val="20"/>
          <w:szCs w:val="20"/>
          <w:color w:val="auto"/>
        </w:rPr>
      </w:pPr>
    </w:p>
    <w:p>
      <w:pPr>
        <w:ind w:left="2140" w:hanging="1347"/>
        <w:spacing w:after="0"/>
        <w:tabs>
          <w:tab w:leader="none" w:pos="21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724</w:t>
      </w:r>
    </w:p>
    <w:p>
      <w:pPr>
        <w:spacing w:after="0" w:line="158" w:lineRule="exact"/>
        <w:rPr>
          <w:sz w:val="20"/>
          <w:szCs w:val="20"/>
          <w:color w:val="auto"/>
        </w:rPr>
      </w:pPr>
    </w:p>
    <w:p>
      <w:pPr>
        <w:ind w:left="2140" w:hanging="1257"/>
        <w:spacing w:after="0"/>
        <w:tabs>
          <w:tab w:leader="none" w:pos="21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103</w:t>
      </w:r>
    </w:p>
    <w:p>
      <w:pPr>
        <w:spacing w:after="0" w:line="158" w:lineRule="exact"/>
        <w:rPr>
          <w:sz w:val="20"/>
          <w:szCs w:val="20"/>
          <w:color w:val="auto"/>
        </w:rPr>
      </w:pPr>
    </w:p>
    <w:p>
      <w:pPr>
        <w:ind w:left="2140" w:hanging="1347"/>
        <w:spacing w:after="0"/>
        <w:tabs>
          <w:tab w:leader="none" w:pos="21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420</w:t>
      </w:r>
    </w:p>
    <w:p>
      <w:pPr>
        <w:spacing w:after="0" w:line="15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b w:val="1"/>
          <w:bCs w:val="1"/>
          <w:color w:val="auto"/>
        </w:rPr>
        <w:t>2,123</w:t>
      </w:r>
      <w:r>
        <w:rPr>
          <w:sz w:val="20"/>
          <w:szCs w:val="20"/>
          <w:color w:val="auto"/>
        </w:rPr>
        <w:tab/>
      </w:r>
      <w:r>
        <w:rPr>
          <w:rFonts w:ascii="Arial" w:cs="Arial" w:eastAsia="Arial" w:hAnsi="Arial"/>
          <w:sz w:val="18"/>
          <w:szCs w:val="18"/>
          <w:color w:val="auto"/>
        </w:rPr>
        <w:t>2,474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6554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3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b w:val="1"/>
          <w:bCs w:val="1"/>
          <w:color w:val="auto"/>
        </w:rPr>
        <w:t>5,303</w:t>
      </w:r>
      <w:r>
        <w:rPr>
          <w:sz w:val="20"/>
          <w:szCs w:val="20"/>
          <w:color w:val="auto"/>
        </w:rPr>
        <w:tab/>
      </w:r>
      <w:r>
        <w:rPr>
          <w:rFonts w:ascii="Arial" w:cs="Arial" w:eastAsia="Arial" w:hAnsi="Arial"/>
          <w:sz w:val="18"/>
          <w:szCs w:val="18"/>
          <w:color w:val="auto"/>
        </w:rPr>
        <w:t>4,319</w:t>
      </w:r>
    </w:p>
    <w:p>
      <w:pPr>
        <w:spacing w:after="0" w:line="162" w:lineRule="exact"/>
        <w:rPr>
          <w:sz w:val="20"/>
          <w:szCs w:val="20"/>
          <w:color w:val="auto"/>
        </w:rPr>
      </w:pPr>
    </w:p>
    <w:p>
      <w:pPr>
        <w:ind w:left="2160" w:hanging="1277"/>
        <w:spacing w:after="0"/>
        <w:tabs>
          <w:tab w:leader="none" w:pos="21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118</w:t>
      </w:r>
    </w:p>
    <w:p>
      <w:pPr>
        <w:spacing w:after="0" w:line="169" w:lineRule="exact"/>
        <w:rPr>
          <w:sz w:val="20"/>
          <w:szCs w:val="20"/>
          <w:color w:val="auto"/>
        </w:rPr>
      </w:pPr>
    </w:p>
    <w:p>
      <w:pPr>
        <w:ind w:left="2240" w:hanging="1357"/>
        <w:spacing w:after="0"/>
        <w:tabs>
          <w:tab w:leader="none" w:pos="22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42</w:t>
      </w:r>
    </w:p>
    <w:p>
      <w:pPr>
        <w:spacing w:after="0" w:line="15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b w:val="1"/>
          <w:bCs w:val="1"/>
          <w:color w:val="auto"/>
        </w:rPr>
        <w:t>1,514</w:t>
      </w:r>
      <w:r>
        <w:rPr>
          <w:sz w:val="20"/>
          <w:szCs w:val="20"/>
          <w:color w:val="auto"/>
        </w:rPr>
        <w:tab/>
      </w:r>
      <w:r>
        <w:rPr>
          <w:rFonts w:ascii="Arial" w:cs="Arial" w:eastAsia="Arial" w:hAnsi="Arial"/>
          <w:sz w:val="18"/>
          <w:szCs w:val="18"/>
          <w:color w:val="auto"/>
        </w:rPr>
        <w:t>1,190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6554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38" w:lineRule="exact"/>
        <w:rPr>
          <w:sz w:val="20"/>
          <w:szCs w:val="20"/>
          <w:color w:val="auto"/>
        </w:rPr>
      </w:pPr>
    </w:p>
    <w:p>
      <w:pPr>
        <w:ind w:left="680"/>
        <w:spacing w:after="0"/>
        <w:tabs>
          <w:tab w:leader="none" w:pos="1980" w:val="left"/>
        </w:tabs>
        <w:rPr>
          <w:sz w:val="20"/>
          <w:szCs w:val="20"/>
          <w:color w:val="auto"/>
        </w:rPr>
      </w:pPr>
      <w:r>
        <w:rPr>
          <w:rFonts w:ascii="Arial" w:cs="Arial" w:eastAsia="Arial" w:hAnsi="Arial"/>
          <w:sz w:val="18"/>
          <w:szCs w:val="18"/>
          <w:b w:val="1"/>
          <w:bCs w:val="1"/>
          <w:color w:val="auto"/>
        </w:rPr>
        <w:t>9,111</w:t>
      </w:r>
      <w:r>
        <w:rPr>
          <w:sz w:val="20"/>
          <w:szCs w:val="20"/>
          <w:color w:val="auto"/>
        </w:rPr>
        <w:tab/>
      </w:r>
      <w:r>
        <w:rPr>
          <w:rFonts w:ascii="Arial" w:cs="Arial" w:eastAsia="Arial" w:hAnsi="Arial"/>
          <w:sz w:val="18"/>
          <w:szCs w:val="18"/>
          <w:color w:val="auto"/>
        </w:rPr>
        <w:t>8,143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920"/>
        <w:spacing w:after="0"/>
        <w:tabs>
          <w:tab w:leader="none" w:pos="22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ectPr>
          <w:pgSz w:w="11900" w:h="16864" w:orient="portrait"/>
          <w:cols w:equalWidth="0" w:num="2">
            <w:col w:w="6900" w:space="720"/>
            <w:col w:w="2600"/>
          </w:cols>
          <w:pgMar w:left="240" w:top="1440" w:right="1439" w:bottom="0" w:gutter="0" w:footer="0" w:header="0"/>
          <w:type w:val="continuous"/>
        </w:sectPr>
      </w:pPr>
    </w:p>
    <w:bookmarkStart w:id="8" w:name="page9"/>
    <w:bookmarkEnd w:id="8"/>
    <w:p>
      <w:pPr>
        <w:ind w:left="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6483350" cy="231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83350" cy="231775"/>
                    </a:xfrm>
                    <a:prstGeom prst="rect">
                      <a:avLst/>
                    </a:prstGeom>
                    <a:noFill/>
                  </pic:spPr>
                </pic:pic>
              </a:graphicData>
            </a:graphic>
          </wp:anchor>
        </w:drawing>
        <w:t>Shares issued – 1,740,815,939</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6483350" cy="2317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83350" cy="231775"/>
                    </a:xfrm>
                    <a:prstGeom prst="rect">
                      <a:avLst/>
                    </a:prstGeom>
                    <a:noFill/>
                  </pic:spPr>
                </pic:pic>
              </a:graphicData>
            </a:graphic>
          </wp:anchor>
        </w:drawing>
      </w:r>
    </w:p>
    <w:p>
      <w:pPr>
        <w:spacing w:after="0" w:line="13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Retained earnings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Treasury common stock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6483350" cy="231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83350" cy="231775"/>
                    </a:xfrm>
                    <a:prstGeom prst="rect">
                      <a:avLst/>
                    </a:prstGeom>
                    <a:noFill/>
                  </pic:spPr>
                </pic:pic>
              </a:graphicData>
            </a:graphic>
          </wp:anchor>
        </w:drawing>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2019 – 808,784,381; 2018 – 795,665,646</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Accumulated other comprehensive income (loss), net of taxes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6483350" cy="2317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83350" cy="23177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stockholders’ equity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1,741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1,741</w:t>
            </w:r>
          </w:p>
        </w:tc>
      </w:tr>
      <w:tr>
        <w:trPr>
          <w:trHeight w:val="365"/>
        </w:trPr>
        <w:tc>
          <w:tcPr>
            <w:tcW w:w="30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2,110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1,950</w:t>
            </w:r>
          </w:p>
        </w:tc>
      </w:tr>
      <w:tr>
        <w:trPr>
          <w:trHeight w:val="365"/>
        </w:trPr>
        <w:tc>
          <w:tcPr>
            <w:tcW w:w="30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39,898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37,906</w:t>
            </w:r>
          </w:p>
        </w:tc>
      </w:tr>
      <w:tr>
        <w:trPr>
          <w:trHeight w:val="729"/>
        </w:trPr>
        <w:tc>
          <w:tcPr>
            <w:tcW w:w="30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(34,495)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(32,130)</w:t>
            </w:r>
          </w:p>
        </w:tc>
      </w:tr>
      <w:tr>
        <w:trPr>
          <w:trHeight w:val="365"/>
        </w:trPr>
        <w:tc>
          <w:tcPr>
            <w:tcW w:w="30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(347)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(473)</w:t>
            </w:r>
          </w:p>
        </w:tc>
      </w:tr>
      <w:tr>
        <w:trPr>
          <w:trHeight w:val="27"/>
        </w:trPr>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30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8,907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8,994</w:t>
            </w:r>
          </w:p>
        </w:tc>
      </w:tr>
      <w:tr>
        <w:trPr>
          <w:trHeight w:val="27"/>
        </w:trPr>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18,018</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17,137</w:t>
            </w:r>
          </w:p>
        </w:tc>
      </w:tr>
      <w:tr>
        <w:trPr>
          <w:trHeight w:val="27"/>
        </w:trPr>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20"/>
          <w:szCs w:val="20"/>
          <w:color w:val="707070"/>
        </w:rPr>
        <w:t>4</w:t>
      </w:r>
    </w:p>
    <w:p>
      <w:pPr>
        <w:sectPr>
          <w:pgSz w:w="11900" w:h="16838" w:orient="portrait"/>
          <w:cols w:equalWidth="0" w:num="2">
            <w:col w:w="6880" w:space="720"/>
            <w:col w:w="3800"/>
          </w:cols>
          <w:pgMar w:left="26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TEXAS INSTRUMENTS INCORPORATED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ectPr>
          <w:pgSz w:w="11900" w:h="16838" w:orient="portrait"/>
          <w:cols w:equalWidth="0" w:num="1">
            <w:col w:w="9019"/>
          </w:cols>
          <w:pgMar w:left="1440" w:top="891" w:right="1440"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income</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Adjustments to net income:</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Depreciation</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Amortization of acquisition-related intangibles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Amortization of capitalized software</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 compensation</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Gains on sales of assets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Deferred taxes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Increase (decrease) from changes in:</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Accounts receivable</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Inventories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Prepaid expenses and other current assets</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Accounts payable and accrued expenses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Accrued compensation</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Income taxes payable</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Changes in funded status of retirement plans</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Other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Capital expenditures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Proceeds from asset sales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Purchases of short-term investments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Proceeds from short-term investments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Other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Proceeds from issuance of long-term debt</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Repayment of debt</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Dividends paid</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Stock repurchases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Proceeds from common stock transactions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Other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Net change in cash and cash equivalents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25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For Three Months Ended</w:t>
            </w:r>
          </w:p>
        </w:tc>
        <w:tc>
          <w:tcPr>
            <w:tcW w:w="280" w:type="dxa"/>
            <w:vAlign w:val="bottom"/>
          </w:tcPr>
          <w:p>
            <w:pPr>
              <w:spacing w:after="0"/>
              <w:rPr>
                <w:sz w:val="20"/>
                <w:szCs w:val="20"/>
                <w:color w:val="auto"/>
              </w:rPr>
            </w:pPr>
          </w:p>
        </w:tc>
        <w:tc>
          <w:tcPr>
            <w:tcW w:w="23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For Years Ended</w:t>
            </w:r>
          </w:p>
        </w:tc>
      </w:tr>
      <w:tr>
        <w:trPr>
          <w:trHeight w:val="270"/>
        </w:trPr>
        <w:tc>
          <w:tcPr>
            <w:tcW w:w="200" w:type="dxa"/>
            <w:vAlign w:val="bottom"/>
          </w:tcPr>
          <w:p>
            <w:pPr>
              <w:spacing w:after="0"/>
              <w:rPr>
                <w:sz w:val="23"/>
                <w:szCs w:val="23"/>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Pr>
          <w:p>
            <w:pPr>
              <w:spacing w:after="0"/>
              <w:rPr>
                <w:sz w:val="23"/>
                <w:szCs w:val="23"/>
                <w:color w:val="auto"/>
              </w:rPr>
            </w:pPr>
          </w:p>
        </w:tc>
        <w:tc>
          <w:tcPr>
            <w:tcW w:w="230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200" w:type="dxa"/>
            <w:vAlign w:val="bottom"/>
          </w:tcPr>
          <w:p>
            <w:pPr>
              <w:spacing w:after="0"/>
              <w:rPr>
                <w:sz w:val="24"/>
                <w:szCs w:val="24"/>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682"/>
        </w:trPr>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1,070</w:t>
            </w:r>
          </w:p>
        </w:tc>
        <w:tc>
          <w:tcPr>
            <w:tcW w:w="14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1,239</w:t>
            </w:r>
          </w:p>
        </w:tc>
        <w:tc>
          <w:tcPr>
            <w:tcW w:w="14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5,017</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5,580</w:t>
            </w:r>
          </w:p>
        </w:tc>
      </w:tr>
      <w:tr>
        <w:trPr>
          <w:trHeight w:val="729"/>
        </w:trPr>
        <w:tc>
          <w:tcPr>
            <w:tcW w:w="20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186</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708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590</w:t>
            </w:r>
          </w:p>
        </w:tc>
      </w:tr>
      <w:tr>
        <w:trPr>
          <w:trHeight w:val="365"/>
        </w:trPr>
        <w:tc>
          <w:tcPr>
            <w:tcW w:w="20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50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288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318</w:t>
            </w:r>
          </w:p>
        </w:tc>
      </w:tr>
      <w:tr>
        <w:trPr>
          <w:trHeight w:val="365"/>
        </w:trPr>
        <w:tc>
          <w:tcPr>
            <w:tcW w:w="20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14</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46</w:t>
            </w:r>
          </w:p>
        </w:tc>
      </w:tr>
      <w:tr>
        <w:trPr>
          <w:trHeight w:val="365"/>
        </w:trPr>
        <w:tc>
          <w:tcPr>
            <w:tcW w:w="20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41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217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232</w:t>
            </w:r>
          </w:p>
        </w:tc>
      </w:tr>
      <w:tr>
        <w:trPr>
          <w:trHeight w:val="365"/>
        </w:trPr>
        <w:tc>
          <w:tcPr>
            <w:tcW w:w="20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w:t>
            </w:r>
          </w:p>
        </w:tc>
      </w:tr>
      <w:tr>
        <w:trPr>
          <w:trHeight w:val="365"/>
        </w:trPr>
        <w:tc>
          <w:tcPr>
            <w:tcW w:w="20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50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81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(105)</w:t>
            </w:r>
          </w:p>
        </w:tc>
      </w:tr>
      <w:tr>
        <w:trPr>
          <w:trHeight w:val="729"/>
        </w:trPr>
        <w:tc>
          <w:tcPr>
            <w:tcW w:w="20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268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133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71</w:t>
            </w:r>
          </w:p>
        </w:tc>
      </w:tr>
      <w:tr>
        <w:trPr>
          <w:trHeight w:val="365"/>
        </w:trPr>
        <w:tc>
          <w:tcPr>
            <w:tcW w:w="20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39</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216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(282)</w:t>
            </w:r>
          </w:p>
        </w:tc>
      </w:tr>
      <w:tr>
        <w:trPr>
          <w:trHeight w:val="365"/>
        </w:trPr>
        <w:tc>
          <w:tcPr>
            <w:tcW w:w="20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265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669</w:t>
            </w:r>
          </w:p>
        </w:tc>
      </w:tr>
      <w:tr>
        <w:trPr>
          <w:trHeight w:val="365"/>
        </w:trPr>
        <w:tc>
          <w:tcPr>
            <w:tcW w:w="20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(29)</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w:t>
            </w:r>
          </w:p>
        </w:tc>
      </w:tr>
      <w:tr>
        <w:trPr>
          <w:trHeight w:val="365"/>
        </w:trPr>
        <w:tc>
          <w:tcPr>
            <w:tcW w:w="20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100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w:t>
            </w:r>
          </w:p>
        </w:tc>
      </w:tr>
      <w:tr>
        <w:trPr>
          <w:trHeight w:val="365"/>
        </w:trPr>
        <w:tc>
          <w:tcPr>
            <w:tcW w:w="20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(193)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158</w:t>
            </w:r>
          </w:p>
        </w:tc>
      </w:tr>
      <w:tr>
        <w:trPr>
          <w:trHeight w:val="365"/>
        </w:trPr>
        <w:tc>
          <w:tcPr>
            <w:tcW w:w="20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36</w:t>
            </w:r>
          </w:p>
        </w:tc>
      </w:tr>
      <w:tr>
        <w:trPr>
          <w:trHeight w:val="365"/>
        </w:trPr>
        <w:tc>
          <w:tcPr>
            <w:tcW w:w="20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(25)</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(107)</w:t>
            </w:r>
          </w:p>
        </w:tc>
      </w:tr>
      <w:tr>
        <w:trPr>
          <w:trHeight w:val="27"/>
        </w:trPr>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20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1,754</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2,145</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6,649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7,189</w:t>
            </w:r>
          </w:p>
        </w:tc>
      </w:tr>
      <w:tr>
        <w:trPr>
          <w:trHeight w:val="27"/>
        </w:trPr>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-4407535</wp:posOffset>
            </wp:positionV>
            <wp:extent cx="6500495" cy="2317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00495" cy="2317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-3943985</wp:posOffset>
            </wp:positionV>
            <wp:extent cx="6500495" cy="231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00495" cy="2317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-3481070</wp:posOffset>
            </wp:positionV>
            <wp:extent cx="6500495" cy="231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00495" cy="2317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-3018155</wp:posOffset>
            </wp:positionV>
            <wp:extent cx="6500495" cy="2317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00495" cy="2317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-2555240</wp:posOffset>
            </wp:positionV>
            <wp:extent cx="6500495" cy="2317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00495" cy="2317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-2091690</wp:posOffset>
            </wp:positionV>
            <wp:extent cx="6500495" cy="2317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00495" cy="2317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-1628775</wp:posOffset>
            </wp:positionV>
            <wp:extent cx="6500495" cy="2317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00495" cy="2317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-1165860</wp:posOffset>
            </wp:positionV>
            <wp:extent cx="6500495" cy="2317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00495" cy="2317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-702310</wp:posOffset>
            </wp:positionV>
            <wp:extent cx="6500495" cy="2317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00495" cy="2317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-239395</wp:posOffset>
            </wp:positionV>
            <wp:extent cx="6500495" cy="2317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00495" cy="2317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222885</wp:posOffset>
            </wp:positionV>
            <wp:extent cx="6500495" cy="2317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0049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(163)</w:t>
            </w:r>
          </w:p>
        </w:tc>
        <w:tc>
          <w:tcPr>
            <w:tcW w:w="14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(847)</w:t>
            </w:r>
          </w:p>
        </w:tc>
        <w:tc>
          <w:tcPr>
            <w:tcW w:w="10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(1,131)</w:t>
            </w:r>
          </w:p>
        </w:tc>
      </w:tr>
      <w:tr>
        <w:trPr>
          <w:trHeight w:val="365"/>
        </w:trPr>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w:t>
            </w:r>
          </w:p>
        </w:tc>
      </w:tr>
      <w:tr>
        <w:trPr>
          <w:trHeight w:val="365"/>
        </w:trPr>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(2,070)</w:t>
            </w:r>
          </w:p>
        </w:tc>
        <w:tc>
          <w:tcPr>
            <w:tcW w:w="140" w:type="dxa"/>
            <w:vAlign w:val="bottom"/>
          </w:tcPr>
          <w:p>
            <w:pPr>
              <w:spacing w:after="0"/>
              <w:rPr>
                <w:sz w:val="24"/>
                <w:szCs w:val="24"/>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(333)</w:t>
            </w:r>
          </w:p>
        </w:tc>
        <w:tc>
          <w:tcPr>
            <w:tcW w:w="140" w:type="dxa"/>
            <w:vAlign w:val="bottom"/>
          </w:tcPr>
          <w:p>
            <w:pPr>
              <w:spacing w:after="0"/>
              <w:rPr>
                <w:sz w:val="24"/>
                <w:szCs w:val="24"/>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(3,444)</w:t>
            </w:r>
          </w:p>
        </w:tc>
        <w:tc>
          <w:tcPr>
            <w:tcW w:w="100" w:type="dxa"/>
            <w:vAlign w:val="bottom"/>
          </w:tcPr>
          <w:p>
            <w:pPr>
              <w:spacing w:after="0"/>
              <w:rPr>
                <w:sz w:val="24"/>
                <w:szCs w:val="24"/>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(5,641)</w:t>
            </w:r>
          </w:p>
        </w:tc>
      </w:tr>
      <w:tr>
        <w:trPr>
          <w:trHeight w:val="365"/>
        </w:trPr>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rPr>
              <w:t>305</w:t>
            </w:r>
          </w:p>
        </w:tc>
        <w:tc>
          <w:tcPr>
            <w:tcW w:w="14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2,163</w:t>
            </w:r>
          </w:p>
        </w:tc>
        <w:tc>
          <w:tcPr>
            <w:tcW w:w="14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2,309</w:t>
            </w:r>
          </w:p>
        </w:tc>
        <w:tc>
          <w:tcPr>
            <w:tcW w:w="10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6,708</w:t>
            </w:r>
          </w:p>
        </w:tc>
      </w:tr>
      <w:tr>
        <w:trPr>
          <w:trHeight w:val="365"/>
        </w:trPr>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24"/>
                <w:szCs w:val="24"/>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24"/>
                <w:szCs w:val="24"/>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(23)</w:t>
            </w:r>
          </w:p>
        </w:tc>
      </w:tr>
      <w:tr>
        <w:trPr>
          <w:trHeight w:val="27"/>
        </w:trPr>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18"/>
        </w:trPr>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(1,921)</w:t>
            </w:r>
          </w:p>
        </w:tc>
        <w:tc>
          <w:tcPr>
            <w:tcW w:w="14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1,505</w:t>
            </w:r>
          </w:p>
        </w:tc>
        <w:tc>
          <w:tcPr>
            <w:tcW w:w="140" w:type="dxa"/>
            <w:vAlign w:val="bottom"/>
          </w:tcPr>
          <w:p>
            <w:pPr>
              <w:spacing w:after="0"/>
              <w:rPr>
                <w:sz w:val="24"/>
                <w:szCs w:val="24"/>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(1,920)</w:t>
            </w:r>
          </w:p>
        </w:tc>
        <w:tc>
          <w:tcPr>
            <w:tcW w:w="100" w:type="dxa"/>
            <w:vAlign w:val="bottom"/>
          </w:tcPr>
          <w:p>
            <w:pPr>
              <w:spacing w:after="0"/>
              <w:rPr>
                <w:sz w:val="24"/>
                <w:szCs w:val="24"/>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(78)</w:t>
            </w:r>
          </w:p>
        </w:tc>
      </w:tr>
      <w:tr>
        <w:trPr>
          <w:trHeight w:val="27"/>
        </w:trPr>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-1165860</wp:posOffset>
            </wp:positionV>
            <wp:extent cx="6500495" cy="2317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00495" cy="2317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-702310</wp:posOffset>
            </wp:positionV>
            <wp:extent cx="6500495" cy="2317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00495" cy="2317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-239395</wp:posOffset>
            </wp:positionV>
            <wp:extent cx="6500495" cy="2317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00495" cy="2317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222885</wp:posOffset>
            </wp:positionV>
            <wp:extent cx="6500495" cy="2317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0049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1,491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1,500</w:t>
            </w:r>
          </w:p>
        </w:tc>
      </w:tr>
      <w:tr>
        <w:trPr>
          <w:trHeight w:val="365"/>
        </w:trPr>
        <w:tc>
          <w:tcPr>
            <w:tcW w:w="32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(750)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(500)</w:t>
            </w:r>
          </w:p>
        </w:tc>
      </w:tr>
      <w:tr>
        <w:trPr>
          <w:trHeight w:val="365"/>
        </w:trPr>
        <w:tc>
          <w:tcPr>
            <w:tcW w:w="3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(841)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(736)</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(3,008)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(2,555)</w:t>
            </w:r>
          </w:p>
        </w:tc>
      </w:tr>
      <w:tr>
        <w:trPr>
          <w:trHeight w:val="365"/>
        </w:trPr>
        <w:tc>
          <w:tcPr>
            <w:tcW w:w="3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(489)</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(2,960)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(5,100)</w:t>
            </w:r>
          </w:p>
        </w:tc>
      </w:tr>
      <w:tr>
        <w:trPr>
          <w:trHeight w:val="365"/>
        </w:trPr>
        <w:tc>
          <w:tcPr>
            <w:tcW w:w="320" w:type="dxa"/>
            <w:vAlign w:val="bottom"/>
          </w:tcPr>
          <w:p>
            <w:pPr>
              <w:spacing w:after="0"/>
              <w:rPr>
                <w:sz w:val="24"/>
                <w:szCs w:val="24"/>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48</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539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373</w:t>
            </w:r>
          </w:p>
        </w:tc>
      </w:tr>
      <w:tr>
        <w:trPr>
          <w:trHeight w:val="365"/>
        </w:trPr>
        <w:tc>
          <w:tcPr>
            <w:tcW w:w="3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(47)</w:t>
            </w:r>
          </w:p>
        </w:tc>
      </w:tr>
      <w:tr>
        <w:trPr>
          <w:trHeight w:val="27"/>
        </w:trPr>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18"/>
        </w:trPr>
        <w:tc>
          <w:tcPr>
            <w:tcW w:w="3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(1,289)</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(2,714)</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(4,730)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(6,329)</w:t>
            </w:r>
          </w:p>
        </w:tc>
      </w:tr>
      <w:tr>
        <w:trPr>
          <w:trHeight w:val="27"/>
        </w:trPr>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682"/>
        </w:trPr>
        <w:tc>
          <w:tcPr>
            <w:tcW w:w="3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(1,456)</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936</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782</w:t>
            </w:r>
          </w:p>
        </w:tc>
      </w:tr>
      <w:tr>
        <w:trPr>
          <w:trHeight w:val="365"/>
        </w:trPr>
        <w:tc>
          <w:tcPr>
            <w:tcW w:w="320" w:type="dxa"/>
            <w:vAlign w:val="bottom"/>
          </w:tcPr>
          <w:p>
            <w:pPr>
              <w:spacing w:after="0"/>
              <w:rPr>
                <w:sz w:val="24"/>
                <w:szCs w:val="24"/>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3,893</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1,502</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2,438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1,656</w:t>
            </w:r>
          </w:p>
        </w:tc>
      </w:tr>
      <w:tr>
        <w:trPr>
          <w:trHeight w:val="27"/>
        </w:trPr>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18"/>
        </w:trPr>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2,437</w:t>
            </w:r>
          </w:p>
        </w:tc>
        <w:tc>
          <w:tcPr>
            <w:tcW w:w="14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2,438</w:t>
            </w:r>
          </w:p>
        </w:tc>
        <w:tc>
          <w:tcPr>
            <w:tcW w:w="14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2,437</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2,438</w:t>
            </w:r>
          </w:p>
        </w:tc>
      </w:tr>
      <w:tr>
        <w:trPr>
          <w:trHeight w:val="27"/>
        </w:trPr>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-2348865</wp:posOffset>
            </wp:positionV>
            <wp:extent cx="6500495" cy="2317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00495" cy="2317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-1885950</wp:posOffset>
            </wp:positionV>
            <wp:extent cx="6500495" cy="2317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00495" cy="2317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-1423035</wp:posOffset>
            </wp:positionV>
            <wp:extent cx="6500495" cy="2317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00495" cy="2317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-960120</wp:posOffset>
            </wp:positionV>
            <wp:extent cx="6500495" cy="2317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00495" cy="2317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-496570</wp:posOffset>
            </wp:positionV>
            <wp:extent cx="6500495" cy="2317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00495" cy="231775"/>
                    </a:xfrm>
                    <a:prstGeom prst="rect">
                      <a:avLst/>
                    </a:prstGeom>
                    <a:noFill/>
                  </pic:spPr>
                </pic:pic>
              </a:graphicData>
            </a:graphic>
          </wp:anchor>
        </w:drawing>
      </w:r>
    </w:p>
    <w:p>
      <w:pPr>
        <w:sectPr>
          <w:pgSz w:w="11900" w:h="16838" w:orient="portrait"/>
          <w:cols w:equalWidth="0" w:num="2">
            <w:col w:w="4180" w:space="720"/>
            <w:col w:w="5320"/>
          </w:cols>
          <w:pgMar w:left="260" w:top="175" w:right="1419" w:bottom="562" w:gutter="0" w:footer="0" w:header="0"/>
        </w:sectPr>
      </w:pPr>
    </w:p>
    <w:bookmarkStart w:id="11" w:name="page12"/>
    <w:bookmarkEnd w:id="11"/>
    <w:p>
      <w:pPr>
        <w:ind w:left="10120"/>
        <w:spacing w:after="0"/>
        <w:rPr>
          <w:sz w:val="20"/>
          <w:szCs w:val="20"/>
          <w:color w:val="auto"/>
        </w:rPr>
      </w:pPr>
      <w:r>
        <w:rPr>
          <w:rFonts w:ascii="Arial" w:cs="Arial" w:eastAsia="Arial" w:hAnsi="Arial"/>
          <w:sz w:val="16"/>
          <w:szCs w:val="16"/>
          <w:color w:val="707070"/>
        </w:rPr>
        <w:t>5</w:t>
      </w:r>
    </w:p>
    <w:p>
      <w:pPr>
        <w:sectPr>
          <w:pgSz w:w="11900" w:h="16838" w:orient="portrait"/>
          <w:cols w:equalWidth="0" w:num="1">
            <w:col w:w="10220"/>
          </w:cols>
          <w:pgMar w:left="1440" w:top="47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Quarterly segment results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18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Q4 2019</w:t>
            </w:r>
          </w:p>
        </w:tc>
        <w:tc>
          <w:tcPr>
            <w:tcW w:w="220" w:type="dxa"/>
            <w:vAlign w:val="bottom"/>
          </w:tcPr>
          <w:p>
            <w:pPr>
              <w:spacing w:after="0"/>
              <w:rPr>
                <w:sz w:val="23"/>
                <w:szCs w:val="23"/>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Q4 2018</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Analog:</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21"/>
                <w:szCs w:val="21"/>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color w:val="auto"/>
              </w:rPr>
              <w:t>2,638</w:t>
            </w:r>
          </w:p>
        </w:tc>
        <w:tc>
          <w:tcPr>
            <w:tcW w:w="80" w:type="dxa"/>
            <w:vAlign w:val="bottom"/>
          </w:tcPr>
          <w:p>
            <w:pPr>
              <w:spacing w:after="0"/>
              <w:rPr>
                <w:sz w:val="21"/>
                <w:szCs w:val="21"/>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21"/>
                <w:szCs w:val="21"/>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1,233</w:t>
            </w:r>
          </w:p>
        </w:tc>
        <w:tc>
          <w:tcPr>
            <w:tcW w:w="80" w:type="dxa"/>
            <w:vAlign w:val="bottom"/>
            <w:shd w:val="clear" w:color="auto" w:fill="CCEEFF"/>
          </w:tcPr>
          <w:p>
            <w:pPr>
              <w:spacing w:after="0"/>
              <w:rPr>
                <w:sz w:val="21"/>
                <w:szCs w:val="21"/>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102"/>
        </w:trPr>
        <w:tc>
          <w:tcPr>
            <w:tcW w:w="2000" w:type="dxa"/>
            <w:vAlign w:val="bottom"/>
            <w:tcBorders>
              <w:bottom w:val="single" w:sz="8" w:color="CCEEFF"/>
            </w:tcBorders>
            <w:shd w:val="clear" w:color="auto" w:fill="CCEEFF"/>
          </w:tcPr>
          <w:p>
            <w:pPr>
              <w:spacing w:after="0"/>
              <w:rPr>
                <w:sz w:val="8"/>
                <w:szCs w:val="8"/>
                <w:color w:val="auto"/>
              </w:rPr>
            </w:pPr>
          </w:p>
        </w:tc>
        <w:tc>
          <w:tcPr>
            <w:tcW w:w="418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vMerge w:val="continue"/>
            <w:shd w:val="clear" w:color="auto" w:fill="CCEEFF"/>
          </w:tcPr>
          <w:p>
            <w:pPr>
              <w:spacing w:after="0"/>
              <w:rPr>
                <w:sz w:val="8"/>
                <w:szCs w:val="8"/>
                <w:color w:val="auto"/>
              </w:rPr>
            </w:pPr>
          </w:p>
        </w:tc>
        <w:tc>
          <w:tcPr>
            <w:tcW w:w="10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vMerge w:val="continue"/>
            <w:shd w:val="clear" w:color="auto" w:fill="CCEEFF"/>
          </w:tcPr>
          <w:p>
            <w:pPr>
              <w:spacing w:after="0"/>
              <w:rPr>
                <w:sz w:val="8"/>
                <w:szCs w:val="8"/>
                <w:color w:val="auto"/>
              </w:rPr>
            </w:pPr>
          </w:p>
        </w:tc>
        <w:tc>
          <w:tcPr>
            <w:tcW w:w="106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3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Embedded Processing:</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618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21"/>
                <w:szCs w:val="21"/>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CEEFF"/>
          </w:tcPr>
          <w:p>
            <w:pPr>
              <w:spacing w:after="0"/>
              <w:rPr>
                <w:sz w:val="21"/>
                <w:szCs w:val="21"/>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102"/>
        </w:trPr>
        <w:tc>
          <w:tcPr>
            <w:tcW w:w="2000" w:type="dxa"/>
            <w:vAlign w:val="bottom"/>
            <w:tcBorders>
              <w:bottom w:val="single" w:sz="8" w:color="CCEEFF"/>
            </w:tcBorders>
            <w:shd w:val="clear" w:color="auto" w:fill="CCEEFF"/>
          </w:tcPr>
          <w:p>
            <w:pPr>
              <w:spacing w:after="0"/>
              <w:rPr>
                <w:sz w:val="8"/>
                <w:szCs w:val="8"/>
                <w:color w:val="auto"/>
              </w:rPr>
            </w:pPr>
          </w:p>
        </w:tc>
        <w:tc>
          <w:tcPr>
            <w:tcW w:w="418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vMerge w:val="continue"/>
            <w:shd w:val="clear" w:color="auto" w:fill="CCEEFF"/>
          </w:tcPr>
          <w:p>
            <w:pPr>
              <w:spacing w:after="0"/>
              <w:rPr>
                <w:sz w:val="8"/>
                <w:szCs w:val="8"/>
                <w:color w:val="auto"/>
              </w:rPr>
            </w:pPr>
          </w:p>
        </w:tc>
        <w:tc>
          <w:tcPr>
            <w:tcW w:w="10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vMerge w:val="continue"/>
            <w:shd w:val="clear" w:color="auto" w:fill="CCEEFF"/>
          </w:tcPr>
          <w:p>
            <w:pPr>
              <w:spacing w:after="0"/>
              <w:rPr>
                <w:sz w:val="8"/>
                <w:szCs w:val="8"/>
                <w:color w:val="auto"/>
              </w:rPr>
            </w:pPr>
          </w:p>
        </w:tc>
        <w:tc>
          <w:tcPr>
            <w:tcW w:w="106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3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21"/>
                <w:szCs w:val="21"/>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6180" w:type="dxa"/>
            <w:vAlign w:val="bottom"/>
            <w:gridSpan w:val="2"/>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21"/>
                <w:szCs w:val="21"/>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1"/>
                <w:szCs w:val="21"/>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21"/>
                <w:szCs w:val="21"/>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95"/>
        </w:trPr>
        <w:tc>
          <w:tcPr>
            <w:tcW w:w="2000" w:type="dxa"/>
            <w:vAlign w:val="bottom"/>
            <w:shd w:val="clear" w:color="auto" w:fill="CCEEFF"/>
          </w:tcPr>
          <w:p>
            <w:pPr>
              <w:spacing w:after="0"/>
              <w:rPr>
                <w:sz w:val="8"/>
                <w:szCs w:val="8"/>
                <w:color w:val="auto"/>
              </w:rPr>
            </w:pPr>
          </w:p>
        </w:tc>
        <w:tc>
          <w:tcPr>
            <w:tcW w:w="418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Power, Signal Chain and High Volume)</w:t>
      </w:r>
    </w:p>
    <w:p>
      <w:pPr>
        <w:spacing w:after="0" w:line="27" w:lineRule="exact"/>
        <w:rPr>
          <w:sz w:val="20"/>
          <w:szCs w:val="20"/>
          <w:color w:val="auto"/>
        </w:rPr>
      </w:pPr>
    </w:p>
    <w:p>
      <w:pPr>
        <w:ind w:left="480" w:hanging="310"/>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decreased in Signal Chain, High Volume and Power.</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profit decreased primarily due to lower revenue and associated gross profit.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Connected Microcontrollers and Processors)</w:t>
      </w:r>
    </w:p>
    <w:p>
      <w:pPr>
        <w:spacing w:after="0" w:line="27" w:lineRule="exact"/>
        <w:rPr>
          <w:sz w:val="20"/>
          <w:szCs w:val="20"/>
          <w:color w:val="auto"/>
        </w:rPr>
      </w:pPr>
    </w:p>
    <w:p>
      <w:pPr>
        <w:ind w:left="480" w:hanging="310"/>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decreased primarily due to Processors. Connected Microcontrollers also declined.</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profit decreased due to lower revenue and associated gross profit.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23"/>
          <w:szCs w:val="23"/>
          <w:i w:val="1"/>
          <w:i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calculators and custom ASIC products)</w:t>
      </w:r>
    </w:p>
    <w:p>
      <w:pPr>
        <w:ind w:left="480" w:hanging="310"/>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decreased $68 million, and operating profit decreased $10 million.</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20"/>
          <w:szCs w:val="20"/>
          <w:color w:val="707070"/>
        </w:rPr>
        <w:t>6</w:t>
      </w:r>
    </w:p>
    <w:p>
      <w:pPr>
        <w:sectPr>
          <w:pgSz w:w="11900" w:h="16838" w:orient="portrait"/>
          <w:cols w:equalWidth="0" w:num="1">
            <w:col w:w="11420"/>
          </w:cols>
          <w:pgMar w:left="240" w:top="878"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Annual segment results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24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0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3"/>
                <w:szCs w:val="23"/>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Analog: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6240" w:type="dxa"/>
            <w:vAlign w:val="bottom"/>
            <w:gridSpan w:val="2"/>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24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color w:val="auto"/>
              </w:rPr>
              <w:t>10,223</w:t>
            </w:r>
          </w:p>
        </w:tc>
        <w:tc>
          <w:tcPr>
            <w:tcW w:w="100" w:type="dxa"/>
            <w:vAlign w:val="bottom"/>
          </w:tcPr>
          <w:p>
            <w:pPr>
              <w:spacing w:after="0"/>
              <w:rPr>
                <w:sz w:val="21"/>
                <w:szCs w:val="21"/>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color w:val="auto"/>
              </w:rPr>
              <w:t>10,801</w:t>
            </w:r>
          </w:p>
        </w:tc>
        <w:tc>
          <w:tcPr>
            <w:tcW w:w="100" w:type="dxa"/>
            <w:vAlign w:val="bottom"/>
          </w:tcPr>
          <w:p>
            <w:pPr>
              <w:spacing w:after="0"/>
              <w:rPr>
                <w:sz w:val="21"/>
                <w:szCs w:val="21"/>
                <w:color w:val="auto"/>
              </w:rPr>
            </w:pPr>
          </w:p>
        </w:tc>
        <w:tc>
          <w:tcPr>
            <w:tcW w:w="1340" w:type="dxa"/>
            <w:vAlign w:val="bottom"/>
            <w:vMerge w:val="restart"/>
          </w:tcPr>
          <w:p>
            <w:pPr>
              <w:jc w:val="right"/>
              <w:ind w:right="5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95"/>
        </w:trPr>
        <w:tc>
          <w:tcPr>
            <w:tcW w:w="180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4,477</w:t>
            </w:r>
          </w:p>
        </w:tc>
        <w:tc>
          <w:tcPr>
            <w:tcW w:w="100" w:type="dxa"/>
            <w:vAlign w:val="bottom"/>
            <w:shd w:val="clear" w:color="auto" w:fill="CCEEFF"/>
          </w:tcPr>
          <w:p>
            <w:pPr>
              <w:spacing w:after="0"/>
              <w:rPr>
                <w:sz w:val="21"/>
                <w:szCs w:val="21"/>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5,109</w:t>
            </w:r>
          </w:p>
        </w:tc>
        <w:tc>
          <w:tcPr>
            <w:tcW w:w="100" w:type="dxa"/>
            <w:vAlign w:val="bottom"/>
            <w:shd w:val="clear" w:color="auto" w:fill="CCEEFF"/>
          </w:tcPr>
          <w:p>
            <w:pPr>
              <w:spacing w:after="0"/>
              <w:rPr>
                <w:sz w:val="21"/>
                <w:szCs w:val="21"/>
                <w:color w:val="auto"/>
              </w:rPr>
            </w:pPr>
          </w:p>
        </w:tc>
        <w:tc>
          <w:tcPr>
            <w:tcW w:w="13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102"/>
        </w:trPr>
        <w:tc>
          <w:tcPr>
            <w:tcW w:w="1800" w:type="dxa"/>
            <w:vAlign w:val="bottom"/>
            <w:tcBorders>
              <w:bottom w:val="single" w:sz="8" w:color="CCEEFF"/>
            </w:tcBorders>
            <w:shd w:val="clear" w:color="auto" w:fill="CCEEFF"/>
          </w:tcPr>
          <w:p>
            <w:pPr>
              <w:spacing w:after="0"/>
              <w:rPr>
                <w:sz w:val="8"/>
                <w:szCs w:val="8"/>
                <w:color w:val="auto"/>
              </w:rPr>
            </w:pPr>
          </w:p>
        </w:tc>
        <w:tc>
          <w:tcPr>
            <w:tcW w:w="444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vMerge w:val="continue"/>
            <w:shd w:val="clear" w:color="auto" w:fill="CCEEFF"/>
          </w:tcPr>
          <w:p>
            <w:pPr>
              <w:spacing w:after="0"/>
              <w:rPr>
                <w:sz w:val="8"/>
                <w:szCs w:val="8"/>
                <w:color w:val="auto"/>
              </w:rPr>
            </w:pPr>
          </w:p>
        </w:tc>
        <w:tc>
          <w:tcPr>
            <w:tcW w:w="9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vMerge w:val="continue"/>
            <w:shd w:val="clear" w:color="auto" w:fill="CCEEFF"/>
          </w:tcPr>
          <w:p>
            <w:pPr>
              <w:spacing w:after="0"/>
              <w:rPr>
                <w:sz w:val="8"/>
                <w:szCs w:val="8"/>
                <w:color w:val="auto"/>
              </w:rPr>
            </w:pPr>
          </w:p>
        </w:tc>
        <w:tc>
          <w:tcPr>
            <w:tcW w:w="9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3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Embedded Processing:</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624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21"/>
                <w:szCs w:val="21"/>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3,554</w:t>
            </w:r>
          </w:p>
        </w:tc>
        <w:tc>
          <w:tcPr>
            <w:tcW w:w="100" w:type="dxa"/>
            <w:vAlign w:val="bottom"/>
            <w:shd w:val="clear" w:color="auto" w:fill="CCEEFF"/>
          </w:tcPr>
          <w:p>
            <w:pPr>
              <w:spacing w:after="0"/>
              <w:rPr>
                <w:sz w:val="21"/>
                <w:szCs w:val="21"/>
                <w:color w:val="auto"/>
              </w:rPr>
            </w:pPr>
          </w:p>
        </w:tc>
        <w:tc>
          <w:tcPr>
            <w:tcW w:w="13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02"/>
        </w:trPr>
        <w:tc>
          <w:tcPr>
            <w:tcW w:w="1800" w:type="dxa"/>
            <w:vAlign w:val="bottom"/>
            <w:tcBorders>
              <w:bottom w:val="single" w:sz="8" w:color="CCEEFF"/>
            </w:tcBorders>
            <w:shd w:val="clear" w:color="auto" w:fill="CCEEFF"/>
          </w:tcPr>
          <w:p>
            <w:pPr>
              <w:spacing w:after="0"/>
              <w:rPr>
                <w:sz w:val="8"/>
                <w:szCs w:val="8"/>
                <w:color w:val="auto"/>
              </w:rPr>
            </w:pPr>
          </w:p>
        </w:tc>
        <w:tc>
          <w:tcPr>
            <w:tcW w:w="444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vMerge w:val="continue"/>
            <w:shd w:val="clear" w:color="auto" w:fill="CCEEFF"/>
          </w:tcPr>
          <w:p>
            <w:pPr>
              <w:spacing w:after="0"/>
              <w:rPr>
                <w:sz w:val="8"/>
                <w:szCs w:val="8"/>
                <w:color w:val="auto"/>
              </w:rPr>
            </w:pPr>
          </w:p>
        </w:tc>
        <w:tc>
          <w:tcPr>
            <w:tcW w:w="9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vMerge w:val="continue"/>
            <w:shd w:val="clear" w:color="auto" w:fill="CCEEFF"/>
          </w:tcPr>
          <w:p>
            <w:pPr>
              <w:spacing w:after="0"/>
              <w:rPr>
                <w:sz w:val="8"/>
                <w:szCs w:val="8"/>
                <w:color w:val="auto"/>
              </w:rPr>
            </w:pPr>
          </w:p>
        </w:tc>
        <w:tc>
          <w:tcPr>
            <w:tcW w:w="9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3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240" w:type="dxa"/>
            <w:vAlign w:val="bottom"/>
            <w:gridSpan w:val="2"/>
          </w:tcPr>
          <w:p>
            <w:pPr>
              <w:ind w:left="220"/>
              <w:spacing w:after="0"/>
              <w:rPr>
                <w:sz w:val="20"/>
                <w:szCs w:val="20"/>
                <w:color w:val="auto"/>
              </w:rPr>
            </w:pPr>
            <w:r>
              <w:rPr>
                <w:rFonts w:ascii="Arial" w:cs="Arial" w:eastAsia="Arial" w:hAnsi="Arial"/>
                <w:sz w:val="18"/>
                <w:szCs w:val="18"/>
                <w:color w:val="auto"/>
              </w:rPr>
              <w:t>Operating profit</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1340" w:type="dxa"/>
            <w:vAlign w:val="bottom"/>
            <w:vMerge w:val="restart"/>
          </w:tcPr>
          <w:p>
            <w:pPr>
              <w:jc w:val="right"/>
              <w:ind w:right="5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95"/>
        </w:trPr>
        <w:tc>
          <w:tcPr>
            <w:tcW w:w="180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6240" w:type="dxa"/>
            <w:vAlign w:val="bottom"/>
            <w:gridSpan w:val="2"/>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24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1"/>
                <w:szCs w:val="21"/>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1"/>
                <w:szCs w:val="21"/>
                <w:color w:val="auto"/>
              </w:rPr>
            </w:pPr>
          </w:p>
        </w:tc>
        <w:tc>
          <w:tcPr>
            <w:tcW w:w="1340" w:type="dxa"/>
            <w:vAlign w:val="bottom"/>
            <w:vMerge w:val="restart"/>
          </w:tcPr>
          <w:p>
            <w:pPr>
              <w:jc w:val="right"/>
              <w:ind w:right="5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95"/>
        </w:trPr>
        <w:tc>
          <w:tcPr>
            <w:tcW w:w="180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1"/>
                <w:szCs w:val="21"/>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21"/>
                <w:szCs w:val="21"/>
                <w:color w:val="auto"/>
              </w:rPr>
            </w:pPr>
          </w:p>
        </w:tc>
        <w:tc>
          <w:tcPr>
            <w:tcW w:w="13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95"/>
        </w:trPr>
        <w:tc>
          <w:tcPr>
            <w:tcW w:w="1800" w:type="dxa"/>
            <w:vAlign w:val="bottom"/>
            <w:shd w:val="clear" w:color="auto" w:fill="CCEEFF"/>
          </w:tcPr>
          <w:p>
            <w:pPr>
              <w:spacing w:after="0"/>
              <w:rPr>
                <w:sz w:val="8"/>
                <w:szCs w:val="8"/>
                <w:color w:val="auto"/>
              </w:rPr>
            </w:pPr>
          </w:p>
        </w:tc>
        <w:tc>
          <w:tcPr>
            <w:tcW w:w="4440" w:type="dxa"/>
            <w:vAlign w:val="bottom"/>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80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prior year: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Analog:</w:t>
      </w:r>
    </w:p>
    <w:p>
      <w:pPr>
        <w:spacing w:after="0" w:line="27" w:lineRule="exact"/>
        <w:rPr>
          <w:sz w:val="20"/>
          <w:szCs w:val="20"/>
          <w:color w:val="auto"/>
        </w:rPr>
      </w:pPr>
    </w:p>
    <w:p>
      <w:pPr>
        <w:ind w:left="480" w:hanging="310"/>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decreased in Power, High Volume and Signal Chain.</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profit decreased primarily due to lower revenue and associated gross profit.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Processing:</w:t>
      </w:r>
    </w:p>
    <w:p>
      <w:pPr>
        <w:spacing w:after="0" w:line="27" w:lineRule="exact"/>
        <w:rPr>
          <w:sz w:val="20"/>
          <w:szCs w:val="20"/>
          <w:color w:val="auto"/>
        </w:rPr>
      </w:pPr>
    </w:p>
    <w:p>
      <w:pPr>
        <w:ind w:left="480" w:hanging="310"/>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decreased in both product lines.</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profit decreased due to lower revenue and associated gross profit.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7" w:lineRule="exact"/>
        <w:rPr>
          <w:sz w:val="20"/>
          <w:szCs w:val="20"/>
          <w:color w:val="auto"/>
        </w:rPr>
      </w:pPr>
    </w:p>
    <w:p>
      <w:pPr>
        <w:ind w:left="480" w:hanging="310"/>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decreased $212 million, and operating profit decreased $60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20"/>
          <w:szCs w:val="20"/>
          <w:color w:val="707070"/>
        </w:rPr>
        <w:t>7</w:t>
      </w:r>
    </w:p>
    <w:p>
      <w:pPr>
        <w:sectPr>
          <w:pgSz w:w="11900" w:h="16838" w:orient="portrait"/>
          <w:cols w:equalWidth="0" w:num="1">
            <w:col w:w="11420"/>
          </w:cols>
          <w:pgMar w:left="240" w:top="87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ectPr>
          <w:pgSz w:w="11900" w:h="16838" w:orient="portrait"/>
          <w:cols w:equalWidth="0" w:num="1">
            <w:col w:w="11420"/>
          </w:cols>
          <w:pgMar w:left="240" w:top="1215"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For Years Ended</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vMerge w:val="restart"/>
          </w:tcPr>
          <w:p>
            <w:pPr>
              <w:ind w:left="20"/>
              <w:spacing w:after="0"/>
              <w:rPr>
                <w:sz w:val="20"/>
                <w:szCs w:val="20"/>
                <w:color w:val="auto"/>
              </w:rPr>
            </w:pPr>
            <w:r>
              <w:rPr>
                <w:rFonts w:ascii="Arial" w:cs="Arial" w:eastAsia="Arial" w:hAnsi="Arial"/>
                <w:sz w:val="18"/>
                <w:szCs w:val="18"/>
                <w:color w:val="auto"/>
              </w:rPr>
              <w:t>Cash flow from operations (GAAP)</w:t>
            </w: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80" w:type="dxa"/>
            <w:vAlign w:val="bottom"/>
            <w:vMerge w:val="continue"/>
          </w:tcPr>
          <w:p>
            <w:pPr>
              <w:spacing w:after="0"/>
              <w:rPr>
                <w:sz w:val="19"/>
                <w:szCs w:val="19"/>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6,649</w:t>
            </w:r>
          </w:p>
        </w:tc>
        <w:tc>
          <w:tcPr>
            <w:tcW w:w="80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7,189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60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3"/>
                <w:szCs w:val="2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(847)</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(1,131)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6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080" w:type="dxa"/>
            <w:vAlign w:val="bottom"/>
            <w:vMerge w:val="restart"/>
          </w:tcPr>
          <w:p>
            <w:pPr>
              <w:ind w:left="20"/>
              <w:spacing w:after="0"/>
              <w:rPr>
                <w:sz w:val="20"/>
                <w:szCs w:val="20"/>
                <w:color w:val="auto"/>
              </w:rPr>
            </w:pPr>
            <w:r>
              <w:rPr>
                <w:rFonts w:ascii="Arial" w:cs="Arial" w:eastAsia="Arial" w:hAnsi="Arial"/>
                <w:sz w:val="18"/>
                <w:szCs w:val="18"/>
                <w:color w:val="auto"/>
              </w:rPr>
              <w:t>Free cash flow (non-GAAP)</w:t>
            </w: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80" w:type="dxa"/>
            <w:vAlign w:val="bottom"/>
            <w:vMerge w:val="continue"/>
          </w:tcPr>
          <w:p>
            <w:pPr>
              <w:spacing w:after="0"/>
              <w:rPr>
                <w:sz w:val="19"/>
                <w:szCs w:val="19"/>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5,802</w:t>
            </w:r>
          </w:p>
        </w:tc>
        <w:tc>
          <w:tcPr>
            <w:tcW w:w="80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6,058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60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08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0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6080" w:type="dxa"/>
            <w:vAlign w:val="bottom"/>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80" w:type="dxa"/>
            <w:vAlign w:val="bottom"/>
            <w:vMerge w:val="continue"/>
          </w:tcPr>
          <w:p>
            <w:pPr>
              <w:spacing w:after="0"/>
              <w:rPr>
                <w:sz w:val="19"/>
                <w:szCs w:val="19"/>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14,383</w:t>
            </w:r>
          </w:p>
        </w:tc>
        <w:tc>
          <w:tcPr>
            <w:tcW w:w="80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15,784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60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6080" w:type="dxa"/>
            <w:vAlign w:val="bottom"/>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46.2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40.3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-1303020</wp:posOffset>
            </wp:positionV>
            <wp:extent cx="6483350" cy="2489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8335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6483350" cy="2489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8335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648335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8335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-1765935</wp:posOffset>
            </wp:positionV>
            <wp:extent cx="6483350" cy="2317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8335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w:t>
      </w:r>
    </w:p>
    <w:p>
      <w:pPr>
        <w:spacing w:after="0" w:line="162"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(8) %</w:t>
      </w:r>
    </w:p>
    <w:p>
      <w:pPr>
        <w:spacing w:after="0" w:line="200" w:lineRule="exact"/>
        <w:rPr>
          <w:sz w:val="20"/>
          <w:szCs w:val="20"/>
          <w:color w:val="auto"/>
        </w:rPr>
      </w:pPr>
    </w:p>
    <w:p>
      <w:pPr>
        <w:spacing w:after="0" w:line="349"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(4) %</w:t>
      </w:r>
    </w:p>
    <w:p>
      <w:pPr>
        <w:spacing w:after="0" w:line="1832" w:lineRule="exact"/>
        <w:rPr>
          <w:sz w:val="20"/>
          <w:szCs w:val="20"/>
          <w:color w:val="auto"/>
        </w:rPr>
      </w:pPr>
    </w:p>
    <w:p>
      <w:pPr>
        <w:sectPr>
          <w:pgSz w:w="11900" w:h="16838" w:orient="portrait"/>
          <w:cols w:equalWidth="0" w:num="2">
            <w:col w:w="8860" w:space="440"/>
            <w:col w:w="2120"/>
          </w:cols>
          <w:pgMar w:left="240" w:top="1215" w:right="239" w:bottom="1440" w:gutter="0" w:footer="0" w:header="0"/>
          <w:type w:val="continuous"/>
        </w:sectPr>
      </w:pPr>
    </w:p>
    <w:p>
      <w:pPr>
        <w:jc w:val="both"/>
        <w:ind w:right="300"/>
        <w:spacing w:after="0" w:line="264" w:lineRule="auto"/>
        <w:rPr>
          <w:sz w:val="20"/>
          <w:szCs w:val="20"/>
          <w:color w:val="auto"/>
        </w:rPr>
      </w:pPr>
      <w:r>
        <w:rPr>
          <w:rFonts w:ascii="Arial" w:cs="Arial" w:eastAsia="Arial" w:hAnsi="Arial"/>
          <w:sz w:val="18"/>
          <w:szCs w:val="18"/>
          <w:color w:val="auto"/>
        </w:rPr>
        <w:t>This release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707070"/>
        </w:rPr>
        <w:t>8</w:t>
      </w:r>
    </w:p>
    <w:p>
      <w:pPr>
        <w:sectPr>
          <w:pgSz w:w="11900" w:h="16838" w:orient="portrait"/>
          <w:cols w:equalWidth="0" w:num="1">
            <w:col w:w="11420"/>
          </w:cols>
          <w:pgMar w:left="240" w:top="1215"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62" w:lineRule="exact"/>
        <w:rPr>
          <w:sz w:val="20"/>
          <w:szCs w:val="20"/>
          <w:color w:val="auto"/>
        </w:rPr>
      </w:pPr>
    </w:p>
    <w:p>
      <w:pPr>
        <w:ind w:left="620" w:hanging="32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23" w:lineRule="exact"/>
        <w:rPr>
          <w:rFonts w:ascii="Arial" w:cs="Arial" w:eastAsia="Arial" w:hAnsi="Arial"/>
          <w:sz w:val="18"/>
          <w:szCs w:val="18"/>
          <w:color w:val="auto"/>
        </w:rPr>
      </w:pPr>
    </w:p>
    <w:p>
      <w:pPr>
        <w:ind w:left="620" w:hanging="32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right="480" w:hanging="328"/>
        <w:spacing w:after="0" w:line="250" w:lineRule="auto"/>
        <w:tabs>
          <w:tab w:leader="none" w:pos="6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ind w:left="620" w:right="180" w:hanging="328"/>
        <w:spacing w:after="0" w:line="250" w:lineRule="auto"/>
        <w:tabs>
          <w:tab w:leader="none" w:pos="6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620" w:hanging="32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9" w:lineRule="exact"/>
        <w:rPr>
          <w:rFonts w:ascii="Arial" w:cs="Arial" w:eastAsia="Arial" w:hAnsi="Arial"/>
          <w:sz w:val="18"/>
          <w:szCs w:val="18"/>
          <w:color w:val="auto"/>
        </w:rPr>
      </w:pPr>
    </w:p>
    <w:p>
      <w:pPr>
        <w:ind w:left="620" w:hanging="328"/>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Natural events such as severe weather, geological events or health epidemics in the locations in which we, our customers or our suppliers operate;</w:t>
      </w:r>
    </w:p>
    <w:p>
      <w:pPr>
        <w:spacing w:after="0" w:line="32" w:lineRule="exact"/>
        <w:rPr>
          <w:rFonts w:ascii="Arial" w:cs="Arial" w:eastAsia="Arial" w:hAnsi="Arial"/>
          <w:sz w:val="16"/>
          <w:szCs w:val="16"/>
          <w:color w:val="auto"/>
        </w:rPr>
      </w:pPr>
    </w:p>
    <w:p>
      <w:pPr>
        <w:ind w:left="620" w:hanging="32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20" w:right="120" w:hanging="328"/>
        <w:spacing w:after="0" w:line="250" w:lineRule="auto"/>
        <w:tabs>
          <w:tab w:leader="none" w:pos="6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620" w:hanging="328"/>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20" w:right="200" w:hanging="328"/>
        <w:spacing w:after="0" w:line="250" w:lineRule="auto"/>
        <w:tabs>
          <w:tab w:leader="none" w:pos="6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ind w:left="620" w:right="60" w:hanging="328"/>
        <w:spacing w:after="0" w:line="281" w:lineRule="auto"/>
        <w:tabs>
          <w:tab w:leader="none" w:pos="6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1" w:lineRule="exact"/>
        <w:rPr>
          <w:rFonts w:ascii="Arial" w:cs="Arial" w:eastAsia="Arial" w:hAnsi="Arial"/>
          <w:sz w:val="16"/>
          <w:szCs w:val="16"/>
          <w:color w:val="auto"/>
        </w:rPr>
      </w:pPr>
    </w:p>
    <w:p>
      <w:pPr>
        <w:ind w:left="620" w:right="460" w:hanging="328"/>
        <w:spacing w:after="0" w:line="265" w:lineRule="auto"/>
        <w:tabs>
          <w:tab w:leader="none" w:pos="6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ind w:left="620" w:hanging="32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9" w:lineRule="exact"/>
        <w:rPr>
          <w:rFonts w:ascii="Arial" w:cs="Arial" w:eastAsia="Arial" w:hAnsi="Arial"/>
          <w:sz w:val="18"/>
          <w:szCs w:val="18"/>
          <w:color w:val="auto"/>
        </w:rPr>
      </w:pPr>
    </w:p>
    <w:p>
      <w:pPr>
        <w:ind w:left="620" w:right="720" w:hanging="328"/>
        <w:spacing w:after="0" w:line="250" w:lineRule="auto"/>
        <w:tabs>
          <w:tab w:leader="none" w:pos="6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unexpected loss of significant distributors;</w:t>
      </w:r>
    </w:p>
    <w:p>
      <w:pPr>
        <w:ind w:left="620" w:hanging="328"/>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20" w:lineRule="exact"/>
        <w:rPr>
          <w:rFonts w:ascii="Arial" w:cs="Arial" w:eastAsia="Arial" w:hAnsi="Arial"/>
          <w:sz w:val="17"/>
          <w:szCs w:val="17"/>
          <w:color w:val="auto"/>
        </w:rPr>
      </w:pPr>
    </w:p>
    <w:p>
      <w:pPr>
        <w:ind w:left="620" w:right="280" w:hanging="328"/>
        <w:spacing w:after="0" w:line="250" w:lineRule="auto"/>
        <w:tabs>
          <w:tab w:leader="none" w:pos="6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ind w:left="620" w:right="240" w:hanging="328"/>
        <w:spacing w:after="0" w:line="250" w:lineRule="auto"/>
        <w:tabs>
          <w:tab w:leader="none" w:pos="6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right="660" w:hanging="328"/>
        <w:spacing w:after="0" w:line="250" w:lineRule="auto"/>
        <w:tabs>
          <w:tab w:leader="none" w:pos="6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ind w:left="620" w:hanging="32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9" w:lineRule="exact"/>
        <w:rPr>
          <w:rFonts w:ascii="Arial" w:cs="Arial" w:eastAsia="Arial" w:hAnsi="Arial"/>
          <w:sz w:val="18"/>
          <w:szCs w:val="18"/>
          <w:color w:val="auto"/>
        </w:rPr>
      </w:pPr>
    </w:p>
    <w:p>
      <w:pPr>
        <w:ind w:left="620" w:hanging="328"/>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recruit and retain skilled engineering, management and technical personnel, and effectively manage key employee succession;</w:t>
      </w:r>
    </w:p>
    <w:p>
      <w:pPr>
        <w:spacing w:after="0" w:line="20" w:lineRule="exact"/>
        <w:rPr>
          <w:rFonts w:ascii="Arial" w:cs="Arial" w:eastAsia="Arial" w:hAnsi="Arial"/>
          <w:sz w:val="17"/>
          <w:szCs w:val="17"/>
          <w:color w:val="auto"/>
        </w:rPr>
      </w:pPr>
    </w:p>
    <w:p>
      <w:pPr>
        <w:ind w:left="620" w:right="340" w:hanging="328"/>
        <w:spacing w:after="0" w:line="250" w:lineRule="auto"/>
        <w:tabs>
          <w:tab w:leader="none" w:pos="6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ind w:left="620" w:hanging="32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20"/>
          <w:szCs w:val="20"/>
          <w:color w:val="707070"/>
        </w:rPr>
        <w:t>9</w:t>
      </w:r>
    </w:p>
    <w:p>
      <w:pPr>
        <w:sectPr>
          <w:pgSz w:w="11900" w:h="16838" w:orient="portrait"/>
          <w:cols w:equalWidth="0" w:num="1">
            <w:col w:w="11420"/>
          </w:cols>
          <w:pgMar w:left="240" w:top="1107" w:right="239" w:bottom="1440" w:gutter="0" w:footer="0" w:header="0"/>
        </w:sectPr>
      </w:pPr>
    </w:p>
    <w:bookmarkStart w:id="16" w:name="page17"/>
    <w:bookmarkEnd w:id="16"/>
    <w:p>
      <w:pPr>
        <w:ind w:right="20"/>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12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 xml:space="preserve">From connected cars and intelligent homes to self-monitoring health devices and automated factories, Texas Instruments Incorporated (TI) (Nasdaq: TXN) products are at work in virtually every type of electronic system. With operations in more than 30 countries, we engineer, manufacture, test and sell analog and embedded semiconductor chips. Our employees, about 30,000 worldwide, are driven by core values of integrity, innovation and commitment, and work every day to shape the future of technology. Learn more at </w:t>
      </w:r>
      <w:r>
        <w:rPr>
          <w:rFonts w:ascii="Arial" w:cs="Arial" w:eastAsia="Arial" w:hAnsi="Arial"/>
          <w:sz w:val="18"/>
          <w:szCs w:val="18"/>
          <w:u w:val="single" w:color="auto"/>
          <w:color w:val="3A3AFF"/>
        </w:rPr>
        <w:t>www.TI.com</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0"/>
          <w:szCs w:val="20"/>
          <w:color w:val="707070"/>
        </w:rPr>
        <w:t>10</w:t>
      </w:r>
    </w:p>
    <w:sectPr>
      <w:pgSz w:w="11900" w:h="16838" w:orient="portrait"/>
      <w:cols w:equalWidth="0" w:num="1">
        <w:col w:w="11420"/>
      </w:cols>
      <w:pgMar w:left="240" w:top="1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76"/>
    </w:lvl>
  </w:abstractNum>
  <w:abstractNum w:abstractNumId="3">
    <w:nsid w:val="DED7263"/>
    <w:multiLevelType w:val="hybridMultilevel"/>
    <w:lvl w:ilvl="0">
      <w:lvlJc w:val="left"/>
      <w:lvlText w:val="%1"/>
      <w:numFmt w:val="decimal"/>
      <w:start w:val="916"/>
    </w:lvl>
  </w:abstractNum>
  <w:abstractNum w:abstractNumId="4">
    <w:nsid w:val="7FDCC233"/>
    <w:multiLevelType w:val="hybridMultilevel"/>
    <w:lvl w:ilvl="0">
      <w:lvlJc w:val="left"/>
      <w:lvlText w:val="%1"/>
      <w:numFmt w:val="decimal"/>
      <w:start w:val="909"/>
    </w:lvl>
  </w:abstractNum>
  <w:abstractNum w:abstractNumId="5">
    <w:nsid w:val="1BEFD79F"/>
    <w:multiLevelType w:val="hybridMultilevel"/>
    <w:lvl w:ilvl="0">
      <w:lvlJc w:val="left"/>
      <w:lvlText w:val="%1"/>
      <w:numFmt w:val="decimal"/>
      <w:start w:val="300"/>
    </w:lvl>
  </w:abstractNum>
  <w:abstractNum w:abstractNumId="6">
    <w:nsid w:val="41A7C4C9"/>
    <w:multiLevelType w:val="hybridMultilevel"/>
    <w:lvl w:ilvl="0">
      <w:lvlJc w:val="left"/>
      <w:lvlText w:val="%1"/>
      <w:numFmt w:val="decimal"/>
      <w:start w:val="340"/>
    </w:lvl>
  </w:abstractNum>
  <w:abstractNum w:abstractNumId="7">
    <w:nsid w:val="6B68079A"/>
    <w:multiLevelType w:val="hybridMultilevel"/>
    <w:lvl w:ilvl="0">
      <w:lvlJc w:val="left"/>
      <w:lvlText w:val="%1"/>
      <w:numFmt w:val="decimal"/>
      <w:start w:val="197"/>
    </w:lvl>
  </w:abstractNum>
  <w:abstractNum w:abstractNumId="8">
    <w:nsid w:val="4E6AFB66"/>
    <w:multiLevelType w:val="hybridMultilevel"/>
    <w:lvl w:ilvl="0">
      <w:lvlJc w:val="left"/>
      <w:lvlText w:val="%1"/>
      <w:numFmt w:val="decimal"/>
      <w:start w:val="69"/>
    </w:lvl>
  </w:abstractNum>
  <w:abstractNum w:abstractNumId="9">
    <w:nsid w:val="25E45D32"/>
    <w:multiLevelType w:val="hybridMultilevel"/>
    <w:lvl w:ilvl="0">
      <w:lvlJc w:val="left"/>
      <w:lvlText w:val="%1"/>
      <w:numFmt w:val="decimal"/>
      <w:start w:val="218"/>
    </w:lvl>
  </w:abstractNum>
  <w:abstractNum w:abstractNumId="10">
    <w:nsid w:val="519B500D"/>
    <w:multiLevelType w:val="hybridMultilevel"/>
    <w:lvl w:ilvl="0">
      <w:lvlJc w:val="left"/>
      <w:lvlText w:val="%1"/>
      <w:numFmt w:val="decimal"/>
      <w:start w:val="468"/>
    </w:lvl>
  </w:abstractNum>
  <w:abstractNum w:abstractNumId="11">
    <w:nsid w:val="431BD7B7"/>
    <w:multiLevelType w:val="hybridMultilevel"/>
    <w:lvl w:ilvl="0">
      <w:lvlJc w:val="left"/>
      <w:lvlText w:val="%1"/>
      <w:numFmt w:val="decimal"/>
      <w:start w:val="388"/>
    </w:lvl>
  </w:abstractNum>
  <w:abstractNum w:abstractNumId="12">
    <w:nsid w:val="3F2DBA31"/>
    <w:multiLevelType w:val="hybridMultilevel"/>
    <w:lvl w:ilvl="0">
      <w:lvlJc w:val="left"/>
      <w:lvlText w:val="%1"/>
      <w:numFmt w:val="decimal"/>
      <w:start w:val="714"/>
    </w:lvl>
  </w:abstractNum>
  <w:abstractNum w:abstractNumId="13">
    <w:nsid w:val="7C83E458"/>
    <w:multiLevelType w:val="hybridMultilevel"/>
    <w:lvl w:ilvl="0">
      <w:lvlJc w:val="left"/>
      <w:lvlText w:val="%1"/>
      <w:numFmt w:val="decimal"/>
      <w:start w:val="46"/>
    </w:lvl>
  </w:abstractNum>
  <w:abstractNum w:abstractNumId="14">
    <w:nsid w:val="257130A3"/>
    <w:multiLevelType w:val="hybridMultilevel"/>
    <w:lvl w:ilvl="0">
      <w:lvlJc w:val="left"/>
      <w:lvlText w:val="%1"/>
      <w:numFmt w:val="decimal"/>
      <w:start w:val="475"/>
    </w:lvl>
  </w:abstractNum>
  <w:abstractNum w:abstractNumId="15">
    <w:nsid w:val="62BBD95A"/>
    <w:multiLevelType w:val="hybridMultilevel"/>
    <w:lvl w:ilvl="0">
      <w:lvlJc w:val="left"/>
      <w:lvlText w:val="%1"/>
      <w:numFmt w:val="decimal"/>
      <w:start w:val="93"/>
    </w:lvl>
  </w:abstractNum>
  <w:abstractNum w:abstractNumId="16">
    <w:nsid w:val="436C6125"/>
    <w:multiLevelType w:val="hybridMultilevel"/>
    <w:lvl w:ilvl="0">
      <w:lvlJc w:val="left"/>
      <w:lvlText w:val="%1"/>
      <w:numFmt w:val="decimal"/>
      <w:start w:val="78"/>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2020-01-22T15:05:17Z</dcterms:created>
  <dcterms:modified xsi:type="dcterms:W3CDTF">2020-01-22T15:05:17Z</dcterms:modified>
</cp:coreProperties>
</file>