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519430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00"/>
        <w:spacing w:after="0"/>
        <w:rPr>
          <w:sz w:val="20"/>
          <w:szCs w:val="20"/>
          <w:color w:val="auto"/>
        </w:rPr>
      </w:pPr>
      <w:r>
        <w:rPr>
          <w:rFonts w:ascii="Arial" w:cs="Arial" w:eastAsia="Arial" w:hAnsi="Arial"/>
          <w:sz w:val="17"/>
          <w:szCs w:val="17"/>
          <w:b w:val="1"/>
          <w:bCs w:val="1"/>
          <w:color w:val="auto"/>
        </w:rPr>
        <w:t>DATE OF REPORT (DATE OF EARLIEST EVENT REPORTED): December 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539115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44"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377825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878840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Registrant's news release dated December 8, 2009, regarding the Registrant's outlook for the fourth quarter of 2009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7"/>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94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Registrant’s News Release</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Dated December 8, 2009 (furnished pursuant to Item 7.01)</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9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500" w:right="580" w:hanging="195"/>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500" w:hanging="19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500" w:hanging="19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500" w:hanging="19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500" w:hanging="19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500" w:right="60" w:hanging="195"/>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500" w:hanging="19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500" w:hanging="195"/>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500" w:right="100" w:hanging="195"/>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500" w:right="160" w:hanging="195"/>
        <w:spacing w:after="0" w:line="342"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500" w:hanging="195"/>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500" w:hanging="19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480" w:hanging="175"/>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480" w:hanging="175"/>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480" w:hanging="175"/>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500" w:hanging="19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480" w:right="560" w:hanging="175"/>
        <w:spacing w:after="0" w:line="277"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0" w:lineRule="exact"/>
        <w:rPr>
          <w:sz w:val="20"/>
          <w:szCs w:val="20"/>
          <w:color w:val="auto"/>
        </w:rPr>
      </w:pPr>
    </w:p>
    <w:p>
      <w:pPr>
        <w:spacing w:after="0" w:line="24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w:t>
      </w:r>
    </w:p>
    <w:p>
      <w:pPr>
        <w:sectPr>
          <w:pgSz w:w="11900" w:h="16948" w:orient="portrait"/>
          <w:cols w:equalWidth="0" w:num="1">
            <w:col w:w="11420"/>
          </w:cols>
          <w:pgMar w:left="240" w:top="854" w:right="239"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December 8,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368"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updates fourth-quarter 2009 business outlook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DALLAS (Dec. 8, 2009) – In a scheduled update to its business outlook for the fourth quarter of 2009, Texas Instruments Incorporated (TI) (NYSE: TXN) today revised its expected ranges for revenue and earnings per share (EPS).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fall within the following ranges:</w:t>
      </w:r>
    </w:p>
    <w:p>
      <w:pPr>
        <w:spacing w:after="0" w:line="252" w:lineRule="exact"/>
        <w:rPr>
          <w:sz w:val="20"/>
          <w:szCs w:val="20"/>
          <w:color w:val="auto"/>
        </w:rPr>
      </w:pPr>
    </w:p>
    <w:p>
      <w:pPr>
        <w:ind w:left="420" w:hanging="128"/>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$2.90 – $3.02 billion, compared with the prior range of $2.78 – $3.02 billion</w:t>
      </w:r>
    </w:p>
    <w:p>
      <w:pPr>
        <w:spacing w:after="0" w:line="252" w:lineRule="exact"/>
        <w:rPr>
          <w:rFonts w:ascii="Arial" w:cs="Arial" w:eastAsia="Arial" w:hAnsi="Arial"/>
          <w:sz w:val="18"/>
          <w:szCs w:val="18"/>
          <w:color w:val="auto"/>
        </w:rPr>
      </w:pPr>
    </w:p>
    <w:p>
      <w:pPr>
        <w:ind w:left="420" w:hanging="128"/>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$0.47 – $0.51, compared with the prior range of $0.42 – $0.50.</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fourth-quarter outlook was published in the company’s third-quarter 2009 earnings release on October 19, available at www.ti.com/ir. TI’s fourth quarter ends on December 31.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500" w:hanging="141"/>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500" w:hanging="141"/>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73" w:lineRule="exact"/>
        <w:rPr>
          <w:rFonts w:ascii="Arial" w:cs="Arial" w:eastAsia="Arial" w:hAnsi="Arial"/>
          <w:sz w:val="17"/>
          <w:szCs w:val="17"/>
          <w:color w:val="auto"/>
        </w:rPr>
      </w:pPr>
    </w:p>
    <w:p>
      <w:pPr>
        <w:ind w:left="500" w:hanging="141"/>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ectPr>
          <w:pgSz w:w="11900" w:h="16838" w:orient="portrait"/>
          <w:cols w:equalWidth="0" w:num="1">
            <w:col w:w="11420"/>
          </w:cols>
          <w:pgMar w:left="240" w:top="368" w:right="239" w:bottom="32" w:gutter="0" w:footer="0" w:header="0"/>
        </w:sectPr>
      </w:pPr>
    </w:p>
    <w:bookmarkStart w:id="5" w:name="page6"/>
    <w:bookmarkEnd w:id="5"/>
    <w:p>
      <w:pPr>
        <w:ind w:left="500" w:hanging="14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t>
      </w:r>
      <w:r>
        <w:rPr>
          <w:rFonts w:ascii="Arial" w:cs="Arial" w:eastAsia="Arial" w:hAnsi="Arial"/>
          <w:sz w:val="18"/>
          <w:szCs w:val="18"/>
          <w:u w:val="single" w:color="auto"/>
          <w:color w:val="auto"/>
        </w:rPr>
        <w:t>www.ti.com</w:t>
      </w:r>
      <w:r>
        <w:rPr>
          <w:rFonts w:ascii="Arial" w:cs="Arial" w:eastAsia="Arial" w:hAnsi="Arial"/>
          <w:sz w:val="18"/>
          <w:szCs w:val="18"/>
          <w:color w:val="auto"/>
        </w:rPr>
        <w: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2019-12-10T03:14:15Z</dcterms:created>
  <dcterms:modified xsi:type="dcterms:W3CDTF">2019-12-10T03:14:15Z</dcterms:modified>
</cp:coreProperties>
</file>