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303530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158750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186690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w:t>
      </w:r>
    </w:p>
    <w:p>
      <w:pPr>
        <w:jc w:val="center"/>
        <w:ind w:right="-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DATE OF REPORT (DATE OF EARLIEST EVENT REPORTED): July 25,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165735</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27"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TEXAS INSTRUMENTS INCORPORATED</w:t>
      </w:r>
    </w:p>
    <w:p>
      <w:pPr>
        <w:spacing w:after="0" w:line="50" w:lineRule="exact"/>
        <w:rPr>
          <w:sz w:val="24"/>
          <w:szCs w:val="24"/>
          <w:color w:val="auto"/>
        </w:rPr>
      </w:pPr>
    </w:p>
    <w:tbl>
      <w:tblPr>
        <w:tblLayout w:type="fixed"/>
        <w:tblInd w:w="1080" w:type="dxa"/>
        <w:tblCellMar>
          <w:top w:w="0" w:type="dxa"/>
          <w:left w:w="0" w:type="dxa"/>
          <w:bottom w:w="0" w:type="dxa"/>
          <w:right w:w="0" w:type="dxa"/>
        </w:tblCellMar>
      </w:tblPr>
      <w:tr>
        <w:trPr>
          <w:trHeight w:val="234"/>
        </w:trPr>
        <w:tc>
          <w:tcPr>
            <w:tcW w:w="2100" w:type="dxa"/>
            <w:vAlign w:val="bottom"/>
          </w:tcPr>
          <w:p>
            <w:pPr>
              <w:spacing w:after="0"/>
              <w:rPr>
                <w:sz w:val="20"/>
                <w:szCs w:val="20"/>
                <w:color w:val="auto"/>
              </w:rPr>
            </w:pPr>
          </w:p>
        </w:tc>
        <w:tc>
          <w:tcPr>
            <w:tcW w:w="52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89"/>
              </w:rPr>
              <w:t>(Exact name of registrant as specified in charter)</w:t>
            </w:r>
          </w:p>
        </w:tc>
        <w:tc>
          <w:tcPr>
            <w:tcW w:w="1720" w:type="dxa"/>
            <w:vAlign w:val="bottom"/>
          </w:tcPr>
          <w:p>
            <w:pPr>
              <w:spacing w:after="0"/>
              <w:rPr>
                <w:sz w:val="20"/>
                <w:szCs w:val="20"/>
                <w:color w:val="auto"/>
              </w:rPr>
            </w:pPr>
          </w:p>
        </w:tc>
      </w:tr>
      <w:tr>
        <w:trPr>
          <w:trHeight w:val="237"/>
        </w:trPr>
        <w:tc>
          <w:tcPr>
            <w:tcW w:w="2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80" w:type="dxa"/>
            <w:vAlign w:val="bottom"/>
            <w:tcBorders>
              <w:bottom w:val="single" w:sz="8" w:color="auto"/>
            </w:tcBorders>
          </w:tcPr>
          <w:p>
            <w:pPr>
              <w:spacing w:after="0"/>
              <w:rPr>
                <w:sz w:val="20"/>
                <w:szCs w:val="20"/>
                <w:color w:val="auto"/>
              </w:rPr>
            </w:pPr>
          </w:p>
        </w:tc>
        <w:tc>
          <w:tcPr>
            <w:tcW w:w="156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403"/>
        </w:trPr>
        <w:tc>
          <w:tcPr>
            <w:tcW w:w="2100" w:type="dxa"/>
            <w:vAlign w:val="bottom"/>
          </w:tcPr>
          <w:p>
            <w:pPr>
              <w:jc w:val="center"/>
              <w:ind w:right="402"/>
              <w:spacing w:after="0"/>
              <w:rPr>
                <w:sz w:val="20"/>
                <w:szCs w:val="20"/>
                <w:color w:val="auto"/>
              </w:rPr>
            </w:pPr>
            <w:r>
              <w:rPr>
                <w:rFonts w:ascii="Arial" w:cs="Arial" w:eastAsia="Arial" w:hAnsi="Arial"/>
                <w:sz w:val="18"/>
                <w:szCs w:val="18"/>
                <w:b w:val="1"/>
                <w:bCs w:val="1"/>
                <w:color w:val="auto"/>
                <w:w w:val="98"/>
              </w:rPr>
              <w:t>DELAWARE</w:t>
            </w:r>
          </w:p>
        </w:tc>
        <w:tc>
          <w:tcPr>
            <w:tcW w:w="3680" w:type="dxa"/>
            <w:vAlign w:val="bottom"/>
            <w:gridSpan w:val="2"/>
          </w:tcPr>
          <w:p>
            <w:pPr>
              <w:ind w:left="2220"/>
              <w:spacing w:after="0"/>
              <w:rPr>
                <w:sz w:val="20"/>
                <w:szCs w:val="20"/>
                <w:color w:val="auto"/>
              </w:rPr>
            </w:pPr>
            <w:r>
              <w:rPr>
                <w:rFonts w:ascii="Arial" w:cs="Arial" w:eastAsia="Arial" w:hAnsi="Arial"/>
                <w:sz w:val="18"/>
                <w:szCs w:val="18"/>
                <w:b w:val="1"/>
                <w:bCs w:val="1"/>
                <w:color w:val="auto"/>
              </w:rPr>
              <w:t>001-03761</w:t>
            </w:r>
          </w:p>
        </w:tc>
        <w:tc>
          <w:tcPr>
            <w:tcW w:w="1560" w:type="dxa"/>
            <w:vAlign w:val="bottom"/>
          </w:tcPr>
          <w:p>
            <w:pPr>
              <w:spacing w:after="0"/>
              <w:rPr>
                <w:sz w:val="24"/>
                <w:szCs w:val="24"/>
                <w:color w:val="auto"/>
              </w:rPr>
            </w:pPr>
          </w:p>
        </w:tc>
        <w:tc>
          <w:tcPr>
            <w:tcW w:w="1720" w:type="dxa"/>
            <w:vAlign w:val="bottom"/>
          </w:tcPr>
          <w:p>
            <w:pPr>
              <w:jc w:val="center"/>
              <w:ind w:left="562"/>
              <w:spacing w:after="0"/>
              <w:rPr>
                <w:sz w:val="20"/>
                <w:szCs w:val="20"/>
                <w:color w:val="auto"/>
              </w:rPr>
            </w:pPr>
            <w:r>
              <w:rPr>
                <w:rFonts w:ascii="Arial" w:cs="Arial" w:eastAsia="Arial" w:hAnsi="Arial"/>
                <w:sz w:val="18"/>
                <w:szCs w:val="18"/>
                <w:b w:val="1"/>
                <w:bCs w:val="1"/>
                <w:color w:val="auto"/>
                <w:w w:val="91"/>
              </w:rPr>
              <w:t>75-0289970</w:t>
            </w:r>
          </w:p>
        </w:tc>
      </w:tr>
      <w:tr>
        <w:trPr>
          <w:trHeight w:val="149"/>
        </w:trPr>
        <w:tc>
          <w:tcPr>
            <w:tcW w:w="2100" w:type="dxa"/>
            <w:vAlign w:val="bottom"/>
          </w:tcPr>
          <w:p>
            <w:pPr>
              <w:jc w:val="center"/>
              <w:ind w:right="382"/>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1400" w:type="dxa"/>
            <w:vAlign w:val="bottom"/>
          </w:tcPr>
          <w:p>
            <w:pPr>
              <w:spacing w:after="0"/>
              <w:rPr>
                <w:sz w:val="12"/>
                <w:szCs w:val="12"/>
                <w:color w:val="auto"/>
              </w:rPr>
            </w:pPr>
          </w:p>
        </w:tc>
        <w:tc>
          <w:tcPr>
            <w:tcW w:w="3840" w:type="dxa"/>
            <w:vAlign w:val="bottom"/>
            <w:gridSpan w:val="2"/>
          </w:tcPr>
          <w:p>
            <w:pPr>
              <w:ind w:left="800"/>
              <w:spacing w:after="0" w:line="149" w:lineRule="exact"/>
              <w:rPr>
                <w:sz w:val="20"/>
                <w:szCs w:val="20"/>
                <w:color w:val="auto"/>
              </w:rPr>
            </w:pPr>
            <w:r>
              <w:rPr>
                <w:rFonts w:ascii="Arial" w:cs="Arial" w:eastAsia="Arial" w:hAnsi="Arial"/>
                <w:sz w:val="14"/>
                <w:szCs w:val="14"/>
                <w:b w:val="1"/>
                <w:bCs w:val="1"/>
                <w:color w:val="auto"/>
              </w:rPr>
              <w:t>(Commission</w:t>
            </w:r>
          </w:p>
        </w:tc>
        <w:tc>
          <w:tcPr>
            <w:tcW w:w="1720" w:type="dxa"/>
            <w:vAlign w:val="bottom"/>
          </w:tcPr>
          <w:p>
            <w:pPr>
              <w:jc w:val="center"/>
              <w:ind w:left="562"/>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2100" w:type="dxa"/>
            <w:vAlign w:val="bottom"/>
          </w:tcPr>
          <w:p>
            <w:pPr>
              <w:jc w:val="center"/>
              <w:ind w:right="402"/>
              <w:spacing w:after="0"/>
              <w:rPr>
                <w:sz w:val="20"/>
                <w:szCs w:val="20"/>
                <w:color w:val="auto"/>
              </w:rPr>
            </w:pPr>
            <w:r>
              <w:rPr>
                <w:rFonts w:ascii="Arial" w:cs="Arial" w:eastAsia="Arial" w:hAnsi="Arial"/>
                <w:sz w:val="14"/>
                <w:szCs w:val="14"/>
                <w:b w:val="1"/>
                <w:bCs w:val="1"/>
                <w:color w:val="auto"/>
                <w:w w:val="94"/>
              </w:rPr>
              <w:t>of incorporation)</w:t>
            </w:r>
          </w:p>
        </w:tc>
        <w:tc>
          <w:tcPr>
            <w:tcW w:w="1400" w:type="dxa"/>
            <w:vAlign w:val="bottom"/>
          </w:tcPr>
          <w:p>
            <w:pPr>
              <w:spacing w:after="0"/>
              <w:rPr>
                <w:sz w:val="16"/>
                <w:szCs w:val="16"/>
                <w:color w:val="auto"/>
              </w:rPr>
            </w:pPr>
          </w:p>
        </w:tc>
        <w:tc>
          <w:tcPr>
            <w:tcW w:w="3840" w:type="dxa"/>
            <w:vAlign w:val="bottom"/>
            <w:gridSpan w:val="2"/>
          </w:tcPr>
          <w:p>
            <w:pPr>
              <w:ind w:left="820"/>
              <w:spacing w:after="0"/>
              <w:rPr>
                <w:sz w:val="20"/>
                <w:szCs w:val="20"/>
                <w:color w:val="auto"/>
              </w:rPr>
            </w:pPr>
            <w:r>
              <w:rPr>
                <w:rFonts w:ascii="Arial" w:cs="Arial" w:eastAsia="Arial" w:hAnsi="Arial"/>
                <w:sz w:val="14"/>
                <w:szCs w:val="14"/>
                <w:b w:val="1"/>
                <w:bCs w:val="1"/>
                <w:color w:val="auto"/>
              </w:rPr>
              <w:t>file number)</w:t>
            </w:r>
          </w:p>
        </w:tc>
        <w:tc>
          <w:tcPr>
            <w:tcW w:w="1720" w:type="dxa"/>
            <w:vAlign w:val="bottom"/>
          </w:tcPr>
          <w:p>
            <w:pPr>
              <w:jc w:val="center"/>
              <w:ind w:left="562"/>
              <w:spacing w:after="0"/>
              <w:rPr>
                <w:sz w:val="20"/>
                <w:szCs w:val="20"/>
                <w:color w:val="auto"/>
              </w:rPr>
            </w:pPr>
            <w:r>
              <w:rPr>
                <w:rFonts w:ascii="Arial" w:cs="Arial" w:eastAsia="Arial" w:hAnsi="Arial"/>
                <w:sz w:val="14"/>
                <w:szCs w:val="14"/>
                <w:b w:val="1"/>
                <w:bCs w:val="1"/>
                <w:color w:val="auto"/>
                <w:w w:val="92"/>
              </w:rPr>
              <w:t>identification no.)</w:t>
            </w:r>
          </w:p>
        </w:tc>
      </w:tr>
      <w:tr>
        <w:trPr>
          <w:trHeight w:val="399"/>
        </w:trPr>
        <w:tc>
          <w:tcPr>
            <w:tcW w:w="2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840" w:type="dxa"/>
            <w:vAlign w:val="bottom"/>
            <w:gridSpan w:val="2"/>
          </w:tcPr>
          <w:p>
            <w:pPr>
              <w:jc w:val="center"/>
              <w:ind w:right="1580"/>
              <w:spacing w:after="0"/>
              <w:rPr>
                <w:sz w:val="20"/>
                <w:szCs w:val="20"/>
                <w:color w:val="auto"/>
              </w:rPr>
            </w:pPr>
            <w:r>
              <w:rPr>
                <w:rFonts w:ascii="Arial" w:cs="Arial" w:eastAsia="Arial" w:hAnsi="Arial"/>
                <w:sz w:val="18"/>
                <w:szCs w:val="18"/>
                <w:b w:val="1"/>
                <w:bCs w:val="1"/>
                <w:color w:val="auto"/>
                <w:w w:val="97"/>
              </w:rPr>
              <w:t>12500 TI BOULEVARD</w:t>
            </w:r>
          </w:p>
        </w:tc>
        <w:tc>
          <w:tcPr>
            <w:tcW w:w="1720" w:type="dxa"/>
            <w:vAlign w:val="bottom"/>
          </w:tcPr>
          <w:p>
            <w:pPr>
              <w:spacing w:after="0"/>
              <w:rPr>
                <w:sz w:val="24"/>
                <w:szCs w:val="24"/>
                <w:color w:val="auto"/>
              </w:rPr>
            </w:pPr>
          </w:p>
        </w:tc>
      </w:tr>
      <w:tr>
        <w:trPr>
          <w:trHeight w:val="212"/>
        </w:trPr>
        <w:tc>
          <w:tcPr>
            <w:tcW w:w="2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840" w:type="dxa"/>
            <w:vAlign w:val="bottom"/>
            <w:gridSpan w:val="2"/>
          </w:tcPr>
          <w:p>
            <w:pPr>
              <w:jc w:val="center"/>
              <w:ind w:right="1560"/>
              <w:spacing w:after="0"/>
              <w:rPr>
                <w:sz w:val="20"/>
                <w:szCs w:val="20"/>
                <w:color w:val="auto"/>
              </w:rPr>
            </w:pPr>
            <w:r>
              <w:rPr>
                <w:rFonts w:ascii="Arial" w:cs="Arial" w:eastAsia="Arial" w:hAnsi="Arial"/>
                <w:sz w:val="18"/>
                <w:szCs w:val="18"/>
                <w:b w:val="1"/>
                <w:bCs w:val="1"/>
                <w:color w:val="auto"/>
                <w:w w:val="96"/>
              </w:rPr>
              <w:t>DALLAS, TEXAS 75243</w:t>
            </w:r>
          </w:p>
        </w:tc>
        <w:tc>
          <w:tcPr>
            <w:tcW w:w="1720" w:type="dxa"/>
            <w:vAlign w:val="bottom"/>
          </w:tcPr>
          <w:p>
            <w:pPr>
              <w:spacing w:after="0"/>
              <w:rPr>
                <w:sz w:val="18"/>
                <w:szCs w:val="18"/>
                <w:color w:val="auto"/>
              </w:rPr>
            </w:pPr>
          </w:p>
        </w:tc>
      </w:tr>
      <w:tr>
        <w:trPr>
          <w:trHeight w:val="186"/>
        </w:trPr>
        <w:tc>
          <w:tcPr>
            <w:tcW w:w="2100" w:type="dxa"/>
            <w:vAlign w:val="bottom"/>
          </w:tcPr>
          <w:p>
            <w:pPr>
              <w:spacing w:after="0"/>
              <w:rPr>
                <w:sz w:val="16"/>
                <w:szCs w:val="16"/>
                <w:color w:val="auto"/>
              </w:rPr>
            </w:pPr>
          </w:p>
        </w:tc>
        <w:tc>
          <w:tcPr>
            <w:tcW w:w="52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720" w:type="dxa"/>
            <w:vAlign w:val="bottom"/>
          </w:tcPr>
          <w:p>
            <w:pPr>
              <w:spacing w:after="0"/>
              <w:rPr>
                <w:sz w:val="16"/>
                <w:szCs w:val="16"/>
                <w:color w:val="auto"/>
              </w:rPr>
            </w:pPr>
          </w:p>
        </w:tc>
      </w:tr>
      <w:tr>
        <w:trPr>
          <w:trHeight w:val="365"/>
        </w:trPr>
        <w:tc>
          <w:tcPr>
            <w:tcW w:w="2100" w:type="dxa"/>
            <w:vAlign w:val="bottom"/>
          </w:tcPr>
          <w:p>
            <w:pPr>
              <w:spacing w:after="0"/>
              <w:rPr>
                <w:sz w:val="24"/>
                <w:szCs w:val="24"/>
                <w:color w:val="auto"/>
              </w:rPr>
            </w:pPr>
          </w:p>
        </w:tc>
        <w:tc>
          <w:tcPr>
            <w:tcW w:w="52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2"/>
              </w:rPr>
              <w:t>Registrant’s telephone number, including area code: (214) 479-3773</w:t>
            </w:r>
          </w:p>
        </w:tc>
        <w:tc>
          <w:tcPr>
            <w:tcW w:w="172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153670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ind w:right="50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520" w:hanging="512"/>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520" w:hanging="512"/>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520" w:hanging="512"/>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520" w:hanging="512"/>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347980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382270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875665</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98" w:right="29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ITEM 2.02. Results of Operations and Financial Condition</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Registrant’s news release dated July 25, 2017, regarding its second-quarter results of operations and financial condition is attached hereto as Exhibit 99.</w:t>
      </w:r>
    </w:p>
    <w:p>
      <w:pPr>
        <w:spacing w:after="0" w:line="248"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The attached news release includes references to the following financial measures that were not prepared in accordance with generally accepted accounting principles in the United States (non-GAAP measures): free cash flow and ratios based on free cash flow. The company believes these non-GAAP measures provide insight into its liquidity, cash generating capability and the amount of cash potentially available to return to shareholders, as well as insight into its financial performance. These non-GAAP measures are supplemental to the comparable GAAP measures. Reconciliation to the most directly comparable GAAP measures is included in the “Non-GAAP financial information” section of the news release.</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ITEM 9.01. Exhibits</w:t>
      </w:r>
    </w:p>
    <w:p>
      <w:pPr>
        <w:sectPr>
          <w:pgSz w:w="11900" w:h="16838" w:orient="portrait"/>
          <w:cols w:equalWidth="0" w:num="1">
            <w:col w:w="11260"/>
          </w:cols>
          <w:pgMar w:left="240" w:top="557" w:right="399" w:bottom="1440" w:gutter="0" w:footer="0" w:header="0"/>
        </w:sectPr>
      </w:pPr>
    </w:p>
    <w:p>
      <w:pPr>
        <w:spacing w:after="0" w:line="221" w:lineRule="exact"/>
        <w:rPr>
          <w:sz w:val="20"/>
          <w:szCs w:val="20"/>
          <w:color w:val="auto"/>
        </w:rPr>
      </w:pPr>
    </w:p>
    <w:p>
      <w:pPr>
        <w:jc w:val="center"/>
        <w:ind w:left="240"/>
        <w:spacing w:after="0" w:line="425" w:lineRule="auto"/>
        <w:rPr>
          <w:sz w:val="20"/>
          <w:szCs w:val="20"/>
          <w:color w:val="auto"/>
        </w:rPr>
      </w:pPr>
      <w:r>
        <w:rPr>
          <w:rFonts w:ascii="Arial" w:cs="Arial" w:eastAsia="Arial" w:hAnsi="Arial"/>
          <w:sz w:val="12"/>
          <w:szCs w:val="12"/>
          <w:color w:val="auto"/>
        </w:rPr>
        <w:t>Designation of Exhibit in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89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3"/>
          <w:szCs w:val="13"/>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wp:posOffset>
            </wp:positionV>
            <wp:extent cx="10375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138" w:lineRule="exact"/>
        <w:rPr>
          <w:sz w:val="20"/>
          <w:szCs w:val="20"/>
          <w:color w:val="auto"/>
        </w:rPr>
      </w:pPr>
    </w:p>
    <w:p>
      <w:pPr>
        <w:sectPr>
          <w:pgSz w:w="11900" w:h="16838" w:orient="portrait"/>
          <w:cols w:equalWidth="0" w:num="2">
            <w:col w:w="920" w:space="360"/>
            <w:col w:w="9980"/>
          </w:cols>
          <w:pgMar w:left="240" w:top="557" w:right="399" w:bottom="1440" w:gutter="0" w:footer="0" w:header="0"/>
          <w:type w:val="continuous"/>
        </w:sectPr>
      </w:pPr>
    </w:p>
    <w:p>
      <w:pPr>
        <w:ind w:left="1280" w:hanging="788"/>
        <w:spacing w:after="0"/>
        <w:tabs>
          <w:tab w:leader="none" w:pos="128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Registrant’s News Release</w:t>
      </w:r>
    </w:p>
    <w:p>
      <w:pPr>
        <w:spacing w:after="0" w:line="23" w:lineRule="exact"/>
        <w:rPr>
          <w:rFonts w:ascii="Arial" w:cs="Arial" w:eastAsia="Arial" w:hAnsi="Arial"/>
          <w:sz w:val="18"/>
          <w:szCs w:val="18"/>
          <w:color w:val="auto"/>
        </w:rPr>
      </w:pPr>
    </w:p>
    <w:p>
      <w:pPr>
        <w:ind w:left="1280"/>
        <w:spacing w:after="0"/>
        <w:rPr>
          <w:rFonts w:ascii="Arial" w:cs="Arial" w:eastAsia="Arial" w:hAnsi="Arial"/>
          <w:sz w:val="18"/>
          <w:szCs w:val="18"/>
          <w:color w:val="auto"/>
        </w:rPr>
      </w:pPr>
      <w:r>
        <w:rPr>
          <w:rFonts w:ascii="Arial" w:cs="Arial" w:eastAsia="Arial" w:hAnsi="Arial"/>
          <w:sz w:val="16"/>
          <w:szCs w:val="16"/>
          <w:color w:val="auto"/>
        </w:rPr>
        <w:t>Dated July 25, 2017 (furnished pursuant to Item 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624840</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60"/>
          </w:cols>
          <w:pgMar w:left="240" w:top="557" w:right="39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20" w:type="dxa"/>
            <w:vAlign w:val="bottom"/>
          </w:tcPr>
          <w:p>
            <w:pPr>
              <w:spacing w:after="0"/>
              <w:rPr>
                <w:sz w:val="20"/>
                <w:szCs w:val="20"/>
                <w:color w:val="auto"/>
              </w:rPr>
            </w:pPr>
          </w:p>
        </w:tc>
        <w:tc>
          <w:tcPr>
            <w:tcW w:w="7500" w:type="dxa"/>
            <w:vAlign w:val="bottom"/>
            <w:gridSpan w:val="2"/>
          </w:tcPr>
          <w:p>
            <w:pPr>
              <w:ind w:left="2480"/>
              <w:spacing w:after="0"/>
              <w:rPr>
                <w:sz w:val="20"/>
                <w:szCs w:val="20"/>
                <w:color w:val="auto"/>
              </w:rPr>
            </w:pPr>
            <w:r>
              <w:rPr>
                <w:rFonts w:ascii="Arial" w:cs="Arial" w:eastAsia="Arial" w:hAnsi="Arial"/>
                <w:sz w:val="18"/>
                <w:szCs w:val="18"/>
                <w:color w:val="auto"/>
              </w:rPr>
              <w:t>TEXAS INSTRUMENTS INCORPORATED</w:t>
            </w:r>
          </w:p>
        </w:tc>
      </w:tr>
      <w:tr>
        <w:trPr>
          <w:trHeight w:val="432"/>
        </w:trPr>
        <w:tc>
          <w:tcPr>
            <w:tcW w:w="3920" w:type="dxa"/>
            <w:vAlign w:val="bottom"/>
          </w:tcPr>
          <w:p>
            <w:pPr>
              <w:spacing w:after="0"/>
              <w:rPr>
                <w:sz w:val="20"/>
                <w:szCs w:val="20"/>
                <w:color w:val="auto"/>
              </w:rPr>
            </w:pPr>
            <w:r>
              <w:rPr>
                <w:rFonts w:ascii="Arial" w:cs="Arial" w:eastAsia="Arial" w:hAnsi="Arial"/>
                <w:sz w:val="18"/>
                <w:szCs w:val="18"/>
                <w:color w:val="auto"/>
              </w:rPr>
              <w:t>Date: July 25, 2017</w:t>
            </w:r>
          </w:p>
        </w:tc>
        <w:tc>
          <w:tcPr>
            <w:tcW w:w="7500" w:type="dxa"/>
            <w:vAlign w:val="bottom"/>
            <w:gridSpan w:val="2"/>
          </w:tcPr>
          <w:p>
            <w:pPr>
              <w:ind w:left="2480"/>
              <w:spacing w:after="0"/>
              <w:rPr>
                <w:sz w:val="20"/>
                <w:szCs w:val="20"/>
                <w:color w:val="auto"/>
              </w:rPr>
            </w:pPr>
            <w:r>
              <w:rPr>
                <w:rFonts w:ascii="Arial" w:cs="Arial" w:eastAsia="Arial" w:hAnsi="Arial"/>
                <w:sz w:val="18"/>
                <w:szCs w:val="18"/>
                <w:color w:val="auto"/>
              </w:rPr>
              <w:t>By:  /s/ Rafael R. Lizardi</w:t>
            </w:r>
          </w:p>
        </w:tc>
      </w:tr>
      <w:tr>
        <w:trPr>
          <w:trHeight w:val="195"/>
        </w:trPr>
        <w:tc>
          <w:tcPr>
            <w:tcW w:w="392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45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Rafael R. Lizardi</w:t>
            </w:r>
          </w:p>
        </w:tc>
      </w:tr>
      <w:tr>
        <w:trPr>
          <w:trHeight w:val="216"/>
        </w:trPr>
        <w:tc>
          <w:tcPr>
            <w:tcW w:w="39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Senior Vice President and</w:t>
            </w:r>
          </w:p>
        </w:tc>
      </w:tr>
      <w:tr>
        <w:trPr>
          <w:trHeight w:val="230"/>
        </w:trPr>
        <w:tc>
          <w:tcPr>
            <w:tcW w:w="39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420"/>
          </w:cols>
          <w:pgMar w:left="240" w:top="341" w:right="239" w:bottom="1440" w:gutter="0" w:footer="0" w:header="0"/>
        </w:sectPr>
      </w:pPr>
    </w:p>
    <w:bookmarkStart w:id="3" w:name="page4"/>
    <w:bookmarkEnd w:id="3"/>
    <w:p>
      <w:pPr>
        <w:jc w:val="right"/>
        <w:ind w:right="20"/>
        <w:spacing w:after="0"/>
        <w:rPr>
          <w:sz w:val="20"/>
          <w:szCs w:val="20"/>
          <w:color w:val="auto"/>
        </w:rPr>
      </w:pPr>
      <w:r>
        <w:rPr>
          <w:rFonts w:ascii="Arial" w:cs="Arial" w:eastAsia="Arial" w:hAnsi="Arial"/>
          <w:sz w:val="18"/>
          <w:szCs w:val="18"/>
          <w:b w:val="1"/>
          <w:bCs w:val="1"/>
          <w:color w:val="auto"/>
        </w:rPr>
        <w:t>Exhibit 99</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TI reports 2Q17 financial results and shareholder returns</w:t>
      </w:r>
    </w:p>
    <w:p>
      <w:pPr>
        <w:spacing w:after="0" w:line="12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Conference call on TI website at 4 p.m. Central time today</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www.ti.com/ir</w:t>
      </w:r>
    </w:p>
    <w:p>
      <w:pPr>
        <w:spacing w:after="0" w:line="22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DALLAS (July 25, 2017) – Texas Instruments Incorporated (TI) (NASDAQ: TXN) today reported second-quarter revenue of $3.69 billion, net income of $1.06 billion and earnings per share of $1.03.</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Regarding the company’s performance and returns to shareholders, Rich Templeton, TI’s chairman, president and CEO, made the following comments:</w:t>
      </w:r>
    </w:p>
    <w:p>
      <w:pPr>
        <w:spacing w:after="0" w:line="129" w:lineRule="exact"/>
        <w:rPr>
          <w:sz w:val="20"/>
          <w:szCs w:val="20"/>
          <w:color w:val="auto"/>
        </w:rPr>
      </w:pPr>
    </w:p>
    <w:p>
      <w:pPr>
        <w:ind w:left="520" w:right="560" w:hanging="512"/>
        <w:spacing w:after="0" w:line="277" w:lineRule="auto"/>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 increased 13 percent from the same quarter a year ago. Demand for our products continued to be strong in the automotive market and continued to strengthen in the industrial market.</w:t>
      </w:r>
    </w:p>
    <w:p>
      <w:pPr>
        <w:spacing w:after="0" w:line="62" w:lineRule="exact"/>
        <w:rPr>
          <w:rFonts w:ascii="Arial" w:cs="Arial" w:eastAsia="Arial" w:hAnsi="Arial"/>
          <w:sz w:val="18"/>
          <w:szCs w:val="18"/>
          <w:color w:val="auto"/>
        </w:rPr>
      </w:pPr>
    </w:p>
    <w:p>
      <w:pPr>
        <w:ind w:left="520" w:right="580" w:hanging="512"/>
        <w:spacing w:after="0" w:line="277" w:lineRule="auto"/>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our core businesses, Analog revenue grew 18 percent and Embedded Processing revenue grew 15 percent from the same quarter a year ago. Operating margin increased in both businesses.</w:t>
      </w:r>
    </w:p>
    <w:p>
      <w:pPr>
        <w:spacing w:after="0" w:line="62" w:lineRule="exact"/>
        <w:rPr>
          <w:rFonts w:ascii="Arial" w:cs="Arial" w:eastAsia="Arial" w:hAnsi="Arial"/>
          <w:sz w:val="18"/>
          <w:szCs w:val="18"/>
          <w:color w:val="auto"/>
        </w:rPr>
      </w:pPr>
    </w:p>
    <w:p>
      <w:pPr>
        <w:ind w:left="520" w:right="480" w:hanging="512"/>
        <w:spacing w:after="0" w:line="277" w:lineRule="auto"/>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“Gross margin of 64.3 percent reflected the quality of our product portfolio, as well as the efficiency of our manufacturing strategy, including the benefit of 300-millimeter Analog production.</w:t>
      </w:r>
    </w:p>
    <w:p>
      <w:pPr>
        <w:spacing w:after="0" w:line="62" w:lineRule="exact"/>
        <w:rPr>
          <w:rFonts w:ascii="Arial" w:cs="Arial" w:eastAsia="Arial" w:hAnsi="Arial"/>
          <w:sz w:val="18"/>
          <w:szCs w:val="18"/>
          <w:color w:val="auto"/>
        </w:rPr>
      </w:pPr>
    </w:p>
    <w:p>
      <w:pPr>
        <w:ind w:left="520" w:right="120" w:hanging="512"/>
        <w:spacing w:after="0" w:line="277" w:lineRule="auto"/>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cash flow from operations of $4.6 billion for the trailing 12 months again underscored the strength of our business model. Free cash flow for the trailing 12 months was $4.0 billion and represents 28.5 percent of revenue.</w:t>
      </w:r>
    </w:p>
    <w:p>
      <w:pPr>
        <w:spacing w:after="0" w:line="62" w:lineRule="exact"/>
        <w:rPr>
          <w:rFonts w:ascii="Arial" w:cs="Arial" w:eastAsia="Arial" w:hAnsi="Arial"/>
          <w:sz w:val="18"/>
          <w:szCs w:val="18"/>
          <w:color w:val="auto"/>
        </w:rPr>
      </w:pPr>
    </w:p>
    <w:p>
      <w:pPr>
        <w:ind w:left="520" w:hanging="512"/>
        <w:spacing w:after="0"/>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returned $4.1 billion to owners in the past 12 months through stock repurchases and dividends.</w:t>
      </w:r>
    </w:p>
    <w:p>
      <w:pPr>
        <w:spacing w:after="0" w:line="117" w:lineRule="exact"/>
        <w:rPr>
          <w:rFonts w:ascii="Arial" w:cs="Arial" w:eastAsia="Arial" w:hAnsi="Arial"/>
          <w:sz w:val="18"/>
          <w:szCs w:val="18"/>
          <w:color w:val="auto"/>
        </w:rPr>
      </w:pPr>
    </w:p>
    <w:p>
      <w:pPr>
        <w:ind w:left="520" w:right="60" w:hanging="512"/>
        <w:spacing w:after="0" w:line="277" w:lineRule="auto"/>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balance sheet remains strong with $3.0 billion of cash and short-term investments at the end of the quarter, about 80 percent of which was owned by the company’s U.S. entities. Inventory ended the quarter at 133 days.</w:t>
      </w:r>
    </w:p>
    <w:p>
      <w:pPr>
        <w:spacing w:after="0" w:line="62" w:lineRule="exact"/>
        <w:rPr>
          <w:rFonts w:ascii="Arial" w:cs="Arial" w:eastAsia="Arial" w:hAnsi="Arial"/>
          <w:sz w:val="18"/>
          <w:szCs w:val="18"/>
          <w:color w:val="auto"/>
        </w:rPr>
      </w:pPr>
    </w:p>
    <w:p>
      <w:pPr>
        <w:ind w:left="520" w:right="40" w:hanging="512"/>
        <w:spacing w:after="0" w:line="277" w:lineRule="auto"/>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third-quarter outlook is for revenue in the range of $3.74 billion to $4.06 billion, and earnings per share between $1.04 and $1.18, which includes an estimated $20 million discrete tax benefit.”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Free cash flow is a non-GAAP financial measure. Free cash flow is cash flow from operations less capital expenditures.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Certain amounts in the prior period have been recast to conform to the current presentation.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Earnings summary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Amounts are in millions of dollars, except per-share amounts.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60" w:type="dxa"/>
            <w:vAlign w:val="bottom"/>
          </w:tcPr>
          <w:p>
            <w:pPr>
              <w:spacing w:after="0"/>
              <w:rPr>
                <w:sz w:val="20"/>
                <w:szCs w:val="20"/>
                <w:color w:val="auto"/>
              </w:rPr>
            </w:pPr>
          </w:p>
        </w:tc>
        <w:tc>
          <w:tcPr>
            <w:tcW w:w="2880" w:type="dxa"/>
            <w:vAlign w:val="bottom"/>
            <w:tcBorders>
              <w:bottom w:val="single" w:sz="8" w:color="CFF0FC"/>
            </w:tcBorders>
          </w:tcPr>
          <w:p>
            <w:pPr>
              <w:spacing w:after="0"/>
              <w:rPr>
                <w:sz w:val="20"/>
                <w:szCs w:val="20"/>
                <w:color w:val="auto"/>
              </w:rPr>
            </w:pPr>
          </w:p>
        </w:tc>
        <w:tc>
          <w:tcPr>
            <w:tcW w:w="156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2Q17</w:t>
            </w:r>
          </w:p>
        </w:tc>
        <w:tc>
          <w:tcPr>
            <w:tcW w:w="24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2Q16</w:t>
            </w:r>
          </w:p>
        </w:tc>
        <w:tc>
          <w:tcPr>
            <w:tcW w:w="240" w:type="dxa"/>
            <w:vAlign w:val="bottom"/>
            <w:tcBorders>
              <w:bottom w:val="single" w:sz="8" w:color="CFF0FC"/>
            </w:tcBorders>
          </w:tcPr>
          <w:p>
            <w:pPr>
              <w:spacing w:after="0"/>
              <w:rPr>
                <w:sz w:val="20"/>
                <w:szCs w:val="20"/>
                <w:color w:val="auto"/>
              </w:rPr>
            </w:pPr>
          </w:p>
        </w:tc>
        <w:tc>
          <w:tcPr>
            <w:tcW w:w="128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Change</w:t>
            </w:r>
          </w:p>
        </w:tc>
        <w:tc>
          <w:tcPr>
            <w:tcW w:w="180" w:type="dxa"/>
            <w:vAlign w:val="bottom"/>
            <w:tcBorders>
              <w:bottom w:val="single" w:sz="8" w:color="CFF0FC"/>
            </w:tcBorders>
          </w:tcPr>
          <w:p>
            <w:pPr>
              <w:spacing w:after="0"/>
              <w:rPr>
                <w:sz w:val="20"/>
                <w:szCs w:val="20"/>
                <w:color w:val="auto"/>
              </w:rPr>
            </w:pPr>
          </w:p>
        </w:tc>
        <w:tc>
          <w:tcPr>
            <w:tcW w:w="1160" w:type="dxa"/>
            <w:vAlign w:val="bottom"/>
          </w:tcPr>
          <w:p>
            <w:pPr>
              <w:spacing w:after="0"/>
              <w:rPr>
                <w:sz w:val="20"/>
                <w:szCs w:val="20"/>
                <w:color w:val="auto"/>
              </w:rPr>
            </w:pPr>
          </w:p>
        </w:tc>
      </w:tr>
      <w:tr>
        <w:trPr>
          <w:trHeight w:val="210"/>
        </w:trPr>
        <w:tc>
          <w:tcPr>
            <w:tcW w:w="1160" w:type="dxa"/>
            <w:vAlign w:val="bottom"/>
          </w:tcPr>
          <w:p>
            <w:pPr>
              <w:spacing w:after="0"/>
              <w:rPr>
                <w:sz w:val="18"/>
                <w:szCs w:val="18"/>
                <w:color w:val="auto"/>
              </w:rPr>
            </w:pPr>
          </w:p>
        </w:tc>
        <w:tc>
          <w:tcPr>
            <w:tcW w:w="288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56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3,693</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3,273</w:t>
            </w:r>
          </w:p>
        </w:tc>
        <w:tc>
          <w:tcPr>
            <w:tcW w:w="24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w:t>
            </w:r>
          </w:p>
        </w:tc>
        <w:tc>
          <w:tcPr>
            <w:tcW w:w="11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Operating profit</w:t>
            </w:r>
          </w:p>
        </w:tc>
        <w:tc>
          <w:tcPr>
            <w:tcW w:w="184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1,480</w:t>
            </w:r>
          </w:p>
        </w:tc>
        <w:tc>
          <w:tcPr>
            <w:tcW w:w="52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1,131</w:t>
            </w:r>
          </w:p>
        </w:tc>
        <w:tc>
          <w:tcPr>
            <w:tcW w:w="24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11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88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1840" w:type="dxa"/>
            <w:vAlign w:val="bottom"/>
            <w:gridSpan w:val="2"/>
            <w:shd w:val="clear" w:color="auto" w:fill="CFF0FC"/>
          </w:tcPr>
          <w:p>
            <w:pPr>
              <w:jc w:val="right"/>
              <w:ind w:right="125"/>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1,056</w:t>
            </w:r>
          </w:p>
        </w:tc>
        <w:tc>
          <w:tcPr>
            <w:tcW w:w="520" w:type="dxa"/>
            <w:vAlign w:val="bottom"/>
            <w:gridSpan w:val="2"/>
            <w:shd w:val="clear" w:color="auto" w:fill="CFF0FC"/>
          </w:tcPr>
          <w:p>
            <w:pPr>
              <w:jc w:val="right"/>
              <w:ind w:right="125"/>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819</w:t>
            </w:r>
          </w:p>
        </w:tc>
        <w:tc>
          <w:tcPr>
            <w:tcW w:w="24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29%</w:t>
            </w:r>
          </w:p>
        </w:tc>
        <w:tc>
          <w:tcPr>
            <w:tcW w:w="1160" w:type="dxa"/>
            <w:vAlign w:val="bottom"/>
          </w:tcPr>
          <w:p>
            <w:pPr>
              <w:spacing w:after="0"/>
              <w:rPr>
                <w:sz w:val="18"/>
                <w:szCs w:val="18"/>
                <w:color w:val="auto"/>
              </w:rPr>
            </w:pPr>
          </w:p>
        </w:tc>
      </w:tr>
      <w:tr>
        <w:trPr>
          <w:trHeight w:val="230"/>
        </w:trPr>
        <w:tc>
          <w:tcPr>
            <w:tcW w:w="1160" w:type="dxa"/>
            <w:vAlign w:val="bottom"/>
          </w:tcPr>
          <w:p>
            <w:pPr>
              <w:spacing w:after="0"/>
              <w:rPr>
                <w:sz w:val="20"/>
                <w:szCs w:val="20"/>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Earnings per share</w:t>
            </w:r>
          </w:p>
        </w:tc>
        <w:tc>
          <w:tcPr>
            <w:tcW w:w="184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1.03</w:t>
            </w:r>
          </w:p>
        </w:tc>
        <w:tc>
          <w:tcPr>
            <w:tcW w:w="52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0.79</w:t>
            </w:r>
          </w:p>
        </w:tc>
        <w:tc>
          <w:tcPr>
            <w:tcW w:w="240" w:type="dxa"/>
            <w:vAlign w:val="bottom"/>
          </w:tcPr>
          <w:p>
            <w:pPr>
              <w:spacing w:after="0"/>
              <w:rPr>
                <w:sz w:val="20"/>
                <w:szCs w:val="20"/>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1160" w:type="dxa"/>
            <w:vAlign w:val="bottom"/>
          </w:tcPr>
          <w:p>
            <w:pPr>
              <w:spacing w:after="0"/>
              <w:rPr>
                <w:sz w:val="20"/>
                <w:szCs w:val="20"/>
                <w:color w:val="auto"/>
              </w:rPr>
            </w:pPr>
          </w:p>
        </w:tc>
      </w:tr>
      <w:tr>
        <w:trPr>
          <w:trHeight w:val="1141"/>
        </w:trPr>
        <w:tc>
          <w:tcPr>
            <w:tcW w:w="1160" w:type="dxa"/>
            <w:vAlign w:val="bottom"/>
            <w:tcBorders>
              <w:bottom w:val="single" w:sz="8" w:color="9A9A9A"/>
            </w:tcBorders>
          </w:tcPr>
          <w:p>
            <w:pPr>
              <w:spacing w:after="0"/>
              <w:rPr>
                <w:sz w:val="24"/>
                <w:szCs w:val="24"/>
                <w:color w:val="auto"/>
              </w:rPr>
            </w:pPr>
          </w:p>
        </w:tc>
        <w:tc>
          <w:tcPr>
            <w:tcW w:w="288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4980" w:type="dxa"/>
            <w:vAlign w:val="bottom"/>
            <w:gridSpan w:val="3"/>
          </w:tcPr>
          <w:p>
            <w:pPr>
              <w:spacing w:after="0"/>
              <w:rPr>
                <w:sz w:val="20"/>
                <w:szCs w:val="20"/>
                <w:color w:val="auto"/>
              </w:rPr>
            </w:pPr>
            <w:r>
              <w:rPr>
                <w:rFonts w:ascii="Arial" w:cs="Arial" w:eastAsia="Arial" w:hAnsi="Arial"/>
                <w:sz w:val="18"/>
                <w:szCs w:val="18"/>
                <w:b w:val="1"/>
                <w:bCs w:val="1"/>
                <w:color w:val="auto"/>
              </w:rPr>
              <w:t>TI reports 2Q17 financial results and shareholder returns</w:t>
            </w: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ind w:left="60"/>
              <w:spacing w:after="0"/>
              <w:rPr>
                <w:sz w:val="20"/>
                <w:szCs w:val="20"/>
                <w:color w:val="auto"/>
              </w:rPr>
            </w:pPr>
            <w:r>
              <w:rPr>
                <w:rFonts w:ascii="Arial" w:cs="Arial" w:eastAsia="Arial" w:hAnsi="Arial"/>
                <w:sz w:val="18"/>
                <w:szCs w:val="18"/>
                <w:b w:val="1"/>
                <w:bCs w:val="1"/>
                <w:color w:val="auto"/>
                <w:w w:val="82"/>
              </w:rPr>
              <w:t>Page 2</w:t>
            </w:r>
          </w:p>
        </w:tc>
        <w:tc>
          <w:tcPr>
            <w:tcW w:w="0" w:type="dxa"/>
            <w:vAlign w:val="bottom"/>
          </w:tcPr>
          <w:p>
            <w:pPr>
              <w:spacing w:after="0"/>
              <w:rPr>
                <w:sz w:val="1"/>
                <w:szCs w:val="1"/>
                <w:color w:val="auto"/>
              </w:rPr>
            </w:pPr>
          </w:p>
        </w:tc>
      </w:tr>
      <w:tr>
        <w:trPr>
          <w:trHeight w:val="540"/>
        </w:trPr>
        <w:tc>
          <w:tcPr>
            <w:tcW w:w="4980" w:type="dxa"/>
            <w:vAlign w:val="bottom"/>
            <w:gridSpan w:val="3"/>
          </w:tcPr>
          <w:p>
            <w:pPr>
              <w:spacing w:after="0"/>
              <w:rPr>
                <w:sz w:val="20"/>
                <w:szCs w:val="20"/>
                <w:color w:val="auto"/>
              </w:rPr>
            </w:pPr>
            <w:r>
              <w:rPr>
                <w:rFonts w:ascii="Arial" w:cs="Arial" w:eastAsia="Arial" w:hAnsi="Arial"/>
                <w:sz w:val="18"/>
                <w:szCs w:val="18"/>
                <w:b w:val="1"/>
                <w:bCs w:val="1"/>
                <w:color w:val="auto"/>
              </w:rPr>
              <w:t>Cash generation</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60" w:type="dxa"/>
            <w:vAlign w:val="bottom"/>
            <w:gridSpan w:val="2"/>
            <w:shd w:val="clear" w:color="auto" w:fill="000000"/>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980" w:type="dxa"/>
            <w:vAlign w:val="bottom"/>
            <w:gridSpan w:val="3"/>
          </w:tcPr>
          <w:p>
            <w:pPr>
              <w:spacing w:after="0"/>
              <w:rPr>
                <w:sz w:val="20"/>
                <w:szCs w:val="20"/>
                <w:color w:val="auto"/>
              </w:rPr>
            </w:pPr>
            <w:r>
              <w:rPr>
                <w:rFonts w:ascii="Arial" w:cs="Arial" w:eastAsia="Arial" w:hAnsi="Arial"/>
                <w:sz w:val="18"/>
                <w:szCs w:val="18"/>
                <w:i w:val="1"/>
                <w:iCs w:val="1"/>
                <w:color w:val="auto"/>
              </w:rPr>
              <w:t>Amounts are in millions of dollars.</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vMerge w:val="restart"/>
          </w:tcPr>
          <w:p>
            <w:pPr>
              <w:jc w:val="right"/>
              <w:ind w:right="270"/>
              <w:spacing w:after="0"/>
              <w:rPr>
                <w:sz w:val="20"/>
                <w:szCs w:val="20"/>
                <w:color w:val="auto"/>
              </w:rPr>
            </w:pPr>
            <w:r>
              <w:rPr>
                <w:rFonts w:ascii="Arial" w:cs="Arial" w:eastAsia="Arial" w:hAnsi="Arial"/>
                <w:sz w:val="18"/>
                <w:szCs w:val="18"/>
                <w:color w:val="auto"/>
              </w:rPr>
              <w:t>2Q17</w:t>
            </w:r>
          </w:p>
        </w:tc>
        <w:tc>
          <w:tcPr>
            <w:tcW w:w="1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8"/>
                <w:szCs w:val="18"/>
                <w:color w:val="auto"/>
              </w:rPr>
              <w:t>Trailing 12 Months</w:t>
            </w:r>
          </w:p>
        </w:tc>
        <w:tc>
          <w:tcPr>
            <w:tcW w:w="112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680" w:type="dxa"/>
            <w:vAlign w:val="bottom"/>
            <w:tcBorders>
              <w:bottom w:val="single" w:sz="8" w:color="CFF0FC"/>
            </w:tcBorders>
          </w:tcPr>
          <w:p>
            <w:pPr>
              <w:spacing w:after="0"/>
              <w:rPr>
                <w:sz w:val="18"/>
                <w:szCs w:val="18"/>
                <w:color w:val="auto"/>
              </w:rPr>
            </w:pPr>
          </w:p>
        </w:tc>
        <w:tc>
          <w:tcPr>
            <w:tcW w:w="3720" w:type="dxa"/>
            <w:vAlign w:val="bottom"/>
            <w:tcBorders>
              <w:bottom w:val="single" w:sz="8" w:color="CFF0FC"/>
            </w:tcBorders>
          </w:tcPr>
          <w:p>
            <w:pPr>
              <w:spacing w:after="0"/>
              <w:rPr>
                <w:sz w:val="18"/>
                <w:szCs w:val="18"/>
                <w:color w:val="auto"/>
              </w:rPr>
            </w:pPr>
          </w:p>
        </w:tc>
        <w:tc>
          <w:tcPr>
            <w:tcW w:w="54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2Q17</w:t>
            </w:r>
          </w:p>
        </w:tc>
        <w:tc>
          <w:tcPr>
            <w:tcW w:w="2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2Q16</w:t>
            </w:r>
          </w:p>
        </w:tc>
        <w:tc>
          <w:tcPr>
            <w:tcW w:w="280" w:type="dxa"/>
            <w:vAlign w:val="bottom"/>
            <w:tcBorders>
              <w:bottom w:val="single" w:sz="8" w:color="CFF0FC"/>
            </w:tcBorders>
          </w:tcPr>
          <w:p>
            <w:pPr>
              <w:spacing w:after="0"/>
              <w:rPr>
                <w:sz w:val="18"/>
                <w:szCs w:val="18"/>
                <w:color w:val="auto"/>
              </w:rPr>
            </w:pPr>
          </w:p>
        </w:tc>
        <w:tc>
          <w:tcPr>
            <w:tcW w:w="112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Change</w:t>
            </w:r>
          </w:p>
        </w:tc>
        <w:tc>
          <w:tcPr>
            <w:tcW w:w="180" w:type="dxa"/>
            <w:vAlign w:val="bottom"/>
            <w:tcBorders>
              <w:bottom w:val="single" w:sz="8" w:color="CFF0FC"/>
            </w:tcBorders>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4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Cash flow from operations</w:t>
            </w:r>
          </w:p>
        </w:tc>
        <w:tc>
          <w:tcPr>
            <w:tcW w:w="54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917</w:t>
            </w:r>
          </w:p>
        </w:tc>
        <w:tc>
          <w:tcPr>
            <w:tcW w:w="18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4,564</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4,624</w:t>
            </w:r>
          </w:p>
        </w:tc>
        <w:tc>
          <w:tcPr>
            <w:tcW w:w="2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Capital expenditures</w:t>
            </w:r>
          </w:p>
        </w:tc>
        <w:tc>
          <w:tcPr>
            <w:tcW w:w="74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151</w:t>
            </w:r>
          </w:p>
        </w:tc>
        <w:tc>
          <w:tcPr>
            <w:tcW w:w="4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527</w:t>
            </w:r>
          </w:p>
        </w:tc>
        <w:tc>
          <w:tcPr>
            <w:tcW w:w="5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585</w:t>
            </w:r>
          </w:p>
        </w:tc>
        <w:tc>
          <w:tcPr>
            <w:tcW w:w="2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4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Free cash flow</w:t>
            </w:r>
          </w:p>
        </w:tc>
        <w:tc>
          <w:tcPr>
            <w:tcW w:w="74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766</w:t>
            </w:r>
          </w:p>
        </w:tc>
        <w:tc>
          <w:tcPr>
            <w:tcW w:w="40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4,037</w:t>
            </w:r>
          </w:p>
        </w:tc>
        <w:tc>
          <w:tcPr>
            <w:tcW w:w="50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4,039</w:t>
            </w:r>
          </w:p>
        </w:tc>
        <w:tc>
          <w:tcPr>
            <w:tcW w:w="2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Free cash flow % of revenue</w:t>
            </w: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30"/>
              <w:spacing w:after="0"/>
              <w:rPr>
                <w:sz w:val="20"/>
                <w:szCs w:val="20"/>
                <w:color w:val="auto"/>
              </w:rPr>
            </w:pPr>
            <w:r>
              <w:rPr>
                <w:rFonts w:ascii="Arial" w:cs="Arial" w:eastAsia="Arial" w:hAnsi="Arial"/>
                <w:sz w:val="18"/>
                <w:szCs w:val="18"/>
                <w:color w:val="auto"/>
              </w:rPr>
              <w:t>28.5%</w:t>
            </w:r>
          </w:p>
        </w:tc>
        <w:tc>
          <w:tcPr>
            <w:tcW w:w="22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31.3%</w:t>
            </w: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Capital expenditures for the past 12 months were about 4 percent of revenue, consistent with TI’s long-term expectations.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Cash return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Amounts are in millions of dollars.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vMerge w:val="restart"/>
          </w:tcPr>
          <w:p>
            <w:pPr>
              <w:jc w:val="right"/>
              <w:ind w:right="270"/>
              <w:spacing w:after="0"/>
              <w:rPr>
                <w:sz w:val="20"/>
                <w:szCs w:val="20"/>
                <w:color w:val="auto"/>
              </w:rPr>
            </w:pPr>
            <w:r>
              <w:rPr>
                <w:rFonts w:ascii="Arial" w:cs="Arial" w:eastAsia="Arial" w:hAnsi="Arial"/>
                <w:sz w:val="18"/>
                <w:szCs w:val="18"/>
                <w:color w:val="auto"/>
              </w:rPr>
              <w:t>2Q17</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color w:val="auto"/>
                <w:w w:val="98"/>
              </w:rPr>
              <w:t>Trailing 12 Months</w:t>
            </w:r>
          </w:p>
        </w:tc>
        <w:tc>
          <w:tcPr>
            <w:tcW w:w="11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3140" w:type="dxa"/>
            <w:vAlign w:val="bottom"/>
            <w:tcBorders>
              <w:bottom w:val="single" w:sz="8" w:color="CFF0FC"/>
            </w:tcBorders>
          </w:tcPr>
          <w:p>
            <w:pPr>
              <w:spacing w:after="0"/>
              <w:rPr>
                <w:sz w:val="18"/>
                <w:szCs w:val="18"/>
                <w:color w:val="auto"/>
              </w:rPr>
            </w:pPr>
          </w:p>
        </w:tc>
        <w:tc>
          <w:tcPr>
            <w:tcW w:w="178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2Q17</w:t>
            </w:r>
          </w:p>
        </w:tc>
        <w:tc>
          <w:tcPr>
            <w:tcW w:w="220" w:type="dxa"/>
            <w:vAlign w:val="bottom"/>
            <w:tcBorders>
              <w:bottom w:val="single" w:sz="8" w:color="CFF0FC"/>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2Q16</w:t>
            </w:r>
          </w:p>
        </w:tc>
        <w:tc>
          <w:tcPr>
            <w:tcW w:w="220" w:type="dxa"/>
            <w:vAlign w:val="bottom"/>
            <w:tcBorders>
              <w:bottom w:val="single" w:sz="8" w:color="CFF0FC"/>
            </w:tcBorders>
          </w:tcPr>
          <w:p>
            <w:pPr>
              <w:spacing w:after="0"/>
              <w:rPr>
                <w:sz w:val="18"/>
                <w:szCs w:val="18"/>
                <w:color w:val="auto"/>
              </w:rPr>
            </w:pPr>
          </w:p>
        </w:tc>
        <w:tc>
          <w:tcPr>
            <w:tcW w:w="116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Change</w:t>
            </w:r>
          </w:p>
        </w:tc>
        <w:tc>
          <w:tcPr>
            <w:tcW w:w="160" w:type="dxa"/>
            <w:vAlign w:val="bottom"/>
            <w:tcBorders>
              <w:bottom w:val="single" w:sz="8" w:color="CFF0FC"/>
            </w:tcBorders>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3140" w:type="dxa"/>
            <w:vAlign w:val="bottom"/>
            <w:shd w:val="clear" w:color="auto" w:fill="CFF0FC"/>
          </w:tcPr>
          <w:p>
            <w:pPr>
              <w:spacing w:after="0"/>
              <w:rPr>
                <w:sz w:val="20"/>
                <w:szCs w:val="20"/>
                <w:color w:val="auto"/>
              </w:rPr>
            </w:pPr>
            <w:r>
              <w:rPr>
                <w:rFonts w:ascii="Arial" w:cs="Arial" w:eastAsia="Arial" w:hAnsi="Arial"/>
                <w:sz w:val="18"/>
                <w:szCs w:val="18"/>
                <w:color w:val="auto"/>
              </w:rPr>
              <w:t>Dividends paid</w:t>
            </w:r>
          </w:p>
        </w:tc>
        <w:tc>
          <w:tcPr>
            <w:tcW w:w="178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498</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1,879</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1,499</w:t>
            </w:r>
          </w:p>
        </w:tc>
        <w:tc>
          <w:tcPr>
            <w:tcW w:w="2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25%</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Stock repurchases</w:t>
            </w:r>
          </w:p>
        </w:tc>
        <w:tc>
          <w:tcPr>
            <w:tcW w:w="20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650</w:t>
            </w:r>
          </w:p>
        </w:tc>
        <w:tc>
          <w:tcPr>
            <w:tcW w:w="4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2,175</w:t>
            </w:r>
          </w:p>
        </w:tc>
        <w:tc>
          <w:tcPr>
            <w:tcW w:w="4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2,574</w:t>
            </w:r>
          </w:p>
        </w:tc>
        <w:tc>
          <w:tcPr>
            <w:tcW w:w="22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140" w:type="dxa"/>
            <w:vAlign w:val="bottom"/>
            <w:shd w:val="clear" w:color="auto" w:fill="CFF0FC"/>
          </w:tcPr>
          <w:p>
            <w:pPr>
              <w:spacing w:after="0"/>
              <w:rPr>
                <w:sz w:val="20"/>
                <w:szCs w:val="20"/>
                <w:color w:val="auto"/>
              </w:rPr>
            </w:pPr>
            <w:r>
              <w:rPr>
                <w:rFonts w:ascii="Arial" w:cs="Arial" w:eastAsia="Arial" w:hAnsi="Arial"/>
                <w:sz w:val="18"/>
                <w:szCs w:val="18"/>
                <w:color w:val="auto"/>
              </w:rPr>
              <w:t>Total cash returned</w:t>
            </w:r>
          </w:p>
        </w:tc>
        <w:tc>
          <w:tcPr>
            <w:tcW w:w="200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1,148</w:t>
            </w:r>
          </w:p>
        </w:tc>
        <w:tc>
          <w:tcPr>
            <w:tcW w:w="44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4,054</w:t>
            </w:r>
          </w:p>
        </w:tc>
        <w:tc>
          <w:tcPr>
            <w:tcW w:w="44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4,073</w:t>
            </w:r>
          </w:p>
        </w:tc>
        <w:tc>
          <w:tcPr>
            <w:tcW w:w="2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0"/>
        </w:trPr>
        <w:tc>
          <w:tcPr>
            <w:tcW w:w="580" w:type="dxa"/>
            <w:vAlign w:val="bottom"/>
            <w:tcBorders>
              <w:bottom w:val="single" w:sz="8" w:color="9A9A9A"/>
            </w:tcBorders>
          </w:tcPr>
          <w:p>
            <w:pPr>
              <w:spacing w:after="0"/>
              <w:rPr>
                <w:sz w:val="24"/>
                <w:szCs w:val="24"/>
                <w:color w:val="auto"/>
              </w:rPr>
            </w:pPr>
          </w:p>
        </w:tc>
        <w:tc>
          <w:tcPr>
            <w:tcW w:w="314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7900" w:type="dxa"/>
            <w:vAlign w:val="bottom"/>
            <w:gridSpan w:val="2"/>
          </w:tcPr>
          <w:p>
            <w:pPr>
              <w:spacing w:after="0"/>
              <w:rPr>
                <w:sz w:val="20"/>
                <w:szCs w:val="20"/>
                <w:color w:val="auto"/>
              </w:rPr>
            </w:pPr>
            <w:r>
              <w:rPr>
                <w:rFonts w:ascii="Arial" w:cs="Arial" w:eastAsia="Arial" w:hAnsi="Arial"/>
                <w:sz w:val="18"/>
                <w:szCs w:val="18"/>
                <w:b w:val="1"/>
                <w:bCs w:val="1"/>
                <w:color w:val="auto"/>
              </w:rPr>
              <w:t>TI reports 2Q17 financial results and shareholder returns</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b w:val="1"/>
                <w:bCs w:val="1"/>
                <w:color w:val="auto"/>
              </w:rPr>
              <w:t>Page 3</w:t>
            </w: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8980" w:type="dxa"/>
            <w:vAlign w:val="bottom"/>
            <w:gridSpan w:val="3"/>
          </w:tcPr>
          <w:p>
            <w:pPr>
              <w:jc w:val="center"/>
              <w:ind w:left="2310"/>
              <w:spacing w:after="0"/>
              <w:rPr>
                <w:sz w:val="20"/>
                <w:szCs w:val="20"/>
                <w:color w:val="auto"/>
              </w:rPr>
            </w:pPr>
            <w:r>
              <w:rPr>
                <w:rFonts w:ascii="Arial" w:cs="Arial" w:eastAsia="Arial" w:hAnsi="Arial"/>
                <w:sz w:val="18"/>
                <w:szCs w:val="18"/>
                <w:b w:val="1"/>
                <w:bCs w:val="1"/>
                <w:color w:val="auto"/>
                <w:w w:val="99"/>
              </w:rPr>
              <w:t>TEXAS INSTRUMENTS INCORPORATED AND SUBSIDIARIES</w:t>
            </w: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jc w:val="center"/>
              <w:ind w:left="3430"/>
              <w:spacing w:after="0"/>
              <w:rPr>
                <w:sz w:val="20"/>
                <w:szCs w:val="20"/>
                <w:color w:val="auto"/>
              </w:rPr>
            </w:pPr>
            <w:r>
              <w:rPr>
                <w:rFonts w:ascii="Arial" w:cs="Arial" w:eastAsia="Arial" w:hAnsi="Arial"/>
                <w:sz w:val="18"/>
                <w:szCs w:val="18"/>
                <w:b w:val="1"/>
                <w:bCs w:val="1"/>
                <w:color w:val="auto"/>
                <w:w w:val="88"/>
              </w:rPr>
              <w:t>Consolidated Statements of Income</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880" w:type="dxa"/>
            <w:vAlign w:val="bottom"/>
          </w:tcPr>
          <w:p>
            <w:pPr>
              <w:jc w:val="center"/>
              <w:ind w:left="3410"/>
              <w:spacing w:after="0"/>
              <w:rPr>
                <w:sz w:val="20"/>
                <w:szCs w:val="20"/>
                <w:color w:val="auto"/>
              </w:rPr>
            </w:pPr>
            <w:r>
              <w:rPr>
                <w:rFonts w:ascii="Arial" w:cs="Arial" w:eastAsia="Arial" w:hAnsi="Arial"/>
                <w:sz w:val="18"/>
                <w:szCs w:val="18"/>
                <w:b w:val="1"/>
                <w:bCs w:val="1"/>
                <w:color w:val="auto"/>
                <w:w w:val="89"/>
              </w:rPr>
              <w:t>(Millions of dollars, except share and per-share amounts)</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7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60" w:type="dxa"/>
            <w:vAlign w:val="bottom"/>
            <w:gridSpan w:val="5"/>
          </w:tcPr>
          <w:p>
            <w:pPr>
              <w:jc w:val="right"/>
              <w:ind w:right="85"/>
              <w:spacing w:after="0"/>
              <w:rPr>
                <w:sz w:val="20"/>
                <w:szCs w:val="20"/>
                <w:color w:val="auto"/>
              </w:rPr>
            </w:pPr>
            <w:r>
              <w:rPr>
                <w:rFonts w:ascii="Arial" w:cs="Arial" w:eastAsia="Arial" w:hAnsi="Arial"/>
                <w:sz w:val="18"/>
                <w:szCs w:val="18"/>
                <w:b w:val="1"/>
                <w:bCs w:val="1"/>
                <w:color w:val="auto"/>
              </w:rPr>
              <w:t>For Three Months Ended</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4"/>
          </w:tcPr>
          <w:p>
            <w:pPr>
              <w:jc w:val="right"/>
              <w:ind w:right="745"/>
              <w:spacing w:after="0" w:line="202" w:lineRule="exact"/>
              <w:rPr>
                <w:sz w:val="20"/>
                <w:szCs w:val="20"/>
                <w:color w:val="auto"/>
              </w:rPr>
            </w:pPr>
            <w:r>
              <w:rPr>
                <w:rFonts w:ascii="Arial" w:cs="Arial" w:eastAsia="Arial" w:hAnsi="Arial"/>
                <w:sz w:val="18"/>
                <w:szCs w:val="18"/>
                <w:b w:val="1"/>
                <w:bCs w:val="1"/>
                <w:color w:val="auto"/>
              </w:rPr>
              <w:t>June 30,</w:t>
            </w:r>
          </w:p>
        </w:tc>
        <w:tc>
          <w:tcPr>
            <w:tcW w:w="48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jc w:val="right"/>
              <w:ind w:right="5"/>
              <w:spacing w:after="0"/>
              <w:rPr>
                <w:sz w:val="20"/>
                <w:szCs w:val="20"/>
                <w:color w:val="auto"/>
              </w:rPr>
            </w:pPr>
            <w:r>
              <w:rPr>
                <w:rFonts w:ascii="Arial" w:cs="Arial" w:eastAsia="Arial" w:hAnsi="Arial"/>
                <w:sz w:val="18"/>
                <w:szCs w:val="18"/>
                <w:b w:val="1"/>
                <w:bCs w:val="1"/>
                <w:color w:val="auto"/>
              </w:rPr>
              <w:t>2016</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w:t>
            </w:r>
          </w:p>
        </w:tc>
        <w:tc>
          <w:tcPr>
            <w:tcW w:w="120" w:type="dxa"/>
            <w:vAlign w:val="bottom"/>
            <w:tcBorders>
              <w:top w:val="single" w:sz="8" w:color="CFF0FC"/>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jc w:val="right"/>
              <w:ind w:right="817"/>
              <w:spacing w:after="0"/>
              <w:rPr>
                <w:sz w:val="20"/>
                <w:szCs w:val="20"/>
                <w:color w:val="auto"/>
              </w:rPr>
            </w:pPr>
            <w:r>
              <w:rPr>
                <w:rFonts w:ascii="Arial" w:cs="Arial" w:eastAsia="Arial" w:hAnsi="Arial"/>
                <w:sz w:val="15"/>
                <w:szCs w:val="15"/>
                <w:b w:val="1"/>
                <w:bCs w:val="1"/>
                <w:color w:val="auto"/>
                <w:w w:val="71"/>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3,693</w:t>
            </w:r>
          </w:p>
        </w:tc>
        <w:tc>
          <w:tcPr>
            <w:tcW w:w="3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jc w:val="right"/>
              <w:ind w:right="825"/>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3,273</w:t>
            </w:r>
          </w:p>
        </w:tc>
        <w:tc>
          <w:tcPr>
            <w:tcW w:w="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Cost of revenue (COR)</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1,319</w:t>
            </w: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1,266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Gross profit</w:t>
            </w:r>
          </w:p>
        </w:tc>
        <w:tc>
          <w:tcPr>
            <w:tcW w:w="120" w:type="dxa"/>
            <w:vAlign w:val="bottom"/>
            <w:tcBorders>
              <w:top w:val="single" w:sz="8" w:color="CFF0FC"/>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2,374</w:t>
            </w:r>
          </w:p>
        </w:tc>
        <w:tc>
          <w:tcPr>
            <w:tcW w:w="3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2,007</w:t>
            </w:r>
          </w:p>
        </w:tc>
        <w:tc>
          <w:tcPr>
            <w:tcW w:w="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Research and development (R&amp;D)</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378</w:t>
            </w: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341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Selling, general and administrative (SG&amp;A)</w:t>
            </w: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b w:val="1"/>
                <w:bCs w:val="1"/>
                <w:color w:val="auto"/>
              </w:rPr>
              <w:t>434</w:t>
            </w:r>
          </w:p>
        </w:tc>
        <w:tc>
          <w:tcPr>
            <w:tcW w:w="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454</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Acquisition charges</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79</w:t>
            </w: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79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Restructuring charges/other</w:t>
            </w: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b w:val="1"/>
                <w:bCs w:val="1"/>
                <w:color w:val="auto"/>
              </w:rPr>
              <w:t>3</w:t>
            </w:r>
          </w:p>
        </w:tc>
        <w:tc>
          <w:tcPr>
            <w:tcW w:w="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Operating profit</w:t>
            </w:r>
          </w:p>
        </w:tc>
        <w:tc>
          <w:tcPr>
            <w:tcW w:w="12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1,480</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 net (OI&amp;E)</w:t>
            </w: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b w:val="1"/>
                <w:bCs w:val="1"/>
                <w:color w:val="auto"/>
              </w:rPr>
              <w:t>26</w:t>
            </w:r>
          </w:p>
        </w:tc>
        <w:tc>
          <w:tcPr>
            <w:tcW w:w="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4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Interest and debt expense</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20</w:t>
            </w: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Income before income taxes</w:t>
            </w:r>
          </w:p>
        </w:tc>
        <w:tc>
          <w:tcPr>
            <w:tcW w:w="120" w:type="dxa"/>
            <w:vAlign w:val="bottom"/>
            <w:tcBorders>
              <w:top w:val="single" w:sz="8" w:color="CFF0FC"/>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1,486</w:t>
            </w:r>
          </w:p>
        </w:tc>
        <w:tc>
          <w:tcPr>
            <w:tcW w:w="30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1,102</w:t>
            </w:r>
          </w:p>
        </w:tc>
        <w:tc>
          <w:tcPr>
            <w:tcW w:w="2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430</w:t>
            </w:r>
          </w:p>
        </w:tc>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283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8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income</w:t>
            </w:r>
          </w:p>
        </w:tc>
        <w:tc>
          <w:tcPr>
            <w:tcW w:w="120" w:type="dxa"/>
            <w:vAlign w:val="bottom"/>
            <w:tcBorders>
              <w:top w:val="single" w:sz="8" w:color="CFF0FC"/>
              <w:bottom w:val="single" w:sz="8" w:color="CFF0FC"/>
            </w:tcBorders>
            <w:shd w:val="clear" w:color="auto" w:fill="CFF0FC"/>
          </w:tcPr>
          <w:p>
            <w:pPr>
              <w:spacing w:after="0"/>
              <w:rPr>
                <w:sz w:val="21"/>
                <w:szCs w:val="21"/>
                <w:color w:val="auto"/>
              </w:rPr>
            </w:pPr>
          </w:p>
        </w:tc>
        <w:tc>
          <w:tcPr>
            <w:tcW w:w="980" w:type="dxa"/>
            <w:vAlign w:val="bottom"/>
            <w:tcBorders>
              <w:top w:val="single" w:sz="8" w:color="auto"/>
              <w:bottom w:val="single" w:sz="8" w:color="auto"/>
            </w:tcBorders>
            <w:shd w:val="clear" w:color="auto" w:fill="CFF0FC"/>
          </w:tcPr>
          <w:p>
            <w:pPr>
              <w:jc w:val="right"/>
              <w:ind w:right="817"/>
              <w:spacing w:after="0"/>
              <w:rPr>
                <w:sz w:val="20"/>
                <w:szCs w:val="20"/>
                <w:color w:val="auto"/>
              </w:rPr>
            </w:pPr>
            <w:r>
              <w:rPr>
                <w:rFonts w:ascii="Arial" w:cs="Arial" w:eastAsia="Arial" w:hAnsi="Arial"/>
                <w:sz w:val="15"/>
                <w:szCs w:val="15"/>
                <w:b w:val="1"/>
                <w:bCs w:val="1"/>
                <w:color w:val="auto"/>
                <w:w w:val="71"/>
              </w:rPr>
              <w:t>$</w:t>
            </w: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1,056</w:t>
            </w:r>
          </w:p>
        </w:tc>
        <w:tc>
          <w:tcPr>
            <w:tcW w:w="300" w:type="dxa"/>
            <w:vAlign w:val="bottom"/>
            <w:tcBorders>
              <w:top w:val="single" w:sz="8" w:color="CFF0FC"/>
              <w:bottom w:val="single" w:sz="8" w:color="CFF0FC"/>
            </w:tcBorders>
            <w:shd w:val="clear" w:color="auto" w:fill="CFF0FC"/>
          </w:tcPr>
          <w:p>
            <w:pPr>
              <w:spacing w:after="0"/>
              <w:rPr>
                <w:sz w:val="21"/>
                <w:szCs w:val="21"/>
                <w:color w:val="auto"/>
              </w:rPr>
            </w:pPr>
          </w:p>
        </w:tc>
        <w:tc>
          <w:tcPr>
            <w:tcW w:w="20" w:type="dxa"/>
            <w:vAlign w:val="bottom"/>
            <w:tcBorders>
              <w:top w:val="single" w:sz="8" w:color="CFF0FC"/>
              <w:bottom w:val="single" w:sz="8" w:color="CFF0FC"/>
            </w:tcBorders>
            <w:shd w:val="clear" w:color="auto" w:fill="CFF0FC"/>
          </w:tcPr>
          <w:p>
            <w:pPr>
              <w:spacing w:after="0"/>
              <w:rPr>
                <w:sz w:val="21"/>
                <w:szCs w:val="21"/>
                <w:color w:val="auto"/>
              </w:rPr>
            </w:pPr>
          </w:p>
        </w:tc>
        <w:tc>
          <w:tcPr>
            <w:tcW w:w="980" w:type="dxa"/>
            <w:vAlign w:val="bottom"/>
            <w:tcBorders>
              <w:top w:val="single" w:sz="8" w:color="auto"/>
              <w:bottom w:val="single" w:sz="8" w:color="auto"/>
            </w:tcBorders>
            <w:shd w:val="clear" w:color="auto" w:fill="CFF0FC"/>
          </w:tcPr>
          <w:p>
            <w:pPr>
              <w:jc w:val="right"/>
              <w:ind w:right="825"/>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819</w:t>
            </w:r>
          </w:p>
        </w:tc>
        <w:tc>
          <w:tcPr>
            <w:tcW w:w="20" w:type="dxa"/>
            <w:vAlign w:val="bottom"/>
            <w:tcBorders>
              <w:top w:val="single" w:sz="8" w:color="CFF0FC"/>
              <w:bottom w:val="single" w:sz="8" w:color="CFF0FC"/>
            </w:tcBorders>
            <w:shd w:val="clear" w:color="auto" w:fill="CFF0FC"/>
          </w:tcPr>
          <w:p>
            <w:pPr>
              <w:spacing w:after="0"/>
              <w:rPr>
                <w:sz w:val="21"/>
                <w:szCs w:val="21"/>
                <w:color w:val="auto"/>
              </w:rPr>
            </w:pPr>
          </w:p>
        </w:tc>
        <w:tc>
          <w:tcPr>
            <w:tcW w:w="140" w:type="dxa"/>
            <w:vAlign w:val="bottom"/>
            <w:tcBorders>
              <w:top w:val="single" w:sz="8" w:color="CFF0FC"/>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788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980" w:type="dxa"/>
            <w:vAlign w:val="bottom"/>
            <w:shd w:val="clear" w:color="auto" w:fill="CFF0FC"/>
          </w:tcPr>
          <w:p>
            <w:pPr>
              <w:spacing w:after="0"/>
              <w:rPr>
                <w:sz w:val="6"/>
                <w:szCs w:val="6"/>
                <w:color w:val="auto"/>
              </w:rPr>
            </w:pPr>
          </w:p>
        </w:tc>
        <w:tc>
          <w:tcPr>
            <w:tcW w:w="480" w:type="dxa"/>
            <w:vAlign w:val="bottom"/>
            <w:shd w:val="clear" w:color="auto" w:fill="CFF0FC"/>
          </w:tcPr>
          <w:p>
            <w:pPr>
              <w:spacing w:after="0"/>
              <w:rPr>
                <w:sz w:val="6"/>
                <w:szCs w:val="6"/>
                <w:color w:val="auto"/>
              </w:rPr>
            </w:pPr>
          </w:p>
        </w:tc>
        <w:tc>
          <w:tcPr>
            <w:tcW w:w="300" w:type="dxa"/>
            <w:vAlign w:val="bottom"/>
            <w:shd w:val="clear" w:color="auto" w:fill="CFF0FC"/>
          </w:tcPr>
          <w:p>
            <w:pPr>
              <w:spacing w:after="0"/>
              <w:rPr>
                <w:sz w:val="6"/>
                <w:szCs w:val="6"/>
                <w:color w:val="auto"/>
              </w:rPr>
            </w:pPr>
          </w:p>
        </w:tc>
        <w:tc>
          <w:tcPr>
            <w:tcW w:w="20" w:type="dxa"/>
            <w:vAlign w:val="bottom"/>
            <w:shd w:val="clear" w:color="auto" w:fill="CFF0FC"/>
          </w:tcPr>
          <w:p>
            <w:pPr>
              <w:spacing w:after="0"/>
              <w:rPr>
                <w:sz w:val="6"/>
                <w:szCs w:val="6"/>
                <w:color w:val="auto"/>
              </w:rPr>
            </w:pPr>
          </w:p>
        </w:tc>
        <w:tc>
          <w:tcPr>
            <w:tcW w:w="980" w:type="dxa"/>
            <w:vAlign w:val="bottom"/>
            <w:shd w:val="clear" w:color="auto" w:fill="CFF0FC"/>
          </w:tcPr>
          <w:p>
            <w:pPr>
              <w:spacing w:after="0"/>
              <w:rPr>
                <w:sz w:val="6"/>
                <w:szCs w:val="6"/>
                <w:color w:val="auto"/>
              </w:rPr>
            </w:pPr>
          </w:p>
        </w:tc>
        <w:tc>
          <w:tcPr>
            <w:tcW w:w="480" w:type="dxa"/>
            <w:vAlign w:val="bottom"/>
            <w:shd w:val="clear" w:color="auto" w:fill="CFF0FC"/>
          </w:tcPr>
          <w:p>
            <w:pPr>
              <w:spacing w:after="0"/>
              <w:rPr>
                <w:sz w:val="6"/>
                <w:szCs w:val="6"/>
                <w:color w:val="auto"/>
              </w:rPr>
            </w:pPr>
          </w:p>
        </w:tc>
        <w:tc>
          <w:tcPr>
            <w:tcW w:w="20" w:type="dxa"/>
            <w:vAlign w:val="bottom"/>
            <w:shd w:val="clear" w:color="auto" w:fill="CFF0FC"/>
          </w:tcPr>
          <w:p>
            <w:pPr>
              <w:spacing w:after="0"/>
              <w:rPr>
                <w:sz w:val="6"/>
                <w:szCs w:val="6"/>
                <w:color w:val="auto"/>
              </w:rPr>
            </w:pPr>
          </w:p>
        </w:tc>
        <w:tc>
          <w:tcPr>
            <w:tcW w:w="140" w:type="dxa"/>
            <w:vAlign w:val="bottom"/>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Diluted earnings per common share</w:t>
            </w:r>
          </w:p>
        </w:tc>
        <w:tc>
          <w:tcPr>
            <w:tcW w:w="1100" w:type="dxa"/>
            <w:vAlign w:val="bottom"/>
            <w:gridSpan w:val="2"/>
          </w:tcPr>
          <w:p>
            <w:pPr>
              <w:jc w:val="right"/>
              <w:ind w:right="817"/>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1.03</w:t>
            </w:r>
          </w:p>
        </w:tc>
        <w:tc>
          <w:tcPr>
            <w:tcW w:w="1000" w:type="dxa"/>
            <w:vAlign w:val="bottom"/>
            <w:gridSpan w:val="2"/>
          </w:tcPr>
          <w:p>
            <w:pPr>
              <w:jc w:val="right"/>
              <w:ind w:right="825"/>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.79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0" w:type="dxa"/>
            <w:vAlign w:val="bottom"/>
            <w:vMerge w:val="restart"/>
          </w:tcPr>
          <w:p>
            <w:pPr>
              <w:spacing w:after="0"/>
              <w:rPr>
                <w:sz w:val="6"/>
                <w:szCs w:val="6"/>
                <w:color w:val="auto"/>
              </w:rPr>
            </w:pPr>
          </w:p>
        </w:tc>
        <w:tc>
          <w:tcPr>
            <w:tcW w:w="7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9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98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shd w:val="clear" w:color="auto" w:fill="CFF0FC"/>
          </w:tcPr>
          <w:p>
            <w:pPr>
              <w:spacing w:after="0"/>
              <w:rPr>
                <w:sz w:val="20"/>
                <w:szCs w:val="20"/>
                <w:color w:val="auto"/>
              </w:rPr>
            </w:pPr>
            <w:r>
              <w:rPr>
                <w:rFonts w:ascii="Arial" w:cs="Arial" w:eastAsia="Arial" w:hAnsi="Arial"/>
                <w:sz w:val="18"/>
                <w:szCs w:val="18"/>
                <w:color w:val="auto"/>
              </w:rPr>
              <w:t>Average shares outstanding (millions):</w:t>
            </w: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880" w:type="dxa"/>
            <w:vAlign w:val="bottom"/>
          </w:tcPr>
          <w:p>
            <w:pPr>
              <w:ind w:left="160"/>
              <w:spacing w:after="0"/>
              <w:rPr>
                <w:sz w:val="20"/>
                <w:szCs w:val="20"/>
                <w:color w:val="auto"/>
              </w:rPr>
            </w:pPr>
            <w:r>
              <w:rPr>
                <w:rFonts w:ascii="Arial" w:cs="Arial" w:eastAsia="Arial" w:hAnsi="Arial"/>
                <w:sz w:val="18"/>
                <w:szCs w:val="18"/>
                <w:color w:val="auto"/>
              </w:rPr>
              <w:t>Basic</w:t>
            </w:r>
          </w:p>
        </w:tc>
        <w:tc>
          <w:tcPr>
            <w:tcW w:w="1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994</w:t>
            </w:r>
          </w:p>
        </w:tc>
        <w:tc>
          <w:tcPr>
            <w:tcW w:w="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1,004</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880" w:type="dxa"/>
            <w:vAlign w:val="bottom"/>
            <w:tcBorders>
              <w:top w:val="single" w:sz="8" w:color="CFF0FC"/>
              <w:bottom w:val="single" w:sz="8" w:color="CFF0FC"/>
            </w:tcBorders>
            <w:shd w:val="clear" w:color="auto" w:fill="CFF0FC"/>
          </w:tcPr>
          <w:p>
            <w:pPr>
              <w:ind w:left="160"/>
              <w:spacing w:after="0" w:line="196" w:lineRule="exact"/>
              <w:rPr>
                <w:sz w:val="20"/>
                <w:szCs w:val="20"/>
                <w:color w:val="auto"/>
              </w:rPr>
            </w:pPr>
            <w:r>
              <w:rPr>
                <w:rFonts w:ascii="Arial" w:cs="Arial" w:eastAsia="Arial" w:hAnsi="Arial"/>
                <w:sz w:val="18"/>
                <w:szCs w:val="18"/>
                <w:color w:val="auto"/>
              </w:rPr>
              <w:t>Diluted</w:t>
            </w:r>
          </w:p>
        </w:tc>
        <w:tc>
          <w:tcPr>
            <w:tcW w:w="120" w:type="dxa"/>
            <w:vAlign w:val="bottom"/>
            <w:tcBorders>
              <w:top w:val="single" w:sz="8" w:color="CFF0FC"/>
              <w:bottom w:val="single" w:sz="8" w:color="CFF0FC"/>
            </w:tcBorders>
            <w:shd w:val="clear" w:color="auto" w:fill="CFF0FC"/>
          </w:tcPr>
          <w:p>
            <w:pPr>
              <w:spacing w:after="0"/>
              <w:rPr>
                <w:sz w:val="20"/>
                <w:szCs w:val="20"/>
                <w:color w:val="auto"/>
              </w:rPr>
            </w:pPr>
          </w:p>
        </w:tc>
        <w:tc>
          <w:tcPr>
            <w:tcW w:w="980" w:type="dxa"/>
            <w:vAlign w:val="bottom"/>
            <w:tcBorders>
              <w:top w:val="single" w:sz="8" w:color="auto"/>
              <w:bottom w:val="single" w:sz="8" w:color="auto"/>
            </w:tcBorders>
            <w:shd w:val="clear" w:color="auto" w:fill="CFF0FC"/>
          </w:tcPr>
          <w:p>
            <w:pPr>
              <w:spacing w:after="0"/>
              <w:rPr>
                <w:sz w:val="20"/>
                <w:szCs w:val="20"/>
                <w:color w:val="auto"/>
              </w:rPr>
            </w:pPr>
          </w:p>
        </w:tc>
        <w:tc>
          <w:tcPr>
            <w:tcW w:w="4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b w:val="1"/>
                <w:bCs w:val="1"/>
                <w:color w:val="auto"/>
              </w:rPr>
              <w:t>1,015</w:t>
            </w:r>
          </w:p>
        </w:tc>
        <w:tc>
          <w:tcPr>
            <w:tcW w:w="300" w:type="dxa"/>
            <w:vAlign w:val="bottom"/>
            <w:tcBorders>
              <w:top w:val="single" w:sz="8" w:color="CFF0FC"/>
              <w:bottom w:val="single" w:sz="8" w:color="CFF0FC"/>
            </w:tcBorders>
            <w:shd w:val="clear" w:color="auto" w:fill="CFF0FC"/>
          </w:tcPr>
          <w:p>
            <w:pPr>
              <w:spacing w:after="0"/>
              <w:rPr>
                <w:sz w:val="20"/>
                <w:szCs w:val="20"/>
                <w:color w:val="auto"/>
              </w:rPr>
            </w:pPr>
          </w:p>
        </w:tc>
        <w:tc>
          <w:tcPr>
            <w:tcW w:w="20" w:type="dxa"/>
            <w:vAlign w:val="bottom"/>
            <w:tcBorders>
              <w:top w:val="single" w:sz="8" w:color="CFF0FC"/>
              <w:bottom w:val="single" w:sz="8" w:color="CFF0FC"/>
            </w:tcBorders>
            <w:shd w:val="clear" w:color="auto" w:fill="CFF0FC"/>
          </w:tcPr>
          <w:p>
            <w:pPr>
              <w:spacing w:after="0"/>
              <w:rPr>
                <w:sz w:val="20"/>
                <w:szCs w:val="20"/>
                <w:color w:val="auto"/>
              </w:rPr>
            </w:pPr>
          </w:p>
        </w:tc>
        <w:tc>
          <w:tcPr>
            <w:tcW w:w="980" w:type="dxa"/>
            <w:vAlign w:val="bottom"/>
            <w:tcBorders>
              <w:top w:val="single" w:sz="8" w:color="auto"/>
              <w:bottom w:val="single" w:sz="8" w:color="auto"/>
            </w:tcBorders>
            <w:shd w:val="clear" w:color="auto" w:fill="CFF0FC"/>
          </w:tcPr>
          <w:p>
            <w:pPr>
              <w:spacing w:after="0"/>
              <w:rPr>
                <w:sz w:val="20"/>
                <w:szCs w:val="20"/>
                <w:color w:val="auto"/>
              </w:rPr>
            </w:pPr>
          </w:p>
        </w:tc>
        <w:tc>
          <w:tcPr>
            <w:tcW w:w="4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1,020</w:t>
            </w:r>
          </w:p>
        </w:tc>
        <w:tc>
          <w:tcPr>
            <w:tcW w:w="20" w:type="dxa"/>
            <w:vAlign w:val="bottom"/>
            <w:tcBorders>
              <w:top w:val="single" w:sz="8" w:color="CFF0FC"/>
              <w:bottom w:val="single" w:sz="8" w:color="CFF0FC"/>
            </w:tcBorders>
            <w:shd w:val="clear" w:color="auto" w:fill="CFF0FC"/>
          </w:tcPr>
          <w:p>
            <w:pPr>
              <w:spacing w:after="0"/>
              <w:rPr>
                <w:sz w:val="20"/>
                <w:szCs w:val="20"/>
                <w:color w:val="auto"/>
              </w:rPr>
            </w:pPr>
          </w:p>
        </w:tc>
        <w:tc>
          <w:tcPr>
            <w:tcW w:w="140" w:type="dxa"/>
            <w:vAlign w:val="bottom"/>
            <w:tcBorders>
              <w:top w:val="single" w:sz="8" w:color="CFF0FC"/>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788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980" w:type="dxa"/>
            <w:vAlign w:val="bottom"/>
            <w:shd w:val="clear" w:color="auto" w:fill="CFF0FC"/>
          </w:tcPr>
          <w:p>
            <w:pPr>
              <w:spacing w:after="0"/>
              <w:rPr>
                <w:sz w:val="6"/>
                <w:szCs w:val="6"/>
                <w:color w:val="auto"/>
              </w:rPr>
            </w:pPr>
          </w:p>
        </w:tc>
        <w:tc>
          <w:tcPr>
            <w:tcW w:w="480" w:type="dxa"/>
            <w:vAlign w:val="bottom"/>
            <w:shd w:val="clear" w:color="auto" w:fill="CFF0FC"/>
          </w:tcPr>
          <w:p>
            <w:pPr>
              <w:spacing w:after="0"/>
              <w:rPr>
                <w:sz w:val="6"/>
                <w:szCs w:val="6"/>
                <w:color w:val="auto"/>
              </w:rPr>
            </w:pPr>
          </w:p>
        </w:tc>
        <w:tc>
          <w:tcPr>
            <w:tcW w:w="300" w:type="dxa"/>
            <w:vAlign w:val="bottom"/>
            <w:shd w:val="clear" w:color="auto" w:fill="CFF0FC"/>
          </w:tcPr>
          <w:p>
            <w:pPr>
              <w:spacing w:after="0"/>
              <w:rPr>
                <w:sz w:val="6"/>
                <w:szCs w:val="6"/>
                <w:color w:val="auto"/>
              </w:rPr>
            </w:pPr>
          </w:p>
        </w:tc>
        <w:tc>
          <w:tcPr>
            <w:tcW w:w="20" w:type="dxa"/>
            <w:vAlign w:val="bottom"/>
            <w:shd w:val="clear" w:color="auto" w:fill="CFF0FC"/>
          </w:tcPr>
          <w:p>
            <w:pPr>
              <w:spacing w:after="0"/>
              <w:rPr>
                <w:sz w:val="6"/>
                <w:szCs w:val="6"/>
                <w:color w:val="auto"/>
              </w:rPr>
            </w:pPr>
          </w:p>
        </w:tc>
        <w:tc>
          <w:tcPr>
            <w:tcW w:w="980" w:type="dxa"/>
            <w:vAlign w:val="bottom"/>
            <w:shd w:val="clear" w:color="auto" w:fill="CFF0FC"/>
          </w:tcPr>
          <w:p>
            <w:pPr>
              <w:spacing w:after="0"/>
              <w:rPr>
                <w:sz w:val="6"/>
                <w:szCs w:val="6"/>
                <w:color w:val="auto"/>
              </w:rPr>
            </w:pPr>
          </w:p>
        </w:tc>
        <w:tc>
          <w:tcPr>
            <w:tcW w:w="480" w:type="dxa"/>
            <w:vAlign w:val="bottom"/>
            <w:shd w:val="clear" w:color="auto" w:fill="CFF0FC"/>
          </w:tcPr>
          <w:p>
            <w:pPr>
              <w:spacing w:after="0"/>
              <w:rPr>
                <w:sz w:val="6"/>
                <w:szCs w:val="6"/>
                <w:color w:val="auto"/>
              </w:rPr>
            </w:pPr>
          </w:p>
        </w:tc>
        <w:tc>
          <w:tcPr>
            <w:tcW w:w="20" w:type="dxa"/>
            <w:vAlign w:val="bottom"/>
            <w:shd w:val="clear" w:color="auto" w:fill="CFF0FC"/>
          </w:tcPr>
          <w:p>
            <w:pPr>
              <w:spacing w:after="0"/>
              <w:rPr>
                <w:sz w:val="6"/>
                <w:szCs w:val="6"/>
                <w:color w:val="auto"/>
              </w:rPr>
            </w:pPr>
          </w:p>
        </w:tc>
        <w:tc>
          <w:tcPr>
            <w:tcW w:w="140" w:type="dxa"/>
            <w:vAlign w:val="bottom"/>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Cash dividends declared per common share</w:t>
            </w:r>
          </w:p>
        </w:tc>
        <w:tc>
          <w:tcPr>
            <w:tcW w:w="1100" w:type="dxa"/>
            <w:vAlign w:val="bottom"/>
            <w:gridSpan w:val="2"/>
          </w:tcPr>
          <w:p>
            <w:pPr>
              <w:jc w:val="right"/>
              <w:ind w:right="817"/>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.50</w:t>
            </w:r>
          </w:p>
        </w:tc>
        <w:tc>
          <w:tcPr>
            <w:tcW w:w="1000" w:type="dxa"/>
            <w:vAlign w:val="bottom"/>
            <w:gridSpan w:val="2"/>
          </w:tcPr>
          <w:p>
            <w:pPr>
              <w:jc w:val="right"/>
              <w:ind w:right="825"/>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Certain amounts in the prior period have been adjusted to reflect the following: (1) the fourth-quarter 2016 early adoption of ASU 2016-09 related to stock-based compensation, and (2) the first-quarter 2017 early adoption of ASU 2017-07 related to the reclassification of certain pension and other retiree benefit costs to OI&amp;E.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-424180</wp:posOffset>
            </wp:positionV>
            <wp:extent cx="7246620" cy="548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548640"/>
                    </a:xfrm>
                    <a:prstGeom prst="rect">
                      <a:avLst/>
                    </a:prstGeom>
                    <a:noFill/>
                  </pic:spPr>
                </pic:pic>
              </a:graphicData>
            </a:graphic>
          </wp:anchor>
        </w:drawing>
      </w:r>
    </w:p>
    <w:p>
      <w:pPr>
        <w:spacing w:after="0" w:line="157"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Supplemental Information</w:t>
      </w:r>
    </w:p>
    <w:p>
      <w:pPr>
        <w:spacing w:after="0" w:line="27"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(Quarterly, except as noted)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62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 is based on the following:</w:t>
            </w:r>
          </w:p>
        </w:tc>
        <w:tc>
          <w:tcPr>
            <w:tcW w:w="13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Operating taxes (calculated using the estimated annual effective tax rate)</w:t>
            </w:r>
          </w:p>
        </w:tc>
        <w:tc>
          <w:tcPr>
            <w:tcW w:w="2020" w:type="dxa"/>
            <w:vAlign w:val="bottom"/>
            <w:gridSpan w:val="2"/>
          </w:tcPr>
          <w:p>
            <w:pPr>
              <w:jc w:val="right"/>
              <w:ind w:right="485"/>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458</w:t>
            </w:r>
          </w:p>
        </w:tc>
        <w:tc>
          <w:tcPr>
            <w:tcW w:w="720" w:type="dxa"/>
            <w:vAlign w:val="bottom"/>
            <w:gridSpan w:val="2"/>
          </w:tcPr>
          <w:p>
            <w:pPr>
              <w:jc w:val="right"/>
              <w:ind w:right="47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325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FF0FC"/>
          </w:tcPr>
          <w:p>
            <w:pPr>
              <w:spacing w:after="0"/>
              <w:rPr>
                <w:sz w:val="20"/>
                <w:szCs w:val="20"/>
                <w:color w:val="auto"/>
              </w:rPr>
            </w:pPr>
            <w:r>
              <w:rPr>
                <w:rFonts w:ascii="Arial" w:cs="Arial" w:eastAsia="Arial" w:hAnsi="Arial"/>
                <w:sz w:val="18"/>
                <w:szCs w:val="18"/>
                <w:color w:val="auto"/>
              </w:rPr>
              <w:t>Discrete tax items</w:t>
            </w:r>
          </w:p>
        </w:tc>
        <w:tc>
          <w:tcPr>
            <w:tcW w:w="13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(28)</w:t>
            </w:r>
          </w:p>
        </w:tc>
        <w:tc>
          <w:tcPr>
            <w:tcW w:w="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Provision for income taxes (effective taxes)</w:t>
            </w:r>
          </w:p>
        </w:tc>
        <w:tc>
          <w:tcPr>
            <w:tcW w:w="138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ind w:right="485"/>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430</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6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FF0FC"/>
          </w:tcPr>
          <w:p>
            <w:pPr>
              <w:spacing w:after="0"/>
              <w:rPr>
                <w:sz w:val="20"/>
                <w:szCs w:val="20"/>
                <w:color w:val="auto"/>
              </w:rPr>
            </w:pPr>
            <w:r>
              <w:rPr>
                <w:rFonts w:ascii="Arial" w:cs="Arial" w:eastAsia="Arial" w:hAnsi="Arial"/>
                <w:sz w:val="18"/>
                <w:szCs w:val="18"/>
                <w:color w:val="auto"/>
              </w:rPr>
              <w:t>Annual operating tax rate</w:t>
            </w:r>
          </w:p>
        </w:tc>
        <w:tc>
          <w:tcPr>
            <w:tcW w:w="13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b w:val="1"/>
                <w:bCs w:val="1"/>
                <w:color w:val="auto"/>
              </w:rPr>
              <w:t>31%</w:t>
            </w:r>
          </w:p>
        </w:tc>
        <w:tc>
          <w:tcPr>
            <w:tcW w:w="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Effective tax rate</w:t>
            </w:r>
          </w:p>
        </w:tc>
        <w:tc>
          <w:tcPr>
            <w:tcW w:w="1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29%</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As a result of accounting rule ASC 260, which requires a portion of Net income to be allocated to unvested restricted stock units (RSUs) on which we pay dividend equivalents, diluted EPS is calculated using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246620" cy="4114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411480"/>
                    </a:xfrm>
                    <a:prstGeom prst="rect">
                      <a:avLst/>
                    </a:prstGeom>
                    <a:noFill/>
                  </pic:spPr>
                </pic:pic>
              </a:graphicData>
            </a:graphic>
          </wp:anchor>
        </w:drawing>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40" w:type="dxa"/>
            <w:vAlign w:val="bottom"/>
          </w:tcPr>
          <w:p>
            <w:pPr>
              <w:spacing w:after="0"/>
              <w:rPr>
                <w:sz w:val="20"/>
                <w:szCs w:val="20"/>
                <w:color w:val="auto"/>
              </w:rPr>
            </w:pPr>
            <w:r>
              <w:rPr>
                <w:rFonts w:ascii="Arial" w:cs="Arial" w:eastAsia="Arial" w:hAnsi="Arial"/>
                <w:sz w:val="18"/>
                <w:szCs w:val="18"/>
                <w:color w:val="auto"/>
              </w:rPr>
              <w:t>Net income</w:t>
            </w:r>
          </w:p>
        </w:tc>
        <w:tc>
          <w:tcPr>
            <w:tcW w:w="2760" w:type="dxa"/>
            <w:vAlign w:val="bottom"/>
            <w:gridSpan w:val="2"/>
          </w:tcPr>
          <w:p>
            <w:pPr>
              <w:jc w:val="right"/>
              <w:ind w:right="425"/>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1,056</w:t>
            </w:r>
          </w:p>
        </w:tc>
        <w:tc>
          <w:tcPr>
            <w:tcW w:w="660" w:type="dxa"/>
            <w:vAlign w:val="bottom"/>
            <w:gridSpan w:val="2"/>
          </w:tcPr>
          <w:p>
            <w:pPr>
              <w:jc w:val="right"/>
              <w:ind w:right="485"/>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819</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6"/>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Income allocated to RSUs</w:t>
            </w:r>
          </w:p>
        </w:tc>
        <w:tc>
          <w:tcPr>
            <w:tcW w:w="21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b w:val="1"/>
                <w:bCs w:val="1"/>
                <w:color w:val="auto"/>
              </w:rPr>
              <w:t>(10)</w:t>
            </w:r>
          </w:p>
        </w:tc>
        <w:tc>
          <w:tcPr>
            <w:tcW w:w="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98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r>
      <w:tr>
        <w:trPr>
          <w:trHeight w:val="210"/>
        </w:trPr>
        <w:tc>
          <w:tcPr>
            <w:tcW w:w="5840" w:type="dxa"/>
            <w:vAlign w:val="bottom"/>
          </w:tcPr>
          <w:p>
            <w:pPr>
              <w:spacing w:after="0"/>
              <w:rPr>
                <w:sz w:val="20"/>
                <w:szCs w:val="20"/>
                <w:color w:val="auto"/>
              </w:rPr>
            </w:pPr>
            <w:r>
              <w:rPr>
                <w:rFonts w:ascii="Arial" w:cs="Arial" w:eastAsia="Arial" w:hAnsi="Arial"/>
                <w:sz w:val="18"/>
                <w:szCs w:val="18"/>
                <w:color w:val="auto"/>
              </w:rPr>
              <w:t>Income allocated to common stock for diluted EPS</w:t>
            </w:r>
          </w:p>
        </w:tc>
        <w:tc>
          <w:tcPr>
            <w:tcW w:w="2180" w:type="dxa"/>
            <w:vAlign w:val="bottom"/>
          </w:tcPr>
          <w:p>
            <w:pPr>
              <w:spacing w:after="0"/>
              <w:rPr>
                <w:sz w:val="18"/>
                <w:szCs w:val="18"/>
                <w:color w:val="auto"/>
              </w:rPr>
            </w:pPr>
          </w:p>
        </w:tc>
        <w:tc>
          <w:tcPr>
            <w:tcW w:w="580" w:type="dxa"/>
            <w:vAlign w:val="bottom"/>
            <w:tcBorders>
              <w:top w:val="single" w:sz="8" w:color="auto"/>
              <w:bottom w:val="single" w:sz="8" w:color="auto"/>
            </w:tcBorders>
          </w:tcPr>
          <w:p>
            <w:pPr>
              <w:jc w:val="right"/>
              <w:ind w:right="425"/>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1,046</w:t>
            </w:r>
          </w:p>
        </w:tc>
        <w:tc>
          <w:tcPr>
            <w:tcW w:w="3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ind w:right="48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809</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58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744"/>
        </w:trPr>
        <w:tc>
          <w:tcPr>
            <w:tcW w:w="584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7740" w:type="dxa"/>
            <w:vAlign w:val="bottom"/>
            <w:gridSpan w:val="2"/>
          </w:tcPr>
          <w:p>
            <w:pPr>
              <w:spacing w:after="0"/>
              <w:rPr>
                <w:sz w:val="20"/>
                <w:szCs w:val="20"/>
                <w:color w:val="auto"/>
              </w:rPr>
            </w:pPr>
            <w:r>
              <w:rPr>
                <w:rFonts w:ascii="Arial" w:cs="Arial" w:eastAsia="Arial" w:hAnsi="Arial"/>
                <w:sz w:val="18"/>
                <w:szCs w:val="18"/>
                <w:b w:val="1"/>
                <w:bCs w:val="1"/>
                <w:color w:val="auto"/>
              </w:rPr>
              <w:t>TI reports 2Q17 financial results and shareholder returns</w:t>
            </w:r>
          </w:p>
        </w:tc>
        <w:tc>
          <w:tcPr>
            <w:tcW w:w="3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b w:val="1"/>
                <w:bCs w:val="1"/>
                <w:color w:val="auto"/>
              </w:rPr>
              <w:t>Page 4</w:t>
            </w: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9040" w:type="dxa"/>
            <w:vAlign w:val="bottom"/>
            <w:gridSpan w:val="3"/>
          </w:tcPr>
          <w:p>
            <w:pPr>
              <w:jc w:val="center"/>
              <w:ind w:left="2250"/>
              <w:spacing w:after="0"/>
              <w:rPr>
                <w:sz w:val="20"/>
                <w:szCs w:val="20"/>
                <w:color w:val="auto"/>
              </w:rPr>
            </w:pPr>
            <w:r>
              <w:rPr>
                <w:rFonts w:ascii="Arial" w:cs="Arial" w:eastAsia="Arial" w:hAnsi="Arial"/>
                <w:sz w:val="18"/>
                <w:szCs w:val="18"/>
                <w:b w:val="1"/>
                <w:bCs w:val="1"/>
                <w:color w:val="auto"/>
                <w:w w:val="99"/>
              </w:rPr>
              <w:t>TEXAS INSTRUMENTS INCORPORATED AND SUBSIDIARIES</w:t>
            </w: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jc w:val="center"/>
              <w:ind w:left="3590"/>
              <w:spacing w:after="0"/>
              <w:rPr>
                <w:sz w:val="20"/>
                <w:szCs w:val="20"/>
                <w:color w:val="auto"/>
              </w:rPr>
            </w:pPr>
            <w:r>
              <w:rPr>
                <w:rFonts w:ascii="Arial" w:cs="Arial" w:eastAsia="Arial" w:hAnsi="Arial"/>
                <w:sz w:val="18"/>
                <w:szCs w:val="18"/>
                <w:b w:val="1"/>
                <w:bCs w:val="1"/>
                <w:color w:val="auto"/>
                <w:w w:val="87"/>
              </w:rPr>
              <w:t>Consolidated Balance Sheets</w:t>
            </w: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720" w:type="dxa"/>
            <w:vAlign w:val="bottom"/>
          </w:tcPr>
          <w:p>
            <w:pPr>
              <w:jc w:val="center"/>
              <w:ind w:left="3570"/>
              <w:spacing w:after="0"/>
              <w:rPr>
                <w:sz w:val="20"/>
                <w:szCs w:val="20"/>
                <w:color w:val="auto"/>
              </w:rPr>
            </w:pPr>
            <w:r>
              <w:rPr>
                <w:rFonts w:ascii="Arial" w:cs="Arial" w:eastAsia="Arial" w:hAnsi="Arial"/>
                <w:sz w:val="18"/>
                <w:szCs w:val="18"/>
                <w:b w:val="1"/>
                <w:bCs w:val="1"/>
                <w:color w:val="auto"/>
                <w:w w:val="89"/>
              </w:rPr>
              <w:t>(Millions of dollars, except share amounts)</w:t>
            </w:r>
          </w:p>
        </w:tc>
        <w:tc>
          <w:tcPr>
            <w:tcW w:w="3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4"/>
          </w:tcPr>
          <w:p>
            <w:pPr>
              <w:jc w:val="right"/>
              <w:ind w:right="105"/>
              <w:spacing w:after="0"/>
              <w:rPr>
                <w:sz w:val="20"/>
                <w:szCs w:val="20"/>
                <w:color w:val="auto"/>
              </w:rPr>
            </w:pPr>
            <w:r>
              <w:rPr>
                <w:rFonts w:ascii="Arial" w:cs="Arial" w:eastAsia="Arial" w:hAnsi="Arial"/>
                <w:sz w:val="18"/>
                <w:szCs w:val="18"/>
                <w:b w:val="1"/>
                <w:bCs w:val="1"/>
                <w:color w:val="auto"/>
              </w:rPr>
              <w:t>June 30,</w:t>
            </w:r>
          </w:p>
        </w:tc>
        <w:tc>
          <w:tcPr>
            <w:tcW w:w="1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20" w:type="dxa"/>
            <w:vAlign w:val="bottom"/>
            <w:tcBorders>
              <w:bottom w:val="single" w:sz="8" w:color="CFF0FC"/>
            </w:tcBorders>
          </w:tcPr>
          <w:p>
            <w:pPr>
              <w:spacing w:after="0"/>
              <w:rPr>
                <w:sz w:val="18"/>
                <w:szCs w:val="18"/>
                <w:color w:val="auto"/>
              </w:rPr>
            </w:pPr>
          </w:p>
        </w:tc>
        <w:tc>
          <w:tcPr>
            <w:tcW w:w="380" w:type="dxa"/>
            <w:vAlign w:val="bottom"/>
            <w:tcBorders>
              <w:bottom w:val="single" w:sz="8" w:color="CFF0FC"/>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560" w:type="dxa"/>
            <w:vAlign w:val="bottom"/>
            <w:tcBorders>
              <w:bottom w:val="single" w:sz="8" w:color="auto"/>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3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Current assets:</w:t>
            </w: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FF0FC"/>
          </w:tcPr>
          <w:p>
            <w:pPr>
              <w:ind w:left="160"/>
              <w:spacing w:after="0"/>
              <w:rPr>
                <w:sz w:val="20"/>
                <w:szCs w:val="20"/>
                <w:color w:val="auto"/>
              </w:rPr>
            </w:pPr>
            <w:r>
              <w:rPr>
                <w:rFonts w:ascii="Arial" w:cs="Arial" w:eastAsia="Arial" w:hAnsi="Arial"/>
                <w:sz w:val="18"/>
                <w:szCs w:val="18"/>
                <w:color w:val="auto"/>
              </w:rPr>
              <w:t>Cash and cash equivalents</w:t>
            </w:r>
          </w:p>
        </w:tc>
        <w:tc>
          <w:tcPr>
            <w:tcW w:w="1320" w:type="dxa"/>
            <w:vAlign w:val="bottom"/>
            <w:gridSpan w:val="2"/>
            <w:shd w:val="clear" w:color="auto" w:fill="CFF0FC"/>
          </w:tcPr>
          <w:p>
            <w:pPr>
              <w:jc w:val="right"/>
              <w:ind w:right="750"/>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1,140</w:t>
            </w:r>
          </w:p>
        </w:tc>
        <w:tc>
          <w:tcPr>
            <w:tcW w:w="460" w:type="dxa"/>
            <w:vAlign w:val="bottom"/>
            <w:gridSpan w:val="2"/>
            <w:shd w:val="clear" w:color="auto" w:fill="CFF0FC"/>
          </w:tcPr>
          <w:p>
            <w:pPr>
              <w:jc w:val="right"/>
              <w:ind w:right="225"/>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160"/>
              <w:spacing w:after="0"/>
              <w:rPr>
                <w:sz w:val="20"/>
                <w:szCs w:val="20"/>
                <w:color w:val="auto"/>
              </w:rPr>
            </w:pPr>
            <w:r>
              <w:rPr>
                <w:rFonts w:ascii="Arial" w:cs="Arial" w:eastAsia="Arial" w:hAnsi="Arial"/>
                <w:sz w:val="18"/>
                <w:szCs w:val="18"/>
                <w:color w:val="auto"/>
              </w:rPr>
              <w:t>Short-term investments</w:t>
            </w: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1,844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FF0FC"/>
          </w:tcPr>
          <w:p>
            <w:pPr>
              <w:ind w:left="160"/>
              <w:spacing w:after="0"/>
              <w:rPr>
                <w:sz w:val="20"/>
                <w:szCs w:val="20"/>
                <w:color w:val="auto"/>
              </w:rPr>
            </w:pPr>
            <w:r>
              <w:rPr>
                <w:rFonts w:ascii="Arial" w:cs="Arial" w:eastAsia="Arial" w:hAnsi="Arial"/>
                <w:sz w:val="18"/>
                <w:szCs w:val="18"/>
                <w:color w:val="auto"/>
              </w:rPr>
              <w:t>Accounts receivable, net of allowances of ($16) and ($20)</w:t>
            </w:r>
          </w:p>
        </w:tc>
        <w:tc>
          <w:tcPr>
            <w:tcW w:w="3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1,469</w:t>
            </w: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340"/>
              <w:spacing w:after="0"/>
              <w:rPr>
                <w:sz w:val="20"/>
                <w:szCs w:val="20"/>
                <w:color w:val="auto"/>
              </w:rPr>
            </w:pPr>
            <w:r>
              <w:rPr>
                <w:rFonts w:ascii="Arial" w:cs="Arial" w:eastAsia="Arial" w:hAnsi="Arial"/>
                <w:sz w:val="18"/>
                <w:szCs w:val="18"/>
                <w:color w:val="auto"/>
              </w:rPr>
              <w:t>Raw materials</w:t>
            </w: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109</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FF0FC"/>
          </w:tcPr>
          <w:p>
            <w:pPr>
              <w:ind w:left="340"/>
              <w:spacing w:after="0"/>
              <w:rPr>
                <w:sz w:val="20"/>
                <w:szCs w:val="20"/>
                <w:color w:val="auto"/>
              </w:rPr>
            </w:pPr>
            <w:r>
              <w:rPr>
                <w:rFonts w:ascii="Arial" w:cs="Arial" w:eastAsia="Arial" w:hAnsi="Arial"/>
                <w:sz w:val="18"/>
                <w:szCs w:val="18"/>
                <w:color w:val="auto"/>
              </w:rPr>
              <w:t>Work in process</w:t>
            </w:r>
          </w:p>
        </w:tc>
        <w:tc>
          <w:tcPr>
            <w:tcW w:w="3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1,099</w:t>
            </w: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946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340"/>
              <w:spacing w:after="0"/>
              <w:rPr>
                <w:sz w:val="20"/>
                <w:szCs w:val="20"/>
                <w:color w:val="auto"/>
              </w:rPr>
            </w:pPr>
            <w:r>
              <w:rPr>
                <w:rFonts w:ascii="Arial" w:cs="Arial" w:eastAsia="Arial" w:hAnsi="Arial"/>
                <w:sz w:val="18"/>
                <w:szCs w:val="18"/>
                <w:color w:val="auto"/>
              </w:rPr>
              <w:t>Finished goods</w:t>
            </w: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739</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826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20" w:type="dxa"/>
            <w:vAlign w:val="bottom"/>
            <w:tcBorders>
              <w:top w:val="single" w:sz="8" w:color="CFF0FC"/>
            </w:tcBorders>
            <w:shd w:val="clear" w:color="auto" w:fill="CFF0FC"/>
          </w:tcPr>
          <w:p>
            <w:pPr>
              <w:ind w:left="160"/>
              <w:spacing w:after="0"/>
              <w:rPr>
                <w:sz w:val="20"/>
                <w:szCs w:val="20"/>
                <w:color w:val="auto"/>
              </w:rPr>
            </w:pPr>
            <w:r>
              <w:rPr>
                <w:rFonts w:ascii="Arial" w:cs="Arial" w:eastAsia="Arial" w:hAnsi="Arial"/>
                <w:sz w:val="18"/>
                <w:szCs w:val="18"/>
                <w:color w:val="auto"/>
              </w:rPr>
              <w:t>Inventories</w:t>
            </w:r>
          </w:p>
        </w:tc>
        <w:tc>
          <w:tcPr>
            <w:tcW w:w="380" w:type="dxa"/>
            <w:vAlign w:val="bottom"/>
            <w:tcBorders>
              <w:top w:val="single" w:sz="8" w:color="CFF0FC"/>
            </w:tcBorders>
            <w:shd w:val="clear" w:color="auto" w:fill="CFF0FC"/>
          </w:tcPr>
          <w:p>
            <w:pPr>
              <w:spacing w:after="0"/>
              <w:rPr>
                <w:sz w:val="18"/>
                <w:szCs w:val="18"/>
                <w:color w:val="auto"/>
              </w:rPr>
            </w:pPr>
          </w:p>
        </w:tc>
        <w:tc>
          <w:tcPr>
            <w:tcW w:w="940" w:type="dxa"/>
            <w:vAlign w:val="bottom"/>
            <w:tcBorders>
              <w:top w:val="single" w:sz="8" w:color="auto"/>
              <w:bottom w:val="single" w:sz="8" w:color="auto"/>
            </w:tcBorders>
            <w:shd w:val="clear" w:color="auto" w:fill="CFF0FC"/>
          </w:tcPr>
          <w:p>
            <w:pPr>
              <w:spacing w:after="0"/>
              <w:rPr>
                <w:sz w:val="18"/>
                <w:szCs w:val="18"/>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1,947</w:t>
            </w: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auto"/>
              <w:bottom w:val="single" w:sz="8" w:color="auto"/>
            </w:tcBorders>
            <w:shd w:val="clear" w:color="auto" w:fill="CFF0FC"/>
          </w:tcPr>
          <w:p>
            <w:pPr>
              <w:spacing w:after="0"/>
              <w:rPr>
                <w:sz w:val="18"/>
                <w:szCs w:val="18"/>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1,876</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20" w:type="dxa"/>
            <w:vAlign w:val="bottom"/>
            <w:tcBorders>
              <w:bottom w:val="single" w:sz="8" w:color="CFF0FC"/>
            </w:tcBorders>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380" w:type="dxa"/>
            <w:vAlign w:val="bottom"/>
            <w:tcBorders>
              <w:bottom w:val="single" w:sz="8" w:color="CFF0FC"/>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1,111</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926</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20" w:type="dxa"/>
            <w:vAlign w:val="bottom"/>
            <w:shd w:val="clear" w:color="auto" w:fill="CFF0FC"/>
          </w:tcPr>
          <w:p>
            <w:pPr>
              <w:ind w:left="160"/>
              <w:spacing w:after="0"/>
              <w:rPr>
                <w:sz w:val="20"/>
                <w:szCs w:val="20"/>
                <w:color w:val="auto"/>
              </w:rPr>
            </w:pPr>
            <w:r>
              <w:rPr>
                <w:rFonts w:ascii="Arial" w:cs="Arial" w:eastAsia="Arial" w:hAnsi="Arial"/>
                <w:sz w:val="18"/>
                <w:szCs w:val="18"/>
                <w:color w:val="auto"/>
              </w:rPr>
              <w:t>Total current assets</w:t>
            </w:r>
          </w:p>
        </w:tc>
        <w:tc>
          <w:tcPr>
            <w:tcW w:w="380" w:type="dxa"/>
            <w:vAlign w:val="bottom"/>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7,511</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6,689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Property, plant and equipment at cost</w:t>
            </w: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4,656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FF0FC"/>
          </w:tcPr>
          <w:p>
            <w:pPr>
              <w:ind w:left="160"/>
              <w:spacing w:after="0"/>
              <w:rPr>
                <w:sz w:val="20"/>
                <w:szCs w:val="20"/>
                <w:color w:val="auto"/>
              </w:rPr>
            </w:pPr>
            <w:r>
              <w:rPr>
                <w:rFonts w:ascii="Arial" w:cs="Arial" w:eastAsia="Arial" w:hAnsi="Arial"/>
                <w:sz w:val="18"/>
                <w:szCs w:val="18"/>
                <w:color w:val="auto"/>
              </w:rPr>
              <w:t>Accumulated depreciation</w:t>
            </w:r>
          </w:p>
        </w:tc>
        <w:tc>
          <w:tcPr>
            <w:tcW w:w="3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(2,142)</w:t>
            </w: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(2,595)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20" w:type="dxa"/>
            <w:vAlign w:val="bottom"/>
            <w:tcBorders>
              <w:bottom w:val="single" w:sz="8" w:color="CFF0FC"/>
            </w:tcBorders>
          </w:tcPr>
          <w:p>
            <w:pPr>
              <w:ind w:left="160"/>
              <w:spacing w:after="0"/>
              <w:rPr>
                <w:sz w:val="20"/>
                <w:szCs w:val="20"/>
                <w:color w:val="auto"/>
              </w:rPr>
            </w:pPr>
            <w:r>
              <w:rPr>
                <w:rFonts w:ascii="Arial" w:cs="Arial" w:eastAsia="Arial" w:hAnsi="Arial"/>
                <w:sz w:val="18"/>
                <w:szCs w:val="18"/>
                <w:color w:val="auto"/>
              </w:rPr>
              <w:t>Property, plant and equipment, net</w:t>
            </w:r>
          </w:p>
        </w:tc>
        <w:tc>
          <w:tcPr>
            <w:tcW w:w="380" w:type="dxa"/>
            <w:vAlign w:val="bottom"/>
            <w:tcBorders>
              <w:bottom w:val="single" w:sz="8" w:color="CFF0FC"/>
            </w:tcBorders>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2,514</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2,557</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Long-term investments</w:t>
            </w:r>
          </w:p>
        </w:tc>
        <w:tc>
          <w:tcPr>
            <w:tcW w:w="3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250</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Goodwill, net</w:t>
            </w: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4,362</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4,362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Acquisition-related intangibles, net</w:t>
            </w:r>
          </w:p>
        </w:tc>
        <w:tc>
          <w:tcPr>
            <w:tcW w:w="3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1,105</w:t>
            </w: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Deferred income taxes</w:t>
            </w: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412</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Capitalized software licenses, net</w:t>
            </w:r>
          </w:p>
        </w:tc>
        <w:tc>
          <w:tcPr>
            <w:tcW w:w="3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114</w:t>
            </w: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Overfunded retirement plans</w:t>
            </w: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99</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Other assets</w:t>
            </w:r>
          </w:p>
        </w:tc>
        <w:tc>
          <w:tcPr>
            <w:tcW w:w="3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71</w:t>
            </w: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Total assets</w:t>
            </w:r>
          </w:p>
        </w:tc>
        <w:tc>
          <w:tcPr>
            <w:tcW w:w="38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16,438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Current liabilities:</w:t>
            </w: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FF0FC"/>
          </w:tcPr>
          <w:p>
            <w:pPr>
              <w:ind w:left="160"/>
              <w:spacing w:after="0"/>
              <w:rPr>
                <w:sz w:val="20"/>
                <w:szCs w:val="20"/>
                <w:color w:val="auto"/>
              </w:rPr>
            </w:pPr>
            <w:r>
              <w:rPr>
                <w:rFonts w:ascii="Arial" w:cs="Arial" w:eastAsia="Arial" w:hAnsi="Arial"/>
                <w:sz w:val="18"/>
                <w:szCs w:val="18"/>
                <w:color w:val="auto"/>
              </w:rPr>
              <w:t>Current portion of long-term debt</w:t>
            </w:r>
          </w:p>
        </w:tc>
        <w:tc>
          <w:tcPr>
            <w:tcW w:w="1320" w:type="dxa"/>
            <w:vAlign w:val="bottom"/>
            <w:gridSpan w:val="2"/>
            <w:shd w:val="clear" w:color="auto" w:fill="CFF0FC"/>
          </w:tcPr>
          <w:p>
            <w:pPr>
              <w:jc w:val="right"/>
              <w:ind w:right="750"/>
              <w:spacing w:after="0"/>
              <w:rPr>
                <w:sz w:val="20"/>
                <w:szCs w:val="20"/>
                <w:color w:val="auto"/>
              </w:rPr>
            </w:pPr>
            <w:r>
              <w:rPr>
                <w:rFonts w:ascii="Arial" w:cs="Arial" w:eastAsia="Arial" w:hAnsi="Arial"/>
                <w:sz w:val="18"/>
                <w:szCs w:val="18"/>
                <w:b w:val="1"/>
                <w:bCs w:val="1"/>
                <w:color w:val="auto"/>
              </w:rPr>
              <w:t>$</w:t>
            </w: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499</w:t>
            </w:r>
          </w:p>
        </w:tc>
        <w:tc>
          <w:tcPr>
            <w:tcW w:w="460" w:type="dxa"/>
            <w:vAlign w:val="bottom"/>
            <w:gridSpan w:val="2"/>
            <w:shd w:val="clear" w:color="auto" w:fill="CFF0FC"/>
          </w:tcPr>
          <w:p>
            <w:pPr>
              <w:jc w:val="right"/>
              <w:ind w:right="225"/>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450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FF0FC"/>
          </w:tcPr>
          <w:p>
            <w:pPr>
              <w:ind w:left="160"/>
              <w:spacing w:after="0"/>
              <w:rPr>
                <w:sz w:val="20"/>
                <w:szCs w:val="20"/>
                <w:color w:val="auto"/>
              </w:rPr>
            </w:pPr>
            <w:r>
              <w:rPr>
                <w:rFonts w:ascii="Arial" w:cs="Arial" w:eastAsia="Arial" w:hAnsi="Arial"/>
                <w:sz w:val="18"/>
                <w:szCs w:val="18"/>
                <w:color w:val="auto"/>
              </w:rPr>
              <w:t>Accrued compensation</w:t>
            </w:r>
          </w:p>
        </w:tc>
        <w:tc>
          <w:tcPr>
            <w:tcW w:w="3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489</w:t>
            </w: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160"/>
              <w:spacing w:after="0"/>
              <w:rPr>
                <w:sz w:val="20"/>
                <w:szCs w:val="20"/>
                <w:color w:val="auto"/>
              </w:rPr>
            </w:pPr>
            <w:r>
              <w:rPr>
                <w:rFonts w:ascii="Arial" w:cs="Arial" w:eastAsia="Arial" w:hAnsi="Arial"/>
                <w:sz w:val="18"/>
                <w:szCs w:val="18"/>
                <w:color w:val="auto"/>
              </w:rPr>
              <w:t>Income taxes payable</w:t>
            </w: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86</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FF0FC"/>
          </w:tcPr>
          <w:p>
            <w:pPr>
              <w:ind w:left="160"/>
              <w:spacing w:after="0"/>
              <w:rPr>
                <w:sz w:val="20"/>
                <w:szCs w:val="20"/>
                <w:color w:val="auto"/>
              </w:rPr>
            </w:pPr>
            <w:r>
              <w:rPr>
                <w:rFonts w:ascii="Arial" w:cs="Arial" w:eastAsia="Arial" w:hAnsi="Arial"/>
                <w:sz w:val="18"/>
                <w:szCs w:val="18"/>
                <w:color w:val="auto"/>
              </w:rPr>
              <w:t>Accrued expenses and other liabilities</w:t>
            </w:r>
          </w:p>
        </w:tc>
        <w:tc>
          <w:tcPr>
            <w:tcW w:w="3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353</w:t>
            </w: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20" w:type="dxa"/>
            <w:vAlign w:val="bottom"/>
            <w:tcBorders>
              <w:bottom w:val="single" w:sz="8" w:color="CFF0FC"/>
            </w:tcBorders>
          </w:tcPr>
          <w:p>
            <w:pPr>
              <w:ind w:left="160"/>
              <w:spacing w:after="0"/>
              <w:rPr>
                <w:sz w:val="20"/>
                <w:szCs w:val="20"/>
                <w:color w:val="auto"/>
              </w:rPr>
            </w:pPr>
            <w:r>
              <w:rPr>
                <w:rFonts w:ascii="Arial" w:cs="Arial" w:eastAsia="Arial" w:hAnsi="Arial"/>
                <w:sz w:val="18"/>
                <w:szCs w:val="18"/>
                <w:color w:val="auto"/>
              </w:rPr>
              <w:t>Total current liabilities</w:t>
            </w:r>
          </w:p>
        </w:tc>
        <w:tc>
          <w:tcPr>
            <w:tcW w:w="380" w:type="dxa"/>
            <w:vAlign w:val="bottom"/>
            <w:tcBorders>
              <w:bottom w:val="single" w:sz="8" w:color="CFF0FC"/>
            </w:tcBorders>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1,877</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1,991</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Long-term debt</w:t>
            </w:r>
          </w:p>
        </w:tc>
        <w:tc>
          <w:tcPr>
            <w:tcW w:w="3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3,084</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Underfunded retirement plans</w:t>
            </w: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101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Deferred income taxes</w:t>
            </w:r>
          </w:p>
        </w:tc>
        <w:tc>
          <w:tcPr>
            <w:tcW w:w="3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33</w:t>
            </w: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Deferred credits and other liabilities</w:t>
            </w: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635</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liabilities</w:t>
            </w:r>
          </w:p>
        </w:tc>
        <w:tc>
          <w:tcPr>
            <w:tcW w:w="380" w:type="dxa"/>
            <w:vAlign w:val="bottom"/>
            <w:tcBorders>
              <w:top w:val="single" w:sz="8" w:color="CFF0FC"/>
            </w:tcBorders>
            <w:shd w:val="clear" w:color="auto" w:fill="CFF0FC"/>
          </w:tcPr>
          <w:p>
            <w:pPr>
              <w:spacing w:after="0"/>
              <w:rPr>
                <w:sz w:val="18"/>
                <w:szCs w:val="18"/>
                <w:color w:val="auto"/>
              </w:rPr>
            </w:pPr>
          </w:p>
        </w:tc>
        <w:tc>
          <w:tcPr>
            <w:tcW w:w="940" w:type="dxa"/>
            <w:vAlign w:val="bottom"/>
            <w:tcBorders>
              <w:top w:val="single" w:sz="8" w:color="auto"/>
              <w:bottom w:val="single" w:sz="8" w:color="auto"/>
            </w:tcBorders>
            <w:shd w:val="clear" w:color="auto" w:fill="CFF0FC"/>
          </w:tcPr>
          <w:p>
            <w:pPr>
              <w:spacing w:after="0"/>
              <w:rPr>
                <w:sz w:val="18"/>
                <w:szCs w:val="18"/>
                <w:color w:val="auto"/>
              </w:rPr>
            </w:pPr>
          </w:p>
        </w:tc>
        <w:tc>
          <w:tcPr>
            <w:tcW w:w="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5,730</w:t>
            </w: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380" w:type="dxa"/>
            <w:vAlign w:val="bottom"/>
            <w:tcBorders>
              <w:top w:val="single" w:sz="8" w:color="auto"/>
              <w:bottom w:val="single" w:sz="8" w:color="auto"/>
            </w:tcBorders>
            <w:shd w:val="clear" w:color="auto" w:fill="CFF0FC"/>
          </w:tcPr>
          <w:p>
            <w:pPr>
              <w:spacing w:after="0"/>
              <w:rPr>
                <w:sz w:val="18"/>
                <w:szCs w:val="18"/>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5,731</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20" w:type="dxa"/>
            <w:vAlign w:val="bottom"/>
          </w:tcPr>
          <w:p>
            <w:pPr>
              <w:spacing w:after="0"/>
              <w:rPr>
                <w:sz w:val="20"/>
                <w:szCs w:val="20"/>
                <w:color w:val="auto"/>
              </w:rPr>
            </w:pPr>
            <w:r>
              <w:rPr>
                <w:rFonts w:ascii="Arial" w:cs="Arial" w:eastAsia="Arial" w:hAnsi="Arial"/>
                <w:sz w:val="18"/>
                <w:szCs w:val="18"/>
                <w:color w:val="auto"/>
              </w:rPr>
              <w:t>Stockholders’ equity:</w:t>
            </w: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FF0FC"/>
          </w:tcPr>
          <w:p>
            <w:pPr>
              <w:ind w:left="160"/>
              <w:spacing w:after="0"/>
              <w:rPr>
                <w:sz w:val="20"/>
                <w:szCs w:val="20"/>
                <w:color w:val="auto"/>
              </w:rPr>
            </w:pPr>
            <w:r>
              <w:rPr>
                <w:rFonts w:ascii="Arial" w:cs="Arial" w:eastAsia="Arial" w:hAnsi="Arial"/>
                <w:sz w:val="18"/>
                <w:szCs w:val="18"/>
                <w:color w:val="auto"/>
              </w:rPr>
              <w:t>Preferred stock, $25 par value. Authorized – 10,000,000 shares</w:t>
            </w:r>
          </w:p>
        </w:tc>
        <w:tc>
          <w:tcPr>
            <w:tcW w:w="3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340"/>
              <w:spacing w:after="0"/>
              <w:rPr>
                <w:sz w:val="20"/>
                <w:szCs w:val="20"/>
                <w:color w:val="auto"/>
              </w:rPr>
            </w:pPr>
            <w:r>
              <w:rPr>
                <w:rFonts w:ascii="Arial" w:cs="Arial" w:eastAsia="Arial" w:hAnsi="Arial"/>
                <w:sz w:val="18"/>
                <w:szCs w:val="18"/>
                <w:color w:val="auto"/>
              </w:rPr>
              <w:t>Participating cumulative preferred – None issued</w:t>
            </w: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FF0FC"/>
          </w:tcPr>
          <w:p>
            <w:pPr>
              <w:ind w:left="160"/>
              <w:spacing w:after="0"/>
              <w:rPr>
                <w:sz w:val="20"/>
                <w:szCs w:val="20"/>
                <w:color w:val="auto"/>
              </w:rPr>
            </w:pPr>
            <w:r>
              <w:rPr>
                <w:rFonts w:ascii="Arial" w:cs="Arial" w:eastAsia="Arial" w:hAnsi="Arial"/>
                <w:sz w:val="18"/>
                <w:szCs w:val="18"/>
                <w:color w:val="auto"/>
              </w:rPr>
              <w:t>Common stock, $1 par value. Authorized – 2,400,000,000 shares</w:t>
            </w:r>
          </w:p>
        </w:tc>
        <w:tc>
          <w:tcPr>
            <w:tcW w:w="3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340"/>
              <w:spacing w:after="0"/>
              <w:rPr>
                <w:sz w:val="20"/>
                <w:szCs w:val="20"/>
                <w:color w:val="auto"/>
              </w:rPr>
            </w:pPr>
            <w:r>
              <w:rPr>
                <w:rFonts w:ascii="Arial" w:cs="Arial" w:eastAsia="Arial" w:hAnsi="Arial"/>
                <w:sz w:val="18"/>
                <w:szCs w:val="18"/>
                <w:color w:val="auto"/>
              </w:rPr>
              <w:t>Shares issued – 1,740,815,939</w:t>
            </w: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1,741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FF0FC"/>
          </w:tcPr>
          <w:p>
            <w:pPr>
              <w:ind w:left="160"/>
              <w:spacing w:after="0"/>
              <w:rPr>
                <w:sz w:val="20"/>
                <w:szCs w:val="20"/>
                <w:color w:val="auto"/>
              </w:rPr>
            </w:pPr>
            <w:r>
              <w:rPr>
                <w:rFonts w:ascii="Arial" w:cs="Arial" w:eastAsia="Arial" w:hAnsi="Arial"/>
                <w:sz w:val="18"/>
                <w:szCs w:val="18"/>
                <w:color w:val="auto"/>
              </w:rPr>
              <w:t>Paid-in capital</w:t>
            </w:r>
          </w:p>
        </w:tc>
        <w:tc>
          <w:tcPr>
            <w:tcW w:w="3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1,683</w:t>
            </w: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1,598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160"/>
              <w:spacing w:after="0"/>
              <w:rPr>
                <w:sz w:val="20"/>
                <w:szCs w:val="20"/>
                <w:color w:val="auto"/>
              </w:rPr>
            </w:pPr>
            <w:r>
              <w:rPr>
                <w:rFonts w:ascii="Arial" w:cs="Arial" w:eastAsia="Arial" w:hAnsi="Arial"/>
                <w:sz w:val="18"/>
                <w:szCs w:val="18"/>
                <w:color w:val="auto"/>
              </w:rPr>
              <w:t>Retained earnings</w:t>
            </w: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98"/>
              </w:rPr>
              <w:t>34,149</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31,933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FF0FC"/>
          </w:tcPr>
          <w:p>
            <w:pPr>
              <w:ind w:left="160"/>
              <w:spacing w:after="0"/>
              <w:rPr>
                <w:sz w:val="20"/>
                <w:szCs w:val="20"/>
                <w:color w:val="auto"/>
              </w:rPr>
            </w:pPr>
            <w:r>
              <w:rPr>
                <w:rFonts w:ascii="Arial" w:cs="Arial" w:eastAsia="Arial" w:hAnsi="Arial"/>
                <w:sz w:val="18"/>
                <w:szCs w:val="18"/>
                <w:color w:val="auto"/>
              </w:rPr>
              <w:t>Treasury common stock at cost</w:t>
            </w:r>
          </w:p>
        </w:tc>
        <w:tc>
          <w:tcPr>
            <w:tcW w:w="3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tcPr>
          <w:p>
            <w:pPr>
              <w:ind w:left="340"/>
              <w:spacing w:after="0"/>
              <w:rPr>
                <w:sz w:val="20"/>
                <w:szCs w:val="20"/>
                <w:color w:val="auto"/>
              </w:rPr>
            </w:pPr>
            <w:r>
              <w:rPr>
                <w:rFonts w:ascii="Arial" w:cs="Arial" w:eastAsia="Arial" w:hAnsi="Arial"/>
                <w:sz w:val="18"/>
                <w:szCs w:val="18"/>
                <w:color w:val="auto"/>
              </w:rPr>
              <w:t>Shares: June 30, 2017 – 749,098,850; June 30, 2016 – 737,467,669</w:t>
            </w: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w w:val="89"/>
              </w:rPr>
              <w:t>(26,345)</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(24,774)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FF0FC"/>
          </w:tcPr>
          <w:p>
            <w:pPr>
              <w:ind w:left="160"/>
              <w:spacing w:after="0"/>
              <w:rPr>
                <w:sz w:val="20"/>
                <w:szCs w:val="20"/>
                <w:color w:val="auto"/>
              </w:rPr>
            </w:pPr>
            <w:r>
              <w:rPr>
                <w:rFonts w:ascii="Arial" w:cs="Arial" w:eastAsia="Arial" w:hAnsi="Arial"/>
                <w:sz w:val="18"/>
                <w:szCs w:val="18"/>
                <w:color w:val="auto"/>
              </w:rPr>
              <w:t>Accumulated other comprehensive income (loss), net of taxes (AOCI)</w:t>
            </w:r>
          </w:p>
        </w:tc>
        <w:tc>
          <w:tcPr>
            <w:tcW w:w="3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(520)</w:t>
            </w:r>
          </w:p>
        </w:tc>
        <w:tc>
          <w:tcPr>
            <w:tcW w:w="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20" w:type="dxa"/>
            <w:vAlign w:val="bottom"/>
            <w:tcBorders>
              <w:bottom w:val="single" w:sz="8" w:color="CFF0FC"/>
            </w:tcBorders>
          </w:tcPr>
          <w:p>
            <w:pPr>
              <w:ind w:left="160"/>
              <w:spacing w:after="0"/>
              <w:rPr>
                <w:sz w:val="20"/>
                <w:szCs w:val="20"/>
                <w:color w:val="auto"/>
              </w:rPr>
            </w:pPr>
            <w:r>
              <w:rPr>
                <w:rFonts w:ascii="Arial" w:cs="Arial" w:eastAsia="Arial" w:hAnsi="Arial"/>
                <w:sz w:val="18"/>
                <w:szCs w:val="18"/>
                <w:color w:val="auto"/>
              </w:rPr>
              <w:t>Total stockholders’ equity</w:t>
            </w:r>
          </w:p>
        </w:tc>
        <w:tc>
          <w:tcPr>
            <w:tcW w:w="380" w:type="dxa"/>
            <w:vAlign w:val="bottom"/>
            <w:tcBorders>
              <w:bottom w:val="single" w:sz="8" w:color="CFF0FC"/>
            </w:tcBorders>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10,708</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9,962</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liabilities and stockholders’ equity</w:t>
            </w:r>
          </w:p>
        </w:tc>
        <w:tc>
          <w:tcPr>
            <w:tcW w:w="38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750"/>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8"/>
              </w:rPr>
              <w:t>16,438</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jc w:val="right"/>
              <w:ind w:right="225"/>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15,693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Certain amounts in the prior period have been recast to conform to the current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730885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7680" w:type="dxa"/>
            <w:vAlign w:val="bottom"/>
            <w:gridSpan w:val="2"/>
          </w:tcPr>
          <w:p>
            <w:pPr>
              <w:spacing w:after="0"/>
              <w:rPr>
                <w:sz w:val="20"/>
                <w:szCs w:val="20"/>
                <w:color w:val="auto"/>
              </w:rPr>
            </w:pPr>
            <w:r>
              <w:rPr>
                <w:rFonts w:ascii="Arial" w:cs="Arial" w:eastAsia="Arial" w:hAnsi="Arial"/>
                <w:sz w:val="18"/>
                <w:szCs w:val="18"/>
                <w:b w:val="1"/>
                <w:bCs w:val="1"/>
                <w:color w:val="auto"/>
              </w:rPr>
              <w:t>TI reports 2Q17 financial results and shareholder returns</w:t>
            </w:r>
          </w:p>
        </w:tc>
        <w:tc>
          <w:tcPr>
            <w:tcW w:w="4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b w:val="1"/>
                <w:bCs w:val="1"/>
                <w:color w:val="auto"/>
              </w:rPr>
              <w:t>Page 5</w:t>
            </w: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9080" w:type="dxa"/>
            <w:vAlign w:val="bottom"/>
            <w:gridSpan w:val="3"/>
          </w:tcPr>
          <w:p>
            <w:pPr>
              <w:jc w:val="center"/>
              <w:ind w:left="2210"/>
              <w:spacing w:after="0"/>
              <w:rPr>
                <w:sz w:val="20"/>
                <w:szCs w:val="20"/>
                <w:color w:val="auto"/>
              </w:rPr>
            </w:pPr>
            <w:r>
              <w:rPr>
                <w:rFonts w:ascii="Arial" w:cs="Arial" w:eastAsia="Arial" w:hAnsi="Arial"/>
                <w:sz w:val="18"/>
                <w:szCs w:val="18"/>
                <w:b w:val="1"/>
                <w:bCs w:val="1"/>
                <w:color w:val="auto"/>
                <w:w w:val="99"/>
              </w:rPr>
              <w:t>TEXAS INSTRUMENTS INCORPORATED AND SUBSIDIARIES</w:t>
            </w: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jc w:val="center"/>
              <w:ind w:left="3630"/>
              <w:spacing w:after="0"/>
              <w:rPr>
                <w:sz w:val="20"/>
                <w:szCs w:val="20"/>
                <w:color w:val="auto"/>
              </w:rPr>
            </w:pPr>
            <w:r>
              <w:rPr>
                <w:rFonts w:ascii="Arial" w:cs="Arial" w:eastAsia="Arial" w:hAnsi="Arial"/>
                <w:sz w:val="18"/>
                <w:szCs w:val="18"/>
                <w:b w:val="1"/>
                <w:bCs w:val="1"/>
                <w:color w:val="auto"/>
                <w:w w:val="88"/>
              </w:rPr>
              <w:t>Consolidated Statements of Cash Flows</w:t>
            </w: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60" w:type="dxa"/>
            <w:vAlign w:val="bottom"/>
          </w:tcPr>
          <w:p>
            <w:pPr>
              <w:jc w:val="center"/>
              <w:ind w:left="3650"/>
              <w:spacing w:after="0"/>
              <w:rPr>
                <w:sz w:val="20"/>
                <w:szCs w:val="20"/>
                <w:color w:val="auto"/>
              </w:rPr>
            </w:pPr>
            <w:r>
              <w:rPr>
                <w:rFonts w:ascii="Arial" w:cs="Arial" w:eastAsia="Arial" w:hAnsi="Arial"/>
                <w:sz w:val="18"/>
                <w:szCs w:val="18"/>
                <w:b w:val="1"/>
                <w:bCs w:val="1"/>
                <w:color w:val="auto"/>
                <w:w w:val="92"/>
              </w:rPr>
              <w:t>(Millions of dollars)</w:t>
            </w:r>
          </w:p>
        </w:tc>
        <w:tc>
          <w:tcPr>
            <w:tcW w:w="4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80" w:type="dxa"/>
            <w:vAlign w:val="bottom"/>
            <w:gridSpan w:val="5"/>
          </w:tcPr>
          <w:p>
            <w:pPr>
              <w:jc w:val="right"/>
              <w:ind w:right="25"/>
              <w:spacing w:after="0"/>
              <w:rPr>
                <w:sz w:val="20"/>
                <w:szCs w:val="20"/>
                <w:color w:val="auto"/>
              </w:rPr>
            </w:pPr>
            <w:r>
              <w:rPr>
                <w:rFonts w:ascii="Arial" w:cs="Arial" w:eastAsia="Arial" w:hAnsi="Arial"/>
                <w:sz w:val="18"/>
                <w:szCs w:val="18"/>
                <w:b w:val="1"/>
                <w:bCs w:val="1"/>
                <w:color w:val="auto"/>
              </w:rPr>
              <w:t>For Three Months Ended</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4"/>
          </w:tcPr>
          <w:p>
            <w:pPr>
              <w:jc w:val="right"/>
              <w:ind w:right="685"/>
              <w:spacing w:after="0" w:line="202" w:lineRule="exact"/>
              <w:rPr>
                <w:sz w:val="20"/>
                <w:szCs w:val="20"/>
                <w:color w:val="auto"/>
              </w:rPr>
            </w:pPr>
            <w:r>
              <w:rPr>
                <w:rFonts w:ascii="Arial" w:cs="Arial" w:eastAsia="Arial" w:hAnsi="Arial"/>
                <w:sz w:val="18"/>
                <w:szCs w:val="18"/>
                <w:b w:val="1"/>
                <w:bCs w:val="1"/>
                <w:color w:val="auto"/>
              </w:rPr>
              <w:t>June 30,</w:t>
            </w:r>
          </w:p>
        </w:tc>
        <w:tc>
          <w:tcPr>
            <w:tcW w:w="5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2016</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440" w:type="dxa"/>
            <w:vAlign w:val="bottom"/>
            <w:tcBorders>
              <w:top w:val="single" w:sz="8" w:color="CFF0FC"/>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1420" w:type="dxa"/>
            <w:vAlign w:val="bottom"/>
            <w:gridSpan w:val="2"/>
          </w:tcPr>
          <w:p>
            <w:pPr>
              <w:jc w:val="right"/>
              <w:ind w:right="790"/>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1,056</w:t>
            </w:r>
          </w:p>
        </w:tc>
        <w:tc>
          <w:tcPr>
            <w:tcW w:w="1040" w:type="dxa"/>
            <w:vAlign w:val="bottom"/>
            <w:gridSpan w:val="2"/>
          </w:tcPr>
          <w:p>
            <w:pPr>
              <w:jc w:val="right"/>
              <w:ind w:right="805"/>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819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FF0FC"/>
          </w:tcPr>
          <w:p>
            <w:pPr>
              <w:ind w:left="160"/>
              <w:spacing w:after="0"/>
              <w:rPr>
                <w:sz w:val="20"/>
                <w:szCs w:val="20"/>
                <w:color w:val="auto"/>
              </w:rPr>
            </w:pPr>
            <w:r>
              <w:rPr>
                <w:rFonts w:ascii="Arial" w:cs="Arial" w:eastAsia="Arial" w:hAnsi="Arial"/>
                <w:sz w:val="18"/>
                <w:szCs w:val="18"/>
                <w:color w:val="auto"/>
              </w:rPr>
              <w:t>Adjustments to Net income:</w:t>
            </w:r>
          </w:p>
        </w:tc>
        <w:tc>
          <w:tcPr>
            <w:tcW w:w="4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340"/>
              <w:spacing w:after="0"/>
              <w:rPr>
                <w:sz w:val="20"/>
                <w:szCs w:val="20"/>
                <w:color w:val="auto"/>
              </w:rPr>
            </w:pPr>
            <w:r>
              <w:rPr>
                <w:rFonts w:ascii="Arial" w:cs="Arial" w:eastAsia="Arial" w:hAnsi="Arial"/>
                <w:sz w:val="18"/>
                <w:szCs w:val="18"/>
                <w:color w:val="auto"/>
              </w:rPr>
              <w:t>Depreciation</w:t>
            </w: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134</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FF0FC"/>
          </w:tcPr>
          <w:p>
            <w:pPr>
              <w:ind w:left="340"/>
              <w:spacing w:after="0"/>
              <w:rPr>
                <w:sz w:val="20"/>
                <w:szCs w:val="20"/>
                <w:color w:val="auto"/>
              </w:rPr>
            </w:pPr>
            <w:r>
              <w:rPr>
                <w:rFonts w:ascii="Arial" w:cs="Arial" w:eastAsia="Arial" w:hAnsi="Arial"/>
                <w:sz w:val="18"/>
                <w:szCs w:val="18"/>
                <w:color w:val="auto"/>
              </w:rPr>
              <w:t>Amortization of acquisition-related intangibles</w:t>
            </w:r>
          </w:p>
        </w:tc>
        <w:tc>
          <w:tcPr>
            <w:tcW w:w="4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79</w:t>
            </w:r>
          </w:p>
        </w:tc>
        <w:tc>
          <w:tcPr>
            <w:tcW w:w="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340"/>
              <w:spacing w:after="0"/>
              <w:rPr>
                <w:sz w:val="20"/>
                <w:szCs w:val="20"/>
                <w:color w:val="auto"/>
              </w:rPr>
            </w:pPr>
            <w:r>
              <w:rPr>
                <w:rFonts w:ascii="Arial" w:cs="Arial" w:eastAsia="Arial" w:hAnsi="Arial"/>
                <w:sz w:val="18"/>
                <w:szCs w:val="18"/>
                <w:color w:val="auto"/>
              </w:rPr>
              <w:t>Amortization of capitalized software</w:t>
            </w: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12</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FF0FC"/>
          </w:tcPr>
          <w:p>
            <w:pPr>
              <w:ind w:left="340"/>
              <w:spacing w:after="0"/>
              <w:rPr>
                <w:sz w:val="20"/>
                <w:szCs w:val="20"/>
                <w:color w:val="auto"/>
              </w:rPr>
            </w:pPr>
            <w:r>
              <w:rPr>
                <w:rFonts w:ascii="Arial" w:cs="Arial" w:eastAsia="Arial" w:hAnsi="Arial"/>
                <w:sz w:val="18"/>
                <w:szCs w:val="18"/>
                <w:color w:val="auto"/>
              </w:rPr>
              <w:t>Stock compensation</w:t>
            </w:r>
          </w:p>
        </w:tc>
        <w:tc>
          <w:tcPr>
            <w:tcW w:w="4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75</w:t>
            </w:r>
          </w:p>
        </w:tc>
        <w:tc>
          <w:tcPr>
            <w:tcW w:w="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340"/>
              <w:spacing w:after="0"/>
              <w:rPr>
                <w:sz w:val="20"/>
                <w:szCs w:val="20"/>
                <w:color w:val="auto"/>
              </w:rPr>
            </w:pPr>
            <w:r>
              <w:rPr>
                <w:rFonts w:ascii="Arial" w:cs="Arial" w:eastAsia="Arial" w:hAnsi="Arial"/>
                <w:sz w:val="18"/>
                <w:szCs w:val="18"/>
                <w:color w:val="auto"/>
              </w:rPr>
              <w:t>Deferred income taxes</w:t>
            </w: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(54)</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FF0FC"/>
          </w:tcPr>
          <w:p>
            <w:pPr>
              <w:ind w:left="160"/>
              <w:spacing w:after="0"/>
              <w:rPr>
                <w:sz w:val="20"/>
                <w:szCs w:val="20"/>
                <w:color w:val="auto"/>
              </w:rPr>
            </w:pPr>
            <w:r>
              <w:rPr>
                <w:rFonts w:ascii="Arial" w:cs="Arial" w:eastAsia="Arial" w:hAnsi="Arial"/>
                <w:sz w:val="18"/>
                <w:szCs w:val="18"/>
                <w:color w:val="auto"/>
              </w:rPr>
              <w:t>Increase (decrease) from changes in:</w:t>
            </w:r>
          </w:p>
        </w:tc>
        <w:tc>
          <w:tcPr>
            <w:tcW w:w="4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340"/>
              <w:spacing w:after="0"/>
              <w:rPr>
                <w:sz w:val="20"/>
                <w:szCs w:val="20"/>
                <w:color w:val="auto"/>
              </w:rPr>
            </w:pPr>
            <w:r>
              <w:rPr>
                <w:rFonts w:ascii="Arial" w:cs="Arial" w:eastAsia="Arial" w:hAnsi="Arial"/>
                <w:sz w:val="18"/>
                <w:szCs w:val="18"/>
                <w:color w:val="auto"/>
              </w:rPr>
              <w:t>Accounts receivable</w:t>
            </w: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(132)</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FF0FC"/>
          </w:tcPr>
          <w:p>
            <w:pPr>
              <w:ind w:left="340"/>
              <w:spacing w:after="0"/>
              <w:rPr>
                <w:sz w:val="20"/>
                <w:szCs w:val="20"/>
                <w:color w:val="auto"/>
              </w:rPr>
            </w:pPr>
            <w:r>
              <w:rPr>
                <w:rFonts w:ascii="Arial" w:cs="Arial" w:eastAsia="Arial" w:hAnsi="Arial"/>
                <w:sz w:val="18"/>
                <w:szCs w:val="18"/>
                <w:color w:val="auto"/>
              </w:rPr>
              <w:t>Inventories</w:t>
            </w:r>
          </w:p>
        </w:tc>
        <w:tc>
          <w:tcPr>
            <w:tcW w:w="4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(104)</w:t>
            </w:r>
          </w:p>
        </w:tc>
        <w:tc>
          <w:tcPr>
            <w:tcW w:w="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83</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FF0FC"/>
          </w:tcPr>
          <w:p>
            <w:pPr>
              <w:ind w:left="340"/>
              <w:spacing w:after="0"/>
              <w:rPr>
                <w:sz w:val="20"/>
                <w:szCs w:val="20"/>
                <w:color w:val="auto"/>
              </w:rPr>
            </w:pPr>
            <w:r>
              <w:rPr>
                <w:rFonts w:ascii="Arial" w:cs="Arial" w:eastAsia="Arial" w:hAnsi="Arial"/>
                <w:sz w:val="18"/>
                <w:szCs w:val="18"/>
                <w:color w:val="auto"/>
              </w:rPr>
              <w:t>Accounts payable and accrued expenses</w:t>
            </w:r>
          </w:p>
        </w:tc>
        <w:tc>
          <w:tcPr>
            <w:tcW w:w="4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12</w:t>
            </w:r>
          </w:p>
        </w:tc>
        <w:tc>
          <w:tcPr>
            <w:tcW w:w="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340"/>
              <w:spacing w:after="0"/>
              <w:rPr>
                <w:sz w:val="20"/>
                <w:szCs w:val="20"/>
                <w:color w:val="auto"/>
              </w:rPr>
            </w:pPr>
            <w:r>
              <w:rPr>
                <w:rFonts w:ascii="Arial" w:cs="Arial" w:eastAsia="Arial" w:hAnsi="Arial"/>
                <w:sz w:val="18"/>
                <w:szCs w:val="18"/>
                <w:color w:val="auto"/>
              </w:rPr>
              <w:t>Accrued compensation</w:t>
            </w: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131</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FF0FC"/>
          </w:tcPr>
          <w:p>
            <w:pPr>
              <w:ind w:left="340"/>
              <w:spacing w:after="0"/>
              <w:rPr>
                <w:sz w:val="20"/>
                <w:szCs w:val="20"/>
                <w:color w:val="auto"/>
              </w:rPr>
            </w:pPr>
            <w:r>
              <w:rPr>
                <w:rFonts w:ascii="Arial" w:cs="Arial" w:eastAsia="Arial" w:hAnsi="Arial"/>
                <w:sz w:val="18"/>
                <w:szCs w:val="18"/>
                <w:color w:val="auto"/>
              </w:rPr>
              <w:t>Income taxes payable</w:t>
            </w:r>
          </w:p>
        </w:tc>
        <w:tc>
          <w:tcPr>
            <w:tcW w:w="4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(385)</w:t>
            </w:r>
          </w:p>
        </w:tc>
        <w:tc>
          <w:tcPr>
            <w:tcW w:w="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160"/>
              <w:spacing w:after="0"/>
              <w:rPr>
                <w:sz w:val="20"/>
                <w:szCs w:val="20"/>
                <w:color w:val="auto"/>
              </w:rPr>
            </w:pPr>
            <w:r>
              <w:rPr>
                <w:rFonts w:ascii="Arial" w:cs="Arial" w:eastAsia="Arial" w:hAnsi="Arial"/>
                <w:sz w:val="18"/>
                <w:szCs w:val="18"/>
                <w:color w:val="auto"/>
              </w:rPr>
              <w:t>Changes in funded status of retirement plans</w:t>
            </w: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19</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FF0FC"/>
          </w:tcPr>
          <w:p>
            <w:pPr>
              <w:ind w:left="160"/>
              <w:spacing w:after="0"/>
              <w:rPr>
                <w:sz w:val="20"/>
                <w:szCs w:val="20"/>
                <w:color w:val="auto"/>
              </w:rPr>
            </w:pPr>
            <w:r>
              <w:rPr>
                <w:rFonts w:ascii="Arial" w:cs="Arial" w:eastAsia="Arial" w:hAnsi="Arial"/>
                <w:sz w:val="18"/>
                <w:szCs w:val="18"/>
                <w:color w:val="auto"/>
              </w:rPr>
              <w:t>Other</w:t>
            </w:r>
          </w:p>
        </w:tc>
        <w:tc>
          <w:tcPr>
            <w:tcW w:w="4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(9)</w:t>
            </w:r>
          </w:p>
        </w:tc>
        <w:tc>
          <w:tcPr>
            <w:tcW w:w="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Cash flows from operating activities</w:t>
            </w:r>
          </w:p>
        </w:tc>
        <w:tc>
          <w:tcPr>
            <w:tcW w:w="440" w:type="dxa"/>
            <w:vAlign w:val="bottom"/>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917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4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160"/>
              <w:spacing w:after="0"/>
              <w:rPr>
                <w:sz w:val="20"/>
                <w:szCs w:val="20"/>
                <w:color w:val="auto"/>
              </w:rPr>
            </w:pPr>
            <w:r>
              <w:rPr>
                <w:rFonts w:ascii="Arial" w:cs="Arial" w:eastAsia="Arial" w:hAnsi="Arial"/>
                <w:sz w:val="18"/>
                <w:szCs w:val="18"/>
                <w:color w:val="auto"/>
              </w:rPr>
              <w:t>Capital expenditures</w:t>
            </w: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(151)</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FF0FC"/>
          </w:tcPr>
          <w:p>
            <w:pPr>
              <w:ind w:left="160"/>
              <w:spacing w:after="0"/>
              <w:rPr>
                <w:sz w:val="20"/>
                <w:szCs w:val="20"/>
                <w:color w:val="auto"/>
              </w:rPr>
            </w:pPr>
            <w:r>
              <w:rPr>
                <w:rFonts w:ascii="Arial" w:cs="Arial" w:eastAsia="Arial" w:hAnsi="Arial"/>
                <w:sz w:val="18"/>
                <w:szCs w:val="18"/>
                <w:color w:val="auto"/>
              </w:rPr>
              <w:t>Purchases of short-term investments</w:t>
            </w:r>
          </w:p>
        </w:tc>
        <w:tc>
          <w:tcPr>
            <w:tcW w:w="4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w w:val="98"/>
              </w:rPr>
              <w:t>(1,130)</w:t>
            </w:r>
          </w:p>
        </w:tc>
        <w:tc>
          <w:tcPr>
            <w:tcW w:w="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160"/>
              <w:spacing w:after="0"/>
              <w:rPr>
                <w:sz w:val="20"/>
                <w:szCs w:val="20"/>
                <w:color w:val="auto"/>
              </w:rPr>
            </w:pPr>
            <w:r>
              <w:rPr>
                <w:rFonts w:ascii="Arial" w:cs="Arial" w:eastAsia="Arial" w:hAnsi="Arial"/>
                <w:sz w:val="18"/>
                <w:szCs w:val="18"/>
                <w:color w:val="auto"/>
              </w:rPr>
              <w:t>Proceeds from short-term investments</w:t>
            </w: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1,265</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FF0FC"/>
          </w:tcPr>
          <w:p>
            <w:pPr>
              <w:ind w:left="160"/>
              <w:spacing w:after="0"/>
              <w:rPr>
                <w:sz w:val="20"/>
                <w:szCs w:val="20"/>
                <w:color w:val="auto"/>
              </w:rPr>
            </w:pPr>
            <w:r>
              <w:rPr>
                <w:rFonts w:ascii="Arial" w:cs="Arial" w:eastAsia="Arial" w:hAnsi="Arial"/>
                <w:sz w:val="18"/>
                <w:szCs w:val="18"/>
                <w:color w:val="auto"/>
              </w:rPr>
              <w:t>Other</w:t>
            </w:r>
          </w:p>
        </w:tc>
        <w:tc>
          <w:tcPr>
            <w:tcW w:w="4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8</w:t>
            </w:r>
          </w:p>
        </w:tc>
        <w:tc>
          <w:tcPr>
            <w:tcW w:w="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60" w:type="dxa"/>
            <w:vAlign w:val="bottom"/>
            <w:vMerge w:val="restart"/>
          </w:tcPr>
          <w:p>
            <w:pPr>
              <w:spacing w:after="0"/>
              <w:rPr>
                <w:sz w:val="20"/>
                <w:szCs w:val="20"/>
                <w:color w:val="auto"/>
              </w:rPr>
            </w:pPr>
            <w:r>
              <w:rPr>
                <w:rFonts w:ascii="Arial" w:cs="Arial" w:eastAsia="Arial" w:hAnsi="Arial"/>
                <w:sz w:val="18"/>
                <w:szCs w:val="18"/>
                <w:color w:val="auto"/>
              </w:rPr>
              <w:t>Cash flows from investing activities</w:t>
            </w:r>
          </w:p>
        </w:tc>
        <w:tc>
          <w:tcPr>
            <w:tcW w:w="4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6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(8)</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4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160"/>
              <w:spacing w:after="0"/>
              <w:rPr>
                <w:sz w:val="20"/>
                <w:szCs w:val="20"/>
                <w:color w:val="auto"/>
              </w:rPr>
            </w:pPr>
            <w:r>
              <w:rPr>
                <w:rFonts w:ascii="Arial" w:cs="Arial" w:eastAsia="Arial" w:hAnsi="Arial"/>
                <w:sz w:val="18"/>
                <w:szCs w:val="18"/>
                <w:color w:val="auto"/>
              </w:rPr>
              <w:t>Proceeds from issuance of long-term debt</w:t>
            </w: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605</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FF0FC"/>
          </w:tcPr>
          <w:p>
            <w:pPr>
              <w:ind w:left="160"/>
              <w:spacing w:after="0"/>
              <w:rPr>
                <w:sz w:val="20"/>
                <w:szCs w:val="20"/>
                <w:color w:val="auto"/>
              </w:rPr>
            </w:pPr>
            <w:r>
              <w:rPr>
                <w:rFonts w:ascii="Arial" w:cs="Arial" w:eastAsia="Arial" w:hAnsi="Arial"/>
                <w:sz w:val="18"/>
                <w:szCs w:val="18"/>
                <w:color w:val="auto"/>
              </w:rPr>
              <w:t>Repayment of debt</w:t>
            </w:r>
          </w:p>
        </w:tc>
        <w:tc>
          <w:tcPr>
            <w:tcW w:w="4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(375)</w:t>
            </w:r>
          </w:p>
        </w:tc>
        <w:tc>
          <w:tcPr>
            <w:tcW w:w="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w w:val="98"/>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160"/>
              <w:spacing w:after="0"/>
              <w:rPr>
                <w:sz w:val="20"/>
                <w:szCs w:val="20"/>
                <w:color w:val="auto"/>
              </w:rPr>
            </w:pPr>
            <w:r>
              <w:rPr>
                <w:rFonts w:ascii="Arial" w:cs="Arial" w:eastAsia="Arial" w:hAnsi="Arial"/>
                <w:sz w:val="18"/>
                <w:szCs w:val="18"/>
                <w:color w:val="auto"/>
              </w:rPr>
              <w:t>Dividends paid</w:t>
            </w: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(498)</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FF0FC"/>
          </w:tcPr>
          <w:p>
            <w:pPr>
              <w:ind w:left="160"/>
              <w:spacing w:after="0"/>
              <w:rPr>
                <w:sz w:val="20"/>
                <w:szCs w:val="20"/>
                <w:color w:val="auto"/>
              </w:rPr>
            </w:pPr>
            <w:r>
              <w:rPr>
                <w:rFonts w:ascii="Arial" w:cs="Arial" w:eastAsia="Arial" w:hAnsi="Arial"/>
                <w:sz w:val="18"/>
                <w:szCs w:val="18"/>
                <w:color w:val="auto"/>
              </w:rPr>
              <w:t>Stock repurchases</w:t>
            </w:r>
          </w:p>
        </w:tc>
        <w:tc>
          <w:tcPr>
            <w:tcW w:w="4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(650)</w:t>
            </w:r>
          </w:p>
        </w:tc>
        <w:tc>
          <w:tcPr>
            <w:tcW w:w="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ind w:left="160"/>
              <w:spacing w:after="0"/>
              <w:rPr>
                <w:sz w:val="20"/>
                <w:szCs w:val="20"/>
                <w:color w:val="auto"/>
              </w:rPr>
            </w:pPr>
            <w:r>
              <w:rPr>
                <w:rFonts w:ascii="Arial" w:cs="Arial" w:eastAsia="Arial" w:hAnsi="Arial"/>
                <w:sz w:val="18"/>
                <w:szCs w:val="18"/>
                <w:color w:val="auto"/>
              </w:rPr>
              <w:t>Proceeds from common stock transactions</w:t>
            </w: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84</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FF0FC"/>
          </w:tcPr>
          <w:p>
            <w:pPr>
              <w:ind w:left="160"/>
              <w:spacing w:after="0"/>
              <w:rPr>
                <w:sz w:val="20"/>
                <w:szCs w:val="20"/>
                <w:color w:val="auto"/>
              </w:rPr>
            </w:pPr>
            <w:r>
              <w:rPr>
                <w:rFonts w:ascii="Arial" w:cs="Arial" w:eastAsia="Arial" w:hAnsi="Arial"/>
                <w:sz w:val="18"/>
                <w:szCs w:val="18"/>
                <w:color w:val="auto"/>
              </w:rPr>
              <w:t>Other</w:t>
            </w:r>
          </w:p>
        </w:tc>
        <w:tc>
          <w:tcPr>
            <w:tcW w:w="4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(8)</w:t>
            </w:r>
          </w:p>
        </w:tc>
        <w:tc>
          <w:tcPr>
            <w:tcW w:w="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440" w:type="dxa"/>
            <w:vAlign w:val="bottom"/>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(842)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(1,220)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60" w:type="dxa"/>
            <w:vAlign w:val="bottom"/>
            <w:shd w:val="clear" w:color="auto" w:fill="CFF0FC"/>
          </w:tcPr>
          <w:p>
            <w:pPr>
              <w:spacing w:after="0"/>
              <w:rPr>
                <w:sz w:val="20"/>
                <w:szCs w:val="20"/>
                <w:color w:val="auto"/>
              </w:rPr>
            </w:pPr>
            <w:r>
              <w:rPr>
                <w:rFonts w:ascii="Arial" w:cs="Arial" w:eastAsia="Arial" w:hAnsi="Arial"/>
                <w:sz w:val="18"/>
                <w:szCs w:val="18"/>
                <w:color w:val="auto"/>
              </w:rPr>
              <w:t>Net change in Cash and cash equivalents</w:t>
            </w:r>
          </w:p>
        </w:tc>
        <w:tc>
          <w:tcPr>
            <w:tcW w:w="4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67</w:t>
            </w:r>
          </w:p>
        </w:tc>
        <w:tc>
          <w:tcPr>
            <w:tcW w:w="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1,073</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1,281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 at end of period</w:t>
            </w:r>
          </w:p>
        </w:tc>
        <w:tc>
          <w:tcPr>
            <w:tcW w:w="440" w:type="dxa"/>
            <w:vAlign w:val="bottom"/>
            <w:tcBorders>
              <w:top w:val="single" w:sz="8" w:color="CFF0FC"/>
              <w:bottom w:val="single" w:sz="8" w:color="CFF0FC"/>
            </w:tcBorders>
            <w:shd w:val="clear" w:color="auto" w:fill="CFF0FC"/>
          </w:tcPr>
          <w:p>
            <w:pPr>
              <w:spacing w:after="0"/>
              <w:rPr>
                <w:sz w:val="18"/>
                <w:szCs w:val="18"/>
                <w:color w:val="auto"/>
              </w:rPr>
            </w:pPr>
          </w:p>
        </w:tc>
        <w:tc>
          <w:tcPr>
            <w:tcW w:w="980" w:type="dxa"/>
            <w:vAlign w:val="bottom"/>
            <w:tcBorders>
              <w:top w:val="single" w:sz="8" w:color="auto"/>
              <w:bottom w:val="single" w:sz="8" w:color="auto"/>
            </w:tcBorders>
            <w:shd w:val="clear" w:color="auto" w:fill="CFF0FC"/>
          </w:tcPr>
          <w:p>
            <w:pPr>
              <w:jc w:val="right"/>
              <w:ind w:right="790"/>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1,140</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80" w:type="dxa"/>
            <w:vAlign w:val="bottom"/>
            <w:tcBorders>
              <w:top w:val="single" w:sz="8" w:color="CFF0FC"/>
              <w:bottom w:val="single" w:sz="8" w:color="CFF0FC"/>
            </w:tcBorders>
            <w:shd w:val="clear" w:color="auto" w:fill="CFF0FC"/>
          </w:tcPr>
          <w:p>
            <w:pPr>
              <w:spacing w:after="0"/>
              <w:rPr>
                <w:sz w:val="18"/>
                <w:szCs w:val="18"/>
                <w:color w:val="auto"/>
              </w:rPr>
            </w:pPr>
          </w:p>
        </w:tc>
        <w:tc>
          <w:tcPr>
            <w:tcW w:w="960" w:type="dxa"/>
            <w:vAlign w:val="bottom"/>
            <w:tcBorders>
              <w:top w:val="single" w:sz="8" w:color="auto"/>
              <w:bottom w:val="single" w:sz="8" w:color="auto"/>
            </w:tcBorders>
            <w:shd w:val="clear" w:color="auto" w:fill="CFF0FC"/>
          </w:tcPr>
          <w:p>
            <w:pPr>
              <w:jc w:val="right"/>
              <w:ind w:right="805"/>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1,235</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Certain amounts in the prior period have been recast to conform to the current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482600</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4"/>
        </w:trPr>
        <w:tc>
          <w:tcPr>
            <w:tcW w:w="5220" w:type="dxa"/>
            <w:vAlign w:val="bottom"/>
            <w:gridSpan w:val="2"/>
          </w:tcPr>
          <w:p>
            <w:pPr>
              <w:spacing w:after="0"/>
              <w:rPr>
                <w:sz w:val="20"/>
                <w:szCs w:val="20"/>
                <w:color w:val="auto"/>
              </w:rPr>
            </w:pPr>
            <w:r>
              <w:rPr>
                <w:rFonts w:ascii="Arial" w:cs="Arial" w:eastAsia="Arial" w:hAnsi="Arial"/>
                <w:sz w:val="18"/>
                <w:szCs w:val="18"/>
                <w:b w:val="1"/>
                <w:bCs w:val="1"/>
                <w:color w:val="auto"/>
              </w:rPr>
              <w:t>TI reports 2Q17 financial results and shareholder returns</w:t>
            </w: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ind w:left="640"/>
              <w:spacing w:after="0"/>
              <w:rPr>
                <w:sz w:val="20"/>
                <w:szCs w:val="20"/>
                <w:color w:val="auto"/>
              </w:rPr>
            </w:pPr>
            <w:r>
              <w:rPr>
                <w:rFonts w:ascii="Arial" w:cs="Arial" w:eastAsia="Arial" w:hAnsi="Arial"/>
                <w:sz w:val="18"/>
                <w:szCs w:val="18"/>
                <w:b w:val="1"/>
                <w:bCs w:val="1"/>
                <w:color w:val="auto"/>
                <w:w w:val="82"/>
              </w:rPr>
              <w:t>Page 6</w:t>
            </w:r>
          </w:p>
        </w:tc>
      </w:tr>
      <w:tr>
        <w:trPr>
          <w:trHeight w:val="540"/>
        </w:trPr>
        <w:tc>
          <w:tcPr>
            <w:tcW w:w="1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4"/>
              </w:rPr>
              <w:t>Segment results</w:t>
            </w:r>
          </w:p>
        </w:tc>
        <w:tc>
          <w:tcPr>
            <w:tcW w:w="40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18"/>
        </w:trPr>
        <w:tc>
          <w:tcPr>
            <w:tcW w:w="5220" w:type="dxa"/>
            <w:vAlign w:val="bottom"/>
            <w:gridSpan w:val="2"/>
          </w:tcPr>
          <w:p>
            <w:pPr>
              <w:spacing w:after="0"/>
              <w:rPr>
                <w:sz w:val="20"/>
                <w:szCs w:val="20"/>
                <w:color w:val="auto"/>
              </w:rPr>
            </w:pPr>
            <w:r>
              <w:rPr>
                <w:rFonts w:ascii="Arial" w:cs="Arial" w:eastAsia="Arial" w:hAnsi="Arial"/>
                <w:sz w:val="18"/>
                <w:szCs w:val="18"/>
                <w:i w:val="1"/>
                <w:iCs w:val="1"/>
                <w:color w:val="auto"/>
              </w:rPr>
              <w:t>Amounts are in millions of dollars.</w:t>
            </w: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65"/>
        </w:trPr>
        <w:tc>
          <w:tcPr>
            <w:tcW w:w="12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jc w:val="right"/>
              <w:ind w:right="350"/>
              <w:spacing w:after="0"/>
              <w:rPr>
                <w:sz w:val="20"/>
                <w:szCs w:val="20"/>
                <w:color w:val="auto"/>
              </w:rPr>
            </w:pPr>
            <w:r>
              <w:rPr>
                <w:rFonts w:ascii="Arial" w:cs="Arial" w:eastAsia="Arial" w:hAnsi="Arial"/>
                <w:sz w:val="18"/>
                <w:szCs w:val="18"/>
                <w:color w:val="auto"/>
              </w:rPr>
              <w:t>2Q17</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gridSpan w:val="2"/>
          </w:tcPr>
          <w:p>
            <w:pPr>
              <w:ind w:left="160"/>
              <w:spacing w:after="0"/>
              <w:rPr>
                <w:sz w:val="20"/>
                <w:szCs w:val="20"/>
                <w:color w:val="auto"/>
              </w:rPr>
            </w:pPr>
            <w:r>
              <w:rPr>
                <w:rFonts w:ascii="Arial" w:cs="Arial" w:eastAsia="Arial" w:hAnsi="Arial"/>
                <w:sz w:val="18"/>
                <w:szCs w:val="18"/>
                <w:color w:val="auto"/>
              </w:rPr>
              <w:t>2Q16</w:t>
            </w:r>
          </w:p>
        </w:tc>
        <w:tc>
          <w:tcPr>
            <w:tcW w:w="2500" w:type="dxa"/>
            <w:vAlign w:val="bottom"/>
            <w:gridSpan w:val="3"/>
          </w:tcPr>
          <w:p>
            <w:pPr>
              <w:ind w:left="300"/>
              <w:spacing w:after="0"/>
              <w:rPr>
                <w:sz w:val="20"/>
                <w:szCs w:val="20"/>
                <w:color w:val="auto"/>
              </w:rPr>
            </w:pPr>
            <w:r>
              <w:rPr>
                <w:rFonts w:ascii="Arial" w:cs="Arial" w:eastAsia="Arial" w:hAnsi="Arial"/>
                <w:sz w:val="18"/>
                <w:szCs w:val="18"/>
                <w:color w:val="auto"/>
              </w:rPr>
              <w:t>Change</w:t>
            </w:r>
          </w:p>
        </w:tc>
      </w:tr>
      <w:tr>
        <w:trPr>
          <w:trHeight w:val="210"/>
        </w:trPr>
        <w:tc>
          <w:tcPr>
            <w:tcW w:w="1220" w:type="dxa"/>
            <w:vAlign w:val="bottom"/>
            <w:tcBorders>
              <w:right w:val="single" w:sz="8" w:color="CFF0FC"/>
            </w:tcBorders>
          </w:tcPr>
          <w:p>
            <w:pPr>
              <w:spacing w:after="0"/>
              <w:rPr>
                <w:sz w:val="18"/>
                <w:szCs w:val="18"/>
                <w:color w:val="auto"/>
              </w:rPr>
            </w:pPr>
          </w:p>
        </w:tc>
        <w:tc>
          <w:tcPr>
            <w:tcW w:w="40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Analog:</w:t>
            </w:r>
          </w:p>
        </w:tc>
        <w:tc>
          <w:tcPr>
            <w:tcW w:w="8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220" w:type="dxa"/>
            <w:vAlign w:val="bottom"/>
          </w:tcPr>
          <w:p>
            <w:pPr>
              <w:spacing w:after="0"/>
              <w:rPr>
                <w:sz w:val="18"/>
                <w:szCs w:val="18"/>
                <w:color w:val="auto"/>
              </w:rPr>
            </w:pPr>
          </w:p>
        </w:tc>
        <w:tc>
          <w:tcPr>
            <w:tcW w:w="4000" w:type="dxa"/>
            <w:vAlign w:val="bottom"/>
          </w:tcPr>
          <w:p>
            <w:pPr>
              <w:ind w:left="200"/>
              <w:spacing w:after="0"/>
              <w:rPr>
                <w:sz w:val="20"/>
                <w:szCs w:val="20"/>
                <w:color w:val="auto"/>
              </w:rPr>
            </w:pPr>
            <w:r>
              <w:rPr>
                <w:rFonts w:ascii="Arial" w:cs="Arial" w:eastAsia="Arial" w:hAnsi="Arial"/>
                <w:sz w:val="18"/>
                <w:szCs w:val="18"/>
                <w:color w:val="auto"/>
              </w:rPr>
              <w:t>Revenue</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2,411</w:t>
            </w: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2,044</w:t>
            </w:r>
          </w:p>
        </w:tc>
        <w:tc>
          <w:tcPr>
            <w:tcW w:w="20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c>
          <w:tcPr>
            <w:tcW w:w="1140" w:type="dxa"/>
            <w:vAlign w:val="bottom"/>
          </w:tcPr>
          <w:p>
            <w:pPr>
              <w:spacing w:after="0"/>
              <w:rPr>
                <w:sz w:val="18"/>
                <w:szCs w:val="18"/>
                <w:color w:val="auto"/>
              </w:rPr>
            </w:pPr>
          </w:p>
        </w:tc>
      </w:tr>
      <w:tr>
        <w:trPr>
          <w:trHeight w:val="216"/>
        </w:trPr>
        <w:tc>
          <w:tcPr>
            <w:tcW w:w="1220" w:type="dxa"/>
            <w:vAlign w:val="bottom"/>
            <w:tcBorders>
              <w:right w:val="single" w:sz="8" w:color="CFF0FC"/>
            </w:tcBorders>
          </w:tcPr>
          <w:p>
            <w:pPr>
              <w:spacing w:after="0"/>
              <w:rPr>
                <w:sz w:val="18"/>
                <w:szCs w:val="18"/>
                <w:color w:val="auto"/>
              </w:rPr>
            </w:pPr>
          </w:p>
        </w:tc>
        <w:tc>
          <w:tcPr>
            <w:tcW w:w="40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Operating profit</w:t>
            </w: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1,077</w:t>
            </w:r>
          </w:p>
        </w:tc>
        <w:tc>
          <w:tcPr>
            <w:tcW w:w="4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781</w:t>
            </w:r>
          </w:p>
        </w:tc>
        <w:tc>
          <w:tcPr>
            <w:tcW w:w="2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38%</w:t>
            </w:r>
          </w:p>
        </w:tc>
        <w:tc>
          <w:tcPr>
            <w:tcW w:w="1140" w:type="dxa"/>
            <w:vAlign w:val="bottom"/>
          </w:tcPr>
          <w:p>
            <w:pPr>
              <w:spacing w:after="0"/>
              <w:rPr>
                <w:sz w:val="18"/>
                <w:szCs w:val="18"/>
                <w:color w:val="auto"/>
              </w:rPr>
            </w:pPr>
          </w:p>
        </w:tc>
      </w:tr>
      <w:tr>
        <w:trPr>
          <w:trHeight w:val="216"/>
        </w:trPr>
        <w:tc>
          <w:tcPr>
            <w:tcW w:w="12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Embedded Processing:</w:t>
            </w: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220" w:type="dxa"/>
            <w:vAlign w:val="bottom"/>
            <w:tcBorders>
              <w:right w:val="single" w:sz="8" w:color="CFF0FC"/>
            </w:tcBorders>
          </w:tcPr>
          <w:p>
            <w:pPr>
              <w:spacing w:after="0"/>
              <w:rPr>
                <w:sz w:val="18"/>
                <w:szCs w:val="18"/>
                <w:color w:val="auto"/>
              </w:rPr>
            </w:pPr>
          </w:p>
        </w:tc>
        <w:tc>
          <w:tcPr>
            <w:tcW w:w="40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Revenue</w:t>
            </w: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868</w:t>
            </w:r>
          </w:p>
        </w:tc>
        <w:tc>
          <w:tcPr>
            <w:tcW w:w="4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755</w:t>
            </w:r>
          </w:p>
        </w:tc>
        <w:tc>
          <w:tcPr>
            <w:tcW w:w="2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w:t>
            </w:r>
          </w:p>
        </w:tc>
        <w:tc>
          <w:tcPr>
            <w:tcW w:w="1140" w:type="dxa"/>
            <w:vAlign w:val="bottom"/>
          </w:tcPr>
          <w:p>
            <w:pPr>
              <w:spacing w:after="0"/>
              <w:rPr>
                <w:sz w:val="18"/>
                <w:szCs w:val="18"/>
                <w:color w:val="auto"/>
              </w:rPr>
            </w:pPr>
          </w:p>
        </w:tc>
      </w:tr>
      <w:tr>
        <w:trPr>
          <w:trHeight w:val="216"/>
        </w:trPr>
        <w:tc>
          <w:tcPr>
            <w:tcW w:w="1220" w:type="dxa"/>
            <w:vAlign w:val="bottom"/>
          </w:tcPr>
          <w:p>
            <w:pPr>
              <w:spacing w:after="0"/>
              <w:rPr>
                <w:sz w:val="18"/>
                <w:szCs w:val="18"/>
                <w:color w:val="auto"/>
              </w:rPr>
            </w:pPr>
          </w:p>
        </w:tc>
        <w:tc>
          <w:tcPr>
            <w:tcW w:w="4000" w:type="dxa"/>
            <w:vAlign w:val="bottom"/>
          </w:tcPr>
          <w:p>
            <w:pPr>
              <w:ind w:left="200"/>
              <w:spacing w:after="0"/>
              <w:rPr>
                <w:sz w:val="20"/>
                <w:szCs w:val="20"/>
                <w:color w:val="auto"/>
              </w:rPr>
            </w:pPr>
            <w:r>
              <w:rPr>
                <w:rFonts w:ascii="Arial" w:cs="Arial" w:eastAsia="Arial" w:hAnsi="Arial"/>
                <w:sz w:val="18"/>
                <w:szCs w:val="18"/>
                <w:color w:val="auto"/>
              </w:rPr>
              <w:t>Operating profit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271</w:t>
            </w: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192</w:t>
            </w:r>
          </w:p>
        </w:tc>
        <w:tc>
          <w:tcPr>
            <w:tcW w:w="20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41%</w:t>
            </w:r>
          </w:p>
        </w:tc>
        <w:tc>
          <w:tcPr>
            <w:tcW w:w="1140" w:type="dxa"/>
            <w:vAlign w:val="bottom"/>
          </w:tcPr>
          <w:p>
            <w:pPr>
              <w:spacing w:after="0"/>
              <w:rPr>
                <w:sz w:val="18"/>
                <w:szCs w:val="18"/>
                <w:color w:val="auto"/>
              </w:rPr>
            </w:pPr>
          </w:p>
        </w:tc>
      </w:tr>
      <w:tr>
        <w:trPr>
          <w:trHeight w:val="216"/>
        </w:trPr>
        <w:tc>
          <w:tcPr>
            <w:tcW w:w="1220" w:type="dxa"/>
            <w:vAlign w:val="bottom"/>
            <w:tcBorders>
              <w:right w:val="single" w:sz="8" w:color="CFF0FC"/>
            </w:tcBorders>
          </w:tcPr>
          <w:p>
            <w:pPr>
              <w:spacing w:after="0"/>
              <w:rPr>
                <w:sz w:val="18"/>
                <w:szCs w:val="18"/>
                <w:color w:val="auto"/>
              </w:rPr>
            </w:pPr>
          </w:p>
        </w:tc>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8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220" w:type="dxa"/>
            <w:vAlign w:val="bottom"/>
          </w:tcPr>
          <w:p>
            <w:pPr>
              <w:spacing w:after="0"/>
              <w:rPr>
                <w:sz w:val="18"/>
                <w:szCs w:val="18"/>
                <w:color w:val="auto"/>
              </w:rPr>
            </w:pPr>
          </w:p>
        </w:tc>
        <w:tc>
          <w:tcPr>
            <w:tcW w:w="4000" w:type="dxa"/>
            <w:vAlign w:val="bottom"/>
          </w:tcPr>
          <w:p>
            <w:pPr>
              <w:ind w:left="200"/>
              <w:spacing w:after="0"/>
              <w:rPr>
                <w:sz w:val="20"/>
                <w:szCs w:val="20"/>
                <w:color w:val="auto"/>
              </w:rPr>
            </w:pPr>
            <w:r>
              <w:rPr>
                <w:rFonts w:ascii="Arial" w:cs="Arial" w:eastAsia="Arial" w:hAnsi="Arial"/>
                <w:sz w:val="18"/>
                <w:szCs w:val="18"/>
                <w:color w:val="auto"/>
              </w:rPr>
              <w:t>Revenue</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414</w:t>
            </w: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474</w:t>
            </w:r>
          </w:p>
        </w:tc>
        <w:tc>
          <w:tcPr>
            <w:tcW w:w="20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1140" w:type="dxa"/>
            <w:vAlign w:val="bottom"/>
          </w:tcPr>
          <w:p>
            <w:pPr>
              <w:spacing w:after="0"/>
              <w:rPr>
                <w:sz w:val="18"/>
                <w:szCs w:val="18"/>
                <w:color w:val="auto"/>
              </w:rPr>
            </w:pPr>
          </w:p>
        </w:tc>
      </w:tr>
      <w:tr>
        <w:trPr>
          <w:trHeight w:val="216"/>
        </w:trPr>
        <w:tc>
          <w:tcPr>
            <w:tcW w:w="1220" w:type="dxa"/>
            <w:vAlign w:val="bottom"/>
            <w:tcBorders>
              <w:right w:val="single" w:sz="8" w:color="CFF0FC"/>
            </w:tcBorders>
          </w:tcPr>
          <w:p>
            <w:pPr>
              <w:spacing w:after="0"/>
              <w:rPr>
                <w:sz w:val="18"/>
                <w:szCs w:val="18"/>
                <w:color w:val="auto"/>
              </w:rPr>
            </w:pPr>
          </w:p>
        </w:tc>
        <w:tc>
          <w:tcPr>
            <w:tcW w:w="40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Operating profit*</w:t>
            </w: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w:t>
            </w:r>
          </w:p>
        </w:tc>
        <w:tc>
          <w:tcPr>
            <w:tcW w:w="4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w:t>
            </w:r>
          </w:p>
        </w:tc>
        <w:tc>
          <w:tcPr>
            <w:tcW w:w="2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w:t>
            </w:r>
          </w:p>
        </w:tc>
        <w:tc>
          <w:tcPr>
            <w:tcW w:w="1140" w:type="dxa"/>
            <w:vAlign w:val="bottom"/>
          </w:tcPr>
          <w:p>
            <w:pPr>
              <w:spacing w:after="0"/>
              <w:rPr>
                <w:sz w:val="18"/>
                <w:szCs w:val="18"/>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Includes Acquisition charges and Restructuring charges/other.</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Compared with the year-ago quarter:</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Analog: </w:t>
      </w:r>
      <w:r>
        <w:rPr>
          <w:rFonts w:ascii="Arial" w:cs="Arial" w:eastAsia="Arial" w:hAnsi="Arial"/>
          <w:sz w:val="18"/>
          <w:szCs w:val="18"/>
          <w:i w:val="1"/>
          <w:iCs w:val="1"/>
          <w:color w:val="auto"/>
        </w:rPr>
        <w:t>(includes Power, Signal Chain and High Volume)</w:t>
      </w:r>
    </w:p>
    <w:p>
      <w:pPr>
        <w:spacing w:after="0" w:line="108" w:lineRule="exact"/>
        <w:rPr>
          <w:sz w:val="20"/>
          <w:szCs w:val="20"/>
          <w:color w:val="auto"/>
        </w:rPr>
      </w:pPr>
    </w:p>
    <w:p>
      <w:pPr>
        <w:ind w:left="520" w:hanging="512"/>
        <w:spacing w:after="0"/>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Revenue increased primarily due to Power and Signal Chain, each of which grew by about the same amount. High Volume also grew.</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Operating profit increased primarily due to higher revenue and associated gross profit.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Embedded Processing: </w:t>
      </w:r>
      <w:r>
        <w:rPr>
          <w:rFonts w:ascii="Arial" w:cs="Arial" w:eastAsia="Arial" w:hAnsi="Arial"/>
          <w:sz w:val="18"/>
          <w:szCs w:val="18"/>
          <w:i w:val="1"/>
          <w:iCs w:val="1"/>
          <w:color w:val="auto"/>
        </w:rPr>
        <w:t>(includes Connected Microcontrollers and Processors)</w:t>
      </w:r>
    </w:p>
    <w:p>
      <w:pPr>
        <w:spacing w:after="0" w:line="94" w:lineRule="exact"/>
        <w:rPr>
          <w:sz w:val="20"/>
          <w:szCs w:val="20"/>
          <w:color w:val="auto"/>
        </w:rPr>
      </w:pPr>
    </w:p>
    <w:p>
      <w:pPr>
        <w:ind w:left="520" w:hanging="512"/>
        <w:spacing w:after="0"/>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Revenue increased in both product lines by about the same amount.</w:t>
      </w:r>
    </w:p>
    <w:p>
      <w:pPr>
        <w:spacing w:after="0" w:line="103" w:lineRule="exact"/>
        <w:rPr>
          <w:rFonts w:ascii="Arial" w:cs="Arial" w:eastAsia="Arial" w:hAnsi="Arial"/>
          <w:sz w:val="18"/>
          <w:szCs w:val="18"/>
          <w:color w:val="auto"/>
        </w:rPr>
      </w:pPr>
    </w:p>
    <w:p>
      <w:pPr>
        <w:ind w:left="520" w:hanging="512"/>
        <w:spacing w:after="0"/>
        <w:tabs>
          <w:tab w:leader="none" w:pos="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Operating profit increased primarily due to higher revenue and associated gross profit.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Other: </w:t>
      </w:r>
      <w:r>
        <w:rPr>
          <w:rFonts w:ascii="Arial" w:cs="Arial" w:eastAsia="Arial" w:hAnsi="Arial"/>
          <w:sz w:val="18"/>
          <w:szCs w:val="18"/>
          <w:i w:val="1"/>
          <w:iCs w:val="1"/>
          <w:color w:val="auto"/>
        </w:rPr>
        <w:t>(includes DLP® products, calculators and custom ASIC products)</w:t>
      </w:r>
    </w:p>
    <w:p>
      <w:pPr>
        <w:spacing w:after="0" w:line="108" w:lineRule="exact"/>
        <w:rPr>
          <w:sz w:val="20"/>
          <w:szCs w:val="20"/>
          <w:color w:val="auto"/>
        </w:rPr>
      </w:pPr>
    </w:p>
    <w:p>
      <w:pPr>
        <w:ind w:left="520" w:hanging="512"/>
        <w:spacing w:after="0"/>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Revenue decreased by $60 million, and operating profit declined by $26 million.</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financial information</w:t>
      </w:r>
    </w:p>
    <w:p>
      <w:pPr>
        <w:spacing w:after="0" w:line="94"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This release includes references to free cash flow and ratios based on that measure. These are financial measures that were not prepared in accordance with GAAP. Free cash flow was calculated by subtracting Capital expenditures from the most directly comparable GAAP measure, Cash flows from operating activities (also referred to as cash flow from operations).</w:t>
      </w:r>
    </w:p>
    <w:p>
      <w:pPr>
        <w:spacing w:after="0" w:line="60"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The company believes that free cash flow and the associated ratios provide insight into its liquidity, its cash-generating capability and the amount of cash potentially available to return to shareholders, as well as insight into its financial performance. These non-GAAP measures are supplemental to the comparable GAAP measures.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Reconciliation to the most directly comparable GAAP measures is provided in the table below.</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Amounts are in millions of dollars.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60" w:type="dxa"/>
            <w:vAlign w:val="bottom"/>
            <w:gridSpan w:val="5"/>
          </w:tcPr>
          <w:p>
            <w:pPr>
              <w:jc w:val="right"/>
              <w:ind w:right="740"/>
              <w:spacing w:after="0"/>
              <w:rPr>
                <w:sz w:val="20"/>
                <w:szCs w:val="20"/>
                <w:color w:val="auto"/>
              </w:rPr>
            </w:pPr>
            <w:r>
              <w:rPr>
                <w:rFonts w:ascii="Arial" w:cs="Arial" w:eastAsia="Arial" w:hAnsi="Arial"/>
                <w:sz w:val="18"/>
                <w:szCs w:val="18"/>
                <w:b w:val="1"/>
                <w:bCs w:val="1"/>
                <w:color w:val="auto"/>
              </w:rPr>
              <w:t>For 12 Months Ended</w:t>
            </w: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9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gridSpan w:val="3"/>
          </w:tcPr>
          <w:p>
            <w:pPr>
              <w:jc w:val="right"/>
              <w:ind w:right="30"/>
              <w:spacing w:after="0" w:line="202" w:lineRule="exact"/>
              <w:rPr>
                <w:sz w:val="20"/>
                <w:szCs w:val="20"/>
                <w:color w:val="auto"/>
              </w:rPr>
            </w:pPr>
            <w:r>
              <w:rPr>
                <w:rFonts w:ascii="Arial" w:cs="Arial" w:eastAsia="Arial" w:hAnsi="Arial"/>
                <w:sz w:val="18"/>
                <w:szCs w:val="18"/>
                <w:b w:val="1"/>
                <w:bCs w:val="1"/>
                <w:color w:val="auto"/>
              </w:rPr>
              <w:t>June 30,</w:t>
            </w:r>
          </w:p>
        </w:tc>
        <w:tc>
          <w:tcPr>
            <w:tcW w:w="90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tcBorders>
              <w:bottom w:val="single" w:sz="8" w:color="CFF0FC"/>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30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260" w:type="dxa"/>
            <w:vAlign w:val="bottom"/>
            <w:tcBorders>
              <w:bottom w:val="single" w:sz="8" w:color="CFF0FC"/>
            </w:tcBorders>
          </w:tcPr>
          <w:p>
            <w:pPr>
              <w:spacing w:after="0"/>
              <w:rPr>
                <w:sz w:val="18"/>
                <w:szCs w:val="18"/>
                <w:color w:val="auto"/>
              </w:rPr>
            </w:pPr>
          </w:p>
        </w:tc>
        <w:tc>
          <w:tcPr>
            <w:tcW w:w="124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Change</w:t>
            </w:r>
          </w:p>
        </w:tc>
        <w:tc>
          <w:tcPr>
            <w:tcW w:w="1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960" w:type="dxa"/>
            <w:vAlign w:val="bottom"/>
            <w:shd w:val="clear" w:color="auto" w:fill="CFF0FC"/>
          </w:tcPr>
          <w:p>
            <w:pPr>
              <w:spacing w:after="0" w:line="170" w:lineRule="exact"/>
              <w:rPr>
                <w:sz w:val="20"/>
                <w:szCs w:val="20"/>
                <w:color w:val="auto"/>
              </w:rPr>
            </w:pPr>
            <w:r>
              <w:rPr>
                <w:rFonts w:ascii="Arial" w:cs="Arial" w:eastAsia="Arial" w:hAnsi="Arial"/>
                <w:sz w:val="18"/>
                <w:szCs w:val="18"/>
                <w:color w:val="auto"/>
              </w:rPr>
              <w:t>Cash flow from operations (GAAP)</w:t>
            </w:r>
          </w:p>
        </w:tc>
        <w:tc>
          <w:tcPr>
            <w:tcW w:w="260" w:type="dxa"/>
            <w:vAlign w:val="bottom"/>
            <w:shd w:val="clear" w:color="auto" w:fill="CFF0FC"/>
          </w:tcPr>
          <w:p>
            <w:pPr>
              <w:jc w:val="right"/>
              <w:ind w:right="105"/>
              <w:spacing w:after="0" w:line="169" w:lineRule="exact"/>
              <w:rPr>
                <w:sz w:val="20"/>
                <w:szCs w:val="20"/>
                <w:color w:val="auto"/>
              </w:rPr>
            </w:pPr>
            <w:r>
              <w:rPr>
                <w:rFonts w:ascii="Arial" w:cs="Arial" w:eastAsia="Arial" w:hAnsi="Arial"/>
                <w:sz w:val="15"/>
                <w:szCs w:val="15"/>
                <w:b w:val="1"/>
                <w:bCs w:val="1"/>
                <w:color w:val="auto"/>
                <w:w w:val="71"/>
              </w:rPr>
              <w:t>$</w:t>
            </w:r>
          </w:p>
        </w:tc>
        <w:tc>
          <w:tcPr>
            <w:tcW w:w="960" w:type="dxa"/>
            <w:vAlign w:val="bottom"/>
            <w:shd w:val="clear" w:color="auto" w:fill="CFF0FC"/>
          </w:tcPr>
          <w:p>
            <w:pPr>
              <w:jc w:val="right"/>
              <w:spacing w:after="0" w:line="170" w:lineRule="exact"/>
              <w:rPr>
                <w:sz w:val="20"/>
                <w:szCs w:val="20"/>
                <w:color w:val="auto"/>
              </w:rPr>
            </w:pPr>
            <w:r>
              <w:rPr>
                <w:rFonts w:ascii="Arial" w:cs="Arial" w:eastAsia="Arial" w:hAnsi="Arial"/>
                <w:sz w:val="18"/>
                <w:szCs w:val="18"/>
                <w:b w:val="1"/>
                <w:bCs w:val="1"/>
                <w:color w:val="auto"/>
              </w:rPr>
              <w:t>4,564</w:t>
            </w:r>
          </w:p>
        </w:tc>
        <w:tc>
          <w:tcPr>
            <w:tcW w:w="300" w:type="dxa"/>
            <w:vAlign w:val="bottom"/>
            <w:shd w:val="clear" w:color="auto" w:fill="CFF0FC"/>
          </w:tcPr>
          <w:p>
            <w:pPr>
              <w:spacing w:after="0"/>
              <w:rPr>
                <w:sz w:val="14"/>
                <w:szCs w:val="14"/>
                <w:color w:val="auto"/>
              </w:rPr>
            </w:pPr>
          </w:p>
        </w:tc>
        <w:tc>
          <w:tcPr>
            <w:tcW w:w="340" w:type="dxa"/>
            <w:vAlign w:val="bottom"/>
            <w:shd w:val="clear" w:color="auto" w:fill="CFF0FC"/>
          </w:tcPr>
          <w:p>
            <w:pPr>
              <w:jc w:val="right"/>
              <w:ind w:right="150"/>
              <w:spacing w:after="0" w:line="170"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line="170" w:lineRule="exact"/>
              <w:rPr>
                <w:sz w:val="20"/>
                <w:szCs w:val="20"/>
                <w:color w:val="auto"/>
              </w:rPr>
            </w:pPr>
            <w:r>
              <w:rPr>
                <w:rFonts w:ascii="Arial" w:cs="Arial" w:eastAsia="Arial" w:hAnsi="Arial"/>
                <w:sz w:val="18"/>
                <w:szCs w:val="18"/>
                <w:color w:val="auto"/>
              </w:rPr>
              <w:t>4,624</w:t>
            </w:r>
          </w:p>
        </w:tc>
        <w:tc>
          <w:tcPr>
            <w:tcW w:w="260" w:type="dxa"/>
            <w:vAlign w:val="bottom"/>
            <w:shd w:val="clear" w:color="auto" w:fill="CFF0FC"/>
          </w:tcPr>
          <w:p>
            <w:pPr>
              <w:spacing w:after="0"/>
              <w:rPr>
                <w:sz w:val="14"/>
                <w:szCs w:val="14"/>
                <w:color w:val="auto"/>
              </w:rPr>
            </w:pPr>
          </w:p>
        </w:tc>
        <w:tc>
          <w:tcPr>
            <w:tcW w:w="1420" w:type="dxa"/>
            <w:vAlign w:val="bottom"/>
            <w:gridSpan w:val="2"/>
            <w:shd w:val="clear" w:color="auto" w:fill="CFF0FC"/>
          </w:tcPr>
          <w:p>
            <w:pPr>
              <w:jc w:val="right"/>
              <w:spacing w:after="0" w:line="170" w:lineRule="exact"/>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960" w:type="dxa"/>
            <w:vAlign w:val="bottom"/>
          </w:tcPr>
          <w:p>
            <w:pPr>
              <w:spacing w:after="0" w:line="176" w:lineRule="exact"/>
              <w:rPr>
                <w:sz w:val="20"/>
                <w:szCs w:val="20"/>
                <w:color w:val="auto"/>
              </w:rPr>
            </w:pPr>
            <w:r>
              <w:rPr>
                <w:rFonts w:ascii="Arial" w:cs="Arial" w:eastAsia="Arial" w:hAnsi="Arial"/>
                <w:sz w:val="18"/>
                <w:szCs w:val="18"/>
                <w:color w:val="auto"/>
              </w:rPr>
              <w:t>Capital expenditures</w:t>
            </w:r>
          </w:p>
        </w:tc>
        <w:tc>
          <w:tcPr>
            <w:tcW w:w="260" w:type="dxa"/>
            <w:vAlign w:val="bottom"/>
          </w:tcPr>
          <w:p>
            <w:pPr>
              <w:spacing w:after="0"/>
              <w:rPr>
                <w:sz w:val="15"/>
                <w:szCs w:val="15"/>
                <w:color w:val="auto"/>
              </w:rPr>
            </w:pPr>
          </w:p>
        </w:tc>
        <w:tc>
          <w:tcPr>
            <w:tcW w:w="1260" w:type="dxa"/>
            <w:vAlign w:val="bottom"/>
            <w:gridSpan w:val="2"/>
          </w:tcPr>
          <w:p>
            <w:pPr>
              <w:jc w:val="right"/>
              <w:ind w:right="240"/>
              <w:spacing w:after="0" w:line="176" w:lineRule="exact"/>
              <w:rPr>
                <w:sz w:val="20"/>
                <w:szCs w:val="20"/>
                <w:color w:val="auto"/>
              </w:rPr>
            </w:pPr>
            <w:r>
              <w:rPr>
                <w:rFonts w:ascii="Arial" w:cs="Arial" w:eastAsia="Arial" w:hAnsi="Arial"/>
                <w:sz w:val="18"/>
                <w:szCs w:val="18"/>
                <w:b w:val="1"/>
                <w:bCs w:val="1"/>
                <w:color w:val="auto"/>
              </w:rPr>
              <w:t>(527)</w:t>
            </w:r>
          </w:p>
        </w:tc>
        <w:tc>
          <w:tcPr>
            <w:tcW w:w="340" w:type="dxa"/>
            <w:vAlign w:val="bottom"/>
          </w:tcPr>
          <w:p>
            <w:pPr>
              <w:spacing w:after="0"/>
              <w:rPr>
                <w:sz w:val="15"/>
                <w:szCs w:val="15"/>
                <w:color w:val="auto"/>
              </w:rPr>
            </w:pPr>
          </w:p>
        </w:tc>
        <w:tc>
          <w:tcPr>
            <w:tcW w:w="1160" w:type="dxa"/>
            <w:vAlign w:val="bottom"/>
            <w:gridSpan w:val="2"/>
          </w:tcPr>
          <w:p>
            <w:pPr>
              <w:jc w:val="right"/>
              <w:ind w:right="200"/>
              <w:spacing w:after="0" w:line="176" w:lineRule="exact"/>
              <w:rPr>
                <w:sz w:val="20"/>
                <w:szCs w:val="20"/>
                <w:color w:val="auto"/>
              </w:rPr>
            </w:pPr>
            <w:r>
              <w:rPr>
                <w:rFonts w:ascii="Arial" w:cs="Arial" w:eastAsia="Arial" w:hAnsi="Arial"/>
                <w:sz w:val="18"/>
                <w:szCs w:val="18"/>
                <w:color w:val="auto"/>
              </w:rPr>
              <w:t>(585)</w:t>
            </w:r>
          </w:p>
        </w:tc>
        <w:tc>
          <w:tcPr>
            <w:tcW w:w="1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960" w:type="dxa"/>
            <w:vAlign w:val="bottom"/>
            <w:tcBorders>
              <w:top w:val="single" w:sz="8" w:color="CFF0FC"/>
              <w:bottom w:val="single" w:sz="8" w:color="CFF0FC"/>
            </w:tcBorders>
            <w:shd w:val="clear" w:color="auto" w:fill="CFF0FC"/>
          </w:tcPr>
          <w:p>
            <w:pPr>
              <w:spacing w:after="0" w:line="170" w:lineRule="exact"/>
              <w:rPr>
                <w:sz w:val="20"/>
                <w:szCs w:val="20"/>
                <w:color w:val="auto"/>
              </w:rPr>
            </w:pPr>
            <w:r>
              <w:rPr>
                <w:rFonts w:ascii="Arial" w:cs="Arial" w:eastAsia="Arial" w:hAnsi="Arial"/>
                <w:sz w:val="18"/>
                <w:szCs w:val="18"/>
                <w:color w:val="auto"/>
              </w:rPr>
              <w:t>Free cash flow (non-GAAP)</w:t>
            </w:r>
          </w:p>
        </w:tc>
        <w:tc>
          <w:tcPr>
            <w:tcW w:w="260" w:type="dxa"/>
            <w:vAlign w:val="bottom"/>
            <w:tcBorders>
              <w:top w:val="single" w:sz="8" w:color="auto"/>
              <w:bottom w:val="single" w:sz="8" w:color="auto"/>
            </w:tcBorders>
            <w:shd w:val="clear" w:color="auto" w:fill="CFF0FC"/>
          </w:tcPr>
          <w:p>
            <w:pPr>
              <w:jc w:val="right"/>
              <w:ind w:right="105"/>
              <w:spacing w:after="0" w:line="169" w:lineRule="exact"/>
              <w:rPr>
                <w:sz w:val="20"/>
                <w:szCs w:val="20"/>
                <w:color w:val="auto"/>
              </w:rPr>
            </w:pPr>
            <w:r>
              <w:rPr>
                <w:rFonts w:ascii="Arial" w:cs="Arial" w:eastAsia="Arial" w:hAnsi="Arial"/>
                <w:sz w:val="15"/>
                <w:szCs w:val="15"/>
                <w:b w:val="1"/>
                <w:bCs w:val="1"/>
                <w:color w:val="auto"/>
                <w:w w:val="71"/>
              </w:rPr>
              <w:t>$</w:t>
            </w:r>
          </w:p>
        </w:tc>
        <w:tc>
          <w:tcPr>
            <w:tcW w:w="960" w:type="dxa"/>
            <w:vAlign w:val="bottom"/>
            <w:tcBorders>
              <w:top w:val="single" w:sz="8" w:color="auto"/>
              <w:bottom w:val="single" w:sz="8" w:color="auto"/>
            </w:tcBorders>
            <w:shd w:val="clear" w:color="auto" w:fill="CFF0FC"/>
          </w:tcPr>
          <w:p>
            <w:pPr>
              <w:jc w:val="right"/>
              <w:spacing w:after="0" w:line="170" w:lineRule="exact"/>
              <w:rPr>
                <w:sz w:val="20"/>
                <w:szCs w:val="20"/>
                <w:color w:val="auto"/>
              </w:rPr>
            </w:pPr>
            <w:r>
              <w:rPr>
                <w:rFonts w:ascii="Arial" w:cs="Arial" w:eastAsia="Arial" w:hAnsi="Arial"/>
                <w:sz w:val="18"/>
                <w:szCs w:val="18"/>
                <w:b w:val="1"/>
                <w:bCs w:val="1"/>
                <w:color w:val="auto"/>
              </w:rPr>
              <w:t>4,037</w:t>
            </w:r>
          </w:p>
        </w:tc>
        <w:tc>
          <w:tcPr>
            <w:tcW w:w="300" w:type="dxa"/>
            <w:vAlign w:val="bottom"/>
            <w:tcBorders>
              <w:top w:val="single" w:sz="8" w:color="CFF0FC"/>
              <w:bottom w:val="single" w:sz="8" w:color="CFF0FC"/>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jc w:val="right"/>
              <w:ind w:right="150"/>
              <w:spacing w:after="0" w:line="170"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line="170" w:lineRule="exact"/>
              <w:rPr>
                <w:sz w:val="20"/>
                <w:szCs w:val="20"/>
                <w:color w:val="auto"/>
              </w:rPr>
            </w:pPr>
            <w:r>
              <w:rPr>
                <w:rFonts w:ascii="Arial" w:cs="Arial" w:eastAsia="Arial" w:hAnsi="Arial"/>
                <w:sz w:val="18"/>
                <w:szCs w:val="18"/>
                <w:color w:val="auto"/>
              </w:rPr>
              <w:t>4,039</w:t>
            </w:r>
          </w:p>
        </w:tc>
        <w:tc>
          <w:tcPr>
            <w:tcW w:w="260" w:type="dxa"/>
            <w:vAlign w:val="bottom"/>
            <w:tcBorders>
              <w:top w:val="single" w:sz="8" w:color="CFF0FC"/>
              <w:bottom w:val="single" w:sz="8" w:color="CFF0FC"/>
            </w:tcBorders>
            <w:shd w:val="clear" w:color="auto" w:fill="CFF0FC"/>
          </w:tcPr>
          <w:p>
            <w:pPr>
              <w:spacing w:after="0"/>
              <w:rPr>
                <w:sz w:val="18"/>
                <w:szCs w:val="18"/>
                <w:color w:val="auto"/>
              </w:rPr>
            </w:pPr>
          </w:p>
        </w:tc>
        <w:tc>
          <w:tcPr>
            <w:tcW w:w="1420" w:type="dxa"/>
            <w:vAlign w:val="bottom"/>
            <w:tcBorders>
              <w:top w:val="single" w:sz="8" w:color="CFF0FC"/>
              <w:bottom w:val="single" w:sz="8" w:color="CFF0FC"/>
            </w:tcBorders>
            <w:gridSpan w:val="2"/>
            <w:shd w:val="clear" w:color="auto" w:fill="CFF0FC"/>
          </w:tcPr>
          <w:p>
            <w:pPr>
              <w:jc w:val="right"/>
              <w:spacing w:after="0" w:line="170" w:lineRule="exact"/>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960" w:type="dxa"/>
            <w:vAlign w:val="bottom"/>
            <w:shd w:val="clear" w:color="auto" w:fill="CFF0FC"/>
          </w:tcPr>
          <w:p>
            <w:pPr>
              <w:spacing w:after="0"/>
              <w:rPr>
                <w:sz w:val="13"/>
                <w:szCs w:val="13"/>
                <w:color w:val="auto"/>
              </w:rPr>
            </w:pPr>
          </w:p>
        </w:tc>
        <w:tc>
          <w:tcPr>
            <w:tcW w:w="260" w:type="dxa"/>
            <w:vAlign w:val="bottom"/>
            <w:tcBorders>
              <w:bottom w:val="single" w:sz="8" w:color="auto"/>
            </w:tcBorders>
            <w:shd w:val="clear" w:color="auto" w:fill="CFF0FC"/>
          </w:tcPr>
          <w:p>
            <w:pPr>
              <w:spacing w:after="0"/>
              <w:rPr>
                <w:sz w:val="13"/>
                <w:szCs w:val="13"/>
                <w:color w:val="auto"/>
              </w:rPr>
            </w:pPr>
          </w:p>
        </w:tc>
        <w:tc>
          <w:tcPr>
            <w:tcW w:w="960" w:type="dxa"/>
            <w:vAlign w:val="bottom"/>
            <w:tcBorders>
              <w:bottom w:val="single" w:sz="8" w:color="auto"/>
            </w:tcBorders>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340" w:type="dxa"/>
            <w:vAlign w:val="bottom"/>
            <w:tcBorders>
              <w:bottom w:val="single" w:sz="8" w:color="auto"/>
            </w:tcBorders>
            <w:shd w:val="clear" w:color="auto" w:fill="CFF0FC"/>
          </w:tcPr>
          <w:p>
            <w:pPr>
              <w:spacing w:after="0"/>
              <w:rPr>
                <w:sz w:val="13"/>
                <w:szCs w:val="13"/>
                <w:color w:val="auto"/>
              </w:rPr>
            </w:pPr>
          </w:p>
        </w:tc>
        <w:tc>
          <w:tcPr>
            <w:tcW w:w="900" w:type="dxa"/>
            <w:vAlign w:val="bottom"/>
            <w:tcBorders>
              <w:bottom w:val="single" w:sz="8" w:color="auto"/>
            </w:tcBorders>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24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960" w:type="dxa"/>
            <w:vAlign w:val="bottom"/>
          </w:tcPr>
          <w:p>
            <w:pPr>
              <w:spacing w:after="0" w:line="170" w:lineRule="exact"/>
              <w:rPr>
                <w:sz w:val="20"/>
                <w:szCs w:val="20"/>
                <w:color w:val="auto"/>
              </w:rPr>
            </w:pPr>
            <w:r>
              <w:rPr>
                <w:rFonts w:ascii="Arial" w:cs="Arial" w:eastAsia="Arial" w:hAnsi="Arial"/>
                <w:sz w:val="18"/>
                <w:szCs w:val="18"/>
                <w:color w:val="auto"/>
              </w:rPr>
              <w:t>Revenue</w:t>
            </w:r>
          </w:p>
        </w:tc>
        <w:tc>
          <w:tcPr>
            <w:tcW w:w="260" w:type="dxa"/>
            <w:vAlign w:val="bottom"/>
            <w:tcBorders>
              <w:bottom w:val="single" w:sz="8" w:color="auto"/>
            </w:tcBorders>
          </w:tcPr>
          <w:p>
            <w:pPr>
              <w:jc w:val="right"/>
              <w:ind w:right="105"/>
              <w:spacing w:after="0" w:line="169" w:lineRule="exact"/>
              <w:rPr>
                <w:sz w:val="20"/>
                <w:szCs w:val="20"/>
                <w:color w:val="auto"/>
              </w:rPr>
            </w:pPr>
            <w:r>
              <w:rPr>
                <w:rFonts w:ascii="Arial" w:cs="Arial" w:eastAsia="Arial" w:hAnsi="Arial"/>
                <w:sz w:val="15"/>
                <w:szCs w:val="15"/>
                <w:b w:val="1"/>
                <w:bCs w:val="1"/>
                <w:color w:val="auto"/>
                <w:w w:val="71"/>
              </w:rPr>
              <w:t>$</w:t>
            </w:r>
          </w:p>
        </w:tc>
        <w:tc>
          <w:tcPr>
            <w:tcW w:w="9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b w:val="1"/>
                <w:bCs w:val="1"/>
                <w:color w:val="auto"/>
              </w:rPr>
              <w:t>14,184</w:t>
            </w:r>
          </w:p>
        </w:tc>
        <w:tc>
          <w:tcPr>
            <w:tcW w:w="300" w:type="dxa"/>
            <w:vAlign w:val="bottom"/>
          </w:tcPr>
          <w:p>
            <w:pPr>
              <w:spacing w:after="0"/>
              <w:rPr>
                <w:sz w:val="14"/>
                <w:szCs w:val="14"/>
                <w:color w:val="auto"/>
              </w:rPr>
            </w:pPr>
          </w:p>
        </w:tc>
        <w:tc>
          <w:tcPr>
            <w:tcW w:w="340" w:type="dxa"/>
            <w:vAlign w:val="bottom"/>
            <w:tcBorders>
              <w:bottom w:val="single" w:sz="8" w:color="auto"/>
            </w:tcBorders>
          </w:tcPr>
          <w:p>
            <w:pPr>
              <w:jc w:val="right"/>
              <w:ind w:right="150"/>
              <w:spacing w:after="0" w:line="170"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12,899</w:t>
            </w: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vMerge w:val="restart"/>
          </w:tcPr>
          <w:p>
            <w:pPr>
              <w:spacing w:after="0"/>
              <w:rPr>
                <w:sz w:val="13"/>
                <w:szCs w:val="13"/>
                <w:color w:val="auto"/>
              </w:rPr>
            </w:pPr>
          </w:p>
        </w:tc>
        <w:tc>
          <w:tcPr>
            <w:tcW w:w="69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960" w:type="dxa"/>
            <w:vAlign w:val="bottom"/>
            <w:shd w:val="clear" w:color="auto" w:fill="CFF0FC"/>
          </w:tcPr>
          <w:p>
            <w:pPr>
              <w:spacing w:after="0" w:line="176" w:lineRule="exact"/>
              <w:rPr>
                <w:sz w:val="20"/>
                <w:szCs w:val="20"/>
                <w:color w:val="auto"/>
              </w:rPr>
            </w:pPr>
            <w:r>
              <w:rPr>
                <w:rFonts w:ascii="Arial" w:cs="Arial" w:eastAsia="Arial" w:hAnsi="Arial"/>
                <w:sz w:val="18"/>
                <w:szCs w:val="18"/>
                <w:color w:val="auto"/>
              </w:rPr>
              <w:t>Cash flow from operations as a percent of revenue (GAAP)</w:t>
            </w:r>
          </w:p>
        </w:tc>
        <w:tc>
          <w:tcPr>
            <w:tcW w:w="26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120"/>
              <w:spacing w:after="0" w:line="176" w:lineRule="exact"/>
              <w:rPr>
                <w:sz w:val="20"/>
                <w:szCs w:val="20"/>
                <w:color w:val="auto"/>
              </w:rPr>
            </w:pPr>
            <w:r>
              <w:rPr>
                <w:rFonts w:ascii="Arial" w:cs="Arial" w:eastAsia="Arial" w:hAnsi="Arial"/>
                <w:sz w:val="18"/>
                <w:szCs w:val="18"/>
                <w:b w:val="1"/>
                <w:bCs w:val="1"/>
                <w:color w:val="auto"/>
              </w:rPr>
              <w:t>32.2%</w:t>
            </w:r>
          </w:p>
        </w:tc>
        <w:tc>
          <w:tcPr>
            <w:tcW w:w="340" w:type="dxa"/>
            <w:vAlign w:val="bottom"/>
            <w:shd w:val="clear" w:color="auto" w:fill="CFF0FC"/>
          </w:tcPr>
          <w:p>
            <w:pPr>
              <w:spacing w:after="0"/>
              <w:rPr>
                <w:sz w:val="15"/>
                <w:szCs w:val="15"/>
                <w:color w:val="auto"/>
              </w:rPr>
            </w:pPr>
          </w:p>
        </w:tc>
        <w:tc>
          <w:tcPr>
            <w:tcW w:w="1160" w:type="dxa"/>
            <w:vAlign w:val="bottom"/>
            <w:gridSpan w:val="2"/>
            <w:shd w:val="clear" w:color="auto" w:fill="CFF0FC"/>
          </w:tcPr>
          <w:p>
            <w:pPr>
              <w:jc w:val="right"/>
              <w:ind w:right="120"/>
              <w:spacing w:after="0" w:line="176" w:lineRule="exact"/>
              <w:rPr>
                <w:sz w:val="20"/>
                <w:szCs w:val="20"/>
                <w:color w:val="auto"/>
              </w:rPr>
            </w:pPr>
            <w:r>
              <w:rPr>
                <w:rFonts w:ascii="Arial" w:cs="Arial" w:eastAsia="Arial" w:hAnsi="Arial"/>
                <w:sz w:val="18"/>
                <w:szCs w:val="18"/>
                <w:color w:val="auto"/>
              </w:rPr>
              <w:t>35.8%</w:t>
            </w:r>
          </w:p>
        </w:tc>
        <w:tc>
          <w:tcPr>
            <w:tcW w:w="1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Free cash flow as a percent of revenue (non-GAAP)</w:t>
            </w:r>
          </w:p>
        </w:tc>
        <w:tc>
          <w:tcPr>
            <w:tcW w:w="26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28.5%</w:t>
            </w:r>
          </w:p>
        </w:tc>
        <w:tc>
          <w:tcPr>
            <w:tcW w:w="34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31.3%</w:t>
            </w: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This release also includes references to an annual operating tax rate, a non-GAAP term we use to describe the estimated annual effective tax rate, a GAAP measure that by definition does not include discrete tax items. We believe the term annual operating tax rate is useful because it more clearly communicates that discrete tax items are excluded from such rate. The term also helps differentiate from the effective tax rate, which includes discrete tax items. No adjustments are made to the estimated annual effective tax rate when using the term annual operating tax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311150</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spacing w:after="0"/>
        <w:tabs>
          <w:tab w:leader="none" w:pos="10900" w:val="left"/>
        </w:tabs>
        <w:rPr>
          <w:sz w:val="20"/>
          <w:szCs w:val="20"/>
          <w:color w:val="auto"/>
        </w:rPr>
      </w:pPr>
      <w:r>
        <w:rPr>
          <w:rFonts w:ascii="Arial" w:cs="Arial" w:eastAsia="Arial" w:hAnsi="Arial"/>
          <w:sz w:val="18"/>
          <w:szCs w:val="18"/>
          <w:b w:val="1"/>
          <w:bCs w:val="1"/>
          <w:color w:val="auto"/>
        </w:rPr>
        <w:t>TI reports 2Q17 financial results and shareholder returns</w:t>
      </w:r>
      <w:r>
        <w:rPr>
          <w:sz w:val="20"/>
          <w:szCs w:val="20"/>
          <w:color w:val="auto"/>
        </w:rPr>
        <w:tab/>
      </w:r>
      <w:r>
        <w:rPr>
          <w:rFonts w:ascii="Arial" w:cs="Arial" w:eastAsia="Arial" w:hAnsi="Arial"/>
          <w:sz w:val="15"/>
          <w:szCs w:val="15"/>
          <w:b w:val="1"/>
          <w:bCs w:val="1"/>
          <w:color w:val="auto"/>
        </w:rPr>
        <w:t>Page 7</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regarding forward-looking statements</w:t>
      </w:r>
    </w:p>
    <w:p>
      <w:pPr>
        <w:spacing w:after="0" w:line="121"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This release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73"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our management:</w:t>
      </w:r>
    </w:p>
    <w:p>
      <w:pPr>
        <w:spacing w:after="0" w:line="62" w:lineRule="exact"/>
        <w:rPr>
          <w:sz w:val="20"/>
          <w:szCs w:val="20"/>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Market demand for semiconductors, particularly in TI’s end markets;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117" w:lineRule="exact"/>
        <w:rPr>
          <w:rFonts w:ascii="Arial" w:cs="Arial" w:eastAsia="Arial" w:hAnsi="Arial"/>
          <w:sz w:val="18"/>
          <w:szCs w:val="18"/>
          <w:color w:val="auto"/>
        </w:rPr>
      </w:pPr>
    </w:p>
    <w:p>
      <w:pPr>
        <w:ind w:left="1040" w:right="40" w:hanging="519"/>
        <w:spacing w:after="0" w:line="277"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Customer demand that differs from forecasts and the financial impact of inadequate or excess TI inventory that results from demand that differs from projections;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117" w:lineRule="exact"/>
        <w:rPr>
          <w:rFonts w:ascii="Arial" w:cs="Arial" w:eastAsia="Arial" w:hAnsi="Arial"/>
          <w:sz w:val="18"/>
          <w:szCs w:val="18"/>
          <w:color w:val="auto"/>
        </w:rPr>
      </w:pPr>
    </w:p>
    <w:p>
      <w:pPr>
        <w:ind w:left="1040" w:right="200" w:hanging="519"/>
        <w:spacing w:after="0" w:line="264"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our customers or our suppliers operate, including security risks; global trade policies; political and social instability; health conditions; possible disruptions in transportation, communications and information technology networks; and fluctuations in foreign currency exchange rates;</w:t>
      </w:r>
    </w:p>
    <w:p>
      <w:pPr>
        <w:spacing w:after="0" w:line="73" w:lineRule="exact"/>
        <w:rPr>
          <w:rFonts w:ascii="Arial" w:cs="Arial" w:eastAsia="Arial" w:hAnsi="Arial"/>
          <w:sz w:val="18"/>
          <w:szCs w:val="18"/>
          <w:color w:val="auto"/>
        </w:rPr>
      </w:pPr>
    </w:p>
    <w:p>
      <w:pPr>
        <w:ind w:left="1040" w:right="560" w:hanging="519"/>
        <w:spacing w:after="0" w:line="277"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Natural events such as severe weather, geological events or health epidemics in the locations in which TI, our customers or our suppliers operate;</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Breaches or disruptions of TI’s information technology systems or those of our customers or suppliers;</w:t>
      </w:r>
    </w:p>
    <w:p>
      <w:pPr>
        <w:spacing w:after="0" w:line="117" w:lineRule="exact"/>
        <w:rPr>
          <w:rFonts w:ascii="Arial" w:cs="Arial" w:eastAsia="Arial" w:hAnsi="Arial"/>
          <w:sz w:val="18"/>
          <w:szCs w:val="18"/>
          <w:color w:val="auto"/>
        </w:rPr>
      </w:pPr>
    </w:p>
    <w:p>
      <w:pPr>
        <w:ind w:left="1040" w:right="180" w:hanging="519"/>
        <w:spacing w:after="0" w:line="277"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and installation of manufacturing equipment, or the ability to obtain needed third-party foundry and assembly/test subcontract services;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6"/>
          <w:szCs w:val="16"/>
          <w:color w:val="auto"/>
        </w:rPr>
      </w:pPr>
      <w:r>
        <w:rPr>
          <w:rFonts w:ascii="Arial" w:cs="Arial" w:eastAsia="Arial" w:hAnsi="Arial"/>
          <w:sz w:val="16"/>
          <w:szCs w:val="16"/>
          <w:color w:val="auto"/>
        </w:rPr>
        <w:t>Availability and cost of raw materials, utilities, manufacturing equipment, third-party manufacturing services and manufacturing technology;</w:t>
      </w:r>
    </w:p>
    <w:p>
      <w:pPr>
        <w:spacing w:after="0" w:line="140" w:lineRule="exact"/>
        <w:rPr>
          <w:rFonts w:ascii="Arial" w:cs="Arial" w:eastAsia="Arial" w:hAnsi="Arial"/>
          <w:sz w:val="16"/>
          <w:szCs w:val="16"/>
          <w:color w:val="auto"/>
        </w:rPr>
      </w:pPr>
    </w:p>
    <w:p>
      <w:pPr>
        <w:ind w:left="1040" w:right="180" w:hanging="519"/>
        <w:spacing w:after="0" w:line="264"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Compliance with or changes in the complex laws, rules and regulations to which TI is or may become subject, or actions of enforcement authorities, that restrict TI’s ability to manufacture or ship our products or operate our business, or subject TI to fines, penalties, or other legal liability;</w:t>
      </w:r>
    </w:p>
    <w:p>
      <w:pPr>
        <w:spacing w:after="0" w:line="73" w:lineRule="exact"/>
        <w:rPr>
          <w:rFonts w:ascii="Arial" w:cs="Arial" w:eastAsia="Arial" w:hAnsi="Arial"/>
          <w:sz w:val="18"/>
          <w:szCs w:val="18"/>
          <w:color w:val="auto"/>
        </w:rPr>
      </w:pPr>
    </w:p>
    <w:p>
      <w:pPr>
        <w:ind w:left="1040" w:right="520" w:hanging="519"/>
        <w:spacing w:after="0" w:line="277"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Product liability or warranty claims, claims based on epidemic or delivery failure, or other claims relating to TI products, manufacturing, services, design or communications, or recalls by TI customers for a product containing a TI part;</w:t>
      </w:r>
    </w:p>
    <w:p>
      <w:pPr>
        <w:spacing w:after="0" w:line="62" w:lineRule="exact"/>
        <w:rPr>
          <w:rFonts w:ascii="Arial" w:cs="Arial" w:eastAsia="Arial" w:hAnsi="Arial"/>
          <w:sz w:val="18"/>
          <w:szCs w:val="18"/>
          <w:color w:val="auto"/>
        </w:rPr>
      </w:pPr>
    </w:p>
    <w:p>
      <w:pPr>
        <w:ind w:left="1040" w:right="300" w:hanging="519"/>
        <w:spacing w:after="0" w:line="277"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adverse resolution of tax audits, increases in tariff rates, and the ability to realize deferred tax assets;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loss suffered by a customer or distributor of TI with respect to TI-consigned inventory;</w:t>
      </w:r>
    </w:p>
    <w:p>
      <w:pPr>
        <w:spacing w:after="0" w:line="117" w:lineRule="exact"/>
        <w:rPr>
          <w:rFonts w:ascii="Arial" w:cs="Arial" w:eastAsia="Arial" w:hAnsi="Arial"/>
          <w:sz w:val="18"/>
          <w:szCs w:val="18"/>
          <w:color w:val="auto"/>
        </w:rPr>
      </w:pPr>
    </w:p>
    <w:p>
      <w:pPr>
        <w:ind w:left="1040" w:right="500" w:hanging="519"/>
        <w:spacing w:after="0" w:line="277"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Financial difficulties of distributors or their promotion of competing product lines to TI’s detriment, or the loss of a significant number of distributors;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6"/>
          <w:szCs w:val="16"/>
          <w:color w:val="auto"/>
        </w:rPr>
      </w:pPr>
      <w:r>
        <w:rPr>
          <w:rFonts w:ascii="Arial" w:cs="Arial" w:eastAsia="Arial" w:hAnsi="Arial"/>
          <w:sz w:val="16"/>
          <w:szCs w:val="16"/>
          <w:color w:val="auto"/>
        </w:rPr>
        <w:t>Losses or curtailments of purchases from key customers or the timing and amount of distributor and other customer inventory adjustments;</w:t>
      </w:r>
    </w:p>
    <w:p>
      <w:pPr>
        <w:spacing w:after="0" w:line="140" w:lineRule="exact"/>
        <w:rPr>
          <w:rFonts w:ascii="Arial" w:cs="Arial" w:eastAsia="Arial" w:hAnsi="Arial"/>
          <w:sz w:val="16"/>
          <w:szCs w:val="16"/>
          <w:color w:val="auto"/>
        </w:rPr>
      </w:pPr>
    </w:p>
    <w:p>
      <w:pPr>
        <w:ind w:left="1040" w:right="260" w:hanging="519"/>
        <w:spacing w:after="0" w:line="277"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our ability to utilize our manufacturing facilities at sufficient levels to cover our fixed operating costs, in an intensely competitive and cyclical industry;</w:t>
      </w:r>
    </w:p>
    <w:p>
      <w:pPr>
        <w:spacing w:after="0" w:line="62" w:lineRule="exact"/>
        <w:rPr>
          <w:rFonts w:ascii="Arial" w:cs="Arial" w:eastAsia="Arial" w:hAnsi="Arial"/>
          <w:sz w:val="18"/>
          <w:szCs w:val="18"/>
          <w:color w:val="auto"/>
        </w:rPr>
      </w:pPr>
    </w:p>
    <w:p>
      <w:pPr>
        <w:ind w:left="1040" w:right="60" w:hanging="519"/>
        <w:spacing w:after="0" w:line="277"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maintain freedom of operation; or TI’s exposure to infringement claims;</w:t>
      </w:r>
    </w:p>
    <w:p>
      <w:pPr>
        <w:spacing w:after="0" w:line="62" w:lineRule="exact"/>
        <w:rPr>
          <w:rFonts w:ascii="Arial" w:cs="Arial" w:eastAsia="Arial" w:hAnsi="Arial"/>
          <w:sz w:val="18"/>
          <w:szCs w:val="18"/>
          <w:color w:val="auto"/>
        </w:rPr>
      </w:pPr>
    </w:p>
    <w:p>
      <w:pPr>
        <w:ind w:left="1040" w:right="180" w:hanging="519"/>
        <w:spacing w:after="0" w:line="277"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Instability in the global credit and financial markets that affects TI’s ability to fund our daily operations, invest in the business, make strategic acquisitions, or make principal and interest payments on our debt;</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Increases in health care and pension benefit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345440</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spacing w:after="0"/>
        <w:tabs>
          <w:tab w:leader="none" w:pos="10900" w:val="left"/>
        </w:tabs>
        <w:rPr>
          <w:sz w:val="20"/>
          <w:szCs w:val="20"/>
          <w:color w:val="auto"/>
        </w:rPr>
      </w:pPr>
      <w:r>
        <w:rPr>
          <w:rFonts w:ascii="Arial" w:cs="Arial" w:eastAsia="Arial" w:hAnsi="Arial"/>
          <w:sz w:val="18"/>
          <w:szCs w:val="18"/>
          <w:b w:val="1"/>
          <w:bCs w:val="1"/>
          <w:color w:val="auto"/>
        </w:rPr>
        <w:t>TI reports 2Q17 financial results and shareholder returns</w:t>
      </w:r>
      <w:r>
        <w:rPr>
          <w:sz w:val="20"/>
          <w:szCs w:val="20"/>
          <w:color w:val="auto"/>
        </w:rPr>
        <w:tab/>
      </w:r>
      <w:r>
        <w:rPr>
          <w:rFonts w:ascii="Arial" w:cs="Arial" w:eastAsia="Arial" w:hAnsi="Arial"/>
          <w:sz w:val="15"/>
          <w:szCs w:val="15"/>
          <w:b w:val="1"/>
          <w:bCs w:val="1"/>
          <w:color w:val="auto"/>
        </w:rPr>
        <w:t>Page 8</w:t>
      </w:r>
    </w:p>
    <w:p>
      <w:pPr>
        <w:spacing w:after="0" w:line="337" w:lineRule="exact"/>
        <w:rPr>
          <w:sz w:val="20"/>
          <w:szCs w:val="20"/>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TI’s ability to recruit and retain skilled engineering, management and technical personnel;</w:t>
      </w:r>
    </w:p>
    <w:p>
      <w:pPr>
        <w:spacing w:after="0" w:line="117" w:lineRule="exact"/>
        <w:rPr>
          <w:rFonts w:ascii="Arial" w:cs="Arial" w:eastAsia="Arial" w:hAnsi="Arial"/>
          <w:sz w:val="18"/>
          <w:szCs w:val="18"/>
          <w:color w:val="auto"/>
        </w:rPr>
      </w:pPr>
    </w:p>
    <w:p>
      <w:pPr>
        <w:ind w:left="1040" w:right="160" w:hanging="519"/>
        <w:spacing w:after="0" w:line="277"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TI’s ability to successfully integrate and realize opportunities for growth from acquisitions, or our ability to realize our expectations regarding the amount and timing of restructuring charges and associated cost savings;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Impairments of TI’s non-financial assets.</w:t>
      </w:r>
    </w:p>
    <w:p>
      <w:pPr>
        <w:spacing w:after="0" w:line="225"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For a more detailed discussion of these factors, see the Risk Factors discussion in Item 1A of TI’s most recent Form 10-K. The forward-looking statements included in this release are made only as of the date of this release, and we undertake no obligation to update the forward-looking statements to reflect subsequent events or circumstances.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Texas Instruments</w:t>
      </w:r>
    </w:p>
    <w:p>
      <w:pPr>
        <w:spacing w:after="0" w:line="12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 xml:space="preserve">Texas Instruments Incorporated (TI) is a global semiconductor design and manufacturing company that develops analog ICs and embedded processors. By employing the world’s brightest minds, TI creates innovations that shape the future of technology. TI is helping approximately 100,000 customers transform the future, today. Learn more at </w:t>
      </w:r>
      <w:r>
        <w:rPr>
          <w:rFonts w:ascii="Arial" w:cs="Arial" w:eastAsia="Arial" w:hAnsi="Arial"/>
          <w:sz w:val="18"/>
          <w:szCs w:val="18"/>
          <w:u w:val="single" w:color="auto"/>
          <w:color w:val="auto"/>
        </w:rPr>
        <w:t>www.ti.com</w:t>
      </w:r>
      <w:r>
        <w:rPr>
          <w:rFonts w:ascii="Arial" w:cs="Arial" w:eastAsia="Arial" w:hAnsi="Arial"/>
          <w:sz w:val="18"/>
          <w:szCs w:val="18"/>
          <w:color w:val="auto"/>
        </w:rPr>
        <w: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TI trademarks: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Other trademarks are the property of their respective owners.</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decimal"/>
      <w:start w:val="99"/>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2019-12-05T07:59:29Z</dcterms:created>
  <dcterms:modified xsi:type="dcterms:W3CDTF">2019-12-05T07:59:29Z</dcterms:modified>
</cp:coreProperties>
</file>