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133985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5.07. Submission of Matters to a Vote of Security Holders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held on April 27, 2023, the stockholders elected the Board of Directors of Texas Instruments Incorporated and voted upon the proposals contained within our Proxy Statement dated March 14,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nominees were elected with the following vote: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20" w:type="dxa"/>
            <w:vAlign w:val="bottom"/>
          </w:tcPr>
          <w:p>
            <w:pPr>
              <w:spacing w:after="0"/>
              <w:rPr>
                <w:sz w:val="17"/>
                <w:szCs w:val="17"/>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Mark A. Blinn</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725,092,458</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17,500,046</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1,232,412</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Bluedorn</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731,729,546</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8"/>
              </w:rPr>
              <w:t>10,942,575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1,152,795</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Janet F. Clark</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729,897,682</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12,928,030</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999,204</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S. Cox</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618,514,766</w:t>
            </w:r>
          </w:p>
        </w:tc>
        <w:tc>
          <w:tcPr>
            <w:tcW w:w="2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124,208,081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1,102,069</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Martin S. Craighead</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730,978,977</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11,694,875</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1,151,064</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C. Farmer</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736,754,518</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5,907,694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1,162,704</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Jean M. Hobby</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708,721,943</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34,004,484</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1,098,489</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Haviv Ilan</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736,035,904</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6,704,080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1,084,932</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Ronald Kirk</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720,742,274</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21,996,557</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1,086,085</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H. Patsley</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634,202,881</w:t>
            </w:r>
          </w:p>
        </w:tc>
        <w:tc>
          <w:tcPr>
            <w:tcW w:w="29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108,173,980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1,448,055</w:t>
            </w:r>
          </w:p>
        </w:tc>
        <w:tc>
          <w:tcPr>
            <w:tcW w:w="580" w:type="dxa"/>
            <w:vAlign w:val="bottom"/>
          </w:tcPr>
          <w:p>
            <w:pPr>
              <w:spacing w:after="0"/>
              <w:rPr>
                <w:sz w:val="19"/>
                <w:szCs w:val="19"/>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Robert E. Sanchez</w:t>
            </w:r>
          </w:p>
        </w:tc>
        <w:tc>
          <w:tcPr>
            <w:tcW w:w="2200" w:type="dxa"/>
            <w:vAlign w:val="bottom"/>
            <w:gridSpan w:val="3"/>
            <w:shd w:val="clear" w:color="auto" w:fill="DBDBDB"/>
          </w:tcPr>
          <w:p>
            <w:pPr>
              <w:jc w:val="center"/>
              <w:ind w:right="100"/>
              <w:spacing w:after="0"/>
              <w:rPr>
                <w:sz w:val="20"/>
                <w:szCs w:val="20"/>
                <w:color w:val="auto"/>
              </w:rPr>
            </w:pPr>
            <w:r>
              <w:rPr>
                <w:rFonts w:ascii="Times New Roman" w:cs="Times New Roman" w:eastAsia="Times New Roman" w:hAnsi="Times New Roman"/>
                <w:sz w:val="18"/>
                <w:szCs w:val="18"/>
                <w:color w:val="auto"/>
                <w:w w:val="99"/>
              </w:rPr>
              <w:t>722,701,325</w:t>
            </w:r>
          </w:p>
        </w:tc>
        <w:tc>
          <w:tcPr>
            <w:tcW w:w="2960" w:type="dxa"/>
            <w:vAlign w:val="bottom"/>
            <w:gridSpan w:val="3"/>
            <w:shd w:val="clear" w:color="auto" w:fill="DBDBDB"/>
          </w:tcPr>
          <w:p>
            <w:pPr>
              <w:jc w:val="center"/>
              <w:ind w:right="680"/>
              <w:spacing w:after="0"/>
              <w:rPr>
                <w:sz w:val="20"/>
                <w:szCs w:val="20"/>
                <w:color w:val="auto"/>
              </w:rPr>
            </w:pPr>
            <w:r>
              <w:rPr>
                <w:rFonts w:ascii="Times New Roman" w:cs="Times New Roman" w:eastAsia="Times New Roman" w:hAnsi="Times New Roman"/>
                <w:sz w:val="18"/>
                <w:szCs w:val="18"/>
                <w:color w:val="auto"/>
                <w:w w:val="98"/>
              </w:rPr>
              <w:t>19,988,682</w:t>
            </w:r>
          </w:p>
        </w:tc>
        <w:tc>
          <w:tcPr>
            <w:tcW w:w="9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1,134,909</w:t>
            </w:r>
          </w:p>
        </w:tc>
        <w:tc>
          <w:tcPr>
            <w:tcW w:w="580" w:type="dxa"/>
            <w:vAlign w:val="bottom"/>
            <w:shd w:val="clear" w:color="auto" w:fill="DBDBDB"/>
          </w:tcPr>
          <w:p>
            <w:pPr>
              <w:spacing w:after="0"/>
              <w:rPr>
                <w:sz w:val="19"/>
                <w:szCs w:val="19"/>
                <w:color w:val="auto"/>
              </w:rPr>
            </w:pPr>
          </w:p>
        </w:tc>
        <w:tc>
          <w:tcPr>
            <w:tcW w:w="1960" w:type="dxa"/>
            <w:vAlign w:val="bottom"/>
            <w:gridSpan w:val="2"/>
            <w:shd w:val="clear" w:color="auto" w:fill="DBDBDB"/>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shd w:val="clear" w:color="auto" w:fill="DBDBDB"/>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K. Templeton</w:t>
            </w:r>
          </w:p>
        </w:tc>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710,786,262</w:t>
            </w: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8"/>
              </w:rPr>
              <w:t>30,144,993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2,893,661</w:t>
            </w:r>
          </w:p>
        </w:tc>
        <w:tc>
          <w:tcPr>
            <w:tcW w:w="580" w:type="dxa"/>
            <w:vAlign w:val="bottom"/>
          </w:tcPr>
          <w:p>
            <w:pPr>
              <w:spacing w:after="0"/>
              <w:rPr>
                <w:sz w:val="20"/>
                <w:szCs w:val="20"/>
                <w:color w:val="auto"/>
              </w:rPr>
            </w:pPr>
          </w:p>
        </w:tc>
        <w:tc>
          <w:tcPr>
            <w:tcW w:w="1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69,565,209</w:t>
            </w:r>
          </w:p>
        </w:tc>
        <w:tc>
          <w:tcPr>
            <w:tcW w:w="40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voted on the following proposals and cast their votes as described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32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to approve</w:t>
            </w:r>
          </w:p>
        </w:tc>
        <w:tc>
          <w:tcPr>
            <w:tcW w:w="14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76"/>
        </w:trPr>
        <w:tc>
          <w:tcPr>
            <w:tcW w:w="20" w:type="dxa"/>
            <w:vAlign w:val="bottom"/>
            <w:shd w:val="clear" w:color="auto" w:fill="DBDBDB"/>
          </w:tcPr>
          <w:p>
            <w:pPr>
              <w:spacing w:after="0"/>
              <w:rPr>
                <w:sz w:val="15"/>
                <w:szCs w:val="15"/>
                <w:color w:val="auto"/>
              </w:rPr>
            </w:pPr>
          </w:p>
        </w:tc>
        <w:tc>
          <w:tcPr>
            <w:tcW w:w="32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amendment and restatement</w:t>
            </w:r>
          </w:p>
        </w:tc>
        <w:tc>
          <w:tcPr>
            <w:tcW w:w="14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320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of the TI Employees 2014</w:t>
            </w:r>
          </w:p>
        </w:tc>
        <w:tc>
          <w:tcPr>
            <w:tcW w:w="14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r>
      <w:tr>
        <w:trPr>
          <w:trHeight w:val="180"/>
        </w:trPr>
        <w:tc>
          <w:tcPr>
            <w:tcW w:w="20" w:type="dxa"/>
            <w:vAlign w:val="bottom"/>
            <w:shd w:val="clear" w:color="auto" w:fill="DBDBDB"/>
          </w:tcPr>
          <w:p>
            <w:pPr>
              <w:spacing w:after="0"/>
              <w:rPr>
                <w:sz w:val="15"/>
                <w:szCs w:val="15"/>
                <w:color w:val="auto"/>
              </w:rPr>
            </w:pPr>
          </w:p>
        </w:tc>
        <w:tc>
          <w:tcPr>
            <w:tcW w:w="320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Stock Purchase Plan to</w:t>
            </w:r>
          </w:p>
        </w:tc>
        <w:tc>
          <w:tcPr>
            <w:tcW w:w="14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243"/>
        </w:trPr>
        <w:tc>
          <w:tcPr>
            <w:tcW w:w="20" w:type="dxa"/>
            <w:vAlign w:val="bottom"/>
            <w:shd w:val="clear" w:color="auto" w:fill="DBDBDB"/>
          </w:tcPr>
          <w:p>
            <w:pPr>
              <w:spacing w:after="0"/>
              <w:rPr>
                <w:sz w:val="21"/>
                <w:szCs w:val="21"/>
                <w:color w:val="auto"/>
              </w:rPr>
            </w:pPr>
          </w:p>
        </w:tc>
        <w:tc>
          <w:tcPr>
            <w:tcW w:w="32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extend the termination date</w:t>
            </w:r>
          </w:p>
        </w:tc>
        <w:tc>
          <w:tcPr>
            <w:tcW w:w="2580" w:type="dxa"/>
            <w:vAlign w:val="bottom"/>
            <w:gridSpan w:val="3"/>
            <w:shd w:val="clear" w:color="auto" w:fill="DBDBDB"/>
          </w:tcPr>
          <w:p>
            <w:pPr>
              <w:jc w:val="right"/>
              <w:ind w:right="500"/>
              <w:spacing w:after="0"/>
              <w:rPr>
                <w:sz w:val="20"/>
                <w:szCs w:val="20"/>
                <w:color w:val="auto"/>
              </w:rPr>
            </w:pPr>
            <w:r>
              <w:rPr>
                <w:rFonts w:ascii="Times New Roman" w:cs="Times New Roman" w:eastAsia="Times New Roman" w:hAnsi="Times New Roman"/>
                <w:sz w:val="18"/>
                <w:szCs w:val="18"/>
                <w:color w:val="auto"/>
              </w:rPr>
              <w:t>739,923,117</w:t>
            </w:r>
          </w:p>
        </w:tc>
        <w:tc>
          <w:tcPr>
            <w:tcW w:w="2260" w:type="dxa"/>
            <w:vAlign w:val="bottom"/>
            <w:gridSpan w:val="3"/>
            <w:shd w:val="clear" w:color="auto" w:fill="DBDBDB"/>
          </w:tcPr>
          <w:p>
            <w:pPr>
              <w:jc w:val="right"/>
              <w:ind w:right="1020"/>
              <w:spacing w:after="0"/>
              <w:rPr>
                <w:sz w:val="20"/>
                <w:szCs w:val="20"/>
                <w:color w:val="auto"/>
              </w:rPr>
            </w:pPr>
            <w:r>
              <w:rPr>
                <w:rFonts w:ascii="Times New Roman" w:cs="Times New Roman" w:eastAsia="Times New Roman" w:hAnsi="Times New Roman"/>
                <w:sz w:val="18"/>
                <w:szCs w:val="18"/>
                <w:color w:val="auto"/>
              </w:rPr>
              <w:t>2,841,975</w:t>
            </w:r>
          </w:p>
        </w:tc>
        <w:tc>
          <w:tcPr>
            <w:tcW w:w="9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1,059,824</w:t>
            </w:r>
          </w:p>
        </w:tc>
        <w:tc>
          <w:tcPr>
            <w:tcW w:w="340" w:type="dxa"/>
            <w:vAlign w:val="bottom"/>
            <w:shd w:val="clear" w:color="auto" w:fill="DBDBDB"/>
          </w:tcPr>
          <w:p>
            <w:pPr>
              <w:spacing w:after="0"/>
              <w:rPr>
                <w:sz w:val="21"/>
                <w:szCs w:val="21"/>
                <w:color w:val="auto"/>
              </w:rPr>
            </w:pPr>
          </w:p>
        </w:tc>
        <w:tc>
          <w:tcPr>
            <w:tcW w:w="1740" w:type="dxa"/>
            <w:vAlign w:val="bottom"/>
            <w:gridSpan w:val="2"/>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69,565,209</w:t>
            </w:r>
          </w:p>
        </w:tc>
        <w:tc>
          <w:tcPr>
            <w:tcW w:w="180" w:type="dxa"/>
            <w:vAlign w:val="bottom"/>
            <w:shd w:val="clear" w:color="auto" w:fill="DBDBDB"/>
          </w:tcPr>
          <w:p>
            <w:pPr>
              <w:spacing w:after="0"/>
              <w:rPr>
                <w:sz w:val="21"/>
                <w:szCs w:val="2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440" w:type="dxa"/>
            <w:vAlign w:val="bottom"/>
          </w:tcPr>
          <w:p>
            <w:pPr>
              <w:spacing w:after="0"/>
              <w:rPr>
                <w:sz w:val="18"/>
                <w:szCs w:val="18"/>
                <w:color w:val="auto"/>
              </w:rPr>
            </w:pPr>
          </w:p>
        </w:tc>
        <w:tc>
          <w:tcPr>
            <w:tcW w:w="122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580" w:type="dxa"/>
            <w:vAlign w:val="bottom"/>
          </w:tcPr>
          <w:p>
            <w:pPr>
              <w:spacing w:after="0"/>
              <w:rPr>
                <w:sz w:val="18"/>
                <w:szCs w:val="18"/>
                <w:color w:val="auto"/>
              </w:rPr>
            </w:pPr>
          </w:p>
        </w:tc>
        <w:tc>
          <w:tcPr>
            <w:tcW w:w="11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 Years</w:t>
            </w:r>
          </w:p>
        </w:tc>
        <w:tc>
          <w:tcPr>
            <w:tcW w:w="660" w:type="dxa"/>
            <w:vAlign w:val="bottom"/>
          </w:tcPr>
          <w:p>
            <w:pPr>
              <w:spacing w:after="0"/>
              <w:rPr>
                <w:sz w:val="18"/>
                <w:szCs w:val="18"/>
                <w:color w:val="auto"/>
              </w:rPr>
            </w:pPr>
          </w:p>
        </w:tc>
        <w:tc>
          <w:tcPr>
            <w:tcW w:w="166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5"/>
              </w:rPr>
              <w:t>3 Years</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3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regarding</w:t>
            </w:r>
          </w:p>
        </w:tc>
        <w:tc>
          <w:tcPr>
            <w:tcW w:w="4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23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advisory vote on the</w:t>
            </w:r>
          </w:p>
        </w:tc>
        <w:tc>
          <w:tcPr>
            <w:tcW w:w="4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30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frequency of future advisory</w:t>
            </w:r>
          </w:p>
        </w:tc>
        <w:tc>
          <w:tcPr>
            <w:tcW w:w="4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r>
      <w:tr>
        <w:trPr>
          <w:trHeight w:val="180"/>
        </w:trPr>
        <w:tc>
          <w:tcPr>
            <w:tcW w:w="20" w:type="dxa"/>
            <w:vAlign w:val="bottom"/>
            <w:shd w:val="clear" w:color="auto" w:fill="DBDBDB"/>
          </w:tcPr>
          <w:p>
            <w:pPr>
              <w:spacing w:after="0"/>
              <w:rPr>
                <w:sz w:val="15"/>
                <w:szCs w:val="15"/>
                <w:color w:val="auto"/>
              </w:rPr>
            </w:pPr>
          </w:p>
        </w:tc>
        <w:tc>
          <w:tcPr>
            <w:tcW w:w="230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votes on executive</w:t>
            </w:r>
          </w:p>
        </w:tc>
        <w:tc>
          <w:tcPr>
            <w:tcW w:w="44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243"/>
        </w:trPr>
        <w:tc>
          <w:tcPr>
            <w:tcW w:w="20" w:type="dxa"/>
            <w:vAlign w:val="bottom"/>
            <w:shd w:val="clear" w:color="auto" w:fill="DBDBDB"/>
          </w:tcPr>
          <w:p>
            <w:pPr>
              <w:spacing w:after="0"/>
              <w:rPr>
                <w:sz w:val="21"/>
                <w:szCs w:val="21"/>
                <w:color w:val="auto"/>
              </w:rPr>
            </w:pPr>
          </w:p>
        </w:tc>
        <w:tc>
          <w:tcPr>
            <w:tcW w:w="23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660" w:type="dxa"/>
            <w:vAlign w:val="bottom"/>
            <w:gridSpan w:val="3"/>
            <w:shd w:val="clear" w:color="auto" w:fill="DBDBDB"/>
          </w:tcPr>
          <w:p>
            <w:pPr>
              <w:jc w:val="right"/>
              <w:ind w:right="520"/>
              <w:spacing w:after="0"/>
              <w:rPr>
                <w:sz w:val="20"/>
                <w:szCs w:val="20"/>
                <w:color w:val="auto"/>
              </w:rPr>
            </w:pPr>
            <w:r>
              <w:rPr>
                <w:rFonts w:ascii="Times New Roman" w:cs="Times New Roman" w:eastAsia="Times New Roman" w:hAnsi="Times New Roman"/>
                <w:sz w:val="18"/>
                <w:szCs w:val="18"/>
                <w:color w:val="auto"/>
              </w:rPr>
              <w:t>730,702,041</w:t>
            </w:r>
          </w:p>
        </w:tc>
        <w:tc>
          <w:tcPr>
            <w:tcW w:w="1760" w:type="dxa"/>
            <w:vAlign w:val="bottom"/>
            <w:gridSpan w:val="3"/>
            <w:shd w:val="clear" w:color="auto" w:fill="DBDBDB"/>
          </w:tcPr>
          <w:p>
            <w:pPr>
              <w:jc w:val="right"/>
              <w:ind w:right="540"/>
              <w:spacing w:after="0"/>
              <w:rPr>
                <w:sz w:val="20"/>
                <w:szCs w:val="20"/>
                <w:color w:val="auto"/>
              </w:rPr>
            </w:pPr>
            <w:r>
              <w:rPr>
                <w:rFonts w:ascii="Times New Roman" w:cs="Times New Roman" w:eastAsia="Times New Roman" w:hAnsi="Times New Roman"/>
                <w:sz w:val="18"/>
                <w:szCs w:val="18"/>
                <w:color w:val="auto"/>
              </w:rPr>
              <w:t>1,501,389</w:t>
            </w:r>
          </w:p>
        </w:tc>
        <w:tc>
          <w:tcPr>
            <w:tcW w:w="2320" w:type="dxa"/>
            <w:vAlign w:val="bottom"/>
            <w:gridSpan w:val="3"/>
            <w:shd w:val="clear" w:color="auto" w:fill="DBDBDB"/>
          </w:tcPr>
          <w:p>
            <w:pPr>
              <w:jc w:val="right"/>
              <w:ind w:right="980"/>
              <w:spacing w:after="0"/>
              <w:rPr>
                <w:sz w:val="20"/>
                <w:szCs w:val="20"/>
                <w:color w:val="auto"/>
              </w:rPr>
            </w:pPr>
            <w:r>
              <w:rPr>
                <w:rFonts w:ascii="Times New Roman" w:cs="Times New Roman" w:eastAsia="Times New Roman" w:hAnsi="Times New Roman"/>
                <w:sz w:val="18"/>
                <w:szCs w:val="18"/>
                <w:color w:val="auto"/>
              </w:rPr>
              <w:t>10,499,654</w:t>
            </w:r>
          </w:p>
        </w:tc>
        <w:tc>
          <w:tcPr>
            <w:tcW w:w="9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1,121,832</w:t>
            </w:r>
          </w:p>
        </w:tc>
        <w:tc>
          <w:tcPr>
            <w:tcW w:w="340" w:type="dxa"/>
            <w:vAlign w:val="bottom"/>
            <w:shd w:val="clear" w:color="auto" w:fill="DBDBDB"/>
          </w:tcPr>
          <w:p>
            <w:pPr>
              <w:spacing w:after="0"/>
              <w:rPr>
                <w:sz w:val="21"/>
                <w:szCs w:val="21"/>
                <w:color w:val="auto"/>
              </w:rPr>
            </w:pPr>
          </w:p>
        </w:tc>
        <w:tc>
          <w:tcPr>
            <w:tcW w:w="1740" w:type="dxa"/>
            <w:vAlign w:val="bottom"/>
            <w:gridSpan w:val="2"/>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69,565,209</w:t>
            </w:r>
          </w:p>
        </w:tc>
        <w:tc>
          <w:tcPr>
            <w:tcW w:w="180" w:type="dxa"/>
            <w:vAlign w:val="bottom"/>
            <w:shd w:val="clear" w:color="auto" w:fill="DBDBDB"/>
          </w:tcPr>
          <w:p>
            <w:pPr>
              <w:spacing w:after="0"/>
              <w:rPr>
                <w:sz w:val="21"/>
                <w:szCs w:val="2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The results being consistent with the Board’s recommendation, the company will continue to hold an advisory vote on executive compensation every year.</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6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312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regarding</w:t>
            </w:r>
          </w:p>
        </w:tc>
        <w:tc>
          <w:tcPr>
            <w:tcW w:w="15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312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advisory approval of the</w:t>
            </w:r>
          </w:p>
        </w:tc>
        <w:tc>
          <w:tcPr>
            <w:tcW w:w="15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312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company’s executive</w:t>
            </w:r>
          </w:p>
        </w:tc>
        <w:tc>
          <w:tcPr>
            <w:tcW w:w="15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31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620" w:type="dxa"/>
            <w:vAlign w:val="bottom"/>
            <w:gridSpan w:val="3"/>
            <w:shd w:val="clear" w:color="auto" w:fill="DBDBDB"/>
          </w:tcPr>
          <w:p>
            <w:pPr>
              <w:jc w:val="right"/>
              <w:ind w:right="460"/>
              <w:spacing w:after="0"/>
              <w:rPr>
                <w:sz w:val="20"/>
                <w:szCs w:val="20"/>
                <w:color w:val="auto"/>
              </w:rPr>
            </w:pPr>
            <w:r>
              <w:rPr>
                <w:rFonts w:ascii="Times New Roman" w:cs="Times New Roman" w:eastAsia="Times New Roman" w:hAnsi="Times New Roman"/>
                <w:sz w:val="18"/>
                <w:szCs w:val="18"/>
                <w:color w:val="auto"/>
              </w:rPr>
              <w:t>627,636,290</w:t>
            </w:r>
          </w:p>
        </w:tc>
        <w:tc>
          <w:tcPr>
            <w:tcW w:w="2300" w:type="dxa"/>
            <w:vAlign w:val="bottom"/>
            <w:gridSpan w:val="3"/>
            <w:shd w:val="clear" w:color="auto" w:fill="DBDBDB"/>
          </w:tcPr>
          <w:p>
            <w:pPr>
              <w:jc w:val="right"/>
              <w:ind w:right="920"/>
              <w:spacing w:after="0"/>
              <w:rPr>
                <w:sz w:val="20"/>
                <w:szCs w:val="20"/>
                <w:color w:val="auto"/>
              </w:rPr>
            </w:pPr>
            <w:r>
              <w:rPr>
                <w:rFonts w:ascii="Times New Roman" w:cs="Times New Roman" w:eastAsia="Times New Roman" w:hAnsi="Times New Roman"/>
                <w:sz w:val="18"/>
                <w:szCs w:val="18"/>
                <w:color w:val="auto"/>
              </w:rPr>
              <w:t>114,025,836</w:t>
            </w:r>
          </w:p>
        </w:tc>
        <w:tc>
          <w:tcPr>
            <w:tcW w:w="9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2,162,790</w:t>
            </w:r>
          </w:p>
        </w:tc>
        <w:tc>
          <w:tcPr>
            <w:tcW w:w="340" w:type="dxa"/>
            <w:vAlign w:val="bottom"/>
            <w:shd w:val="clear" w:color="auto" w:fill="DBDBDB"/>
          </w:tcPr>
          <w:p>
            <w:pPr>
              <w:spacing w:after="0"/>
              <w:rPr>
                <w:sz w:val="20"/>
                <w:szCs w:val="20"/>
                <w:color w:val="auto"/>
              </w:rPr>
            </w:pPr>
          </w:p>
        </w:tc>
        <w:tc>
          <w:tcPr>
            <w:tcW w:w="1740" w:type="dxa"/>
            <w:vAlign w:val="bottom"/>
            <w:gridSpan w:val="2"/>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69,565,209</w:t>
            </w:r>
          </w:p>
        </w:tc>
        <w:tc>
          <w:tcPr>
            <w:tcW w:w="180" w:type="dxa"/>
            <w:vAlign w:val="bottom"/>
            <w:shd w:val="clear" w:color="auto" w:fill="DBDBDB"/>
          </w:tcPr>
          <w:p>
            <w:pPr>
              <w:spacing w:after="0"/>
              <w:rPr>
                <w:sz w:val="20"/>
                <w:szCs w:val="20"/>
                <w:color w:val="auto"/>
              </w:rPr>
            </w:pPr>
          </w:p>
        </w:tc>
      </w:tr>
      <w:tr>
        <w:trPr>
          <w:trHeight w:val="1235"/>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5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to ratify the</w:t>
            </w:r>
          </w:p>
        </w:tc>
        <w:tc>
          <w:tcPr>
            <w:tcW w:w="14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322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appointment of Ernst &amp;</w:t>
            </w:r>
          </w:p>
        </w:tc>
        <w:tc>
          <w:tcPr>
            <w:tcW w:w="1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r>
      <w:tr>
        <w:trPr>
          <w:trHeight w:val="180"/>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Young LLP as the</w:t>
            </w:r>
          </w:p>
        </w:tc>
        <w:tc>
          <w:tcPr>
            <w:tcW w:w="14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76"/>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company’s independent</w:t>
            </w:r>
          </w:p>
        </w:tc>
        <w:tc>
          <w:tcPr>
            <w:tcW w:w="14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322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registered public accounting</w:t>
            </w:r>
          </w:p>
        </w:tc>
        <w:tc>
          <w:tcPr>
            <w:tcW w:w="1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32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firm for 2023</w:t>
            </w:r>
          </w:p>
        </w:tc>
        <w:tc>
          <w:tcPr>
            <w:tcW w:w="2540" w:type="dxa"/>
            <w:vAlign w:val="bottom"/>
            <w:gridSpan w:val="3"/>
            <w:shd w:val="clear" w:color="auto" w:fill="DBDBDB"/>
          </w:tcPr>
          <w:p>
            <w:pPr>
              <w:jc w:val="right"/>
              <w:ind w:right="480"/>
              <w:spacing w:after="0"/>
              <w:rPr>
                <w:sz w:val="20"/>
                <w:szCs w:val="20"/>
                <w:color w:val="auto"/>
              </w:rPr>
            </w:pPr>
            <w:r>
              <w:rPr>
                <w:rFonts w:ascii="Times New Roman" w:cs="Times New Roman" w:eastAsia="Times New Roman" w:hAnsi="Times New Roman"/>
                <w:sz w:val="18"/>
                <w:szCs w:val="18"/>
                <w:color w:val="auto"/>
              </w:rPr>
              <w:t>763,040,083</w:t>
            </w:r>
          </w:p>
        </w:tc>
        <w:tc>
          <w:tcPr>
            <w:tcW w:w="2280" w:type="dxa"/>
            <w:vAlign w:val="bottom"/>
            <w:gridSpan w:val="3"/>
            <w:shd w:val="clear" w:color="auto" w:fill="DBDBDB"/>
          </w:tcPr>
          <w:p>
            <w:pPr>
              <w:jc w:val="right"/>
              <w:ind w:right="980"/>
              <w:spacing w:after="0"/>
              <w:rPr>
                <w:sz w:val="20"/>
                <w:szCs w:val="20"/>
                <w:color w:val="auto"/>
              </w:rPr>
            </w:pPr>
            <w:r>
              <w:rPr>
                <w:rFonts w:ascii="Times New Roman" w:cs="Times New Roman" w:eastAsia="Times New Roman" w:hAnsi="Times New Roman"/>
                <w:sz w:val="18"/>
                <w:szCs w:val="18"/>
                <w:color w:val="auto"/>
              </w:rPr>
              <w:t>45,188,373</w:t>
            </w:r>
          </w:p>
        </w:tc>
        <w:tc>
          <w:tcPr>
            <w:tcW w:w="920" w:type="dxa"/>
            <w:vAlign w:val="bottom"/>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5,161,669</w:t>
            </w:r>
          </w:p>
        </w:tc>
        <w:tc>
          <w:tcPr>
            <w:tcW w:w="3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560" w:type="dxa"/>
            <w:vAlign w:val="bottom"/>
            <w:gridSpan w:val="2"/>
            <w:shd w:val="clear" w:color="auto" w:fill="DBDBDB"/>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5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Stockholder proposal to</w:t>
            </w:r>
          </w:p>
        </w:tc>
        <w:tc>
          <w:tcPr>
            <w:tcW w:w="14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DBDBDB"/>
          </w:tcPr>
          <w:p>
            <w:pPr>
              <w:spacing w:after="0"/>
              <w:rPr>
                <w:sz w:val="16"/>
                <w:szCs w:val="16"/>
                <w:color w:val="auto"/>
              </w:rPr>
            </w:pPr>
          </w:p>
        </w:tc>
        <w:tc>
          <w:tcPr>
            <w:tcW w:w="322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permit a combined 10% of</w:t>
            </w:r>
          </w:p>
        </w:tc>
        <w:tc>
          <w:tcPr>
            <w:tcW w:w="1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stockholders to call a special</w:t>
            </w:r>
          </w:p>
        </w:tc>
        <w:tc>
          <w:tcPr>
            <w:tcW w:w="2520" w:type="dxa"/>
            <w:vAlign w:val="bottom"/>
            <w:gridSpan w:val="3"/>
            <w:vMerge w:val="restart"/>
            <w:shd w:val="clear" w:color="auto" w:fill="DBDBDB"/>
          </w:tcPr>
          <w:p>
            <w:pPr>
              <w:jc w:val="right"/>
              <w:ind w:right="460"/>
              <w:spacing w:after="0"/>
              <w:rPr>
                <w:sz w:val="20"/>
                <w:szCs w:val="20"/>
                <w:color w:val="auto"/>
              </w:rPr>
            </w:pPr>
            <w:r>
              <w:rPr>
                <w:rFonts w:ascii="Times New Roman" w:cs="Times New Roman" w:eastAsia="Times New Roman" w:hAnsi="Times New Roman"/>
                <w:sz w:val="18"/>
                <w:szCs w:val="18"/>
                <w:color w:val="auto"/>
              </w:rPr>
              <w:t>335,626,155</w:t>
            </w:r>
          </w:p>
        </w:tc>
        <w:tc>
          <w:tcPr>
            <w:tcW w:w="2300" w:type="dxa"/>
            <w:vAlign w:val="bottom"/>
            <w:gridSpan w:val="3"/>
            <w:vMerge w:val="restart"/>
            <w:shd w:val="clear" w:color="auto" w:fill="DBDBDB"/>
          </w:tcPr>
          <w:p>
            <w:pPr>
              <w:jc w:val="right"/>
              <w:ind w:right="920"/>
              <w:spacing w:after="0"/>
              <w:rPr>
                <w:sz w:val="20"/>
                <w:szCs w:val="20"/>
                <w:color w:val="auto"/>
              </w:rPr>
            </w:pPr>
            <w:r>
              <w:rPr>
                <w:rFonts w:ascii="Times New Roman" w:cs="Times New Roman" w:eastAsia="Times New Roman" w:hAnsi="Times New Roman"/>
                <w:sz w:val="18"/>
                <w:szCs w:val="18"/>
                <w:color w:val="auto"/>
              </w:rPr>
              <w:t>405,885,578</w:t>
            </w:r>
          </w:p>
        </w:tc>
        <w:tc>
          <w:tcPr>
            <w:tcW w:w="920" w:type="dxa"/>
            <w:vAlign w:val="bottom"/>
            <w:vMerge w:val="restart"/>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2,313,183</w:t>
            </w:r>
          </w:p>
        </w:tc>
        <w:tc>
          <w:tcPr>
            <w:tcW w:w="340" w:type="dxa"/>
            <w:vAlign w:val="bottom"/>
            <w:shd w:val="clear" w:color="auto" w:fill="DBDBDB"/>
          </w:tcPr>
          <w:p>
            <w:pPr>
              <w:spacing w:after="0"/>
              <w:rPr>
                <w:sz w:val="15"/>
                <w:szCs w:val="15"/>
                <w:color w:val="auto"/>
              </w:rPr>
            </w:pPr>
          </w:p>
        </w:tc>
        <w:tc>
          <w:tcPr>
            <w:tcW w:w="1740" w:type="dxa"/>
            <w:vAlign w:val="bottom"/>
            <w:gridSpan w:val="2"/>
            <w:vMerge w:val="restart"/>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69,565,209</w:t>
            </w:r>
          </w:p>
        </w:tc>
        <w:tc>
          <w:tcPr>
            <w:tcW w:w="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32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meeting</w:t>
            </w:r>
          </w:p>
        </w:tc>
        <w:tc>
          <w:tcPr>
            <w:tcW w:w="2520" w:type="dxa"/>
            <w:vAlign w:val="bottom"/>
            <w:gridSpan w:val="3"/>
            <w:vMerge w:val="continue"/>
            <w:shd w:val="clear" w:color="auto" w:fill="DBDBDB"/>
          </w:tcPr>
          <w:p>
            <w:pPr>
              <w:spacing w:after="0"/>
              <w:rPr>
                <w:sz w:val="19"/>
                <w:szCs w:val="19"/>
                <w:color w:val="auto"/>
              </w:rPr>
            </w:pPr>
          </w:p>
        </w:tc>
        <w:tc>
          <w:tcPr>
            <w:tcW w:w="2300" w:type="dxa"/>
            <w:vAlign w:val="bottom"/>
            <w:gridSpan w:val="3"/>
            <w:vMerge w:val="continue"/>
            <w:shd w:val="clear" w:color="auto" w:fill="DBDBDB"/>
          </w:tcPr>
          <w:p>
            <w:pPr>
              <w:spacing w:after="0"/>
              <w:rPr>
                <w:sz w:val="19"/>
                <w:szCs w:val="19"/>
                <w:color w:val="auto"/>
              </w:rPr>
            </w:pPr>
          </w:p>
        </w:tc>
        <w:tc>
          <w:tcPr>
            <w:tcW w:w="920" w:type="dxa"/>
            <w:vAlign w:val="bottom"/>
            <w:vMerge w:val="continue"/>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740" w:type="dxa"/>
            <w:vAlign w:val="bottom"/>
            <w:gridSpan w:val="2"/>
            <w:vMerge w:val="continue"/>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5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9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Stockholder proposal to</w:t>
            </w:r>
          </w:p>
        </w:tc>
        <w:tc>
          <w:tcPr>
            <w:tcW w:w="14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DBDBDB"/>
          </w:tcPr>
          <w:p>
            <w:pPr>
              <w:spacing w:after="0"/>
              <w:rPr>
                <w:sz w:val="16"/>
                <w:szCs w:val="16"/>
                <w:color w:val="auto"/>
              </w:rPr>
            </w:pPr>
          </w:p>
        </w:tc>
        <w:tc>
          <w:tcPr>
            <w:tcW w:w="322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report on due diligence</w:t>
            </w:r>
          </w:p>
        </w:tc>
        <w:tc>
          <w:tcPr>
            <w:tcW w:w="14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DBDBDB"/>
          </w:tcPr>
          <w:p>
            <w:pPr>
              <w:spacing w:after="0"/>
              <w:rPr>
                <w:sz w:val="15"/>
                <w:szCs w:val="15"/>
                <w:color w:val="auto"/>
              </w:rPr>
            </w:pPr>
          </w:p>
        </w:tc>
        <w:tc>
          <w:tcPr>
            <w:tcW w:w="322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efforts to trace end-user</w:t>
            </w:r>
          </w:p>
        </w:tc>
        <w:tc>
          <w:tcPr>
            <w:tcW w:w="2520" w:type="dxa"/>
            <w:vAlign w:val="bottom"/>
            <w:gridSpan w:val="3"/>
            <w:vMerge w:val="restart"/>
            <w:shd w:val="clear" w:color="auto" w:fill="DBDBDB"/>
          </w:tcPr>
          <w:p>
            <w:pPr>
              <w:jc w:val="right"/>
              <w:ind w:right="460"/>
              <w:spacing w:after="0"/>
              <w:rPr>
                <w:sz w:val="20"/>
                <w:szCs w:val="20"/>
                <w:color w:val="auto"/>
              </w:rPr>
            </w:pPr>
            <w:r>
              <w:rPr>
                <w:rFonts w:ascii="Times New Roman" w:cs="Times New Roman" w:eastAsia="Times New Roman" w:hAnsi="Times New Roman"/>
                <w:sz w:val="18"/>
                <w:szCs w:val="18"/>
                <w:color w:val="auto"/>
              </w:rPr>
              <w:t>169,488,999</w:t>
            </w:r>
          </w:p>
        </w:tc>
        <w:tc>
          <w:tcPr>
            <w:tcW w:w="2300" w:type="dxa"/>
            <w:vAlign w:val="bottom"/>
            <w:gridSpan w:val="3"/>
            <w:vMerge w:val="restart"/>
            <w:shd w:val="clear" w:color="auto" w:fill="DBDBDB"/>
          </w:tcPr>
          <w:p>
            <w:pPr>
              <w:jc w:val="right"/>
              <w:ind w:right="920"/>
              <w:spacing w:after="0"/>
              <w:rPr>
                <w:sz w:val="20"/>
                <w:szCs w:val="20"/>
                <w:color w:val="auto"/>
              </w:rPr>
            </w:pPr>
            <w:r>
              <w:rPr>
                <w:rFonts w:ascii="Times New Roman" w:cs="Times New Roman" w:eastAsia="Times New Roman" w:hAnsi="Times New Roman"/>
                <w:sz w:val="18"/>
                <w:szCs w:val="18"/>
                <w:color w:val="auto"/>
              </w:rPr>
              <w:t>565,911,868</w:t>
            </w:r>
          </w:p>
        </w:tc>
        <w:tc>
          <w:tcPr>
            <w:tcW w:w="920" w:type="dxa"/>
            <w:vAlign w:val="bottom"/>
            <w:vMerge w:val="restart"/>
            <w:shd w:val="clear" w:color="auto" w:fill="DBDBDB"/>
          </w:tcPr>
          <w:p>
            <w:pPr>
              <w:jc w:val="right"/>
              <w:ind w:right="10"/>
              <w:spacing w:after="0"/>
              <w:rPr>
                <w:sz w:val="20"/>
                <w:szCs w:val="20"/>
                <w:color w:val="auto"/>
              </w:rPr>
            </w:pPr>
            <w:r>
              <w:rPr>
                <w:rFonts w:ascii="Times New Roman" w:cs="Times New Roman" w:eastAsia="Times New Roman" w:hAnsi="Times New Roman"/>
                <w:sz w:val="18"/>
                <w:szCs w:val="18"/>
                <w:color w:val="auto"/>
              </w:rPr>
              <w:t>8,424,049</w:t>
            </w:r>
          </w:p>
        </w:tc>
        <w:tc>
          <w:tcPr>
            <w:tcW w:w="340" w:type="dxa"/>
            <w:vAlign w:val="bottom"/>
            <w:shd w:val="clear" w:color="auto" w:fill="DBDBDB"/>
          </w:tcPr>
          <w:p>
            <w:pPr>
              <w:spacing w:after="0"/>
              <w:rPr>
                <w:sz w:val="15"/>
                <w:szCs w:val="15"/>
                <w:color w:val="auto"/>
              </w:rPr>
            </w:pPr>
          </w:p>
        </w:tc>
        <w:tc>
          <w:tcPr>
            <w:tcW w:w="1740" w:type="dxa"/>
            <w:vAlign w:val="bottom"/>
            <w:gridSpan w:val="2"/>
            <w:vMerge w:val="restart"/>
            <w:shd w:val="clear" w:color="auto" w:fill="DBDBDB"/>
          </w:tcPr>
          <w:p>
            <w:pPr>
              <w:jc w:val="right"/>
              <w:ind w:right="300"/>
              <w:spacing w:after="0"/>
              <w:rPr>
                <w:sz w:val="20"/>
                <w:szCs w:val="20"/>
                <w:color w:val="auto"/>
              </w:rPr>
            </w:pPr>
            <w:r>
              <w:rPr>
                <w:rFonts w:ascii="Times New Roman" w:cs="Times New Roman" w:eastAsia="Times New Roman" w:hAnsi="Times New Roman"/>
                <w:sz w:val="18"/>
                <w:szCs w:val="18"/>
                <w:color w:val="auto"/>
              </w:rPr>
              <w:t>69,565,209</w:t>
            </w:r>
          </w:p>
        </w:tc>
        <w:tc>
          <w:tcPr>
            <w:tcW w:w="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322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misuse of company products</w:t>
            </w:r>
          </w:p>
        </w:tc>
        <w:tc>
          <w:tcPr>
            <w:tcW w:w="2520" w:type="dxa"/>
            <w:vAlign w:val="bottom"/>
            <w:gridSpan w:val="3"/>
            <w:vMerge w:val="continue"/>
            <w:shd w:val="clear" w:color="auto" w:fill="DBDBDB"/>
          </w:tcPr>
          <w:p>
            <w:pPr>
              <w:spacing w:after="0"/>
              <w:rPr>
                <w:sz w:val="19"/>
                <w:szCs w:val="19"/>
                <w:color w:val="auto"/>
              </w:rPr>
            </w:pPr>
          </w:p>
        </w:tc>
        <w:tc>
          <w:tcPr>
            <w:tcW w:w="2300" w:type="dxa"/>
            <w:vAlign w:val="bottom"/>
            <w:gridSpan w:val="3"/>
            <w:vMerge w:val="continue"/>
            <w:shd w:val="clear" w:color="auto" w:fill="DBDBDB"/>
          </w:tcPr>
          <w:p>
            <w:pPr>
              <w:spacing w:after="0"/>
              <w:rPr>
                <w:sz w:val="19"/>
                <w:szCs w:val="19"/>
                <w:color w:val="auto"/>
              </w:rPr>
            </w:pPr>
          </w:p>
        </w:tc>
        <w:tc>
          <w:tcPr>
            <w:tcW w:w="920" w:type="dxa"/>
            <w:vAlign w:val="bottom"/>
            <w:vMerge w:val="continue"/>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740" w:type="dxa"/>
            <w:vAlign w:val="bottom"/>
            <w:gridSpan w:val="2"/>
            <w:vMerge w:val="continue"/>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48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7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2023</w:t>
            </w:r>
          </w:p>
        </w:tc>
        <w:tc>
          <w:tcPr>
            <w:tcW w:w="32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Cynthia Hoff Trochu</w:t>
            </w:r>
          </w:p>
        </w:tc>
      </w:tr>
      <w:tr>
        <w:trPr>
          <w:trHeight w:val="218"/>
        </w:trPr>
        <w:tc>
          <w:tcPr>
            <w:tcW w:w="3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Hoff Trochu</w:t>
            </w:r>
          </w:p>
        </w:tc>
      </w:tr>
      <w:tr>
        <w:trPr>
          <w:trHeight w:val="230"/>
        </w:trPr>
        <w:tc>
          <w:tcPr>
            <w:tcW w:w="37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Secretary and</w:t>
            </w:r>
          </w:p>
        </w:tc>
      </w:tr>
      <w:tr>
        <w:trPr>
          <w:trHeight w:val="234"/>
        </w:trPr>
        <w:tc>
          <w:tcPr>
            <w:tcW w:w="3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2023-05-03T15:15:43Z</dcterms:created>
  <dcterms:modified xsi:type="dcterms:W3CDTF">2023-05-03T15:15:43Z</dcterms:modified>
</cp:coreProperties>
</file>