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ind w:left="4"/>
        <w:spacing w:after="0"/>
        <w:rPr>
          <w:sz w:val="20"/>
          <w:szCs w:val="20"/>
          <w:color w:val="auto"/>
        </w:rPr>
      </w:pPr>
      <w:r>
        <w:rPr>
          <w:rFonts w:ascii="Courier New" w:cs="Courier New" w:eastAsia="Courier New" w:hAnsi="Courier New"/>
          <w:sz w:val="16"/>
          <w:szCs w:val="16"/>
          <w:color w:val="auto"/>
        </w:rPr>
        <w:t>Prospectus Supplement</w:t>
      </w:r>
    </w:p>
    <w:p>
      <w:pPr>
        <w:spacing w:after="0" w:line="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To Prospectus Dated January 4, 2001</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Pursuant to Rule 424(b)(4)</w:t>
      </w: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Registration No. 333-44572-01</w:t>
      </w:r>
    </w:p>
    <w:p>
      <w:pPr>
        <w:spacing w:after="0" w:line="5" w:lineRule="exact"/>
        <w:rPr>
          <w:sz w:val="24"/>
          <w:szCs w:val="24"/>
          <w:color w:val="auto"/>
        </w:rPr>
      </w:pPr>
    </w:p>
    <w:p>
      <w:pPr>
        <w:ind w:left="188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784" w:space="720"/>
            <w:col w:w="7020"/>
          </w:cols>
          <w:pgMar w:left="236" w:top="233" w:right="139" w:bottom="1440" w:gutter="0" w:footer="0" w:header="0"/>
        </w:sectPr>
      </w:pPr>
    </w:p>
    <w:p>
      <w:pPr>
        <w:spacing w:after="0" w:line="160"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TEXAS INSTRUMENTS INCORPORATED</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2,257,113 SHARES OF COMMON STOCK</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jc w:val="center"/>
        <w:ind w:right="4016"/>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79"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4"/>
          <w:szCs w:val="24"/>
          <w:color w:val="auto"/>
        </w:rPr>
      </w:pPr>
    </w:p>
    <w:p>
      <w:pPr>
        <w:ind w:left="4" w:right="4120" w:firstLine="1688"/>
        <w:spacing w:after="0" w:line="256" w:lineRule="auto"/>
        <w:rPr>
          <w:sz w:val="20"/>
          <w:szCs w:val="20"/>
          <w:color w:val="auto"/>
        </w:rPr>
      </w:pPr>
      <w:r>
        <w:rPr>
          <w:rFonts w:ascii="Courier New" w:cs="Courier New" w:eastAsia="Courier New" w:hAnsi="Courier New"/>
          <w:sz w:val="15"/>
          <w:szCs w:val="15"/>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7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85" w:lineRule="exact"/>
        <w:rPr>
          <w:sz w:val="24"/>
          <w:szCs w:val="24"/>
          <w:color w:val="auto"/>
        </w:rPr>
      </w:pPr>
    </w:p>
    <w:p>
      <w:pPr>
        <w:ind w:left="4" w:right="4120" w:firstLine="1688"/>
        <w:spacing w:after="0" w:line="237"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tcPr>
          <w:p>
            <w:pPr>
              <w:jc w:val="center"/>
              <w:ind w:left="822"/>
              <w:spacing w:after="0"/>
              <w:rPr>
                <w:sz w:val="20"/>
                <w:szCs w:val="20"/>
                <w:color w:val="auto"/>
              </w:rPr>
            </w:pPr>
            <w:r>
              <w:rPr>
                <w:rFonts w:ascii="Courier New" w:cs="Courier New" w:eastAsia="Courier New" w:hAnsi="Courier New"/>
                <w:sz w:val="16"/>
                <w:szCs w:val="16"/>
                <w:color w:val="auto"/>
                <w:w w:val="97"/>
              </w:rPr>
              <w:t>PRINCIPAL</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tcPr>
          <w:p>
            <w:pPr>
              <w:jc w:val="center"/>
              <w:ind w:left="822"/>
              <w:spacing w:after="0"/>
              <w:rPr>
                <w:sz w:val="20"/>
                <w:szCs w:val="20"/>
                <w:color w:val="auto"/>
              </w:rPr>
            </w:pPr>
            <w:r>
              <w:rPr>
                <w:rFonts w:ascii="Courier New" w:cs="Courier New" w:eastAsia="Courier New" w:hAnsi="Courier New"/>
                <w:sz w:val="16"/>
                <w:szCs w:val="16"/>
                <w:color w:val="auto"/>
                <w:w w:val="97"/>
              </w:rPr>
              <w:t>AMOUNT AT</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6"/>
              </w:rPr>
              <w:t>MATURITY OF</w:t>
            </w: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5"/>
              </w:rPr>
              <w:t>NOTES</w:t>
            </w:r>
          </w:p>
        </w:tc>
        <w:tc>
          <w:tcPr>
            <w:tcW w:w="150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SHARES OF</w:t>
            </w:r>
          </w:p>
        </w:tc>
        <w:tc>
          <w:tcPr>
            <w:tcW w:w="172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tcPr>
          <w:p>
            <w:pPr>
              <w:jc w:val="center"/>
              <w:ind w:left="902"/>
              <w:spacing w:after="0"/>
              <w:rPr>
                <w:sz w:val="20"/>
                <w:szCs w:val="20"/>
                <w:color w:val="auto"/>
              </w:rPr>
            </w:pPr>
            <w:r>
              <w:rPr>
                <w:rFonts w:ascii="Courier New" w:cs="Courier New" w:eastAsia="Courier New" w:hAnsi="Courier New"/>
                <w:sz w:val="16"/>
                <w:szCs w:val="16"/>
                <w:color w:val="auto"/>
                <w:w w:val="97"/>
              </w:rPr>
              <w:t>BENEFICIALLY</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PERCENTAGE</w:t>
            </w:r>
          </w:p>
        </w:tc>
        <w:tc>
          <w:tcPr>
            <w:tcW w:w="150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COMMON STOCK</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PERCENTAGE OF</w:t>
            </w:r>
          </w:p>
        </w:tc>
      </w:tr>
      <w:tr>
        <w:trPr>
          <w:trHeight w:val="180"/>
        </w:trPr>
        <w:tc>
          <w:tcPr>
            <w:tcW w:w="1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580" w:type="dxa"/>
            <w:vAlign w:val="bottom"/>
          </w:tcPr>
          <w:p>
            <w:pPr>
              <w:jc w:val="center"/>
              <w:ind w:left="902"/>
              <w:spacing w:after="0"/>
              <w:rPr>
                <w:sz w:val="20"/>
                <w:szCs w:val="20"/>
                <w:color w:val="auto"/>
              </w:rPr>
            </w:pPr>
            <w:r>
              <w:rPr>
                <w:rFonts w:ascii="Courier New" w:cs="Courier New" w:eastAsia="Courier New" w:hAnsi="Courier New"/>
                <w:sz w:val="16"/>
                <w:szCs w:val="16"/>
                <w:color w:val="auto"/>
                <w:w w:val="95"/>
              </w:rPr>
              <w:t>OWNED THAT</w:t>
            </w:r>
          </w:p>
        </w:tc>
        <w:tc>
          <w:tcPr>
            <w:tcW w:w="1500" w:type="dxa"/>
            <w:vAlign w:val="bottom"/>
          </w:tcPr>
          <w:p>
            <w:pPr>
              <w:ind w:left="240"/>
              <w:spacing w:after="0"/>
              <w:rPr>
                <w:sz w:val="20"/>
                <w:szCs w:val="20"/>
                <w:color w:val="auto"/>
              </w:rPr>
            </w:pPr>
            <w:r>
              <w:rPr>
                <w:rFonts w:ascii="Courier New" w:cs="Courier New" w:eastAsia="Courier New" w:hAnsi="Courier New"/>
                <w:sz w:val="16"/>
                <w:szCs w:val="16"/>
                <w:color w:val="auto"/>
              </w:rPr>
              <w:t>OF NOTES</w:t>
            </w:r>
          </w:p>
        </w:tc>
        <w:tc>
          <w:tcPr>
            <w:tcW w:w="150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THAT MAY</w:t>
            </w:r>
          </w:p>
        </w:tc>
        <w:tc>
          <w:tcPr>
            <w:tcW w:w="17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2580" w:type="dxa"/>
            <w:vAlign w:val="bottom"/>
          </w:tcPr>
          <w:p>
            <w:pPr>
              <w:jc w:val="center"/>
              <w:ind w:left="802"/>
              <w:spacing w:after="0"/>
              <w:rPr>
                <w:sz w:val="20"/>
                <w:szCs w:val="20"/>
                <w:color w:val="auto"/>
              </w:rPr>
            </w:pPr>
            <w:r>
              <w:rPr>
                <w:rFonts w:ascii="Courier New" w:cs="Courier New" w:eastAsia="Courier New" w:hAnsi="Courier New"/>
                <w:sz w:val="16"/>
                <w:szCs w:val="16"/>
                <w:color w:val="auto"/>
                <w:w w:val="96"/>
              </w:rPr>
              <w:t>MAY BE SOLD</w:t>
            </w:r>
          </w:p>
        </w:tc>
        <w:tc>
          <w:tcPr>
            <w:tcW w:w="150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c>
          <w:tcPr>
            <w:tcW w:w="150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BE SOLD(1)</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7"/>
              </w:rPr>
              <w:t>OUTSTANDING (2)</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8"/>
              </w:rPr>
              <w:t>------------------------------</w:t>
            </w:r>
          </w:p>
        </w:tc>
        <w:tc>
          <w:tcPr>
            <w:tcW w:w="2580" w:type="dxa"/>
            <w:vAlign w:val="bottom"/>
          </w:tcPr>
          <w:p>
            <w:pPr>
              <w:ind w:left="14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Rockhaven Premier Dividend Fund</w:t>
            </w:r>
          </w:p>
        </w:tc>
        <w:tc>
          <w:tcPr>
            <w:tcW w:w="2580" w:type="dxa"/>
            <w:vAlign w:val="bottom"/>
          </w:tcPr>
          <w:p>
            <w:pPr>
              <w:ind w:left="1400"/>
              <w:spacing w:after="0"/>
              <w:rPr>
                <w:sz w:val="20"/>
                <w:szCs w:val="20"/>
                <w:color w:val="auto"/>
              </w:rPr>
            </w:pPr>
            <w:r>
              <w:rPr>
                <w:rFonts w:ascii="Courier New" w:cs="Courier New" w:eastAsia="Courier New" w:hAnsi="Courier New"/>
                <w:sz w:val="16"/>
                <w:szCs w:val="16"/>
                <w:color w:val="auto"/>
              </w:rPr>
              <w:t>$80,000</w:t>
            </w:r>
          </w:p>
        </w:tc>
        <w:tc>
          <w:tcPr>
            <w:tcW w:w="15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1,800</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82"/>
              </w:rPr>
              <w:t>*</w:t>
            </w:r>
          </w:p>
        </w:tc>
      </w:tr>
      <w:tr>
        <w:trPr>
          <w:trHeight w:val="541"/>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jc w:val="right"/>
              <w:ind w:right="2182"/>
              <w:spacing w:after="0"/>
              <w:rPr>
                <w:sz w:val="20"/>
                <w:szCs w:val="20"/>
                <w:color w:val="auto"/>
              </w:rPr>
            </w:pPr>
            <w:r>
              <w:rPr>
                <w:rFonts w:ascii="Courier New" w:cs="Courier New" w:eastAsia="Courier New" w:hAnsi="Courier New"/>
                <w:sz w:val="16"/>
                <w:szCs w:val="16"/>
                <w:color w:val="auto"/>
              </w:rPr>
              <w:t>Less than 1%</w:t>
            </w:r>
          </w:p>
        </w:tc>
        <w:tc>
          <w:tcPr>
            <w:tcW w:w="2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185" w:lineRule="exact"/>
        <w:rPr>
          <w:sz w:val="24"/>
          <w:szCs w:val="24"/>
          <w:color w:val="auto"/>
        </w:rPr>
      </w:pPr>
    </w:p>
    <w:p>
      <w:pPr>
        <w:ind w:left="844" w:right="4200" w:hanging="844"/>
        <w:spacing w:after="0" w:line="256" w:lineRule="auto"/>
        <w:tabs>
          <w:tab w:leader="none" w:pos="84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75" w:lineRule="exact"/>
        <w:rPr>
          <w:rFonts w:ascii="Courier New" w:cs="Courier New" w:eastAsia="Courier New" w:hAnsi="Courier New"/>
          <w:sz w:val="15"/>
          <w:szCs w:val="15"/>
          <w:color w:val="auto"/>
        </w:rPr>
      </w:pPr>
    </w:p>
    <w:p>
      <w:pPr>
        <w:ind w:left="844" w:right="4020" w:hanging="844"/>
        <w:spacing w:after="0" w:line="237" w:lineRule="auto"/>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1,735,568,520 shares of Texas Instruments common stock issued and outstanding as of May 24, 2001. Assumes the number of shares of Texas Instruments common stock issuable upon conversion of all of that particular holder's notes are outstanding. However, this does not include the conversion of any other holder's notes.</w:t>
      </w:r>
    </w:p>
    <w:p>
      <w:pPr>
        <w:spacing w:after="0" w:line="189" w:lineRule="exact"/>
        <w:rPr>
          <w:sz w:val="24"/>
          <w:szCs w:val="24"/>
          <w:color w:val="auto"/>
        </w:rPr>
      </w:pPr>
    </w:p>
    <w:p>
      <w:pPr>
        <w:ind w:left="4" w:right="4120" w:firstLine="844"/>
        <w:spacing w:after="0" w:line="236"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3 OF THE PROSPECTUS.</w:t>
      </w:r>
    </w:p>
    <w:p>
      <w:pPr>
        <w:spacing w:after="0" w:line="180" w:lineRule="exact"/>
        <w:rPr>
          <w:sz w:val="24"/>
          <w:szCs w:val="24"/>
          <w:color w:val="auto"/>
        </w:rPr>
      </w:pPr>
    </w:p>
    <w:p>
      <w:pPr>
        <w:jc w:val="right"/>
        <w:ind w:right="402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ind w:left="4"/>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ind w:left="4"/>
        <w:spacing w:after="0" w:line="237" w:lineRule="auto"/>
        <w:rPr>
          <w:sz w:val="20"/>
          <w:szCs w:val="20"/>
          <w:color w:val="auto"/>
        </w:rPr>
      </w:pPr>
      <w:r>
        <w:rPr>
          <w:rFonts w:ascii="Courier New" w:cs="Courier New" w:eastAsia="Courier New" w:hAnsi="Courier New"/>
          <w:sz w:val="16"/>
          <w:szCs w:val="16"/>
          <w:color w:val="auto"/>
        </w:rPr>
        <w:t>PROSPECTUS IS TRUTHFUL OR COMPLETE. ANY REPRESENTATION TO THE CONTRARY IS A</w:t>
      </w:r>
    </w:p>
    <w:p>
      <w:pPr>
        <w:ind w:left="4"/>
        <w:spacing w:after="0"/>
        <w:rPr>
          <w:sz w:val="20"/>
          <w:szCs w:val="20"/>
          <w:color w:val="auto"/>
        </w:rPr>
      </w:pPr>
      <w:r>
        <w:rPr>
          <w:rFonts w:ascii="Courier New" w:cs="Courier New" w:eastAsia="Courier New" w:hAnsi="Courier New"/>
          <w:sz w:val="16"/>
          <w:szCs w:val="16"/>
          <w:color w:val="auto"/>
        </w:rPr>
        <w:t>CRIMINAL OFFENSE.</w:t>
      </w:r>
    </w:p>
    <w:p>
      <w:pPr>
        <w:spacing w:after="0" w:line="179" w:lineRule="exact"/>
        <w:rPr>
          <w:sz w:val="24"/>
          <w:szCs w:val="24"/>
          <w:color w:val="auto"/>
        </w:rPr>
      </w:pPr>
    </w:p>
    <w:p>
      <w:pPr>
        <w:ind w:left="1224"/>
        <w:spacing w:after="0"/>
        <w:rPr>
          <w:sz w:val="20"/>
          <w:szCs w:val="20"/>
          <w:color w:val="auto"/>
        </w:rPr>
      </w:pPr>
      <w:r>
        <w:rPr>
          <w:rFonts w:ascii="Courier New" w:cs="Courier New" w:eastAsia="Courier New" w:hAnsi="Courier New"/>
          <w:sz w:val="16"/>
          <w:szCs w:val="16"/>
          <w:color w:val="auto"/>
        </w:rPr>
        <w:t>The date of this Prospectus Supplement is May 24, 2001.</w:t>
      </w:r>
    </w:p>
    <w:sectPr>
      <w:pgSz w:w="11900" w:h="16838" w:orient="portrait"/>
      <w:cols w:equalWidth="0" w:num="1">
        <w:col w:w="11524"/>
      </w:cols>
      <w:pgMar w:left="236" w:top="23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2019-12-13T07:45:14Z</dcterms:created>
  <dcterms:modified xsi:type="dcterms:W3CDTF">2019-12-13T07:45:14Z</dcterms:modified>
</cp:coreProperties>
</file>