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October 26, 2017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October 26, 2017</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2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560" w:type="dxa"/>
            <w:vAlign w:val="bottom"/>
            <w:gridSpan w:val="2"/>
          </w:tcPr>
          <w:p>
            <w:pPr>
              <w:jc w:val="center"/>
              <w:ind w:right="480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900%</w:t>
            </w:r>
            <w:r>
              <w:rPr>
                <w:rFonts w:ascii="Arial" w:cs="Arial" w:eastAsia="Arial" w:hAnsi="Arial"/>
                <w:sz w:val="18"/>
                <w:szCs w:val="18"/>
                <w:color w:val="auto"/>
                <w:w w:val="90"/>
              </w:rPr>
              <w:t xml:space="preserve"> Notes due 2027</w:t>
            </w:r>
          </w:p>
        </w:tc>
        <w:tc>
          <w:tcPr>
            <w:tcW w:w="4820" w:type="dxa"/>
            <w:vAlign w:val="bottom"/>
          </w:tcPr>
          <w:p>
            <w:pPr>
              <w:spacing w:after="0"/>
              <w:rPr>
                <w:sz w:val="24"/>
                <w:szCs w:val="24"/>
                <w:color w:val="auto"/>
              </w:rPr>
            </w:pPr>
          </w:p>
        </w:tc>
      </w:tr>
      <w:tr>
        <w:trPr>
          <w:trHeight w:val="588"/>
        </w:trPr>
        <w:tc>
          <w:tcPr>
            <w:tcW w:w="3120" w:type="dxa"/>
            <w:vAlign w:val="bottom"/>
          </w:tcPr>
          <w:p>
            <w:pPr>
              <w:spacing w:after="0"/>
              <w:rPr>
                <w:sz w:val="20"/>
                <w:szCs w:val="20"/>
                <w:color w:val="auto"/>
              </w:rPr>
            </w:pPr>
            <w:r>
              <w:rPr>
                <w:rFonts w:ascii="Arial" w:cs="Arial" w:eastAsia="Arial" w:hAnsi="Arial"/>
                <w:sz w:val="18"/>
                <w:szCs w:val="18"/>
                <w:color w:val="auto"/>
              </w:rPr>
              <w:t>Issuer:</w:t>
            </w: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Principal Amount:</w:t>
            </w:r>
          </w:p>
        </w:tc>
        <w:tc>
          <w:tcPr>
            <w:tcW w:w="1720" w:type="dxa"/>
            <w:vAlign w:val="bottom"/>
          </w:tcPr>
          <w:p>
            <w:pPr>
              <w:ind w:left="420"/>
              <w:spacing w:after="0"/>
              <w:rPr>
                <w:sz w:val="20"/>
                <w:szCs w:val="20"/>
                <w:color w:val="auto"/>
              </w:rPr>
            </w:pPr>
            <w:r>
              <w:rPr>
                <w:rFonts w:ascii="Arial" w:cs="Arial" w:eastAsia="Arial" w:hAnsi="Arial"/>
                <w:sz w:val="18"/>
                <w:szCs w:val="18"/>
                <w:color w:val="auto"/>
              </w:rPr>
              <w:t>$500,000,000</w:t>
            </w:r>
          </w:p>
        </w:tc>
        <w:tc>
          <w:tcPr>
            <w:tcW w:w="17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Maturity:</w:t>
            </w: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rPr>
              <w:t>November 3, 2027</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Coupon:</w:t>
            </w:r>
          </w:p>
        </w:tc>
        <w:tc>
          <w:tcPr>
            <w:tcW w:w="1720" w:type="dxa"/>
            <w:vAlign w:val="bottom"/>
          </w:tcPr>
          <w:p>
            <w:pPr>
              <w:ind w:left="420"/>
              <w:spacing w:after="0"/>
              <w:rPr>
                <w:sz w:val="20"/>
                <w:szCs w:val="20"/>
                <w:color w:val="auto"/>
              </w:rPr>
            </w:pPr>
            <w:r>
              <w:rPr>
                <w:rFonts w:ascii="Arial" w:cs="Arial" w:eastAsia="Arial" w:hAnsi="Arial"/>
                <w:sz w:val="18"/>
                <w:szCs w:val="18"/>
                <w:color w:val="auto"/>
              </w:rPr>
              <w:t>2.900%</w:t>
            </w:r>
          </w:p>
        </w:tc>
        <w:tc>
          <w:tcPr>
            <w:tcW w:w="17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Price to Public:</w:t>
            </w: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rPr>
              <w:t>98.843% of principal amount</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rPr>
              <w:t>May 3 and November 3 beginning on May 3, 2018, and on the maturity date</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Day Count Convention:</w:t>
            </w:r>
          </w:p>
        </w:tc>
        <w:tc>
          <w:tcPr>
            <w:tcW w:w="1720" w:type="dxa"/>
            <w:vAlign w:val="bottom"/>
          </w:tcPr>
          <w:p>
            <w:pPr>
              <w:ind w:left="420"/>
              <w:spacing w:after="0"/>
              <w:rPr>
                <w:sz w:val="20"/>
                <w:szCs w:val="20"/>
                <w:color w:val="auto"/>
              </w:rPr>
            </w:pPr>
            <w:r>
              <w:rPr>
                <w:rFonts w:ascii="Arial" w:cs="Arial" w:eastAsia="Arial" w:hAnsi="Arial"/>
                <w:sz w:val="18"/>
                <w:szCs w:val="18"/>
                <w:color w:val="auto"/>
              </w:rPr>
              <w:t>30/360</w:t>
            </w:r>
          </w:p>
        </w:tc>
        <w:tc>
          <w:tcPr>
            <w:tcW w:w="17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1720" w:type="dxa"/>
            <w:vAlign w:val="bottom"/>
          </w:tcPr>
          <w:p>
            <w:pPr>
              <w:ind w:left="420"/>
              <w:spacing w:after="0"/>
              <w:rPr>
                <w:sz w:val="20"/>
                <w:szCs w:val="20"/>
                <w:color w:val="auto"/>
              </w:rPr>
            </w:pPr>
            <w:r>
              <w:rPr>
                <w:rFonts w:ascii="Arial" w:cs="Arial" w:eastAsia="Arial" w:hAnsi="Arial"/>
                <w:sz w:val="18"/>
                <w:szCs w:val="18"/>
                <w:color w:val="auto"/>
              </w:rPr>
              <w:t>$491,965,000</w:t>
            </w:r>
          </w:p>
        </w:tc>
        <w:tc>
          <w:tcPr>
            <w:tcW w:w="17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Benchmark Treasury:</w:t>
            </w: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rPr>
              <w:t>2.250% due August 15, 2027</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rPr>
              <w:t>58 basis points</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Yield to Maturity:</w:t>
            </w:r>
          </w:p>
        </w:tc>
        <w:tc>
          <w:tcPr>
            <w:tcW w:w="1720" w:type="dxa"/>
            <w:vAlign w:val="bottom"/>
          </w:tcPr>
          <w:p>
            <w:pPr>
              <w:ind w:left="420"/>
              <w:spacing w:after="0"/>
              <w:rPr>
                <w:sz w:val="20"/>
                <w:szCs w:val="20"/>
                <w:color w:val="auto"/>
              </w:rPr>
            </w:pPr>
            <w:r>
              <w:rPr>
                <w:rFonts w:ascii="Arial" w:cs="Arial" w:eastAsia="Arial" w:hAnsi="Arial"/>
                <w:sz w:val="18"/>
                <w:szCs w:val="18"/>
                <w:color w:val="auto"/>
              </w:rPr>
              <w:t>3.035%</w:t>
            </w:r>
          </w:p>
        </w:tc>
        <w:tc>
          <w:tcPr>
            <w:tcW w:w="17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1720" w:type="dxa"/>
            <w:vAlign w:val="bottom"/>
          </w:tcPr>
          <w:p>
            <w:pPr>
              <w:ind w:left="420"/>
              <w:spacing w:after="0"/>
              <w:rPr>
                <w:sz w:val="20"/>
                <w:szCs w:val="20"/>
                <w:color w:val="auto"/>
              </w:rPr>
            </w:pPr>
            <w:r>
              <w:rPr>
                <w:rFonts w:ascii="Arial" w:cs="Arial" w:eastAsia="Arial" w:hAnsi="Arial"/>
                <w:sz w:val="18"/>
                <w:szCs w:val="18"/>
                <w:color w:val="auto"/>
              </w:rPr>
              <w:t>98-07; 2.455%</w:t>
            </w:r>
          </w:p>
        </w:tc>
        <w:tc>
          <w:tcPr>
            <w:tcW w:w="17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Make-Whole Call:</w:t>
            </w: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w w:val="92"/>
              </w:rPr>
              <w:t>At any time before August 3, 2027 (three months before the maturity date) at the greater of: (i) 100% of the</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w w:val="91"/>
              </w:rPr>
              <w:t>principal amount of the notes being redeemed; and (ii) the sum of the present values of the principal amount</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w w:val="90"/>
              </w:rPr>
              <w:t>of such notes and the scheduled payments of interest thereon (not including any portion of such payments of</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w w:val="92"/>
              </w:rPr>
              <w:t>interest accrued as of the date of redemption) from the date of redemption to August 3, 2027 (three months</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w w:val="89"/>
              </w:rPr>
              <w:t>before the maturity date), in each case discounted to the date of redemption on a semi-annual basis at the rate</w:t>
            </w:r>
          </w:p>
        </w:tc>
      </w:tr>
      <w:tr>
        <w:trPr>
          <w:trHeight w:val="230"/>
        </w:trPr>
        <w:tc>
          <w:tcPr>
            <w:tcW w:w="3120" w:type="dxa"/>
            <w:vAlign w:val="bottom"/>
          </w:tcPr>
          <w:p>
            <w:pPr>
              <w:spacing w:after="0"/>
              <w:rPr>
                <w:sz w:val="20"/>
                <w:szCs w:val="20"/>
                <w:color w:val="auto"/>
              </w:rPr>
            </w:pPr>
          </w:p>
        </w:tc>
        <w:tc>
          <w:tcPr>
            <w:tcW w:w="8280" w:type="dxa"/>
            <w:vAlign w:val="bottom"/>
            <w:gridSpan w:val="3"/>
          </w:tcPr>
          <w:p>
            <w:pPr>
              <w:ind w:left="420"/>
              <w:spacing w:after="0"/>
              <w:rPr>
                <w:sz w:val="20"/>
                <w:szCs w:val="20"/>
                <w:color w:val="auto"/>
              </w:rPr>
            </w:pPr>
            <w:r>
              <w:rPr>
                <w:rFonts w:ascii="Arial" w:cs="Arial" w:eastAsia="Arial" w:hAnsi="Arial"/>
                <w:sz w:val="18"/>
                <w:szCs w:val="18"/>
                <w:color w:val="auto"/>
              </w:rPr>
              <w:t>of Treasury plus 10 basis points</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At any time on or after August 3, 2027 (three months before the maturity date) at 100% of the principal amount of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-456565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820" w:space="720"/>
            <w:col w:w="7460"/>
          </w:cols>
          <w:pgMar w:left="240" w:top="382" w:right="659" w:bottom="1440" w:gutter="0" w:footer="0" w:header="0"/>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26, 2017</w:t>
      </w:r>
    </w:p>
    <w:p>
      <w:pPr>
        <w:spacing w:after="0" w:line="140" w:lineRule="exact"/>
        <w:rPr>
          <w:sz w:val="20"/>
          <w:szCs w:val="20"/>
          <w:color w:val="auto"/>
        </w:rPr>
      </w:pPr>
    </w:p>
    <w:p>
      <w:pPr>
        <w:sectPr>
          <w:pgSz w:w="11900" w:h="16838" w:orient="portrait"/>
          <w:cols w:equalWidth="0" w:num="2">
            <w:col w:w="2820" w:space="720"/>
            <w:col w:w="7460"/>
          </w:cols>
          <w:pgMar w:left="240" w:top="382" w:right="6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3, 2017 (T+6)</w:t>
      </w:r>
    </w:p>
    <w:p>
      <w:pPr>
        <w:spacing w:after="0" w:line="140" w:lineRule="exact"/>
        <w:rPr>
          <w:sz w:val="20"/>
          <w:szCs w:val="20"/>
          <w:color w:val="auto"/>
        </w:rPr>
      </w:pPr>
    </w:p>
    <w:p>
      <w:pPr>
        <w:sectPr>
          <w:pgSz w:w="11900" w:h="16838" w:orient="portrait"/>
          <w:cols w:equalWidth="0" w:num="2">
            <w:col w:w="2820" w:space="720"/>
            <w:col w:w="7460"/>
          </w:cols>
          <w:pgMar w:left="240" w:top="382" w:right="65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2820" w:space="720"/>
            <w:col w:w="7460"/>
          </w:cols>
          <w:pgMar w:left="240" w:top="382" w:right="65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BC7 / US882508BC78</w:t>
      </w:r>
    </w:p>
    <w:p>
      <w:pPr>
        <w:spacing w:after="0" w:line="140" w:lineRule="exact"/>
        <w:rPr>
          <w:sz w:val="20"/>
          <w:szCs w:val="20"/>
          <w:color w:val="auto"/>
        </w:rPr>
      </w:pPr>
    </w:p>
    <w:p>
      <w:pPr>
        <w:sectPr>
          <w:pgSz w:w="11900" w:h="16838" w:orient="portrait"/>
          <w:cols w:equalWidth="0" w:num="2">
            <w:col w:w="2820" w:space="720"/>
            <w:col w:w="7460"/>
          </w:cols>
          <w:pgMar w:left="240" w:top="382" w:right="659" w:bottom="1440" w:gutter="0" w:footer="0" w:header="0"/>
          <w:type w:val="continuous"/>
        </w:sect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A1 (stable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103" w:lineRule="exact"/>
        <w:rPr>
          <w:sz w:val="20"/>
          <w:szCs w:val="20"/>
          <w:color w:val="auto"/>
        </w:rPr>
      </w:pPr>
    </w:p>
    <w:p>
      <w:pPr>
        <w:sectPr>
          <w:pgSz w:w="11900" w:h="16838" w:orient="portrait"/>
          <w:cols w:equalWidth="0" w:num="2">
            <w:col w:w="2820" w:space="720"/>
            <w:col w:w="7460"/>
          </w:cols>
          <w:pgMar w:left="240" w:top="382" w:right="6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116" w:lineRule="exact"/>
        <w:rPr>
          <w:sz w:val="20"/>
          <w:szCs w:val="20"/>
          <w:color w:val="auto"/>
        </w:rPr>
      </w:pPr>
    </w:p>
    <w:p>
      <w:pPr>
        <w:sectPr>
          <w:pgSz w:w="11900" w:h="16838" w:orient="portrait"/>
          <w:cols w:equalWidth="0" w:num="2">
            <w:col w:w="2820" w:space="720"/>
            <w:col w:w="7460"/>
          </w:cols>
          <w:pgMar w:left="240" w:top="382" w:right="659" w:bottom="1440" w:gutter="0" w:footer="0" w:header="0"/>
          <w:type w:val="continuous"/>
        </w:sectPr>
      </w:pPr>
    </w:p>
    <w:p>
      <w:pPr>
        <w:ind w:left="354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MUFG Securities Americas Inc.</w:t>
      </w:r>
    </w:p>
    <w:p>
      <w:pPr>
        <w:sectPr>
          <w:pgSz w:w="11900" w:h="16838" w:orient="portrait"/>
          <w:cols w:equalWidth="0" w:num="1">
            <w:col w:w="11000"/>
          </w:cols>
          <w:pgMar w:left="240" w:top="382" w:right="65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Bancorp Investments,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57" w:lineRule="exact"/>
        <w:rPr>
          <w:sz w:val="20"/>
          <w:szCs w:val="20"/>
          <w:color w:val="auto"/>
        </w:rPr>
      </w:pPr>
    </w:p>
    <w:p>
      <w:pPr>
        <w:sectPr>
          <w:pgSz w:w="11900" w:h="16838" w:orient="portrait"/>
          <w:cols w:equalWidth="0" w:num="2">
            <w:col w:w="2820" w:space="720"/>
            <w:col w:w="7460"/>
          </w:cols>
          <w:pgMar w:left="240" w:top="382" w:right="659" w:bottom="1440" w:gutter="0" w:footer="0" w:header="0"/>
          <w:type w:val="continuous"/>
        </w:sectPr>
      </w:pPr>
    </w:p>
    <w:p>
      <w:pPr>
        <w:jc w:val="center"/>
        <w:ind w:right="-4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00"/>
          </w:cols>
          <w:pgMar w:left="240" w:top="382" w:right="6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November 3, 2017,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on the date of pricing should consult their own advisors.</w:t>
      </w:r>
    </w:p>
    <w:p>
      <w:pPr>
        <w:spacing w:after="0" w:line="156"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J.P. Morgan Securities LLC collect at (212) 834-4533 and Merrill Lynch, Pierce, Fenner &amp; Smith Incorporated at (800) 294-1322.</w:t>
      </w:r>
    </w:p>
    <w:p>
      <w:pPr>
        <w:spacing w:after="0" w:line="156"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2019-12-05T07:43:21Z</dcterms:created>
  <dcterms:modified xsi:type="dcterms:W3CDTF">2019-12-05T07:43:21Z</dcterms:modified>
</cp:coreProperties>
</file>