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September 4,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hanging="526"/>
        <w:spacing w:after="0" w:line="290" w:lineRule="auto"/>
        <w:rPr>
          <w:sz w:val="20"/>
          <w:szCs w:val="20"/>
          <w:color w:val="auto"/>
        </w:rPr>
      </w:pPr>
      <w:r>
        <w:rPr>
          <w:rFonts w:ascii="Courier New" w:cs="Courier New" w:eastAsia="Courier New" w:hAnsi="Courier New"/>
          <w:sz w:val="16"/>
          <w:szCs w:val="16"/>
          <w:color w:val="auto"/>
        </w:rPr>
        <w:t>(State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DELAWARE</w:t>
      </w:r>
    </w:p>
    <w:p>
      <w:pPr>
        <w:spacing w:after="0"/>
        <w:tabs>
          <w:tab w:leader="none" w:pos="400" w:val="left"/>
          <w:tab w:leader="none" w:pos="1120" w:val="left"/>
        </w:tabs>
        <w:rPr>
          <w:sz w:val="20"/>
          <w:szCs w:val="20"/>
          <w:color w:val="auto"/>
        </w:rPr>
      </w:pPr>
      <w:r>
        <w:rPr>
          <w:rFonts w:ascii="Courier New" w:cs="Courier New" w:eastAsia="Courier New" w:hAnsi="Courier New"/>
          <w:sz w:val="18"/>
          <w:szCs w:val="18"/>
          <w:color w:val="auto"/>
        </w:rPr>
        <w:t>or</w:t>
        <w:tab/>
        <w:t>other</w:t>
      </w:r>
      <w:r>
        <w:rPr>
          <w:sz w:val="20"/>
          <w:szCs w:val="20"/>
          <w:color w:val="auto"/>
        </w:rPr>
        <w:tab/>
      </w:r>
      <w:r>
        <w:rPr>
          <w:rFonts w:ascii="Courier New" w:cs="Courier New" w:eastAsia="Courier New" w:hAnsi="Courier New"/>
          <w:sz w:val="16"/>
          <w:szCs w:val="16"/>
          <w:color w:val="auto"/>
        </w:rPr>
        <w:t>jurisdiction</w:t>
      </w:r>
    </w:p>
    <w:p>
      <w:pPr>
        <w:ind w:left="10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001-03761</w:t>
      </w:r>
    </w:p>
    <w:p>
      <w:pPr>
        <w:spacing w:after="0"/>
        <w:tabs>
          <w:tab w:leader="none" w:pos="1360" w:val="left"/>
        </w:tabs>
        <w:rPr>
          <w:sz w:val="20"/>
          <w:szCs w:val="20"/>
          <w:color w:val="auto"/>
        </w:rPr>
      </w:pP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file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750289970</w:t>
      </w:r>
    </w:p>
    <w:p>
      <w:pPr>
        <w:spacing w:after="0"/>
        <w:tabs>
          <w:tab w:leader="none" w:pos="1020" w:val="left"/>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(I.R.S.</w:t>
      </w:r>
      <w:r>
        <w:rPr>
          <w:sz w:val="20"/>
          <w:szCs w:val="20"/>
          <w:color w:val="auto"/>
        </w:rPr>
        <w:tab/>
      </w:r>
      <w:r>
        <w:rPr>
          <w:rFonts w:ascii="Courier New" w:cs="Courier New" w:eastAsia="Courier New" w:hAnsi="Courier New"/>
          <w:sz w:val="16"/>
          <w:szCs w:val="16"/>
          <w:color w:val="auto"/>
        </w:rPr>
        <w:t>employer</w:t>
      </w:r>
    </w:p>
    <w:p>
      <w:pPr>
        <w:ind w:left="620"/>
        <w:spacing w:after="0"/>
        <w:tabs>
          <w:tab w:leader="none" w:pos="2280" w:val="left"/>
        </w:tabs>
        <w:rPr>
          <w:sz w:val="20"/>
          <w:szCs w:val="20"/>
          <w:color w:val="auto"/>
        </w:rPr>
      </w:pPr>
      <w:r>
        <w:rPr>
          <w:rFonts w:ascii="Courier New" w:cs="Courier New" w:eastAsia="Courier New" w:hAnsi="Courier New"/>
          <w:sz w:val="18"/>
          <w:szCs w:val="18"/>
          <w:color w:val="auto"/>
        </w:rPr>
        <w:t>identification</w:t>
        <w:tab/>
        <w:t>no.)</w:t>
      </w:r>
    </w:p>
    <w:p>
      <w:pPr>
        <w:spacing w:after="0" w:line="236" w:lineRule="exact"/>
        <w:rPr>
          <w:sz w:val="24"/>
          <w:szCs w:val="24"/>
          <w:color w:val="auto"/>
        </w:rPr>
      </w:pPr>
    </w:p>
    <w:p>
      <w:pPr>
        <w:sectPr>
          <w:pgSz w:w="11900" w:h="16838" w:orient="portrait"/>
          <w:cols w:equalWidth="0" w:num="4">
            <w:col w:w="740" w:space="120"/>
            <w:col w:w="2420" w:space="300"/>
            <w:col w:w="1800" w:space="220"/>
            <w:col w:w="4619"/>
          </w:cols>
          <w:pgMar w:left="240" w:top="649" w:right="1440" w:bottom="0" w:gutter="0" w:footer="0" w:header="0"/>
          <w:type w:val="continuous"/>
        </w:sectPr>
      </w:pPr>
    </w:p>
    <w:p>
      <w:pPr>
        <w:spacing w:after="0" w:line="3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620" w:val="left"/>
          <w:tab w:leader="none" w:pos="1040" w:val="left"/>
          <w:tab w:leader="none" w:pos="2300" w:val="left"/>
          <w:tab w:leader="none" w:pos="2720" w:val="left"/>
        </w:tabs>
        <w:rPr>
          <w:sz w:val="20"/>
          <w:szCs w:val="20"/>
          <w:color w:val="auto"/>
        </w:rPr>
      </w:pPr>
      <w:r>
        <w:rPr>
          <w:rFonts w:ascii="Courier New" w:cs="Courier New" w:eastAsia="Courier New" w:hAnsi="Courier New"/>
          <w:sz w:val="18"/>
          <w:szCs w:val="18"/>
          <w:color w:val="auto"/>
        </w:rPr>
        <w:t>ITEM</w:t>
        <w:tab/>
        <w:t>9.</w:t>
        <w:tab/>
        <w:t>REGULATION</w:t>
        <w:tab/>
        <w:t>FD</w:t>
      </w:r>
      <w:r>
        <w:rPr>
          <w:sz w:val="20"/>
          <w:szCs w:val="20"/>
          <w:color w:val="auto"/>
        </w:rPr>
        <w:tab/>
      </w:r>
      <w:r>
        <w:rPr>
          <w:rFonts w:ascii="Courier New" w:cs="Courier New" w:eastAsia="Courier New" w:hAnsi="Courier New"/>
          <w:sz w:val="16"/>
          <w:szCs w:val="16"/>
          <w:color w:val="auto"/>
        </w:rPr>
        <w:t>DISCLOSURE.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Registrant ("TI") confirms its outlook for the third quarter of 2001 as set forth in the Outlook section included in Item 2 of its Form 10-Q for the quarter ended June 30, 2001, which was filed with the Commission on July 27, 2001. This confirmation is being made for purposes of Regulation FD only and is not an indication or assessment of materiality, nor is it intended to constitute a representation that the information is not otherwise publicly available. The full text of that Outlook section is as follows:</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Third-quarter revenue is expected to decline 10 to 15 percent sequentially as many of TI's Semiconductor customers continue to reduce inventories in an environment of weak demand for their own products.</w:t>
      </w:r>
    </w:p>
    <w:p>
      <w:pPr>
        <w:spacing w:after="0" w:line="203" w:lineRule="exact"/>
        <w:rPr>
          <w:sz w:val="24"/>
          <w:szCs w:val="24"/>
          <w:color w:val="auto"/>
        </w:rPr>
      </w:pPr>
    </w:p>
    <w:p>
      <w:pPr>
        <w:spacing w:after="0"/>
        <w:tabs>
          <w:tab w:leader="none" w:pos="1560" w:val="left"/>
          <w:tab w:leader="none" w:pos="1980" w:val="left"/>
          <w:tab w:leader="none" w:pos="2940" w:val="left"/>
          <w:tab w:leader="none" w:pos="3460" w:val="left"/>
          <w:tab w:leader="none" w:pos="4620" w:val="left"/>
          <w:tab w:leader="none" w:pos="5140" w:val="left"/>
          <w:tab w:leader="none" w:pos="5680" w:val="left"/>
          <w:tab w:leader="none" w:pos="6420" w:val="left"/>
        </w:tabs>
        <w:rPr>
          <w:sz w:val="20"/>
          <w:szCs w:val="20"/>
          <w:color w:val="auto"/>
        </w:rPr>
      </w:pPr>
      <w:r>
        <w:rPr>
          <w:rFonts w:ascii="Courier New" w:cs="Courier New" w:eastAsia="Courier New" w:hAnsi="Courier New"/>
          <w:sz w:val="18"/>
          <w:szCs w:val="18"/>
          <w:color w:val="auto"/>
        </w:rPr>
        <w:t>Specifically,</w:t>
        <w:tab/>
        <w:t>TI</w:t>
        <w:tab/>
        <w:t>expects</w:t>
        <w:tab/>
        <w:t>the</w:t>
        <w:tab/>
        <w:t>following</w:t>
        <w:tab/>
        <w:t>for</w:t>
        <w:tab/>
        <w:t>the</w:t>
        <w:tab/>
        <w:t>third</w:t>
      </w:r>
      <w:r>
        <w:rPr>
          <w:sz w:val="20"/>
          <w:szCs w:val="20"/>
          <w:color w:val="auto"/>
        </w:rPr>
        <w:tab/>
      </w:r>
      <w:r>
        <w:rPr>
          <w:rFonts w:ascii="Courier New" w:cs="Courier New" w:eastAsia="Courier New" w:hAnsi="Courier New"/>
          <w:sz w:val="16"/>
          <w:szCs w:val="16"/>
          <w:color w:val="auto"/>
        </w:rPr>
        <w:t>quarter:</w:t>
      </w:r>
    </w:p>
    <w:p>
      <w:pPr>
        <w:spacing w:after="0" w:line="207" w:lineRule="exact"/>
        <w:rPr>
          <w:sz w:val="24"/>
          <w:szCs w:val="24"/>
          <w:color w:val="auto"/>
        </w:rPr>
      </w:pPr>
    </w:p>
    <w:p>
      <w:pPr>
        <w:ind w:left="420" w:hanging="307"/>
        <w:spacing w:after="0"/>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Semiconductor,  wireless  revenue will increase slightly from the second</w:t>
      </w:r>
    </w:p>
    <w:p>
      <w:pPr>
        <w:spacing w:after="0" w:line="16" w:lineRule="exact"/>
        <w:rPr>
          <w:sz w:val="24"/>
          <w:szCs w:val="24"/>
          <w:color w:val="auto"/>
        </w:rPr>
      </w:pPr>
    </w:p>
    <w:p>
      <w:pPr>
        <w:spacing w:after="0"/>
        <w:tabs>
          <w:tab w:leader="none" w:pos="940" w:val="left"/>
          <w:tab w:leader="none" w:pos="1460" w:val="left"/>
          <w:tab w:leader="none" w:pos="2100" w:val="left"/>
          <w:tab w:leader="none" w:pos="2520" w:val="left"/>
          <w:tab w:leader="none" w:pos="3140" w:val="left"/>
          <w:tab w:leader="none" w:pos="3780" w:val="left"/>
          <w:tab w:leader="none" w:pos="4620" w:val="left"/>
          <w:tab w:leader="none" w:pos="5040" w:val="left"/>
          <w:tab w:leader="none" w:pos="6100" w:val="left"/>
          <w:tab w:leader="none" w:pos="6520" w:val="left"/>
          <w:tab w:leader="none" w:pos="7260" w:val="left"/>
        </w:tabs>
        <w:rPr>
          <w:sz w:val="20"/>
          <w:szCs w:val="20"/>
          <w:color w:val="auto"/>
        </w:rPr>
      </w:pPr>
      <w:r>
        <w:rPr>
          <w:rFonts w:ascii="Courier New" w:cs="Courier New" w:eastAsia="Courier New" w:hAnsi="Courier New"/>
          <w:sz w:val="18"/>
          <w:szCs w:val="18"/>
          <w:color w:val="auto"/>
        </w:rPr>
        <w:t>quarter</w:t>
        <w:tab/>
        <w:t>but</w:t>
        <w:tab/>
        <w:t>will</w:t>
        <w:tab/>
        <w:t>be</w:t>
        <w:tab/>
        <w:t>more</w:t>
        <w:tab/>
        <w:t>than</w:t>
        <w:tab/>
        <w:t>offset</w:t>
        <w:tab/>
        <w:t>by</w:t>
        <w:tab/>
        <w:t>declines</w:t>
        <w:tab/>
        <w:t>in</w:t>
        <w:tab/>
        <w:t>other</w:t>
      </w:r>
      <w:r>
        <w:rPr>
          <w:sz w:val="20"/>
          <w:szCs w:val="20"/>
          <w:color w:val="auto"/>
        </w:rPr>
        <w:tab/>
      </w:r>
      <w:r>
        <w:rPr>
          <w:rFonts w:ascii="Courier New" w:cs="Courier New" w:eastAsia="Courier New" w:hAnsi="Courier New"/>
          <w:sz w:val="16"/>
          <w:szCs w:val="16"/>
          <w:color w:val="auto"/>
        </w:rPr>
        <w:t>products.</w:t>
      </w:r>
    </w:p>
    <w:p>
      <w:pPr>
        <w:spacing w:after="0" w:line="207" w:lineRule="exact"/>
        <w:rPr>
          <w:sz w:val="24"/>
          <w:szCs w:val="24"/>
          <w:color w:val="auto"/>
        </w:rPr>
      </w:pPr>
    </w:p>
    <w:p>
      <w:pPr>
        <w:jc w:val="both"/>
        <w:ind w:right="1779" w:firstLine="113"/>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Non-Semiconductor revenue will increase sequentially as seasonal declines in Sensors &amp; Controls are more than offset by a seasonal increase in sales of</w:t>
      </w:r>
    </w:p>
    <w:p>
      <w:pPr>
        <w:spacing w:after="0"/>
        <w:tabs>
          <w:tab w:leader="none" w:pos="1360" w:val="left"/>
          <w:tab w:leader="none" w:pos="2720" w:val="left"/>
          <w:tab w:leader="none" w:pos="3260" w:val="left"/>
          <w:tab w:leader="none" w:pos="4620" w:val="left"/>
          <w:tab w:leader="none" w:pos="4940" w:val="left"/>
          <w:tab w:leader="none" w:pos="6420" w:val="left"/>
        </w:tabs>
        <w:rPr>
          <w:sz w:val="20"/>
          <w:szCs w:val="20"/>
          <w:color w:val="auto"/>
        </w:rPr>
      </w:pPr>
      <w:r>
        <w:rPr>
          <w:rFonts w:ascii="Courier New" w:cs="Courier New" w:eastAsia="Courier New" w:hAnsi="Courier New"/>
          <w:sz w:val="18"/>
          <w:szCs w:val="18"/>
          <w:color w:val="auto"/>
        </w:rPr>
        <w:t>educational</w:t>
        <w:tab/>
        <w:t>calculators</w:t>
        <w:tab/>
        <w:t>for</w:t>
        <w:tab/>
        <w:t>Educational</w:t>
        <w:tab/>
        <w:t>&amp;</w:t>
        <w:tab/>
        <w:t>Productivity</w:t>
      </w:r>
      <w:r>
        <w:rPr>
          <w:sz w:val="20"/>
          <w:szCs w:val="20"/>
          <w:color w:val="auto"/>
        </w:rPr>
        <w:tab/>
      </w:r>
      <w:r>
        <w:rPr>
          <w:rFonts w:ascii="Courier New" w:cs="Courier New" w:eastAsia="Courier New" w:hAnsi="Courier New"/>
          <w:sz w:val="16"/>
          <w:szCs w:val="16"/>
          <w:color w:val="auto"/>
        </w:rPr>
        <w:t>Solutions.</w:t>
      </w:r>
    </w:p>
    <w:p>
      <w:pPr>
        <w:spacing w:after="0" w:line="207" w:lineRule="exact"/>
        <w:rPr>
          <w:sz w:val="24"/>
          <w:szCs w:val="24"/>
          <w:color w:val="auto"/>
        </w:rPr>
      </w:pPr>
    </w:p>
    <w:p>
      <w:pPr>
        <w:jc w:val="both"/>
        <w:ind w:right="1779" w:firstLine="113"/>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margin will decline sequentially about 10 points before the effect of special charges and amortization of acquisition-related intangibles as a</w:t>
      </w:r>
    </w:p>
    <w:p>
      <w:pPr>
        <w:spacing w:after="0"/>
        <w:tabs>
          <w:tab w:leader="none" w:pos="840" w:val="left"/>
          <w:tab w:leader="none" w:pos="1260" w:val="left"/>
          <w:tab w:leader="none" w:pos="1980" w:val="left"/>
        </w:tabs>
        <w:rPr>
          <w:sz w:val="20"/>
          <w:szCs w:val="20"/>
          <w:color w:val="auto"/>
        </w:rPr>
      </w:pPr>
      <w:r>
        <w:rPr>
          <w:rFonts w:ascii="Courier New" w:cs="Courier New" w:eastAsia="Courier New" w:hAnsi="Courier New"/>
          <w:sz w:val="18"/>
          <w:szCs w:val="18"/>
          <w:color w:val="auto"/>
        </w:rPr>
        <w:t>result</w:t>
        <w:tab/>
        <w:t>of</w:t>
        <w:tab/>
        <w:t>lower</w:t>
      </w:r>
      <w:r>
        <w:rPr>
          <w:sz w:val="20"/>
          <w:szCs w:val="20"/>
          <w:color w:val="auto"/>
        </w:rPr>
        <w:tab/>
      </w:r>
      <w:r>
        <w:rPr>
          <w:rFonts w:ascii="Courier New" w:cs="Courier New" w:eastAsia="Courier New" w:hAnsi="Courier New"/>
          <w:sz w:val="16"/>
          <w:szCs w:val="16"/>
          <w:color w:val="auto"/>
        </w:rPr>
        <w:t>revenue.</w:t>
      </w:r>
    </w:p>
    <w:p>
      <w:pPr>
        <w:spacing w:after="0" w:line="208" w:lineRule="exact"/>
        <w:rPr>
          <w:sz w:val="24"/>
          <w:szCs w:val="24"/>
          <w:color w:val="auto"/>
        </w:rPr>
      </w:pPr>
    </w:p>
    <w:p>
      <w:pPr>
        <w:ind w:right="1779" w:firstLine="113"/>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Non-operating income will decline to about $20 million due to reduced interest income.</w:t>
      </w:r>
    </w:p>
    <w:p>
      <w:pPr>
        <w:spacing w:after="0" w:line="208" w:lineRule="exact"/>
        <w:rPr>
          <w:rFonts w:ascii="Courier New" w:cs="Courier New" w:eastAsia="Courier New" w:hAnsi="Courier New"/>
          <w:sz w:val="18"/>
          <w:szCs w:val="18"/>
          <w:color w:val="auto"/>
        </w:rPr>
      </w:pPr>
    </w:p>
    <w:p>
      <w:pPr>
        <w:ind w:right="1779" w:firstLine="113"/>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will decline to a loss of a few cents before the effect of special charges and amortization of acquisition-related intangibles.</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tabs>
          <w:tab w:leader="none" w:pos="520" w:val="left"/>
          <w:tab w:leader="none" w:pos="1260" w:val="left"/>
          <w:tab w:leader="none" w:pos="1680" w:val="left"/>
          <w:tab w:leader="none" w:pos="2620" w:val="left"/>
          <w:tab w:leader="none" w:pos="3140" w:val="left"/>
        </w:tabs>
        <w:rPr>
          <w:sz w:val="20"/>
          <w:szCs w:val="20"/>
          <w:color w:val="auto"/>
        </w:rPr>
      </w:pPr>
      <w:r>
        <w:rPr>
          <w:rFonts w:ascii="Courier New" w:cs="Courier New" w:eastAsia="Courier New" w:hAnsi="Courier New"/>
          <w:sz w:val="18"/>
          <w:szCs w:val="18"/>
          <w:color w:val="auto"/>
        </w:rPr>
        <w:t>For</w:t>
        <w:tab/>
        <w:t>2001,</w:t>
        <w:tab/>
        <w:t>TI</w:t>
        <w:tab/>
        <w:t>expects</w:t>
        <w:tab/>
        <w:t>the</w:t>
      </w:r>
      <w:r>
        <w:rPr>
          <w:sz w:val="20"/>
          <w:szCs w:val="20"/>
          <w:color w:val="auto"/>
        </w:rPr>
        <w:tab/>
      </w:r>
      <w:r>
        <w:rPr>
          <w:rFonts w:ascii="Courier New" w:cs="Courier New" w:eastAsia="Courier New" w:hAnsi="Courier New"/>
          <w:sz w:val="16"/>
          <w:szCs w:val="16"/>
          <w:color w:val="auto"/>
        </w:rPr>
        <w:t>following:</w:t>
      </w:r>
    </w:p>
    <w:p>
      <w:pPr>
        <w:spacing w:after="0" w:line="207" w:lineRule="exact"/>
        <w:rPr>
          <w:sz w:val="20"/>
          <w:szCs w:val="20"/>
          <w:color w:val="auto"/>
        </w:rPr>
      </w:pPr>
    </w:p>
    <w:p>
      <w:pPr>
        <w:jc w:val="both"/>
        <w:ind w:right="1779" w:firstLine="113"/>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R&amp;D of $1.6 billion, excluding acquisition-related amortization and purchased in-process R&amp;D, unchanged from the company's prior estimate and even with last year.</w:t>
      </w:r>
    </w:p>
    <w:p>
      <w:pPr>
        <w:spacing w:after="0" w:line="208"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expenditures of $1.8 billion, unchanged from the prior estimate and</w:t>
      </w:r>
    </w:p>
    <w:p>
      <w:pPr>
        <w:spacing w:after="0" w:line="16" w:lineRule="exact"/>
        <w:rPr>
          <w:sz w:val="20"/>
          <w:szCs w:val="20"/>
          <w:color w:val="auto"/>
        </w:rPr>
      </w:pPr>
    </w:p>
    <w:p>
      <w:pPr>
        <w:spacing w:after="0"/>
        <w:tabs>
          <w:tab w:leader="none" w:pos="620" w:val="left"/>
          <w:tab w:leader="none" w:pos="1040" w:val="left"/>
          <w:tab w:leader="none" w:pos="1980" w:val="left"/>
          <w:tab w:leader="none" w:pos="2620" w:val="left"/>
          <w:tab w:leader="none" w:pos="3260" w:val="left"/>
        </w:tabs>
        <w:rPr>
          <w:sz w:val="20"/>
          <w:szCs w:val="20"/>
          <w:color w:val="auto"/>
        </w:rPr>
      </w:pPr>
      <w:r>
        <w:rPr>
          <w:rFonts w:ascii="Courier New" w:cs="Courier New" w:eastAsia="Courier New" w:hAnsi="Courier New"/>
          <w:sz w:val="18"/>
          <w:szCs w:val="18"/>
          <w:color w:val="auto"/>
        </w:rPr>
        <w:t>down</w:t>
        <w:tab/>
        <w:t>35</w:t>
        <w:tab/>
        <w:t>percent</w:t>
        <w:tab/>
        <w:t>from</w:t>
        <w:tab/>
        <w:t>last</w:t>
      </w:r>
      <w:r>
        <w:rPr>
          <w:sz w:val="20"/>
          <w:szCs w:val="20"/>
          <w:color w:val="auto"/>
        </w:rPr>
        <w:tab/>
      </w:r>
      <w:r>
        <w:rPr>
          <w:rFonts w:ascii="Courier New" w:cs="Courier New" w:eastAsia="Courier New" w:hAnsi="Courier New"/>
          <w:sz w:val="16"/>
          <w:szCs w:val="16"/>
          <w:color w:val="auto"/>
        </w:rPr>
        <w:t>year.</w:t>
      </w:r>
    </w:p>
    <w:p>
      <w:pPr>
        <w:spacing w:after="0" w:line="201" w:lineRule="exact"/>
        <w:rPr>
          <w:sz w:val="20"/>
          <w:szCs w:val="20"/>
          <w:color w:val="auto"/>
        </w:rPr>
      </w:pPr>
    </w:p>
    <w:p>
      <w:pPr>
        <w:ind w:left="420" w:hanging="307"/>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of  $1.6  billion,  up  30  percent  from  last  year.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demand for semiconductors, particularly for digital signal processors</w:t>
      </w:r>
    </w:p>
    <w:p>
      <w:pPr>
        <w:spacing w:after="0" w:line="16" w:lineRule="exact"/>
        <w:rPr>
          <w:sz w:val="20"/>
          <w:szCs w:val="20"/>
          <w:color w:val="auto"/>
        </w:rPr>
      </w:pPr>
    </w:p>
    <w:p>
      <w:pPr>
        <w:spacing w:after="0"/>
        <w:tabs>
          <w:tab w:leader="none" w:pos="520" w:val="left"/>
          <w:tab w:leader="none" w:pos="1360" w:val="left"/>
          <w:tab w:leader="none" w:pos="2100" w:val="left"/>
          <w:tab w:leader="none" w:pos="2520" w:val="left"/>
          <w:tab w:leader="none" w:pos="3040" w:val="left"/>
          <w:tab w:leader="none" w:pos="4100" w:val="left"/>
        </w:tabs>
        <w:rPr>
          <w:sz w:val="20"/>
          <w:szCs w:val="20"/>
          <w:color w:val="auto"/>
        </w:rPr>
      </w:pPr>
      <w:r>
        <w:rPr>
          <w:rFonts w:ascii="Courier New" w:cs="Courier New" w:eastAsia="Courier New" w:hAnsi="Courier New"/>
          <w:sz w:val="18"/>
          <w:szCs w:val="18"/>
          <w:color w:val="auto"/>
        </w:rPr>
        <w:t>and</w:t>
        <w:tab/>
        <w:t>analog</w:t>
        <w:tab/>
        <w:t>chips</w:t>
        <w:tab/>
        <w:t>in</w:t>
        <w:tab/>
        <w:t>key</w:t>
        <w:tab/>
        <w:t>markets,</w:t>
      </w:r>
      <w:r>
        <w:rPr>
          <w:sz w:val="20"/>
          <w:szCs w:val="20"/>
          <w:color w:val="auto"/>
        </w:rPr>
        <w:tab/>
      </w:r>
      <w:r>
        <w:rPr>
          <w:rFonts w:ascii="Courier New" w:cs="Courier New" w:eastAsia="Courier New" w:hAnsi="Courier New"/>
          <w:sz w:val="16"/>
          <w:szCs w:val="16"/>
          <w:color w:val="auto"/>
        </w:rPr>
        <w:t>such as telecommunications and computers;</w:t>
      </w:r>
    </w:p>
    <w:p>
      <w:pPr>
        <w:spacing w:after="0" w:line="207"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develop,  manufacture and market innovative products in a</w:t>
      </w:r>
    </w:p>
    <w:p>
      <w:pPr>
        <w:spacing w:after="0" w:line="16" w:lineRule="exact"/>
        <w:rPr>
          <w:sz w:val="20"/>
          <w:szCs w:val="20"/>
          <w:color w:val="auto"/>
        </w:rPr>
      </w:pPr>
    </w:p>
    <w:p>
      <w:pPr>
        <w:spacing w:after="0"/>
        <w:tabs>
          <w:tab w:leader="none" w:pos="940" w:val="left"/>
          <w:tab w:leader="none" w:pos="1980" w:val="left"/>
          <w:tab w:leader="none" w:pos="3560" w:val="left"/>
        </w:tabs>
        <w:rPr>
          <w:sz w:val="20"/>
          <w:szCs w:val="20"/>
          <w:color w:val="auto"/>
        </w:rPr>
      </w:pPr>
      <w:r>
        <w:rPr>
          <w:rFonts w:ascii="Courier New" w:cs="Courier New" w:eastAsia="Courier New" w:hAnsi="Courier New"/>
          <w:sz w:val="18"/>
          <w:szCs w:val="18"/>
          <w:color w:val="auto"/>
        </w:rPr>
        <w:t>rapidly</w:t>
        <w:tab/>
        <w:t>changing</w:t>
        <w:tab/>
        <w:t>technological</w:t>
      </w:r>
      <w:r>
        <w:rPr>
          <w:sz w:val="20"/>
          <w:szCs w:val="20"/>
          <w:color w:val="auto"/>
        </w:rPr>
        <w:tab/>
      </w:r>
      <w:r>
        <w:rPr>
          <w:rFonts w:ascii="Courier New" w:cs="Courier New" w:eastAsia="Courier New" w:hAnsi="Courier New"/>
          <w:sz w:val="16"/>
          <w:szCs w:val="16"/>
          <w:color w:val="auto"/>
        </w:rPr>
        <w:t>environment;</w:t>
      </w:r>
    </w:p>
    <w:p>
      <w:pPr>
        <w:spacing w:after="0" w:line="207" w:lineRule="exact"/>
        <w:rPr>
          <w:sz w:val="20"/>
          <w:szCs w:val="20"/>
          <w:color w:val="auto"/>
        </w:rPr>
      </w:pPr>
    </w:p>
    <w:p>
      <w:pPr>
        <w:ind w:right="1779" w:firstLine="113"/>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320" w:hanging="207"/>
        <w:spacing w:after="0"/>
        <w:tabs>
          <w:tab w:leader="none" w:pos="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TI's ability to maintain and enforce a strong intellectual property portfolio</w:t>
      </w:r>
    </w:p>
    <w:p>
      <w:pPr>
        <w:spacing w:after="0" w:line="16" w:lineRule="exact"/>
        <w:rPr>
          <w:sz w:val="20"/>
          <w:szCs w:val="20"/>
          <w:color w:val="auto"/>
        </w:rPr>
      </w:pPr>
    </w:p>
    <w:p>
      <w:pPr>
        <w:spacing w:after="0"/>
        <w:tabs>
          <w:tab w:leader="none" w:pos="520" w:val="left"/>
          <w:tab w:leader="none" w:pos="1360" w:val="left"/>
          <w:tab w:leader="none" w:pos="2200" w:val="left"/>
          <w:tab w:leader="none" w:pos="3260" w:val="left"/>
          <w:tab w:leader="none" w:pos="3880" w:val="left"/>
          <w:tab w:leader="none" w:pos="4620" w:val="left"/>
        </w:tabs>
        <w:rPr>
          <w:sz w:val="20"/>
          <w:szCs w:val="20"/>
          <w:color w:val="auto"/>
        </w:rPr>
      </w:pPr>
      <w:r>
        <w:rPr>
          <w:rFonts w:ascii="Courier New" w:cs="Courier New" w:eastAsia="Courier New" w:hAnsi="Courier New"/>
          <w:sz w:val="18"/>
          <w:szCs w:val="18"/>
          <w:color w:val="auto"/>
        </w:rPr>
        <w:t>and</w:t>
        <w:tab/>
        <w:t>obtain</w:t>
        <w:tab/>
        <w:t>needed</w:t>
        <w:tab/>
        <w:t>licenses</w:t>
        <w:tab/>
        <w:t>from</w:t>
        <w:tab/>
        <w:t>third</w:t>
      </w:r>
      <w:r>
        <w:rPr>
          <w:sz w:val="20"/>
          <w:szCs w:val="20"/>
          <w:color w:val="auto"/>
        </w:rPr>
        <w:tab/>
      </w:r>
      <w:r>
        <w:rPr>
          <w:rFonts w:ascii="Courier New" w:cs="Courier New" w:eastAsia="Courier New" w:hAnsi="Courier New"/>
          <w:sz w:val="16"/>
          <w:szCs w:val="16"/>
          <w:color w:val="auto"/>
        </w:rPr>
        <w:t>parties;</w:t>
      </w:r>
    </w:p>
    <w:p>
      <w:pPr>
        <w:spacing w:after="0" w:line="201" w:lineRule="exact"/>
        <w:rPr>
          <w:sz w:val="20"/>
          <w:szCs w:val="20"/>
          <w:color w:val="auto"/>
        </w:rPr>
      </w:pPr>
    </w:p>
    <w:p>
      <w:pPr>
        <w:ind w:left="120"/>
        <w:spacing w:after="0"/>
        <w:tabs>
          <w:tab w:leader="none" w:pos="400" w:val="left"/>
          <w:tab w:leader="none" w:pos="1260" w:val="left"/>
          <w:tab w:leader="none" w:pos="2520" w:val="left"/>
          <w:tab w:leader="none" w:pos="3040" w:val="left"/>
          <w:tab w:leader="none" w:pos="4300" w:val="left"/>
          <w:tab w:leader="none" w:pos="5680" w:val="left"/>
        </w:tabs>
        <w:rPr>
          <w:sz w:val="20"/>
          <w:szCs w:val="20"/>
          <w:color w:val="auto"/>
        </w:rPr>
      </w:pPr>
      <w:r>
        <w:rPr>
          <w:rFonts w:ascii="Courier New" w:cs="Courier New" w:eastAsia="Courier New" w:hAnsi="Courier New"/>
          <w:sz w:val="18"/>
          <w:szCs w:val="18"/>
          <w:color w:val="auto"/>
        </w:rPr>
        <w:t>-</w:t>
        <w:tab/>
        <w:t>Timely</w:t>
        <w:tab/>
        <w:t>completion</w:t>
        <w:tab/>
        <w:t>and</w:t>
        <w:tab/>
        <w:t>successful</w:t>
        <w:tab/>
        <w:t>integration</w:t>
      </w:r>
      <w:r>
        <w:rPr>
          <w:sz w:val="20"/>
          <w:szCs w:val="20"/>
          <w:color w:val="auto"/>
        </w:rPr>
        <w:tab/>
      </w:r>
      <w:r>
        <w:rPr>
          <w:rFonts w:ascii="Courier New" w:cs="Courier New" w:eastAsia="Courier New" w:hAnsi="Courier New"/>
          <w:sz w:val="16"/>
          <w:szCs w:val="16"/>
          <w:color w:val="auto"/>
        </w:rPr>
        <w:t>of announced acquisitions;</w:t>
      </w:r>
    </w:p>
    <w:p>
      <w:pPr>
        <w:spacing w:after="0" w:line="207" w:lineRule="exact"/>
        <w:rPr>
          <w:sz w:val="20"/>
          <w:szCs w:val="20"/>
          <w:color w:val="auto"/>
        </w:rPr>
      </w:pPr>
    </w:p>
    <w:p>
      <w:pPr>
        <w:jc w:val="both"/>
        <w:ind w:right="1779" w:firstLine="113"/>
        <w:spacing w:after="0" w:line="23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economic, social and political conditions in the countries in which TI and its customers and suppliers operate, including fluctuations in foreign currency exchange rates;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4220" w:type="dxa"/>
            <w:vAlign w:val="bottom"/>
          </w:tcPr>
          <w:p>
            <w:pPr>
              <w:ind w:left="100"/>
              <w:spacing w:after="0"/>
              <w:rPr>
                <w:sz w:val="20"/>
                <w:szCs w:val="20"/>
                <w:color w:val="auto"/>
              </w:rPr>
            </w:pPr>
            <w:r>
              <w:rPr>
                <w:rFonts w:ascii="Courier New" w:cs="Courier New" w:eastAsia="Courier New" w:hAnsi="Courier New"/>
                <w:sz w:val="18"/>
                <w:szCs w:val="18"/>
                <w:color w:val="auto"/>
                <w:w w:val="97"/>
              </w:rPr>
              <w:t>Losses  or  curtailments  of  purchases</w:t>
            </w:r>
          </w:p>
        </w:tc>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from  key  customers;</w:t>
            </w:r>
          </w:p>
        </w:tc>
        <w:tc>
          <w:tcPr>
            <w:tcW w:w="1260" w:type="dxa"/>
            <w:vAlign w:val="bottom"/>
          </w:tcPr>
          <w:p>
            <w:pPr>
              <w:spacing w:after="0"/>
              <w:rPr>
                <w:sz w:val="17"/>
                <w:szCs w:val="17"/>
                <w:color w:val="auto"/>
              </w:rPr>
            </w:pP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4220" w:type="dxa"/>
            <w:vAlign w:val="bottom"/>
          </w:tcPr>
          <w:p>
            <w:pPr>
              <w:ind w:left="100"/>
              <w:spacing w:after="0"/>
              <w:rPr>
                <w:sz w:val="20"/>
                <w:szCs w:val="20"/>
                <w:color w:val="auto"/>
              </w:rPr>
            </w:pPr>
            <w:r>
              <w:rPr>
                <w:rFonts w:ascii="Courier New" w:cs="Courier New" w:eastAsia="Courier New" w:hAnsi="Courier New"/>
                <w:sz w:val="18"/>
                <w:szCs w:val="18"/>
                <w:color w:val="auto"/>
                <w:w w:val="97"/>
              </w:rPr>
              <w:t>TI's  ability  to  recruit  and  retain</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skilled</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personnel;</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and</w:t>
            </w:r>
          </w:p>
        </w:tc>
      </w:tr>
      <w:tr>
        <w:trPr>
          <w:trHeight w:val="405"/>
        </w:trPr>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4220" w:type="dxa"/>
            <w:vAlign w:val="bottom"/>
          </w:tcPr>
          <w:p>
            <w:pPr>
              <w:ind w:left="100"/>
              <w:spacing w:after="0"/>
              <w:rPr>
                <w:sz w:val="20"/>
                <w:szCs w:val="20"/>
                <w:color w:val="auto"/>
              </w:rPr>
            </w:pPr>
            <w:r>
              <w:rPr>
                <w:rFonts w:ascii="Courier New" w:cs="Courier New" w:eastAsia="Courier New" w:hAnsi="Courier New"/>
                <w:sz w:val="18"/>
                <w:szCs w:val="18"/>
                <w:color w:val="auto"/>
              </w:rPr>
              <w:t>Availability  of  raw  materials  and</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critical</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manufacturing</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w w:val="94"/>
              </w:rPr>
              <w:t>equipment.</w:t>
            </w: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INSTRUMENTS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w:t>
      </w:r>
    </w:p>
    <w:p>
      <w:pPr>
        <w:spacing w:after="0" w:line="216" w:lineRule="exact"/>
        <w:rPr>
          <w:sz w:val="20"/>
          <w:szCs w:val="20"/>
          <w:color w:val="auto"/>
        </w:rPr>
      </w:pPr>
    </w:p>
    <w:p>
      <w:pPr>
        <w:sectPr>
          <w:pgSz w:w="11900" w:h="16838" w:orient="portrait"/>
          <w:cols w:equalWidth="0" w:num="3">
            <w:col w:w="4860" w:space="200"/>
            <w:col w:w="1160" w:space="220"/>
            <w:col w:w="3779"/>
          </w:cols>
          <w:pgMar w:left="240" w:top="33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September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tabs>
          <w:tab w:leader="none" w:pos="500" w:val="left"/>
          <w:tab w:leader="none" w:pos="1020" w:val="left"/>
          <w:tab w:leader="none" w:pos="1980" w:val="left"/>
          <w:tab w:leader="none" w:pos="2400" w:val="left"/>
        </w:tabs>
        <w:rPr>
          <w:sz w:val="20"/>
          <w:szCs w:val="20"/>
          <w:color w:val="auto"/>
        </w:rPr>
      </w:pPr>
      <w:r>
        <w:rPr>
          <w:rFonts w:ascii="Courier New" w:cs="Courier New" w:eastAsia="Courier New" w:hAnsi="Courier New"/>
          <w:sz w:val="18"/>
          <w:szCs w:val="18"/>
          <w:color w:val="auto"/>
        </w:rPr>
        <w:t>By:</w:t>
        <w:tab/>
        <w:t>/s/</w:t>
        <w:tab/>
        <w:t>WILLIAM</w:t>
        <w:tab/>
        <w:t>A.</w:t>
      </w:r>
      <w:r>
        <w:rPr>
          <w:sz w:val="20"/>
          <w:szCs w:val="20"/>
          <w:color w:val="auto"/>
        </w:rPr>
        <w:tab/>
      </w:r>
      <w:r>
        <w:rPr>
          <w:rFonts w:ascii="Courier New" w:cs="Courier New" w:eastAsia="Courier New" w:hAnsi="Courier New"/>
          <w:sz w:val="16"/>
          <w:szCs w:val="16"/>
          <w:color w:val="auto"/>
        </w:rPr>
        <w:t>AYLESWORTH</w:t>
      </w:r>
    </w:p>
    <w:p>
      <w:pPr>
        <w:ind w:left="20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tabs>
          <w:tab w:leader="none" w:pos="1140" w:val="left"/>
          <w:tab w:leader="none" w:pos="1560" w:val="left"/>
        </w:tabs>
        <w:rPr>
          <w:sz w:val="20"/>
          <w:szCs w:val="20"/>
          <w:color w:val="auto"/>
        </w:rPr>
      </w:pPr>
      <w:r>
        <w:rPr>
          <w:rFonts w:ascii="Courier New" w:cs="Courier New" w:eastAsia="Courier New" w:hAnsi="Courier New"/>
          <w:sz w:val="18"/>
          <w:szCs w:val="18"/>
          <w:color w:val="auto"/>
        </w:rPr>
        <w:t>William</w:t>
        <w:tab/>
        <w:t>A.</w:t>
      </w:r>
      <w:r>
        <w:rPr>
          <w:sz w:val="20"/>
          <w:szCs w:val="20"/>
          <w:color w:val="auto"/>
        </w:rPr>
        <w:tab/>
      </w:r>
      <w:r>
        <w:rPr>
          <w:rFonts w:ascii="Courier New" w:cs="Courier New" w:eastAsia="Courier New" w:hAnsi="Courier New"/>
          <w:sz w:val="16"/>
          <w:szCs w:val="16"/>
          <w:color w:val="auto"/>
        </w:rPr>
        <w:t>Aylesworth</w:t>
      </w:r>
    </w:p>
    <w:p>
      <w:pPr>
        <w:ind w:left="200"/>
        <w:spacing w:after="0"/>
        <w:tabs>
          <w:tab w:leader="none" w:pos="1020" w:val="left"/>
          <w:tab w:leader="none" w:pos="1660" w:val="left"/>
        </w:tabs>
        <w:rPr>
          <w:sz w:val="20"/>
          <w:szCs w:val="20"/>
          <w:color w:val="auto"/>
        </w:rPr>
      </w:pPr>
      <w:r>
        <w:rPr>
          <w:rFonts w:ascii="Courier New" w:cs="Courier New" w:eastAsia="Courier New" w:hAnsi="Courier New"/>
          <w:sz w:val="18"/>
          <w:szCs w:val="18"/>
          <w:color w:val="auto"/>
        </w:rPr>
        <w:t>Senior</w:t>
        <w:tab/>
        <w:t>Vice</w:t>
      </w:r>
      <w:r>
        <w:rPr>
          <w:sz w:val="20"/>
          <w:szCs w:val="20"/>
          <w:color w:val="auto"/>
        </w:rPr>
        <w:tab/>
      </w:r>
      <w:r>
        <w:rPr>
          <w:rFonts w:ascii="Courier New" w:cs="Courier New" w:eastAsia="Courier New" w:hAnsi="Courier New"/>
          <w:sz w:val="16"/>
          <w:szCs w:val="16"/>
          <w:color w:val="auto"/>
        </w:rPr>
        <w:t>President,</w:t>
      </w:r>
    </w:p>
    <w:p>
      <w:pPr>
        <w:ind w:left="200"/>
        <w:spacing w:after="0"/>
        <w:tabs>
          <w:tab w:leader="none" w:pos="1340" w:val="left"/>
        </w:tabs>
        <w:rPr>
          <w:sz w:val="20"/>
          <w:szCs w:val="20"/>
          <w:color w:val="auto"/>
        </w:rPr>
      </w:pPr>
      <w:r>
        <w:rPr>
          <w:rFonts w:ascii="Courier New" w:cs="Courier New" w:eastAsia="Courier New" w:hAnsi="Courier New"/>
          <w:sz w:val="18"/>
          <w:szCs w:val="18"/>
          <w:color w:val="auto"/>
        </w:rPr>
        <w:t>Treasurer</w:t>
      </w:r>
      <w:r>
        <w:rPr>
          <w:sz w:val="20"/>
          <w:szCs w:val="20"/>
          <w:color w:val="auto"/>
        </w:rPr>
        <w:tab/>
      </w:r>
      <w:r>
        <w:rPr>
          <w:rFonts w:ascii="Courier New" w:cs="Courier New" w:eastAsia="Courier New" w:hAnsi="Courier New"/>
          <w:sz w:val="16"/>
          <w:szCs w:val="16"/>
          <w:color w:val="auto"/>
        </w:rPr>
        <w:t>and</w:t>
      </w:r>
    </w:p>
    <w:p>
      <w:pPr>
        <w:ind w:left="200"/>
        <w:spacing w:after="0"/>
        <w:tabs>
          <w:tab w:leader="none" w:pos="920" w:val="left"/>
          <w:tab w:leader="none" w:pos="2080" w:val="left"/>
        </w:tabs>
        <w:rPr>
          <w:sz w:val="20"/>
          <w:szCs w:val="20"/>
          <w:color w:val="auto"/>
        </w:rPr>
      </w:pPr>
      <w:r>
        <w:rPr>
          <w:rFonts w:ascii="Courier New" w:cs="Courier New" w:eastAsia="Courier New" w:hAnsi="Courier New"/>
          <w:sz w:val="18"/>
          <w:szCs w:val="18"/>
          <w:color w:val="auto"/>
        </w:rPr>
        <w:t>Chief</w:t>
        <w:tab/>
        <w:t>Financial</w:t>
      </w:r>
      <w:r>
        <w:rPr>
          <w:sz w:val="20"/>
          <w:szCs w:val="20"/>
          <w:color w:val="auto"/>
        </w:rPr>
        <w:tab/>
      </w:r>
      <w:r>
        <w:rPr>
          <w:rFonts w:ascii="Courier New" w:cs="Courier New" w:eastAsia="Courier New" w:hAnsi="Courier New"/>
          <w:sz w:val="16"/>
          <w:szCs w:val="16"/>
          <w:color w:val="auto"/>
        </w:rPr>
        <w:t>Officer</w:t>
      </w:r>
    </w:p>
    <w:sectPr>
      <w:pgSz w:w="11900" w:h="16838" w:orient="portrait"/>
      <w:cols w:equalWidth="0" w:num="5">
        <w:col w:w="540" w:space="200"/>
        <w:col w:w="960" w:space="200"/>
        <w:col w:w="220" w:space="200"/>
        <w:col w:w="1400" w:space="720"/>
        <w:col w:w="577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2019-12-13T07:45:05Z</dcterms:created>
  <dcterms:modified xsi:type="dcterms:W3CDTF">2019-12-13T07:45:05Z</dcterms:modified>
</cp:coreProperties>
</file>