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
        <w:spacing w:after="0"/>
        <w:rPr>
          <w:sz w:val="20"/>
          <w:szCs w:val="20"/>
          <w:color w:val="auto"/>
        </w:rPr>
      </w:pPr>
      <w:r>
        <w:rPr>
          <w:rFonts w:ascii="Courier New" w:cs="Courier New" w:eastAsia="Courier New" w:hAnsi="Courier New"/>
          <w:sz w:val="16"/>
          <w:szCs w:val="16"/>
          <w:color w:val="auto"/>
        </w:rPr>
        <w:t>1</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Prospectus Supplement</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To Prospectus Dated August 31, 2000</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Pursuant to Rule 424(b)(4)</w:t>
      </w:r>
    </w:p>
    <w:p>
      <w:pPr>
        <w:spacing w:after="0" w:line="13"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Registration No. 333-44572-01</w:t>
      </w:r>
    </w:p>
    <w:p>
      <w:pPr>
        <w:spacing w:after="0" w:line="11"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333-44572</w:t>
      </w:r>
    </w:p>
    <w:p>
      <w:pPr>
        <w:spacing w:after="0" w:line="186" w:lineRule="exact"/>
        <w:rPr>
          <w:sz w:val="24"/>
          <w:szCs w:val="24"/>
          <w:color w:val="auto"/>
        </w:rPr>
      </w:pPr>
    </w:p>
    <w:p>
      <w:pPr>
        <w:sectPr>
          <w:pgSz w:w="11900" w:h="16838" w:orient="portrait"/>
          <w:cols w:equalWidth="0" w:num="2">
            <w:col w:w="3862" w:space="720"/>
            <w:col w:w="6940"/>
          </w:cols>
          <w:pgMar w:left="238" w:top="237" w:right="139" w:bottom="1440" w:gutter="0" w:footer="0" w:header="0"/>
        </w:sectPr>
      </w:pPr>
    </w:p>
    <w:p>
      <w:pPr>
        <w:jc w:val="center"/>
        <w:ind w:right="3898"/>
        <w:spacing w:after="0"/>
        <w:rPr>
          <w:sz w:val="20"/>
          <w:szCs w:val="20"/>
          <w:color w:val="auto"/>
        </w:rPr>
      </w:pPr>
      <w:r>
        <w:rPr>
          <w:rFonts w:ascii="Courier New" w:cs="Courier New" w:eastAsia="Courier New" w:hAnsi="Courier New"/>
          <w:sz w:val="16"/>
          <w:szCs w:val="16"/>
          <w:color w:val="auto"/>
        </w:rPr>
        <w:t>TEXAS INSTRUMENTS TUCSON CORPORATION</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(FORMERLY KNOWN AS BURR-BROWN CORPORATION)</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$250,000,000</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4 1/4% CONVERTIBLE SUBORDINATED NOTES DUE 2007</w:t>
      </w:r>
    </w:p>
    <w:p>
      <w:pPr>
        <w:spacing w:after="0" w:line="186"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TEXAS INSTRUMENTS INCORPORATED</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5,624,784 SHARES OF COMMON STOCK</w:t>
      </w:r>
    </w:p>
    <w:p>
      <w:pPr>
        <w:spacing w:after="0" w:line="186" w:lineRule="exact"/>
        <w:rPr>
          <w:sz w:val="24"/>
          <w:szCs w:val="24"/>
          <w:color w:val="auto"/>
        </w:rPr>
      </w:pPr>
    </w:p>
    <w:p>
      <w:pPr>
        <w:ind w:left="324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 w:right="3900" w:firstLine="477"/>
        <w:spacing w:after="0" w:line="242" w:lineRule="auto"/>
        <w:rPr>
          <w:sz w:val="20"/>
          <w:szCs w:val="20"/>
          <w:color w:val="auto"/>
        </w:rPr>
      </w:pPr>
      <w:r>
        <w:rPr>
          <w:rFonts w:ascii="Courier New" w:cs="Courier New" w:eastAsia="Courier New" w:hAnsi="Courier New"/>
          <w:sz w:val="16"/>
          <w:szCs w:val="16"/>
          <w:color w:val="auto"/>
        </w:rPr>
        <w:t>This prospectus supplement amends and supplements, and should be read in conjunction with, the prospectus, dated August 31, 2000 of Texas Instruments Tucson Corporation and Texas Instruments Incorporated relating to the offering from time to time by certain selling securityholders of (i) up to $250.0 million aggregate principal amount of 4 1/4% Convertible Subordinated Notes Due 2007 of TI Tucson, and (ii) up to 5,624,784 shares of Texas Instruments common stock, par value $1.00 per share, issuable upon conversion of the notes.</w:t>
      </w:r>
    </w:p>
    <w:p>
      <w:pPr>
        <w:spacing w:after="0" w:line="185"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CHANGE IN SELLING SECURITYHOLDER INFORMATION</w:t>
      </w:r>
    </w:p>
    <w:p>
      <w:pPr>
        <w:spacing w:after="0" w:line="188" w:lineRule="exact"/>
        <w:rPr>
          <w:sz w:val="24"/>
          <w:szCs w:val="24"/>
          <w:color w:val="auto"/>
        </w:rPr>
      </w:pPr>
    </w:p>
    <w:p>
      <w:pPr>
        <w:ind w:left="2" w:right="4080" w:firstLine="477"/>
        <w:spacing w:after="0" w:line="241" w:lineRule="auto"/>
        <w:rPr>
          <w:sz w:val="20"/>
          <w:szCs w:val="20"/>
          <w:color w:val="auto"/>
        </w:rPr>
      </w:pPr>
      <w:r>
        <w:rPr>
          <w:rFonts w:ascii="Courier New" w:cs="Courier New" w:eastAsia="Courier New" w:hAnsi="Courier New"/>
          <w:sz w:val="16"/>
          <w:szCs w:val="16"/>
          <w:color w:val="auto"/>
        </w:rPr>
        <w:t>The table below sets forth information as of the date hereof concerning beneficial ownership of the notes of the selling securityholders listed below. All information concerning beneficial ownership has been furnished by the selling securityholders.</w:t>
      </w:r>
    </w:p>
    <w:p>
      <w:pPr>
        <w:spacing w:after="0" w:line="200" w:lineRule="exact"/>
        <w:rPr>
          <w:sz w:val="24"/>
          <w:szCs w:val="24"/>
          <w:color w:val="auto"/>
        </w:rPr>
      </w:pPr>
    </w:p>
    <w:p>
      <w:pPr>
        <w:spacing w:after="0" w:line="353"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5060" w:type="dxa"/>
            <w:vAlign w:val="bottom"/>
          </w:tcPr>
          <w:p>
            <w:pPr>
              <w:spacing w:after="0"/>
              <w:rPr>
                <w:sz w:val="15"/>
                <w:szCs w:val="15"/>
                <w:color w:val="auto"/>
              </w:rPr>
            </w:pPr>
          </w:p>
        </w:tc>
        <w:tc>
          <w:tcPr>
            <w:tcW w:w="148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PRINCIPAL</w:t>
            </w:r>
          </w:p>
        </w:tc>
        <w:tc>
          <w:tcPr>
            <w:tcW w:w="1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3"/>
        </w:trPr>
        <w:tc>
          <w:tcPr>
            <w:tcW w:w="5060" w:type="dxa"/>
            <w:vAlign w:val="bottom"/>
          </w:tcPr>
          <w:p>
            <w:pPr>
              <w:spacing w:after="0"/>
              <w:rPr>
                <w:sz w:val="15"/>
                <w:szCs w:val="15"/>
                <w:color w:val="auto"/>
              </w:rPr>
            </w:pPr>
          </w:p>
        </w:tc>
        <w:tc>
          <w:tcPr>
            <w:tcW w:w="148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AMOUNT AT</w:t>
            </w:r>
          </w:p>
        </w:tc>
        <w:tc>
          <w:tcPr>
            <w:tcW w:w="1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3"/>
        </w:trPr>
        <w:tc>
          <w:tcPr>
            <w:tcW w:w="506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MATURITY OF</w:t>
            </w:r>
          </w:p>
        </w:tc>
        <w:tc>
          <w:tcPr>
            <w:tcW w:w="1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3"/>
        </w:trPr>
        <w:tc>
          <w:tcPr>
            <w:tcW w:w="5060" w:type="dxa"/>
            <w:vAlign w:val="bottom"/>
          </w:tcPr>
          <w:p>
            <w:pPr>
              <w:spacing w:after="0"/>
              <w:rPr>
                <w:sz w:val="15"/>
                <w:szCs w:val="15"/>
                <w:color w:val="auto"/>
              </w:rPr>
            </w:pPr>
          </w:p>
        </w:tc>
        <w:tc>
          <w:tcPr>
            <w:tcW w:w="14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NOTES</w:t>
            </w:r>
          </w:p>
        </w:tc>
        <w:tc>
          <w:tcPr>
            <w:tcW w:w="1560" w:type="dxa"/>
            <w:vAlign w:val="bottom"/>
          </w:tcPr>
          <w:p>
            <w:pPr>
              <w:spacing w:after="0"/>
              <w:rPr>
                <w:sz w:val="15"/>
                <w:szCs w:val="15"/>
                <w:color w:val="auto"/>
              </w:rPr>
            </w:pPr>
          </w:p>
        </w:tc>
        <w:tc>
          <w:tcPr>
            <w:tcW w:w="16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SHARES OF</w:t>
            </w:r>
          </w:p>
        </w:tc>
        <w:tc>
          <w:tcPr>
            <w:tcW w:w="1740" w:type="dxa"/>
            <w:vAlign w:val="bottom"/>
          </w:tcPr>
          <w:p>
            <w:pPr>
              <w:spacing w:after="0"/>
              <w:rPr>
                <w:sz w:val="15"/>
                <w:szCs w:val="15"/>
                <w:color w:val="auto"/>
              </w:rPr>
            </w:pPr>
          </w:p>
        </w:tc>
      </w:tr>
      <w:tr>
        <w:trPr>
          <w:trHeight w:val="183"/>
        </w:trPr>
        <w:tc>
          <w:tcPr>
            <w:tcW w:w="506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BENEFICIALLY</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PERCENTAGE OF</w:t>
            </w:r>
          </w:p>
        </w:tc>
        <w:tc>
          <w:tcPr>
            <w:tcW w:w="16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COMMON STOCK</w:t>
            </w:r>
          </w:p>
        </w:tc>
        <w:tc>
          <w:tcPr>
            <w:tcW w:w="17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PERCENTAGE OF</w:t>
            </w:r>
          </w:p>
        </w:tc>
      </w:tr>
      <w:tr>
        <w:trPr>
          <w:trHeight w:val="183"/>
        </w:trPr>
        <w:tc>
          <w:tcPr>
            <w:tcW w:w="506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w w:val="95"/>
              </w:rPr>
              <w:t>OWNED</w:t>
            </w:r>
          </w:p>
        </w:tc>
        <w:tc>
          <w:tcPr>
            <w:tcW w:w="9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THAT</w:t>
            </w:r>
          </w:p>
        </w:tc>
        <w:tc>
          <w:tcPr>
            <w:tcW w:w="1560" w:type="dxa"/>
            <w:vAlign w:val="bottom"/>
          </w:tcPr>
          <w:p>
            <w:pPr>
              <w:jc w:val="center"/>
              <w:ind w:right="361"/>
              <w:spacing w:after="0"/>
              <w:rPr>
                <w:sz w:val="20"/>
                <w:szCs w:val="20"/>
                <w:color w:val="auto"/>
              </w:rPr>
            </w:pPr>
            <w:r>
              <w:rPr>
                <w:rFonts w:ascii="Courier New" w:cs="Courier New" w:eastAsia="Courier New" w:hAnsi="Courier New"/>
                <w:sz w:val="16"/>
                <w:szCs w:val="16"/>
                <w:color w:val="auto"/>
                <w:w w:val="99"/>
              </w:rPr>
              <w:t>NOTES</w:t>
            </w:r>
          </w:p>
        </w:tc>
        <w:tc>
          <w:tcPr>
            <w:tcW w:w="16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THAT MAY</w:t>
            </w:r>
          </w:p>
        </w:tc>
        <w:tc>
          <w:tcPr>
            <w:tcW w:w="17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NAME OF SELLING SECURITYHOLDER</w:t>
            </w:r>
          </w:p>
        </w:tc>
        <w:tc>
          <w:tcPr>
            <w:tcW w:w="14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MAY BE SOLD</w:t>
            </w:r>
          </w:p>
        </w:tc>
        <w:tc>
          <w:tcPr>
            <w:tcW w:w="1560" w:type="dxa"/>
            <w:vAlign w:val="bottom"/>
          </w:tcPr>
          <w:p>
            <w:pPr>
              <w:jc w:val="center"/>
              <w:ind w:right="361"/>
              <w:spacing w:after="0"/>
              <w:rPr>
                <w:sz w:val="20"/>
                <w:szCs w:val="20"/>
                <w:color w:val="auto"/>
              </w:rPr>
            </w:pPr>
            <w:r>
              <w:rPr>
                <w:rFonts w:ascii="Courier New" w:cs="Courier New" w:eastAsia="Courier New" w:hAnsi="Courier New"/>
                <w:sz w:val="16"/>
                <w:szCs w:val="16"/>
                <w:color w:val="auto"/>
                <w:w w:val="98"/>
              </w:rPr>
              <w:t>OUTSTANDING</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BE SOLD(1)</w:t>
            </w:r>
          </w:p>
        </w:tc>
        <w:tc>
          <w:tcPr>
            <w:tcW w:w="17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OUTSTANDING(2)</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5060" w:type="dxa"/>
            <w:vAlign w:val="bottom"/>
          </w:tcPr>
          <w:p>
            <w:pPr>
              <w:spacing w:after="0"/>
              <w:rPr>
                <w:sz w:val="20"/>
                <w:szCs w:val="20"/>
                <w:color w:val="auto"/>
              </w:rPr>
            </w:pPr>
            <w:r>
              <w:rPr>
                <w:rFonts w:ascii="Courier New" w:cs="Courier New" w:eastAsia="Courier New" w:hAnsi="Courier New"/>
                <w:sz w:val="16"/>
                <w:szCs w:val="16"/>
                <w:color w:val="auto"/>
              </w:rPr>
              <w:t>Museum of Fine Arts, Boston.........................</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18,000</w:t>
            </w:r>
          </w:p>
        </w:tc>
        <w:tc>
          <w:tcPr>
            <w:tcW w:w="1560" w:type="dxa"/>
            <w:vAlign w:val="bottom"/>
          </w:tcPr>
          <w:p>
            <w:pPr>
              <w:jc w:val="center"/>
              <w:ind w:right="3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404</w:t>
            </w:r>
          </w:p>
        </w:tc>
        <w:tc>
          <w:tcPr>
            <w:tcW w:w="174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Parker-Hannifin Corporation.........................</w:t>
            </w:r>
          </w:p>
        </w:tc>
        <w:tc>
          <w:tcPr>
            <w:tcW w:w="560" w:type="dxa"/>
            <w:vAlign w:val="bottom"/>
          </w:tcPr>
          <w:p>
            <w:pPr>
              <w:spacing w:after="0"/>
              <w:rPr>
                <w:sz w:val="15"/>
                <w:szCs w:val="15"/>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32,000</w:t>
            </w:r>
          </w:p>
        </w:tc>
        <w:tc>
          <w:tcPr>
            <w:tcW w:w="1560" w:type="dxa"/>
            <w:vAlign w:val="bottom"/>
          </w:tcPr>
          <w:p>
            <w:pPr>
              <w:jc w:val="center"/>
              <w:ind w:right="3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719</w:t>
            </w:r>
          </w:p>
        </w:tc>
        <w:tc>
          <w:tcPr>
            <w:tcW w:w="174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Putnam Asset Allocation Funds - Balanced Portfolio..</w:t>
            </w:r>
          </w:p>
        </w:tc>
        <w:tc>
          <w:tcPr>
            <w:tcW w:w="560" w:type="dxa"/>
            <w:vAlign w:val="bottom"/>
          </w:tcPr>
          <w:p>
            <w:pPr>
              <w:spacing w:after="0"/>
              <w:rPr>
                <w:sz w:val="15"/>
                <w:szCs w:val="15"/>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135,000</w:t>
            </w:r>
          </w:p>
        </w:tc>
        <w:tc>
          <w:tcPr>
            <w:tcW w:w="1560" w:type="dxa"/>
            <w:vAlign w:val="bottom"/>
          </w:tcPr>
          <w:p>
            <w:pPr>
              <w:jc w:val="center"/>
              <w:ind w:right="3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3,037</w:t>
            </w:r>
          </w:p>
        </w:tc>
        <w:tc>
          <w:tcPr>
            <w:tcW w:w="174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Putnam Asset Allocation Funds - Conservative</w:t>
            </w:r>
          </w:p>
        </w:tc>
        <w:tc>
          <w:tcPr>
            <w:tcW w:w="560" w:type="dxa"/>
            <w:vAlign w:val="bottom"/>
          </w:tcPr>
          <w:p>
            <w:pPr>
              <w:spacing w:after="0"/>
              <w:rPr>
                <w:sz w:val="15"/>
                <w:szCs w:val="15"/>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85,000</w:t>
            </w:r>
          </w:p>
        </w:tc>
        <w:tc>
          <w:tcPr>
            <w:tcW w:w="1560" w:type="dxa"/>
            <w:vAlign w:val="bottom"/>
          </w:tcPr>
          <w:p>
            <w:pPr>
              <w:jc w:val="center"/>
              <w:ind w:right="3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1,912</w:t>
            </w:r>
          </w:p>
        </w:tc>
        <w:tc>
          <w:tcPr>
            <w:tcW w:w="174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Portfolio...........................................</w:t>
            </w: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Putnam Convertible Income-Growth Trust..............</w:t>
            </w: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1,200,000</w:t>
            </w:r>
          </w:p>
        </w:tc>
        <w:tc>
          <w:tcPr>
            <w:tcW w:w="1560" w:type="dxa"/>
            <w:vAlign w:val="bottom"/>
          </w:tcPr>
          <w:p>
            <w:pPr>
              <w:jc w:val="center"/>
              <w:ind w:right="3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26,996</w:t>
            </w:r>
          </w:p>
        </w:tc>
        <w:tc>
          <w:tcPr>
            <w:tcW w:w="174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Putnam Convertible Opportunities and Income Trust...</w:t>
            </w:r>
          </w:p>
        </w:tc>
        <w:tc>
          <w:tcPr>
            <w:tcW w:w="560" w:type="dxa"/>
            <w:vAlign w:val="bottom"/>
          </w:tcPr>
          <w:p>
            <w:pPr>
              <w:spacing w:after="0"/>
              <w:rPr>
                <w:sz w:val="15"/>
                <w:szCs w:val="15"/>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46,000</w:t>
            </w:r>
          </w:p>
        </w:tc>
        <w:tc>
          <w:tcPr>
            <w:tcW w:w="1560" w:type="dxa"/>
            <w:vAlign w:val="bottom"/>
          </w:tcPr>
          <w:p>
            <w:pPr>
              <w:jc w:val="center"/>
              <w:ind w:right="3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1,034</w:t>
            </w:r>
          </w:p>
        </w:tc>
        <w:tc>
          <w:tcPr>
            <w:tcW w:w="174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ProMutual...........................................</w:t>
            </w:r>
          </w:p>
        </w:tc>
        <w:tc>
          <w:tcPr>
            <w:tcW w:w="560" w:type="dxa"/>
            <w:vAlign w:val="bottom"/>
          </w:tcPr>
          <w:p>
            <w:pPr>
              <w:spacing w:after="0"/>
              <w:rPr>
                <w:sz w:val="15"/>
                <w:szCs w:val="15"/>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68,000</w:t>
            </w:r>
          </w:p>
        </w:tc>
        <w:tc>
          <w:tcPr>
            <w:tcW w:w="1560" w:type="dxa"/>
            <w:vAlign w:val="bottom"/>
          </w:tcPr>
          <w:p>
            <w:pPr>
              <w:jc w:val="center"/>
              <w:ind w:right="3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1,529</w:t>
            </w:r>
          </w:p>
        </w:tc>
        <w:tc>
          <w:tcPr>
            <w:tcW w:w="174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University of Rochester.............................</w:t>
            </w:r>
          </w:p>
        </w:tc>
        <w:tc>
          <w:tcPr>
            <w:tcW w:w="560" w:type="dxa"/>
            <w:vAlign w:val="bottom"/>
          </w:tcPr>
          <w:p>
            <w:pPr>
              <w:spacing w:after="0"/>
              <w:rPr>
                <w:sz w:val="15"/>
                <w:szCs w:val="15"/>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17,000</w:t>
            </w:r>
          </w:p>
        </w:tc>
        <w:tc>
          <w:tcPr>
            <w:tcW w:w="1560" w:type="dxa"/>
            <w:vAlign w:val="bottom"/>
          </w:tcPr>
          <w:p>
            <w:pPr>
              <w:jc w:val="center"/>
              <w:ind w:right="3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382</w:t>
            </w:r>
          </w:p>
        </w:tc>
        <w:tc>
          <w:tcPr>
            <w:tcW w:w="174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Less than 1%</w:t>
      </w:r>
    </w:p>
    <w:p>
      <w:pPr>
        <w:spacing w:after="0" w:line="188" w:lineRule="exact"/>
        <w:rPr>
          <w:sz w:val="24"/>
          <w:szCs w:val="24"/>
          <w:color w:val="auto"/>
        </w:rPr>
      </w:pPr>
    </w:p>
    <w:p>
      <w:pPr>
        <w:ind w:left="482" w:right="4180" w:hanging="482"/>
        <w:spacing w:after="0" w:line="242" w:lineRule="auto"/>
        <w:tabs>
          <w:tab w:leader="none" w:pos="4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a conversion price of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87" w:lineRule="exact"/>
        <w:rPr>
          <w:rFonts w:ascii="Courier New" w:cs="Courier New" w:eastAsia="Courier New" w:hAnsi="Courier New"/>
          <w:sz w:val="16"/>
          <w:szCs w:val="16"/>
          <w:color w:val="auto"/>
        </w:rPr>
      </w:pPr>
    </w:p>
    <w:p>
      <w:pPr>
        <w:ind w:left="482" w:right="3900" w:hanging="482"/>
        <w:spacing w:after="0" w:line="241" w:lineRule="auto"/>
        <w:tabs>
          <w:tab w:leader="none" w:pos="4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Securities and Exchange Act using 1,729,897,949 shares of Texas Instruments common stock issued and outstanding as of September 30, 2000. Assumes the number of shares of Texas Instruments common stock issuable upon conversion of</w:t>
      </w:r>
    </w:p>
    <w:p>
      <w:pPr>
        <w:sectPr>
          <w:pgSz w:w="11900" w:h="16838" w:orient="portrait"/>
          <w:cols w:equalWidth="0" w:num="1">
            <w:col w:w="11522"/>
          </w:cols>
          <w:pgMar w:left="238" w:top="237" w:right="139"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480" w:right="2779"/>
        <w:spacing w:after="0" w:line="239" w:lineRule="auto"/>
        <w:rPr>
          <w:sz w:val="20"/>
          <w:szCs w:val="20"/>
          <w:color w:val="auto"/>
        </w:rPr>
      </w:pPr>
      <w:r>
        <w:rPr>
          <w:rFonts w:ascii="Courier New" w:cs="Courier New" w:eastAsia="Courier New" w:hAnsi="Courier New"/>
          <w:sz w:val="16"/>
          <w:szCs w:val="16"/>
          <w:color w:val="auto"/>
        </w:rPr>
        <w:t>all of that particular holder's notes are outstanding. However, this does not include the conversion of any other holder's notes.</w:t>
      </w:r>
    </w:p>
    <w:p>
      <w:pPr>
        <w:spacing w:after="0" w:line="189"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THE SECURITIES OFFERED HEREBY INVOLVE A HIGH DEGREE OF RISK. SEE "RISK FACTORS" BEGINNING ON PAGE 4 OF THE PROSPECTUS.</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The date of this Prospectus Supplement is October 6, 2000.</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sectPr>
      <w:pgSz w:w="11900" w:h="16838" w:orient="portrait"/>
      <w:cols w:equalWidth="0" w:num="1">
        <w:col w:w="10219"/>
      </w:cols>
      <w:pgMar w:left="24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2019-12-16T14:03:32Z</dcterms:created>
  <dcterms:modified xsi:type="dcterms:W3CDTF">2019-12-16T14:03:32Z</dcterms:modified>
</cp:coreProperties>
</file>