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10/22/2014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right"/>
              <w:ind w:right="92"/>
              <w:spacing w:after="0"/>
              <w:rPr>
                <w:sz w:val="20"/>
                <w:szCs w:val="20"/>
                <w:color w:val="auto"/>
              </w:rPr>
            </w:pPr>
            <w:r>
              <w:rPr>
                <w:rFonts w:ascii="Arial" w:cs="Arial" w:eastAsia="Arial" w:hAnsi="Arial"/>
                <w:sz w:val="18"/>
                <w:szCs w:val="18"/>
                <w:color w:val="0000FF"/>
              </w:rPr>
              <w:t>10/22/2014</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ind w:left="220"/>
              <w:spacing w:after="0"/>
              <w:rPr>
                <w:sz w:val="20"/>
                <w:szCs w:val="20"/>
                <w:color w:val="auto"/>
              </w:rPr>
            </w:pPr>
            <w:r>
              <w:rPr>
                <w:rFonts w:ascii="Arial" w:cs="Arial" w:eastAsia="Arial" w:hAnsi="Arial"/>
                <w:sz w:val="18"/>
                <w:szCs w:val="18"/>
                <w:color w:val="0000FF"/>
              </w:rPr>
              <w:t>2,783</w:t>
            </w:r>
          </w:p>
        </w:tc>
        <w:tc>
          <w:tcPr>
            <w:tcW w:w="560" w:type="dxa"/>
            <w:vAlign w:val="bottom"/>
          </w:tcPr>
          <w:p>
            <w:pPr>
              <w:ind w:left="28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6"/>
              </w:rPr>
              <w:t>351,916</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2,009.42</w:t>
            </w:r>
            <w:r>
              <w:rPr>
                <w:rFonts w:ascii="Arial" w:cs="Arial" w:eastAsia="Arial" w:hAnsi="Arial"/>
                <w:sz w:val="22"/>
                <w:szCs w:val="22"/>
                <w:color w:val="008000"/>
                <w:w w:val="84"/>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2"/>
              </w:rPr>
              <w:t>42.88</w:t>
            </w:r>
            <w:r>
              <w:rPr>
                <w:rFonts w:ascii="Arial" w:cs="Arial" w:eastAsia="Arial" w:hAnsi="Arial"/>
                <w:sz w:val="22"/>
                <w:szCs w:val="22"/>
                <w:color w:val="008000"/>
                <w:w w:val="82"/>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9-30-2014. (Interests in this account are denominated in units. Consequently, share amount shown is an estimate.) This statement does not include changes in beneficial ownership of shares held in such account occurring after 9-30-2014 that are eligible for deferred reporting on Form 5.</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9-30-2014. (Interests in this account are denominated in units. Consequently, share amount shown is an estimate.) This statement does not include changes in beneficial ownership of shares held in this account occurring after 9-30-2014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10/27/2014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2019-12-17T03:15:13Z</dcterms:created>
  <dcterms:modified xsi:type="dcterms:W3CDTF">2019-12-17T03:15:13Z</dcterms:modified>
</cp:coreProperties>
</file>