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685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6852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3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01/29/2009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39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39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01/29/2009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31,667</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164,487</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01/29/2009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(2)</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31,667</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196,154</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1,815.28</w:t>
            </w:r>
            <w:r>
              <w:rPr>
                <w:rFonts w:ascii="Arial" w:cs="Arial" w:eastAsia="Arial" w:hAnsi="Arial"/>
                <w:sz w:val="22"/>
                <w:szCs w:val="22"/>
                <w:color w:val="008000"/>
                <w:w w:val="90"/>
                <w:vertAlign w:val="superscript"/>
              </w:rPr>
              <w:t>(3)</w:t>
            </w:r>
          </w:p>
        </w:tc>
        <w:tc>
          <w:tcPr>
            <w:tcW w:w="980" w:type="dxa"/>
            <w:vAlign w:val="bottom"/>
          </w:tcPr>
          <w:p>
            <w:pPr>
              <w:jc w:val="center"/>
              <w:ind w:left="6"/>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38.74</w:t>
            </w:r>
            <w:r>
              <w:rPr>
                <w:rFonts w:ascii="Arial" w:cs="Arial" w:eastAsia="Arial" w:hAnsi="Arial"/>
                <w:sz w:val="22"/>
                <w:szCs w:val="22"/>
                <w:color w:val="008000"/>
                <w:w w:val="85"/>
                <w:vertAlign w:val="superscript"/>
              </w:rPr>
              <w:t>(4)</w:t>
            </w:r>
          </w:p>
        </w:tc>
        <w:tc>
          <w:tcPr>
            <w:tcW w:w="980" w:type="dxa"/>
            <w:vAlign w:val="bottom"/>
          </w:tcPr>
          <w:p>
            <w:pPr>
              <w:jc w:val="center"/>
              <w:ind w:left="6"/>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01/29/2009</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95,000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95,000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95,000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01/29/2009</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95,000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95,000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95,000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award of restricted stock units pursuant to 2000 Long Term Incentive Plan.</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w:t>
      </w:r>
    </w:p>
    <w:p>
      <w:pPr>
        <w:spacing w:after="0" w:line="9"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12-31-08. (Interests in this account are denominated in units. Consequently, share amount shown is an estimate.) This statement does not include changes in beneficial ownership of shares held in this account occurring after 12-31-08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option grant; becomes exercisable in four equal annual installments beginning on January 29, 2010.</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01/30/2009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3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2019-12-16T23:02:55Z</dcterms:created>
  <dcterms:modified xsi:type="dcterms:W3CDTF">2019-12-16T23:02:55Z</dcterms:modified>
</cp:coreProperties>
</file>