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18,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9"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364"/>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001-03761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75-0289970</w:t>
      </w:r>
    </w:p>
    <w:p>
      <w:pPr>
        <w:spacing w:after="0" w:line="31" w:lineRule="exact"/>
        <w:rPr>
          <w:sz w:val="24"/>
          <w:szCs w:val="24"/>
          <w:color w:val="auto"/>
        </w:rPr>
      </w:pPr>
    </w:p>
    <w:p>
      <w:pPr>
        <w:sectPr>
          <w:pgSz w:w="11900" w:h="16838" w:orient="portrait"/>
          <w:cols w:equalWidth="0" w:num="3">
            <w:col w:w="4504" w:space="720"/>
            <w:col w:w="2880" w:space="720"/>
            <w:col w:w="2200"/>
          </w:cols>
          <w:pgMar w:left="436" w:top="449" w:right="439" w:bottom="1440" w:gutter="0" w:footer="0" w:header="0"/>
          <w:type w:val="continuous"/>
        </w:sectPr>
      </w:pPr>
    </w:p>
    <w:p>
      <w:pPr>
        <w:spacing w:after="0" w:line="19" w:lineRule="exact"/>
        <w:rPr>
          <w:sz w:val="24"/>
          <w:szCs w:val="24"/>
          <w:color w:val="auto"/>
        </w:rPr>
      </w:pPr>
    </w:p>
    <w:p>
      <w:pPr>
        <w:jc w:val="center"/>
        <w:ind w:right="756"/>
        <w:spacing w:after="0"/>
        <w:rPr>
          <w:sz w:val="20"/>
          <w:szCs w:val="20"/>
          <w:color w:val="auto"/>
        </w:rPr>
      </w:pPr>
      <w:r>
        <w:rPr>
          <w:rFonts w:ascii="Arial" w:cs="Arial" w:eastAsia="Arial" w:hAnsi="Arial"/>
          <w:sz w:val="12"/>
          <w:szCs w:val="12"/>
          <w:b w:val="1"/>
          <w:bCs w:val="1"/>
          <w:color w:val="auto"/>
        </w:rPr>
        <w:t>(State or other jurisdiction</w:t>
      </w:r>
    </w:p>
    <w:p>
      <w:pPr>
        <w:spacing w:after="0" w:line="4" w:lineRule="exact"/>
        <w:rPr>
          <w:sz w:val="24"/>
          <w:szCs w:val="24"/>
          <w:color w:val="auto"/>
        </w:rPr>
      </w:pP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ind w:left="20"/>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4" w:space="720"/>
            <w:col w:w="2760" w:space="720"/>
            <w:col w:w="2320"/>
          </w:cols>
          <w:pgMar w:left="436" w:top="449" w:right="439" w:bottom="1440" w:gutter="0" w:footer="0" w:header="0"/>
          <w:type w:val="continuous"/>
        </w:sectPr>
      </w:pPr>
    </w:p>
    <w:p>
      <w:pPr>
        <w:spacing w:after="0" w:line="32" w:lineRule="exact"/>
        <w:rPr>
          <w:sz w:val="24"/>
          <w:szCs w:val="24"/>
          <w:color w:val="auto"/>
        </w:rPr>
      </w:pPr>
    </w:p>
    <w:p>
      <w:pPr>
        <w:ind w:left="4584"/>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ind w:left="4544"/>
        <w:spacing w:after="0"/>
        <w:rPr>
          <w:sz w:val="20"/>
          <w:szCs w:val="20"/>
          <w:color w:val="auto"/>
        </w:rPr>
      </w:pPr>
      <w:r>
        <w:rPr>
          <w:rFonts w:ascii="Arial" w:cs="Arial" w:eastAsia="Arial" w:hAnsi="Arial"/>
          <w:sz w:val="18"/>
          <w:szCs w:val="18"/>
          <w:b w:val="1"/>
          <w:bCs w:val="1"/>
          <w:color w:val="auto"/>
        </w:rPr>
        <w:t>DALLAS, TEXAS 75243</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(214) 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254635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9"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0"/>
              </w:rPr>
              <w:t>Common Stock, par value $1.00</w:t>
            </w:r>
          </w:p>
        </w:tc>
        <w:tc>
          <w:tcPr>
            <w:tcW w:w="1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rPr>
              <w:t>TXN</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bl>
    <w:p>
      <w:pPr>
        <w:spacing w:after="0" w:line="187" w:lineRule="exact"/>
        <w:rPr>
          <w:sz w:val="24"/>
          <w:szCs w:val="24"/>
          <w:color w:val="auto"/>
        </w:rPr>
      </w:pPr>
    </w:p>
    <w:p>
      <w:pPr>
        <w:ind w:left="4"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9"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$1,600,000,000 of Notes</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On May 18, 2023, Texas Instruments Incorporated (“Texas Instruments”) consummated the issuance and sale of $200,000,000 aggregate principal amount of its 4.600% Notes due 2028 (the “2028 Notes”), $200,000,000 aggregate principal amount of its 4.900% Notes due 2033 (the “2033 Notes”) and $1,200,000,000 aggregate principal amount of its 5.050% Notes due 2063 (the “2063 Notes” and, together with the 2028 Notes and the 2033 Notes, the “Notes”), pursuant to an underwriting agreement filed herewith as Exhibit 1.1 dated May 11, 2023 among Texas Instruments and J.P. Morgan Securities LLC, Morgan Stanley &amp; Co. LLC and U.S. Bancorp Investments, Inc., as underwriters. The Notes were issued pursuant to an Indenture dated as of May 23, 2011 (the “Indenture”) between Texas Instruments and U.S. Bank Trust Company, National Association, as successor in interest to U.S. Bank National Association, as trustee, and an Officers’ Certificate issued pursuant thereto. The 2028 Notes and the 2033 Notes are a further issuance of, and form a single series with, the $500,000,000 aggregate principal amount of the existing 4.600% Notes due 2028 issued by Texas Instruments on November 18, 2022 and the $750,000,000 aggregate principal amount of the existing 4.900% Notes due 2033 issued by Texas Instruments on March 14, 2023, respectively. The 2063 Notes are a new issuance.</w:t>
      </w:r>
    </w:p>
    <w:p>
      <w:pPr>
        <w:spacing w:after="0" w:line="18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Notes were offered pursuant to Texas Instruments’ Registration Statement on Form S-3 filed on February 4, 2022 (Reg. No. 333-262523), including the prospectus contained therein, and a related preliminary prospectus supplement dated May 11, 2023 and a prospectus supplement dated May 11, 2023.</w:t>
      </w:r>
    </w:p>
    <w:p>
      <w:pPr>
        <w:spacing w:after="0" w:line="18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material terms and conditions of the Notes are set forth in the Indenture filed as Exhibit 4.2 to the Current Report of Texas Instruments on Form 8-K dated May 23, 2011 and the Officers’ Certificate filed herewith as Exhibit 4.1 and incorporated by reference herein.</w:t>
      </w:r>
    </w:p>
    <w:p>
      <w:pPr>
        <w:sectPr>
          <w:pgSz w:w="11900" w:h="16838" w:orient="portrait"/>
          <w:cols w:equalWidth="0" w:num="1">
            <w:col w:w="11000"/>
          </w:cols>
          <w:pgMar w:left="440" w:top="513"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900" w:type="dxa"/>
            <w:vAlign w:val="bottom"/>
            <w:gridSpan w:val="7"/>
          </w:tcPr>
          <w:p>
            <w:pPr>
              <w:ind w:left="3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10760" w:type="dxa"/>
            <w:vAlign w:val="bottom"/>
            <w:gridSpan w:val="9"/>
          </w:tcPr>
          <w:p>
            <w:pPr>
              <w:spacing w:after="0"/>
              <w:rPr>
                <w:sz w:val="20"/>
                <w:szCs w:val="20"/>
                <w:color w:val="auto"/>
              </w:rPr>
            </w:pPr>
            <w:r>
              <w:rPr>
                <w:rFonts w:ascii="Arial" w:cs="Arial" w:eastAsia="Arial" w:hAnsi="Arial"/>
                <w:sz w:val="18"/>
                <w:szCs w:val="18"/>
                <w:color w:val="auto"/>
              </w:rPr>
              <w:t>(d) Exhibits.</w:t>
            </w:r>
          </w:p>
        </w:tc>
      </w:tr>
      <w:tr>
        <w:trPr>
          <w:trHeight w:val="373"/>
        </w:trPr>
        <w:tc>
          <w:tcPr>
            <w:tcW w:w="86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2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167"/>
        </w:trPr>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No.</w:t>
            </w:r>
          </w:p>
        </w:tc>
        <w:tc>
          <w:tcPr>
            <w:tcW w:w="4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Description</w:t>
            </w:r>
          </w:p>
        </w:tc>
        <w:tc>
          <w:tcPr>
            <w:tcW w:w="4480" w:type="dxa"/>
            <w:vAlign w:val="bottom"/>
          </w:tcPr>
          <w:p>
            <w:pPr>
              <w:spacing w:after="0"/>
              <w:rPr>
                <w:sz w:val="14"/>
                <w:szCs w:val="14"/>
                <w:color w:val="auto"/>
              </w:rPr>
            </w:pPr>
          </w:p>
        </w:tc>
      </w:tr>
      <w:tr>
        <w:trPr>
          <w:trHeight w:val="277"/>
        </w:trPr>
        <w:tc>
          <w:tcPr>
            <w:tcW w:w="42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24"/>
                <w:szCs w:val="24"/>
                <w:color w:val="auto"/>
              </w:rPr>
            </w:pPr>
          </w:p>
        </w:tc>
        <w:tc>
          <w:tcPr>
            <w:tcW w:w="99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0"/>
              </w:rPr>
              <w:t>Underwriting Agreement dated May 11, 2023 among Texas Instruments Incorporated and J.P. Morgan Securities LLC, Morgan Stanley &amp;</w:t>
            </w:r>
          </w:p>
        </w:tc>
      </w:tr>
      <w:tr>
        <w:trPr>
          <w:trHeight w:val="196"/>
        </w:trPr>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4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0"/>
              </w:rPr>
              <w:t>Co. LLC and U.S. Bancorp Investments, Inc.</w:t>
            </w:r>
          </w:p>
        </w:tc>
        <w:tc>
          <w:tcPr>
            <w:tcW w:w="6660" w:type="dxa"/>
            <w:vAlign w:val="bottom"/>
            <w:gridSpan w:val="5"/>
          </w:tcPr>
          <w:p>
            <w:pPr>
              <w:spacing w:after="0"/>
              <w:rPr>
                <w:sz w:val="17"/>
                <w:szCs w:val="17"/>
                <w:color w:val="auto"/>
              </w:rPr>
            </w:pPr>
          </w:p>
        </w:tc>
      </w:tr>
      <w:tr>
        <w:trPr>
          <w:trHeight w:val="304"/>
        </w:trPr>
        <w:tc>
          <w:tcPr>
            <w:tcW w:w="420" w:type="dxa"/>
            <w:vAlign w:val="bottom"/>
          </w:tcPr>
          <w:p>
            <w:pPr>
              <w:jc w:val="right"/>
              <w:ind w:right="14"/>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4"/>
                <w:szCs w:val="24"/>
                <w:color w:val="auto"/>
              </w:rPr>
            </w:pPr>
          </w:p>
        </w:tc>
        <w:tc>
          <w:tcPr>
            <w:tcW w:w="9900" w:type="dxa"/>
            <w:vAlign w:val="bottom"/>
            <w:gridSpan w:val="7"/>
          </w:tcPr>
          <w:p>
            <w:pPr>
              <w:spacing w:after="0"/>
              <w:rPr>
                <w:sz w:val="20"/>
                <w:szCs w:val="20"/>
                <w:color w:val="auto"/>
              </w:rPr>
            </w:pPr>
            <w:r>
              <w:rPr>
                <w:rFonts w:ascii="Arial" w:cs="Arial" w:eastAsia="Arial" w:hAnsi="Arial"/>
                <w:sz w:val="18"/>
                <w:szCs w:val="18"/>
                <w:color w:val="0000EE"/>
              </w:rPr>
              <w:t>Officers’ Certificate setting forth the terms of the Notes</w:t>
            </w:r>
          </w:p>
        </w:tc>
      </w:tr>
      <w:tr>
        <w:trPr>
          <w:trHeight w:val="304"/>
        </w:trPr>
        <w:tc>
          <w:tcPr>
            <w:tcW w:w="420" w:type="dxa"/>
            <w:vAlign w:val="bottom"/>
          </w:tcPr>
          <w:p>
            <w:pPr>
              <w:jc w:val="right"/>
              <w:ind w:right="14"/>
              <w:spacing w:after="0"/>
              <w:rPr>
                <w:sz w:val="20"/>
                <w:szCs w:val="20"/>
                <w:color w:val="auto"/>
              </w:rPr>
            </w:pPr>
            <w:r>
              <w:rPr>
                <w:rFonts w:ascii="Arial" w:cs="Arial" w:eastAsia="Arial" w:hAnsi="Arial"/>
                <w:sz w:val="18"/>
                <w:szCs w:val="18"/>
                <w:color w:val="auto"/>
              </w:rPr>
              <w:t>5.1</w:t>
            </w:r>
          </w:p>
        </w:tc>
        <w:tc>
          <w:tcPr>
            <w:tcW w:w="440" w:type="dxa"/>
            <w:vAlign w:val="bottom"/>
          </w:tcPr>
          <w:p>
            <w:pPr>
              <w:spacing w:after="0"/>
              <w:rPr>
                <w:sz w:val="24"/>
                <w:szCs w:val="24"/>
                <w:color w:val="auto"/>
              </w:rPr>
            </w:pPr>
          </w:p>
        </w:tc>
        <w:tc>
          <w:tcPr>
            <w:tcW w:w="398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0000EE"/>
              </w:rPr>
              <w:t>Opinion of Davis Polk &amp; Wardwell LLP</w:t>
            </w:r>
          </w:p>
        </w:tc>
        <w:tc>
          <w:tcPr>
            <w:tcW w:w="5920" w:type="dxa"/>
            <w:vAlign w:val="bottom"/>
            <w:gridSpan w:val="4"/>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5180" w:type="dxa"/>
            <w:vAlign w:val="bottom"/>
            <w:gridSpan w:val="3"/>
          </w:tcPr>
          <w:p>
            <w:pPr>
              <w:spacing w:after="0" w:line="20" w:lineRule="exact"/>
              <w:rPr>
                <w:sz w:val="1"/>
                <w:szCs w:val="1"/>
                <w:color w:val="auto"/>
              </w:rPr>
            </w:pPr>
          </w:p>
        </w:tc>
      </w:tr>
      <w:tr>
        <w:trPr>
          <w:trHeight w:val="304"/>
        </w:trPr>
        <w:tc>
          <w:tcPr>
            <w:tcW w:w="420" w:type="dxa"/>
            <w:vAlign w:val="bottom"/>
          </w:tcPr>
          <w:p>
            <w:pPr>
              <w:jc w:val="right"/>
              <w:ind w:right="14"/>
              <w:spacing w:after="0"/>
              <w:rPr>
                <w:sz w:val="20"/>
                <w:szCs w:val="20"/>
                <w:color w:val="auto"/>
              </w:rPr>
            </w:pPr>
            <w:r>
              <w:rPr>
                <w:rFonts w:ascii="Arial" w:cs="Arial" w:eastAsia="Arial" w:hAnsi="Arial"/>
                <w:sz w:val="18"/>
                <w:szCs w:val="18"/>
                <w:color w:val="auto"/>
                <w:w w:val="85"/>
              </w:rPr>
              <w:t>23.1</w:t>
            </w:r>
          </w:p>
        </w:tc>
        <w:tc>
          <w:tcPr>
            <w:tcW w:w="440" w:type="dxa"/>
            <w:vAlign w:val="bottom"/>
          </w:tcPr>
          <w:p>
            <w:pPr>
              <w:spacing w:after="0"/>
              <w:rPr>
                <w:sz w:val="24"/>
                <w:szCs w:val="24"/>
                <w:color w:val="auto"/>
              </w:rPr>
            </w:pPr>
          </w:p>
        </w:tc>
        <w:tc>
          <w:tcPr>
            <w:tcW w:w="47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3"/>
              </w:rPr>
              <w:t>Consent of Davis Polk &amp; Wardwell LLP (included in Exhibit 5.1)</w:t>
            </w:r>
          </w:p>
        </w:tc>
        <w:tc>
          <w:tcPr>
            <w:tcW w:w="5180" w:type="dxa"/>
            <w:vAlign w:val="bottom"/>
            <w:gridSpan w:val="3"/>
          </w:tcPr>
          <w:p>
            <w:pPr>
              <w:spacing w:after="0"/>
              <w:rPr>
                <w:sz w:val="24"/>
                <w:szCs w:val="24"/>
                <w:color w:val="auto"/>
              </w:rPr>
            </w:pPr>
          </w:p>
        </w:tc>
      </w:tr>
      <w:tr>
        <w:trPr>
          <w:trHeight w:val="345"/>
        </w:trPr>
        <w:tc>
          <w:tcPr>
            <w:tcW w:w="420" w:type="dxa"/>
            <w:vAlign w:val="bottom"/>
          </w:tcPr>
          <w:p>
            <w:pPr>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24"/>
                <w:szCs w:val="24"/>
                <w:color w:val="auto"/>
              </w:rPr>
            </w:pPr>
          </w:p>
        </w:tc>
        <w:tc>
          <w:tcPr>
            <w:tcW w:w="9900" w:type="dxa"/>
            <w:vAlign w:val="bottom"/>
            <w:gridSpan w:val="7"/>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rPr>
          <w:sz w:val="20"/>
          <w:szCs w:val="20"/>
          <w:color w:val="auto"/>
        </w:rPr>
        <w:sectPr>
          <w:pgSz w:w="11900" w:h="16838" w:orient="portrait"/>
          <w:cols w:equalWidth="0" w:num="1">
            <w:col w:w="10760"/>
          </w:cols>
          <w:pgMar w:left="440" w:top="513" w:right="6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p>
    <w:bookmarkStart w:id="3" w:name="page4"/>
    <w:bookmarkEnd w:id="3"/>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TEXAS INSTRUMENTS INCORPORATED</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May 18,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Rafael R. Lizardi</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0320"/>
          </w:cols>
          <w:pgMar w:left="440" w:top="513" w:right="11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11,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60" w:firstLine="440"/>
        <w:spacing w:after="0" w:line="274" w:lineRule="auto"/>
        <w:rPr>
          <w:sz w:val="20"/>
          <w:szCs w:val="20"/>
          <w:color w:val="auto"/>
        </w:rPr>
      </w:pPr>
      <w:r>
        <w:rPr>
          <w:rFonts w:ascii="Arial" w:cs="Arial" w:eastAsia="Arial" w:hAnsi="Arial"/>
          <w:sz w:val="17"/>
          <w:szCs w:val="17"/>
          <w:color w:val="auto"/>
        </w:rPr>
        <w:t>We (the “</w:t>
      </w:r>
      <w:r>
        <w:rPr>
          <w:rFonts w:ascii="Arial" w:cs="Arial" w:eastAsia="Arial" w:hAnsi="Arial"/>
          <w:sz w:val="17"/>
          <w:szCs w:val="17"/>
          <w:b w:val="1"/>
          <w:bCs w:val="1"/>
          <w:color w:val="auto"/>
        </w:rPr>
        <w:t>Underwriters</w:t>
      </w:r>
      <w:r>
        <w:rPr>
          <w:rFonts w:ascii="Arial" w:cs="Arial" w:eastAsia="Arial" w:hAnsi="Arial"/>
          <w:sz w:val="17"/>
          <w:szCs w:val="17"/>
          <w:color w:val="auto"/>
        </w:rPr>
        <w:t>”) understand that Texas Instruments Incorporated,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proposes to issue and sell $200,000,000 principal amount of the 4.600% Notes due 2028 (the “</w:t>
      </w:r>
      <w:r>
        <w:rPr>
          <w:rFonts w:ascii="Arial" w:cs="Arial" w:eastAsia="Arial" w:hAnsi="Arial"/>
          <w:sz w:val="17"/>
          <w:szCs w:val="17"/>
          <w:b w:val="1"/>
          <w:bCs w:val="1"/>
          <w:color w:val="auto"/>
        </w:rPr>
        <w:t>2028 Notes</w:t>
      </w:r>
      <w:r>
        <w:rPr>
          <w:rFonts w:ascii="Arial" w:cs="Arial" w:eastAsia="Arial" w:hAnsi="Arial"/>
          <w:sz w:val="17"/>
          <w:szCs w:val="17"/>
          <w:color w:val="auto"/>
        </w:rPr>
        <w:t>”), $200,000,000 principal amount of the 4.900% Notes due 2033 (the “</w:t>
      </w:r>
      <w:r>
        <w:rPr>
          <w:rFonts w:ascii="Arial" w:cs="Arial" w:eastAsia="Arial" w:hAnsi="Arial"/>
          <w:sz w:val="17"/>
          <w:szCs w:val="17"/>
          <w:b w:val="1"/>
          <w:bCs w:val="1"/>
          <w:color w:val="auto"/>
        </w:rPr>
        <w:t>2033 Notes</w:t>
      </w:r>
      <w:r>
        <w:rPr>
          <w:rFonts w:ascii="Arial" w:cs="Arial" w:eastAsia="Arial" w:hAnsi="Arial"/>
          <w:sz w:val="17"/>
          <w:szCs w:val="17"/>
          <w:color w:val="auto"/>
        </w:rPr>
        <w:t>”) and $1,200,000,000 principal amount of the 5.050% Notes due 2063 (the “</w:t>
      </w:r>
      <w:r>
        <w:rPr>
          <w:rFonts w:ascii="Arial" w:cs="Arial" w:eastAsia="Arial" w:hAnsi="Arial"/>
          <w:sz w:val="17"/>
          <w:szCs w:val="17"/>
          <w:b w:val="1"/>
          <w:bCs w:val="1"/>
          <w:color w:val="auto"/>
        </w:rPr>
        <w:t>2063 Notes</w:t>
      </w:r>
      <w:r>
        <w:rPr>
          <w:rFonts w:ascii="Arial" w:cs="Arial" w:eastAsia="Arial" w:hAnsi="Arial"/>
          <w:sz w:val="17"/>
          <w:szCs w:val="17"/>
          <w:color w:val="auto"/>
        </w:rPr>
        <w:t>” and, together with the 2028 Notes and the 2033 Notes, the “</w:t>
      </w:r>
      <w:r>
        <w:rPr>
          <w:rFonts w:ascii="Arial" w:cs="Arial" w:eastAsia="Arial" w:hAnsi="Arial"/>
          <w:sz w:val="17"/>
          <w:szCs w:val="17"/>
          <w:b w:val="1"/>
          <w:bCs w:val="1"/>
          <w:color w:val="auto"/>
        </w:rPr>
        <w:t>Offered Securities</w:t>
      </w:r>
      <w:r>
        <w:rPr>
          <w:rFonts w:ascii="Arial" w:cs="Arial" w:eastAsia="Arial" w:hAnsi="Arial"/>
          <w:sz w:val="17"/>
          <w:szCs w:val="17"/>
          <w:color w:val="auto"/>
        </w:rPr>
        <w:t>”) identified in Schedule I hereto, as more fully described in the Time of Sale Prospectus (as defined below). The Offered Securities will be issued pursuant to an Indenture dated as of May 23, 2011 (the “</w:t>
      </w:r>
      <w:r>
        <w:rPr>
          <w:rFonts w:ascii="Arial" w:cs="Arial" w:eastAsia="Arial" w:hAnsi="Arial"/>
          <w:sz w:val="17"/>
          <w:szCs w:val="17"/>
          <w:b w:val="1"/>
          <w:bCs w:val="1"/>
          <w:color w:val="auto"/>
        </w:rPr>
        <w:t>Indenture</w:t>
      </w:r>
      <w:r>
        <w:rPr>
          <w:rFonts w:ascii="Arial" w:cs="Arial" w:eastAsia="Arial" w:hAnsi="Arial"/>
          <w:sz w:val="17"/>
          <w:szCs w:val="17"/>
          <w:color w:val="auto"/>
        </w:rPr>
        <w:t>”), between the Company and U.S. Bank Trust Company, National Association, as successor in interest to U.S. Bank National Association, as trustee (the “</w:t>
      </w:r>
      <w:r>
        <w:rPr>
          <w:rFonts w:ascii="Arial" w:cs="Arial" w:eastAsia="Arial" w:hAnsi="Arial"/>
          <w:sz w:val="17"/>
          <w:szCs w:val="17"/>
          <w:b w:val="1"/>
          <w:bCs w:val="1"/>
          <w:color w:val="auto"/>
        </w:rPr>
        <w:t>Trustee</w:t>
      </w:r>
      <w:r>
        <w:rPr>
          <w:rFonts w:ascii="Arial" w:cs="Arial" w:eastAsia="Arial" w:hAnsi="Arial"/>
          <w:sz w:val="17"/>
          <w:szCs w:val="17"/>
          <w:color w:val="auto"/>
        </w:rPr>
        <w:t>”).</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previously issued $500,000,000 aggregate principal amount of its 4.600% Notes due 2028 (the “</w:t>
      </w:r>
      <w:r>
        <w:rPr>
          <w:rFonts w:ascii="Arial" w:cs="Arial" w:eastAsia="Arial" w:hAnsi="Arial"/>
          <w:sz w:val="17"/>
          <w:szCs w:val="17"/>
          <w:b w:val="1"/>
          <w:bCs w:val="1"/>
          <w:color w:val="auto"/>
        </w:rPr>
        <w:t>2028 Existing Notes</w:t>
      </w:r>
      <w:r>
        <w:rPr>
          <w:rFonts w:ascii="Arial" w:cs="Arial" w:eastAsia="Arial" w:hAnsi="Arial"/>
          <w:sz w:val="17"/>
          <w:szCs w:val="17"/>
          <w:color w:val="auto"/>
        </w:rPr>
        <w:t>”) and</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$750,000,000 aggregate principal amount of its 4.900% Notes due 2033 (the “</w:t>
      </w:r>
      <w:r>
        <w:rPr>
          <w:rFonts w:ascii="Arial" w:cs="Arial" w:eastAsia="Arial" w:hAnsi="Arial"/>
          <w:sz w:val="16"/>
          <w:szCs w:val="16"/>
          <w:b w:val="1"/>
          <w:bCs w:val="1"/>
          <w:color w:val="auto"/>
        </w:rPr>
        <w:t>2033 Existing Notes</w:t>
      </w:r>
      <w:r>
        <w:rPr>
          <w:rFonts w:ascii="Arial" w:cs="Arial" w:eastAsia="Arial" w:hAnsi="Arial"/>
          <w:sz w:val="16"/>
          <w:szCs w:val="16"/>
          <w:color w:val="auto"/>
        </w:rPr>
        <w:t>”) under the Indenture. The 2028 Notes and 2033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to be sold by the Company and purchased by the Underwriters pursuant to this Agreement constitute issuances of additional notes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Indenture. Except as otherwise described in the Time of Sale Prospectus, the 2028 Notes will have identical terms to the 2028 Existing Notes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2033 Notes will have identical terms to the 2033 Existing Notes (other than the issue date, price to public and interest accrued prior to the issue date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2028 Notes and 2033 Notes). The 2028 Notes and the 2028 Existing Notes will be treated as a single class of securities for all purposes under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Indenture governing the 2028 Existing Notes, and the 2033 Notes and the 2033 Existing Notes will be treated as a single class of securities for all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purposes under the Indenture governing the 2033 Existing Notes.</w:t>
      </w:r>
    </w:p>
    <w:p>
      <w:pPr>
        <w:spacing w:after="0" w:line="211"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Subject to the terms and conditions set forth herein or incorporated by reference herein, the Company agrees to sell and the Underwriters agree to purchase, severally and not jointly, at the respective purchase prices set forth in Schedule II hereto, the principal amount of the applicable series of the Offered Securities set forth opposite their respective names in Schedule II hereto. For purposes of this Agreement, “</w:t>
      </w:r>
      <w:r>
        <w:rPr>
          <w:rFonts w:ascii="Arial" w:cs="Arial" w:eastAsia="Arial" w:hAnsi="Arial"/>
          <w:sz w:val="18"/>
          <w:szCs w:val="18"/>
          <w:b w:val="1"/>
          <w:bCs w:val="1"/>
          <w:color w:val="auto"/>
        </w:rPr>
        <w:t>Applicable Time</w:t>
      </w:r>
      <w:r>
        <w:rPr>
          <w:rFonts w:ascii="Arial" w:cs="Arial" w:eastAsia="Arial" w:hAnsi="Arial"/>
          <w:sz w:val="18"/>
          <w:szCs w:val="18"/>
          <w:color w:val="auto"/>
        </w:rPr>
        <w:t>” means 4:46 P.M. (New York time) on the date hereof.</w:t>
      </w:r>
    </w:p>
    <w:p>
      <w:pPr>
        <w:spacing w:after="0" w:line="187" w:lineRule="exact"/>
        <w:rPr>
          <w:sz w:val="20"/>
          <w:szCs w:val="20"/>
          <w:color w:val="auto"/>
        </w:rPr>
      </w:pPr>
    </w:p>
    <w:p>
      <w:pPr>
        <w:ind w:right="120" w:firstLine="440"/>
        <w:spacing w:after="0" w:line="275" w:lineRule="auto"/>
        <w:rPr>
          <w:sz w:val="20"/>
          <w:szCs w:val="20"/>
          <w:color w:val="auto"/>
        </w:rPr>
      </w:pPr>
      <w:r>
        <w:rPr>
          <w:rFonts w:ascii="Arial" w:cs="Arial" w:eastAsia="Arial" w:hAnsi="Arial"/>
          <w:sz w:val="17"/>
          <w:szCs w:val="17"/>
          <w:color w:val="auto"/>
        </w:rPr>
        <w:t>Payment of the respective purchase prices for the applicable series of the Offered Securities shall be made to the Company by Federal funds wire transfer against delivery of such series of the Offered Securities in book-entry form to the Manager (as defined below) through the facilities of The Depository Trust Company for the respective accounts of the Underwriters. Such payment and delivery and all documents with respect to the purchase of the Offered Securities shall be delivered by the parties at the offices of counsel for the Underwriters at 9:00 A.M. (New York time) on May 18, 2023, or at such other time, not later than May 28, 2023, as shall be designated by the Manager.</w:t>
      </w:r>
    </w:p>
    <w:p>
      <w:pPr>
        <w:sectPr>
          <w:pgSz w:w="11900" w:h="16838" w:orient="portrait"/>
          <w:cols w:equalWidth="0" w:num="1">
            <w:col w:w="11020"/>
          </w:cols>
          <w:pgMar w:left="440" w:top="121" w:right="439" w:bottom="1440" w:gutter="0" w:footer="0" w:header="0"/>
        </w:sectPr>
      </w:pPr>
    </w:p>
    <w:bookmarkStart w:id="5" w:name="page6"/>
    <w:bookmarkEnd w:id="5"/>
    <w:p>
      <w:pPr>
        <w:ind w:left="4" w:firstLine="44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All the provisions contained in the document entitled Texas Instruments Incorporated Underwriting Agreement Standard Provisions dated February 22, 2019 (the “</w:t>
      </w:r>
      <w:r>
        <w:rPr>
          <w:rFonts w:ascii="Arial" w:cs="Arial" w:eastAsia="Arial" w:hAnsi="Arial"/>
          <w:sz w:val="16"/>
          <w:szCs w:val="16"/>
          <w:b w:val="1"/>
          <w:bCs w:val="1"/>
          <w:color w:val="auto"/>
        </w:rPr>
        <w:t>Standard Provisions</w:t>
      </w:r>
      <w:r>
        <w:rPr>
          <w:rFonts w:ascii="Arial" w:cs="Arial" w:eastAsia="Arial" w:hAnsi="Arial"/>
          <w:sz w:val="16"/>
          <w:szCs w:val="16"/>
          <w:color w:val="auto"/>
        </w:rPr>
        <w:t>”), a copy of which is attached hereto, are herein incorporated by reference in their entirety and shall be deemed to be a part of this Agreement to the same extent as if such provisions had been set forth in full herein, except that (i) if any term defined in the Standard Provisions is otherwise defined herein, the definition set forth herein shall control, (ii) all references in the Standard Provisions to a type of security that is not an Offered Security and the related representations, warranties, opinions given or to be given in respect thereof and the related covenants, conditions and other obligations relating thereto shall not be deemed to be a part of this Agreement, (iii) all references in the Standard Provisions to a type of agreement that has not been entered into in connection with the transactions contemplated hereby shall not be deemed to be a part of this Agreement, (iv) the term “</w:t>
      </w:r>
      <w:r>
        <w:rPr>
          <w:rFonts w:ascii="Arial" w:cs="Arial" w:eastAsia="Arial" w:hAnsi="Arial"/>
          <w:sz w:val="16"/>
          <w:szCs w:val="16"/>
          <w:b w:val="1"/>
          <w:bCs w:val="1"/>
          <w:color w:val="auto"/>
        </w:rPr>
        <w:t>Manager</w:t>
      </w:r>
      <w:r>
        <w:rPr>
          <w:rFonts w:ascii="Arial" w:cs="Arial" w:eastAsia="Arial" w:hAnsi="Arial"/>
          <w:sz w:val="16"/>
          <w:szCs w:val="16"/>
          <w:color w:val="auto"/>
        </w:rPr>
        <w:t>,” as used therein, shall, for purposes of this Agreement, mean J.P. Morgan Securities LLC, Morgan Stanley &amp; Co. LLC and U.S. Bancorp Investments, Inc., whose authority hereunder may be exercised by them jointly, (v) Section III(b)(iv)(B) of the Standard Provisions shall be deleted and replaced in its entirety with the following text: “any of the terms, conditions or provisions of any agreement or other instrument binding upon the Company that is filed as an exhibit to the Registration Statement or to any document incorporated by reference into the Time of Sale Prospectus, except, in the case of this clause (B), to the extent that the conflict, default or violation will not have a material adverse effect on the Company and its subsidiaries, considered as a whole.,” (vi) Section III(c)(xiii) of the Standard Provisions shall be deleted and replaced in its entirety with the following text: “(xiii) The execution, delivery and performance by the Company of this Agreement, the Indenture, and the Offered Securities will not contravene any provision of applicable statutory law.” and (vii) Section IV(l) of the Standard Provisions shall be deleted and replaced in its entirety with the following text: “(l) 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taxes payable in that connection;</w:t>
      </w:r>
    </w:p>
    <w:p>
      <w:pPr>
        <w:spacing w:after="0" w:line="11" w:lineRule="exact"/>
        <w:rPr>
          <w:sz w:val="20"/>
          <w:szCs w:val="20"/>
          <w:color w:val="auto"/>
        </w:rPr>
      </w:pPr>
    </w:p>
    <w:p>
      <w:pPr>
        <w:ind w:left="4" w:hanging="4"/>
        <w:spacing w:after="0" w:line="286" w:lineRule="auto"/>
        <w:tabs>
          <w:tab w:leader="none" w:pos="269"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Securities under the laws of such jurisdictions as the Manager may reasonably request and the preparation, printing and distribution of a Blue Sky Memorandum (including the related fees and expenses of counsel for the Underwriters); (vi) any fees charged by rating agencies for rating the Securities; (vii) the fees and expenses of the Trustee and any paying agent (including related fees and expenses of any counsel to such parties); (viii) all expenses and application fees incurred in connection with any filing with, and clearance of any offering by, the Financial Industry Regulatory Authority, Inc.; and (ix) all expenses incurred by the Company in connection with any “road show” presentation to potential investors.”</w:t>
      </w:r>
    </w:p>
    <w:p>
      <w:pPr>
        <w:spacing w:after="0" w:line="17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490" w:right="459" w:bottom="1440" w:gutter="0" w:footer="0" w:header="0"/>
        </w:sectPr>
      </w:pPr>
    </w:p>
    <w:bookmarkStart w:id="6" w:name="page7"/>
    <w:bookmarkEnd w:id="6"/>
    <w:p>
      <w:pPr>
        <w:ind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Please confirm your agreement by having an authorized officer sign a copy of this Agreement in the space set forth below. This Agreement may be signed in any number of counterparts with the same effect as if the signatures thereto and hereto were upon the same instrument.</w:t>
      </w:r>
    </w:p>
    <w:p>
      <w:pPr>
        <w:spacing w:after="0" w:line="17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On behalf of themselves and the several Underwriters listed</w:t>
      </w:r>
    </w:p>
    <w:p>
      <w:pPr>
        <w:spacing w:after="0" w:line="4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in Schedule II hereto</w:t>
      </w:r>
    </w:p>
    <w:p>
      <w:pPr>
        <w:spacing w:after="0" w:line="2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Robert Bottamedi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Robert Bottamedi</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 Executive Director</w:t>
      </w:r>
    </w:p>
    <w:p>
      <w:pPr>
        <w:spacing w:after="0" w:line="21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Morgan Stanley &amp; Co. LLC</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U.S. Bancorp Investments, Inc.</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Underwriting Agreement]</w:t>
      </w:r>
    </w:p>
    <w:p>
      <w:pPr>
        <w:sectPr>
          <w:pgSz w:w="11900" w:h="16838" w:orient="portrait"/>
          <w:cols w:equalWidth="0" w:num="1">
            <w:col w:w="11000"/>
          </w:cols>
          <w:pgMar w:left="440" w:top="490" w:right="459" w:bottom="1440" w:gutter="0" w:footer="0" w:header="0"/>
        </w:sectPr>
      </w:pPr>
    </w:p>
    <w:bookmarkStart w:id="7" w:name="page8"/>
    <w:bookmarkEnd w:id="7"/>
    <w:p>
      <w:pPr>
        <w:ind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Please confirm your agreement by having an authorized officer sign a copy of this Agreement in the space set forth below. This Agreement may be signed in any number of counterparts with the same effect as if the signatures thereto and hereto were upon the same instrument.</w:t>
      </w:r>
    </w:p>
    <w:p>
      <w:pPr>
        <w:spacing w:after="0" w:line="17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On behalf of themselves and the several Underwriters listed</w:t>
      </w:r>
    </w:p>
    <w:p>
      <w:pPr>
        <w:spacing w:after="0" w:line="4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in Schedule II hereto</w:t>
      </w:r>
    </w:p>
    <w:p>
      <w:pPr>
        <w:spacing w:after="0" w:line="2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Morgan Stanley &amp; Co. LLC</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Julie Blanco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Julie Blanco</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U.S. Bancorp Investments, Inc.</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1000"/>
          </w:cols>
          <w:pgMar w:left="440" w:top="490" w:right="459" w:bottom="1440" w:gutter="0" w:footer="0" w:header="0"/>
        </w:sectPr>
      </w:pPr>
    </w:p>
    <w:bookmarkStart w:id="8" w:name="page9"/>
    <w:bookmarkEnd w:id="8"/>
    <w:p>
      <w:pPr>
        <w:ind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Please confirm your agreement by having an authorized officer sign a copy of this Agreement in the space set forth below. This Agreement may be signed in any number of counterparts with the same effect as if the signatures thereto and hereto were upon the same instrument.</w:t>
      </w:r>
    </w:p>
    <w:p>
      <w:pPr>
        <w:spacing w:after="0" w:line="17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On behalf of themselves and the several Underwriters listed</w:t>
      </w:r>
    </w:p>
    <w:p>
      <w:pPr>
        <w:spacing w:after="0" w:line="4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in Schedule II hereto</w:t>
      </w:r>
    </w:p>
    <w:p>
      <w:pPr>
        <w:spacing w:after="0" w:line="2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Morgan Stanley &amp; Co. LLC</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U.S. Bancorp Investments, Inc.</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Kyle Stegemeyer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Kyle Stegemeyer</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 Managing Director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1000"/>
          </w:cols>
          <w:pgMar w:left="440" w:top="490"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Accepted as of the date written above: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/s/ Jack I. Holmes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Name:Jack I. Holmes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Vice President and Treasurer</w:t>
      </w:r>
    </w:p>
    <w:p>
      <w:pPr>
        <w:spacing w:after="0" w:line="200" w:lineRule="exact"/>
        <w:rPr>
          <w:sz w:val="20"/>
          <w:szCs w:val="20"/>
          <w:color w:val="auto"/>
        </w:rPr>
      </w:pPr>
    </w:p>
    <w:p>
      <w:pPr>
        <w:spacing w:after="0" w:line="308" w:lineRule="exact"/>
        <w:rPr>
          <w:sz w:val="20"/>
          <w:szCs w:val="20"/>
          <w:color w:val="auto"/>
        </w:rPr>
      </w:pPr>
    </w:p>
    <w:p>
      <w:pPr>
        <w:jc w:val="right"/>
        <w:ind w:right="28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0019"/>
          </w:cols>
          <w:pgMar w:left="440" w:top="490"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6320" w:type="dxa"/>
            <w:vAlign w:val="bottom"/>
            <w:gridSpan w:val="2"/>
          </w:tcPr>
          <w:p>
            <w:pPr>
              <w:jc w:val="center"/>
              <w:ind w:right="4580"/>
              <w:spacing w:after="0"/>
              <w:rPr>
                <w:sz w:val="20"/>
                <w:szCs w:val="20"/>
                <w:color w:val="auto"/>
              </w:rPr>
            </w:pPr>
            <w:r>
              <w:rPr>
                <w:rFonts w:ascii="Arial" w:cs="Arial" w:eastAsia="Arial" w:hAnsi="Arial"/>
                <w:sz w:val="18"/>
                <w:szCs w:val="18"/>
                <w:b w:val="1"/>
                <w:bCs w:val="1"/>
                <w:color w:val="auto"/>
              </w:rPr>
              <w:t>SCHEDULE I</w:t>
            </w:r>
          </w:p>
        </w:tc>
      </w:tr>
      <w:tr>
        <w:trPr>
          <w:trHeight w:val="234"/>
        </w:trPr>
        <w:tc>
          <w:tcPr>
            <w:tcW w:w="2320" w:type="dxa"/>
            <w:vAlign w:val="bottom"/>
          </w:tcPr>
          <w:p>
            <w:pPr>
              <w:spacing w:after="0"/>
              <w:rPr>
                <w:sz w:val="20"/>
                <w:szCs w:val="20"/>
                <w:color w:val="auto"/>
              </w:rPr>
            </w:pPr>
          </w:p>
        </w:tc>
        <w:tc>
          <w:tcPr>
            <w:tcW w:w="8640" w:type="dxa"/>
            <w:vAlign w:val="bottom"/>
            <w:gridSpan w:val="3"/>
          </w:tcPr>
          <w:p>
            <w:pPr>
              <w:jc w:val="center"/>
              <w:ind w:right="2280"/>
              <w:spacing w:after="0"/>
              <w:rPr>
                <w:sz w:val="20"/>
                <w:szCs w:val="20"/>
                <w:color w:val="auto"/>
              </w:rPr>
            </w:pPr>
            <w:r>
              <w:rPr>
                <w:rFonts w:ascii="Arial" w:cs="Arial" w:eastAsia="Arial" w:hAnsi="Arial"/>
                <w:sz w:val="18"/>
                <w:szCs w:val="18"/>
                <w:b w:val="1"/>
                <w:bCs w:val="1"/>
                <w:color w:val="auto"/>
              </w:rPr>
              <w:t>TO UNDERWRITING AGREEMENT</w:t>
            </w:r>
          </w:p>
        </w:tc>
      </w:tr>
      <w:tr>
        <w:trPr>
          <w:trHeight w:val="414"/>
        </w:trPr>
        <w:tc>
          <w:tcPr>
            <w:tcW w:w="2320" w:type="dxa"/>
            <w:vAlign w:val="bottom"/>
          </w:tcPr>
          <w:p>
            <w:pPr>
              <w:spacing w:after="0"/>
              <w:rPr>
                <w:sz w:val="24"/>
                <w:szCs w:val="24"/>
                <w:color w:val="auto"/>
              </w:rPr>
            </w:pPr>
          </w:p>
        </w:tc>
        <w:tc>
          <w:tcPr>
            <w:tcW w:w="8640" w:type="dxa"/>
            <w:vAlign w:val="bottom"/>
            <w:gridSpan w:val="3"/>
          </w:tcPr>
          <w:p>
            <w:pPr>
              <w:jc w:val="center"/>
              <w:ind w:right="2280"/>
              <w:spacing w:after="0"/>
              <w:rPr>
                <w:sz w:val="20"/>
                <w:szCs w:val="20"/>
                <w:color w:val="auto"/>
              </w:rPr>
            </w:pPr>
            <w:r>
              <w:rPr>
                <w:rFonts w:ascii="Arial" w:cs="Arial" w:eastAsia="Arial" w:hAnsi="Arial"/>
                <w:sz w:val="18"/>
                <w:szCs w:val="18"/>
                <w:b w:val="1"/>
                <w:bCs w:val="1"/>
                <w:color w:val="auto"/>
              </w:rPr>
              <w:t>TEXAS INSTRUMENTS INCORPORATED</w:t>
            </w:r>
          </w:p>
        </w:tc>
      </w:tr>
      <w:tr>
        <w:trPr>
          <w:trHeight w:val="234"/>
        </w:trPr>
        <w:tc>
          <w:tcPr>
            <w:tcW w:w="2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6320" w:type="dxa"/>
            <w:vAlign w:val="bottom"/>
            <w:gridSpan w:val="2"/>
          </w:tcPr>
          <w:p>
            <w:pPr>
              <w:jc w:val="center"/>
              <w:ind w:right="4600"/>
              <w:spacing w:after="0"/>
              <w:rPr>
                <w:sz w:val="20"/>
                <w:szCs w:val="20"/>
                <w:color w:val="auto"/>
              </w:rPr>
            </w:pPr>
            <w:r>
              <w:rPr>
                <w:rFonts w:ascii="Arial" w:cs="Arial" w:eastAsia="Arial" w:hAnsi="Arial"/>
                <w:sz w:val="18"/>
                <w:szCs w:val="18"/>
                <w:b w:val="1"/>
                <w:bCs w:val="1"/>
                <w:color w:val="auto"/>
                <w:w w:val="90"/>
              </w:rPr>
              <w:t>Pricing Term Sheet</w:t>
            </w:r>
          </w:p>
        </w:tc>
      </w:tr>
      <w:tr>
        <w:trPr>
          <w:trHeight w:val="391"/>
        </w:trPr>
        <w:tc>
          <w:tcPr>
            <w:tcW w:w="2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320" w:type="dxa"/>
            <w:vAlign w:val="bottom"/>
            <w:gridSpan w:val="2"/>
          </w:tcPr>
          <w:p>
            <w:pPr>
              <w:jc w:val="center"/>
              <w:ind w:right="4600"/>
              <w:spacing w:after="0"/>
              <w:rPr>
                <w:sz w:val="20"/>
                <w:szCs w:val="20"/>
                <w:color w:val="auto"/>
              </w:rPr>
            </w:pPr>
            <w:r>
              <w:rPr>
                <w:rFonts w:ascii="Arial" w:cs="Arial" w:eastAsia="Arial" w:hAnsi="Arial"/>
                <w:sz w:val="18"/>
                <w:szCs w:val="18"/>
                <w:color w:val="auto"/>
                <w:w w:val="89"/>
              </w:rPr>
              <w:t>4.</w:t>
            </w:r>
            <w:r>
              <w:rPr>
                <w:rFonts w:ascii="Arial" w:cs="Arial" w:eastAsia="Arial" w:hAnsi="Arial"/>
                <w:sz w:val="18"/>
                <w:szCs w:val="18"/>
                <w:u w:val="single" w:color="auto"/>
                <w:color w:val="auto"/>
                <w:w w:val="89"/>
              </w:rPr>
              <w:t>600%</w:t>
            </w:r>
            <w:r>
              <w:rPr>
                <w:rFonts w:ascii="Arial" w:cs="Arial" w:eastAsia="Arial" w:hAnsi="Arial"/>
                <w:sz w:val="18"/>
                <w:szCs w:val="18"/>
                <w:color w:val="auto"/>
                <w:w w:val="89"/>
              </w:rPr>
              <w:t xml:space="preserve"> Notes due 2028</w:t>
            </w:r>
          </w:p>
        </w:tc>
      </w:tr>
      <w:tr>
        <w:trPr>
          <w:trHeight w:val="20"/>
        </w:trPr>
        <w:tc>
          <w:tcPr>
            <w:tcW w:w="2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480"/>
        </w:trPr>
        <w:tc>
          <w:tcPr>
            <w:tcW w:w="2320" w:type="dxa"/>
            <w:vAlign w:val="bottom"/>
          </w:tcPr>
          <w:p>
            <w:pPr>
              <w:spacing w:after="0"/>
              <w:rPr>
                <w:sz w:val="20"/>
                <w:szCs w:val="20"/>
                <w:color w:val="auto"/>
              </w:rPr>
            </w:pPr>
            <w:r>
              <w:rPr>
                <w:rFonts w:ascii="Arial" w:cs="Arial" w:eastAsia="Arial" w:hAnsi="Arial"/>
                <w:sz w:val="18"/>
                <w:szCs w:val="18"/>
                <w:color w:val="auto"/>
              </w:rPr>
              <w:t>Issuer:</w:t>
            </w:r>
          </w:p>
        </w:tc>
        <w:tc>
          <w:tcPr>
            <w:tcW w:w="8640" w:type="dxa"/>
            <w:vAlign w:val="bottom"/>
            <w:gridSpan w:val="3"/>
          </w:tcPr>
          <w:p>
            <w:pPr>
              <w:ind w:left="980"/>
              <w:spacing w:after="0"/>
              <w:rPr>
                <w:sz w:val="20"/>
                <w:szCs w:val="20"/>
                <w:color w:val="auto"/>
              </w:rPr>
            </w:pPr>
            <w:r>
              <w:rPr>
                <w:rFonts w:ascii="Arial" w:cs="Arial" w:eastAsia="Arial" w:hAnsi="Arial"/>
                <w:sz w:val="18"/>
                <w:szCs w:val="18"/>
                <w:color w:val="auto"/>
              </w:rPr>
              <w:t>Texas Instruments Incorporated (“TI”)</w:t>
            </w:r>
          </w:p>
        </w:tc>
      </w:tr>
      <w:tr>
        <w:trPr>
          <w:trHeight w:val="310"/>
        </w:trPr>
        <w:tc>
          <w:tcPr>
            <w:tcW w:w="2320" w:type="dxa"/>
            <w:vAlign w:val="bottom"/>
          </w:tcPr>
          <w:p>
            <w:pPr>
              <w:spacing w:after="0"/>
              <w:rPr>
                <w:sz w:val="20"/>
                <w:szCs w:val="20"/>
                <w:color w:val="auto"/>
              </w:rPr>
            </w:pPr>
            <w:r>
              <w:rPr>
                <w:rFonts w:ascii="Arial" w:cs="Arial" w:eastAsia="Arial" w:hAnsi="Arial"/>
                <w:sz w:val="18"/>
                <w:szCs w:val="18"/>
                <w:color w:val="auto"/>
              </w:rPr>
              <w:t>Principal Amount:</w:t>
            </w:r>
          </w:p>
        </w:tc>
        <w:tc>
          <w:tcPr>
            <w:tcW w:w="8640" w:type="dxa"/>
            <w:vAlign w:val="bottom"/>
            <w:gridSpan w:val="3"/>
          </w:tcPr>
          <w:p>
            <w:pPr>
              <w:ind w:left="980"/>
              <w:spacing w:after="0"/>
              <w:rPr>
                <w:sz w:val="20"/>
                <w:szCs w:val="20"/>
                <w:color w:val="auto"/>
              </w:rPr>
            </w:pPr>
            <w:r>
              <w:rPr>
                <w:rFonts w:ascii="Arial" w:cs="Arial" w:eastAsia="Arial" w:hAnsi="Arial"/>
                <w:sz w:val="18"/>
                <w:szCs w:val="18"/>
                <w:color w:val="auto"/>
              </w:rPr>
              <w:t>$200,000,000 (the “2028 Additional Notes”)</w:t>
            </w:r>
          </w:p>
        </w:tc>
      </w:tr>
      <w:tr>
        <w:trPr>
          <w:trHeight w:val="216"/>
        </w:trPr>
        <w:tc>
          <w:tcPr>
            <w:tcW w:w="2320" w:type="dxa"/>
            <w:vAlign w:val="bottom"/>
          </w:tcPr>
          <w:p>
            <w:pPr>
              <w:spacing w:after="0"/>
              <w:rPr>
                <w:sz w:val="18"/>
                <w:szCs w:val="18"/>
                <w:color w:val="auto"/>
              </w:rPr>
            </w:pPr>
          </w:p>
        </w:tc>
        <w:tc>
          <w:tcPr>
            <w:tcW w:w="8640" w:type="dxa"/>
            <w:vAlign w:val="bottom"/>
            <w:gridSpan w:val="3"/>
          </w:tcPr>
          <w:p>
            <w:pPr>
              <w:ind w:left="980"/>
              <w:spacing w:after="0"/>
              <w:rPr>
                <w:sz w:val="20"/>
                <w:szCs w:val="20"/>
                <w:color w:val="auto"/>
              </w:rPr>
            </w:pPr>
            <w:r>
              <w:rPr>
                <w:rFonts w:ascii="Arial" w:cs="Arial" w:eastAsia="Arial" w:hAnsi="Arial"/>
                <w:sz w:val="18"/>
                <w:szCs w:val="18"/>
                <w:color w:val="auto"/>
                <w:w w:val="90"/>
              </w:rPr>
              <w:t>The 2028 Additional Notes offered hereby constitute a further issuance of the 4.600% Notes due 2028 that</w:t>
            </w:r>
          </w:p>
        </w:tc>
      </w:tr>
      <w:tr>
        <w:trPr>
          <w:trHeight w:val="216"/>
        </w:trPr>
        <w:tc>
          <w:tcPr>
            <w:tcW w:w="2320" w:type="dxa"/>
            <w:vAlign w:val="bottom"/>
          </w:tcPr>
          <w:p>
            <w:pPr>
              <w:spacing w:after="0"/>
              <w:rPr>
                <w:sz w:val="18"/>
                <w:szCs w:val="18"/>
                <w:color w:val="auto"/>
              </w:rPr>
            </w:pPr>
          </w:p>
        </w:tc>
        <w:tc>
          <w:tcPr>
            <w:tcW w:w="8640" w:type="dxa"/>
            <w:vAlign w:val="bottom"/>
            <w:gridSpan w:val="3"/>
          </w:tcPr>
          <w:p>
            <w:pPr>
              <w:ind w:left="980"/>
              <w:spacing w:after="0"/>
              <w:rPr>
                <w:sz w:val="20"/>
                <w:szCs w:val="20"/>
                <w:color w:val="auto"/>
              </w:rPr>
            </w:pPr>
            <w:r>
              <w:rPr>
                <w:rFonts w:ascii="Arial" w:cs="Arial" w:eastAsia="Arial" w:hAnsi="Arial"/>
                <w:sz w:val="18"/>
                <w:szCs w:val="18"/>
                <w:color w:val="auto"/>
                <w:w w:val="94"/>
              </w:rPr>
              <w:t>TI issued prior to the date hereof (the “2028 Existing Notes”) and will be consolidated with, and form a</w:t>
            </w:r>
          </w:p>
        </w:tc>
      </w:tr>
      <w:tr>
        <w:trPr>
          <w:trHeight w:val="216"/>
        </w:trPr>
        <w:tc>
          <w:tcPr>
            <w:tcW w:w="2320" w:type="dxa"/>
            <w:vAlign w:val="bottom"/>
          </w:tcPr>
          <w:p>
            <w:pPr>
              <w:spacing w:after="0"/>
              <w:rPr>
                <w:sz w:val="18"/>
                <w:szCs w:val="18"/>
                <w:color w:val="auto"/>
              </w:rPr>
            </w:pPr>
          </w:p>
        </w:tc>
        <w:tc>
          <w:tcPr>
            <w:tcW w:w="8640" w:type="dxa"/>
            <w:vAlign w:val="bottom"/>
            <w:gridSpan w:val="3"/>
          </w:tcPr>
          <w:p>
            <w:pPr>
              <w:ind w:left="980"/>
              <w:spacing w:after="0"/>
              <w:rPr>
                <w:sz w:val="20"/>
                <w:szCs w:val="20"/>
                <w:color w:val="auto"/>
              </w:rPr>
            </w:pPr>
            <w:r>
              <w:rPr>
                <w:rFonts w:ascii="Arial" w:cs="Arial" w:eastAsia="Arial" w:hAnsi="Arial"/>
                <w:sz w:val="18"/>
                <w:szCs w:val="18"/>
                <w:color w:val="auto"/>
                <w:w w:val="97"/>
              </w:rPr>
              <w:t>single series with, the 2028 Existing Notes for all purposes under the indenture governing the 2028</w:t>
            </w:r>
          </w:p>
        </w:tc>
      </w:tr>
      <w:tr>
        <w:trPr>
          <w:trHeight w:val="216"/>
        </w:trPr>
        <w:tc>
          <w:tcPr>
            <w:tcW w:w="2320" w:type="dxa"/>
            <w:vAlign w:val="bottom"/>
          </w:tcPr>
          <w:p>
            <w:pPr>
              <w:spacing w:after="0"/>
              <w:rPr>
                <w:sz w:val="18"/>
                <w:szCs w:val="18"/>
                <w:color w:val="auto"/>
              </w:rPr>
            </w:pPr>
          </w:p>
        </w:tc>
        <w:tc>
          <w:tcPr>
            <w:tcW w:w="8640" w:type="dxa"/>
            <w:vAlign w:val="bottom"/>
            <w:gridSpan w:val="3"/>
          </w:tcPr>
          <w:p>
            <w:pPr>
              <w:ind w:left="980"/>
              <w:spacing w:after="0"/>
              <w:rPr>
                <w:sz w:val="20"/>
                <w:szCs w:val="20"/>
                <w:color w:val="auto"/>
              </w:rPr>
            </w:pPr>
            <w:r>
              <w:rPr>
                <w:rFonts w:ascii="Arial" w:cs="Arial" w:eastAsia="Arial" w:hAnsi="Arial"/>
                <w:sz w:val="18"/>
                <w:szCs w:val="18"/>
                <w:color w:val="auto"/>
              </w:rPr>
              <w:t>Existing Notes, including with respect to voting (the 2028 Existing Notes, together with the 2028</w:t>
            </w:r>
          </w:p>
        </w:tc>
      </w:tr>
      <w:tr>
        <w:trPr>
          <w:trHeight w:val="216"/>
        </w:trPr>
        <w:tc>
          <w:tcPr>
            <w:tcW w:w="2320" w:type="dxa"/>
            <w:vAlign w:val="bottom"/>
          </w:tcPr>
          <w:p>
            <w:pPr>
              <w:spacing w:after="0"/>
              <w:rPr>
                <w:sz w:val="18"/>
                <w:szCs w:val="18"/>
                <w:color w:val="auto"/>
              </w:rPr>
            </w:pPr>
          </w:p>
        </w:tc>
        <w:tc>
          <w:tcPr>
            <w:tcW w:w="8640" w:type="dxa"/>
            <w:vAlign w:val="bottom"/>
            <w:gridSpan w:val="3"/>
          </w:tcPr>
          <w:p>
            <w:pPr>
              <w:ind w:left="980"/>
              <w:spacing w:after="0"/>
              <w:rPr>
                <w:sz w:val="20"/>
                <w:szCs w:val="20"/>
                <w:color w:val="auto"/>
              </w:rPr>
            </w:pPr>
            <w:r>
              <w:rPr>
                <w:rFonts w:ascii="Arial" w:cs="Arial" w:eastAsia="Arial" w:hAnsi="Arial"/>
                <w:sz w:val="18"/>
                <w:szCs w:val="18"/>
                <w:color w:val="auto"/>
                <w:w w:val="92"/>
              </w:rPr>
              <w:t>Additional Notes, the “2028 Notes”). Upon issuance, the 2028 Additional Notes will have the same terms</w:t>
            </w:r>
          </w:p>
        </w:tc>
      </w:tr>
      <w:tr>
        <w:trPr>
          <w:trHeight w:val="216"/>
        </w:trPr>
        <w:tc>
          <w:tcPr>
            <w:tcW w:w="2320" w:type="dxa"/>
            <w:vAlign w:val="bottom"/>
          </w:tcPr>
          <w:p>
            <w:pPr>
              <w:spacing w:after="0"/>
              <w:rPr>
                <w:sz w:val="18"/>
                <w:szCs w:val="18"/>
                <w:color w:val="auto"/>
              </w:rPr>
            </w:pPr>
          </w:p>
        </w:tc>
        <w:tc>
          <w:tcPr>
            <w:tcW w:w="8640" w:type="dxa"/>
            <w:vAlign w:val="bottom"/>
            <w:gridSpan w:val="3"/>
          </w:tcPr>
          <w:p>
            <w:pPr>
              <w:ind w:left="980"/>
              <w:spacing w:after="0"/>
              <w:rPr>
                <w:sz w:val="20"/>
                <w:szCs w:val="20"/>
                <w:color w:val="auto"/>
              </w:rPr>
            </w:pPr>
            <w:r>
              <w:rPr>
                <w:rFonts w:ascii="Arial" w:cs="Arial" w:eastAsia="Arial" w:hAnsi="Arial"/>
                <w:sz w:val="18"/>
                <w:szCs w:val="18"/>
                <w:color w:val="auto"/>
                <w:w w:val="89"/>
              </w:rPr>
              <w:t>as the 2028 Existing Notes (other than the issue date, price to public and interest accrued prior to the issue</w:t>
            </w:r>
          </w:p>
        </w:tc>
      </w:tr>
      <w:tr>
        <w:trPr>
          <w:trHeight w:val="216"/>
        </w:trPr>
        <w:tc>
          <w:tcPr>
            <w:tcW w:w="2320" w:type="dxa"/>
            <w:vAlign w:val="bottom"/>
          </w:tcPr>
          <w:p>
            <w:pPr>
              <w:spacing w:after="0"/>
              <w:rPr>
                <w:sz w:val="18"/>
                <w:szCs w:val="18"/>
                <w:color w:val="auto"/>
              </w:rPr>
            </w:pPr>
          </w:p>
        </w:tc>
        <w:tc>
          <w:tcPr>
            <w:tcW w:w="8640" w:type="dxa"/>
            <w:vAlign w:val="bottom"/>
            <w:gridSpan w:val="3"/>
          </w:tcPr>
          <w:p>
            <w:pPr>
              <w:ind w:left="980"/>
              <w:spacing w:after="0"/>
              <w:rPr>
                <w:sz w:val="20"/>
                <w:szCs w:val="20"/>
                <w:color w:val="auto"/>
              </w:rPr>
            </w:pPr>
            <w:r>
              <w:rPr>
                <w:rFonts w:ascii="Arial" w:cs="Arial" w:eastAsia="Arial" w:hAnsi="Arial"/>
                <w:sz w:val="18"/>
                <w:szCs w:val="18"/>
                <w:color w:val="auto"/>
                <w:w w:val="93"/>
              </w:rPr>
              <w:t>date of the 2028 Additional Notes), will be fungible with the 2028 Existing Notes for U.S. federal income</w:t>
            </w:r>
          </w:p>
        </w:tc>
      </w:tr>
      <w:tr>
        <w:trPr>
          <w:trHeight w:val="230"/>
        </w:trPr>
        <w:tc>
          <w:tcPr>
            <w:tcW w:w="2320" w:type="dxa"/>
            <w:vAlign w:val="bottom"/>
          </w:tcPr>
          <w:p>
            <w:pPr>
              <w:spacing w:after="0"/>
              <w:rPr>
                <w:sz w:val="20"/>
                <w:szCs w:val="20"/>
                <w:color w:val="auto"/>
              </w:rPr>
            </w:pPr>
          </w:p>
        </w:tc>
        <w:tc>
          <w:tcPr>
            <w:tcW w:w="8640" w:type="dxa"/>
            <w:vAlign w:val="bottom"/>
            <w:gridSpan w:val="3"/>
          </w:tcPr>
          <w:p>
            <w:pPr>
              <w:ind w:left="980"/>
              <w:spacing w:after="0"/>
              <w:rPr>
                <w:sz w:val="20"/>
                <w:szCs w:val="20"/>
                <w:color w:val="auto"/>
              </w:rPr>
            </w:pPr>
            <w:r>
              <w:rPr>
                <w:rFonts w:ascii="Arial" w:cs="Arial" w:eastAsia="Arial" w:hAnsi="Arial"/>
                <w:sz w:val="18"/>
                <w:szCs w:val="18"/>
                <w:color w:val="auto"/>
              </w:rPr>
              <w:t>tax purposes and will have the same CUSIP and ISIN numbers as the 2028 Existing Notes.</w:t>
            </w:r>
          </w:p>
        </w:tc>
      </w:tr>
      <w:tr>
        <w:trPr>
          <w:trHeight w:val="338"/>
        </w:trPr>
        <w:tc>
          <w:tcPr>
            <w:tcW w:w="2320" w:type="dxa"/>
            <w:vAlign w:val="bottom"/>
          </w:tcPr>
          <w:p>
            <w:pPr>
              <w:spacing w:after="0"/>
              <w:rPr>
                <w:sz w:val="20"/>
                <w:szCs w:val="20"/>
                <w:color w:val="auto"/>
              </w:rPr>
            </w:pPr>
            <w:r>
              <w:rPr>
                <w:rFonts w:ascii="Arial" w:cs="Arial" w:eastAsia="Arial" w:hAnsi="Arial"/>
                <w:sz w:val="18"/>
                <w:szCs w:val="18"/>
                <w:color w:val="auto"/>
              </w:rPr>
              <w:t>Maturity:</w:t>
            </w:r>
          </w:p>
        </w:tc>
        <w:tc>
          <w:tcPr>
            <w:tcW w:w="8640" w:type="dxa"/>
            <w:vAlign w:val="bottom"/>
            <w:gridSpan w:val="3"/>
          </w:tcPr>
          <w:p>
            <w:pPr>
              <w:ind w:left="980"/>
              <w:spacing w:after="0"/>
              <w:rPr>
                <w:sz w:val="20"/>
                <w:szCs w:val="20"/>
                <w:color w:val="auto"/>
              </w:rPr>
            </w:pPr>
            <w:r>
              <w:rPr>
                <w:rFonts w:ascii="Arial" w:cs="Arial" w:eastAsia="Arial" w:hAnsi="Arial"/>
                <w:sz w:val="18"/>
                <w:szCs w:val="18"/>
                <w:color w:val="auto"/>
              </w:rPr>
              <w:t>February 15, 2028</w:t>
            </w:r>
          </w:p>
        </w:tc>
      </w:tr>
      <w:tr>
        <w:trPr>
          <w:trHeight w:val="324"/>
        </w:trPr>
        <w:tc>
          <w:tcPr>
            <w:tcW w:w="2320" w:type="dxa"/>
            <w:vAlign w:val="bottom"/>
          </w:tcPr>
          <w:p>
            <w:pPr>
              <w:spacing w:after="0"/>
              <w:rPr>
                <w:sz w:val="20"/>
                <w:szCs w:val="20"/>
                <w:color w:val="auto"/>
              </w:rPr>
            </w:pPr>
            <w:r>
              <w:rPr>
                <w:rFonts w:ascii="Arial" w:cs="Arial" w:eastAsia="Arial" w:hAnsi="Arial"/>
                <w:sz w:val="18"/>
                <w:szCs w:val="18"/>
                <w:color w:val="auto"/>
              </w:rPr>
              <w:t>Coupon:</w:t>
            </w:r>
          </w:p>
        </w:tc>
        <w:tc>
          <w:tcPr>
            <w:tcW w:w="2320" w:type="dxa"/>
            <w:vAlign w:val="bottom"/>
          </w:tcPr>
          <w:p>
            <w:pPr>
              <w:ind w:left="980"/>
              <w:spacing w:after="0"/>
              <w:rPr>
                <w:sz w:val="20"/>
                <w:szCs w:val="20"/>
                <w:color w:val="auto"/>
              </w:rPr>
            </w:pPr>
            <w:r>
              <w:rPr>
                <w:rFonts w:ascii="Arial" w:cs="Arial" w:eastAsia="Arial" w:hAnsi="Arial"/>
                <w:sz w:val="18"/>
                <w:szCs w:val="18"/>
                <w:color w:val="auto"/>
              </w:rPr>
              <w:t>4.600%</w:t>
            </w:r>
          </w:p>
        </w:tc>
        <w:tc>
          <w:tcPr>
            <w:tcW w:w="172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310"/>
        </w:trPr>
        <w:tc>
          <w:tcPr>
            <w:tcW w:w="2320" w:type="dxa"/>
            <w:vAlign w:val="bottom"/>
          </w:tcPr>
          <w:p>
            <w:pPr>
              <w:spacing w:after="0"/>
              <w:rPr>
                <w:sz w:val="20"/>
                <w:szCs w:val="20"/>
                <w:color w:val="auto"/>
              </w:rPr>
            </w:pPr>
            <w:r>
              <w:rPr>
                <w:rFonts w:ascii="Arial" w:cs="Arial" w:eastAsia="Arial" w:hAnsi="Arial"/>
                <w:sz w:val="18"/>
                <w:szCs w:val="18"/>
                <w:color w:val="auto"/>
              </w:rPr>
              <w:t>Price to Public:</w:t>
            </w:r>
          </w:p>
        </w:tc>
        <w:tc>
          <w:tcPr>
            <w:tcW w:w="8640" w:type="dxa"/>
            <w:vAlign w:val="bottom"/>
            <w:gridSpan w:val="3"/>
          </w:tcPr>
          <w:p>
            <w:pPr>
              <w:ind w:left="980"/>
              <w:spacing w:after="0"/>
              <w:rPr>
                <w:sz w:val="20"/>
                <w:szCs w:val="20"/>
                <w:color w:val="auto"/>
              </w:rPr>
            </w:pPr>
            <w:r>
              <w:rPr>
                <w:rFonts w:ascii="Arial" w:cs="Arial" w:eastAsia="Arial" w:hAnsi="Arial"/>
                <w:sz w:val="18"/>
                <w:szCs w:val="18"/>
                <w:color w:val="auto"/>
                <w:w w:val="97"/>
              </w:rPr>
              <w:t>102.404% of principal amount, plus accrued interest from (and including) February 15, 2023 to (but</w:t>
            </w:r>
          </w:p>
        </w:tc>
      </w:tr>
      <w:tr>
        <w:trPr>
          <w:trHeight w:val="230"/>
        </w:trPr>
        <w:tc>
          <w:tcPr>
            <w:tcW w:w="2320" w:type="dxa"/>
            <w:vAlign w:val="bottom"/>
          </w:tcPr>
          <w:p>
            <w:pPr>
              <w:spacing w:after="0"/>
              <w:rPr>
                <w:sz w:val="20"/>
                <w:szCs w:val="20"/>
                <w:color w:val="auto"/>
              </w:rPr>
            </w:pPr>
          </w:p>
        </w:tc>
        <w:tc>
          <w:tcPr>
            <w:tcW w:w="8640" w:type="dxa"/>
            <w:vAlign w:val="bottom"/>
            <w:gridSpan w:val="3"/>
          </w:tcPr>
          <w:p>
            <w:pPr>
              <w:ind w:left="980"/>
              <w:spacing w:after="0"/>
              <w:rPr>
                <w:sz w:val="20"/>
                <w:szCs w:val="20"/>
                <w:color w:val="auto"/>
              </w:rPr>
            </w:pPr>
            <w:r>
              <w:rPr>
                <w:rFonts w:ascii="Arial" w:cs="Arial" w:eastAsia="Arial" w:hAnsi="Arial"/>
                <w:sz w:val="18"/>
                <w:szCs w:val="18"/>
                <w:color w:val="auto"/>
              </w:rPr>
              <w:t>excluding) the Settlement Date</w:t>
            </w:r>
          </w:p>
        </w:tc>
      </w:tr>
      <w:tr>
        <w:trPr>
          <w:trHeight w:val="364"/>
        </w:trPr>
        <w:tc>
          <w:tcPr>
            <w:tcW w:w="2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320" w:type="dxa"/>
            <w:vAlign w:val="bottom"/>
            <w:gridSpan w:val="2"/>
          </w:tcPr>
          <w:p>
            <w:pPr>
              <w:jc w:val="center"/>
              <w:ind w:right="4600"/>
              <w:spacing w:after="0"/>
              <w:rPr>
                <w:sz w:val="20"/>
                <w:szCs w:val="20"/>
                <w:color w:val="auto"/>
              </w:rPr>
            </w:pPr>
            <w:r>
              <w:rPr>
                <w:rFonts w:ascii="Arial" w:cs="Arial" w:eastAsia="Arial" w:hAnsi="Arial"/>
                <w:sz w:val="18"/>
                <w:szCs w:val="18"/>
                <w:color w:val="auto"/>
                <w:w w:val="94"/>
              </w:rPr>
              <w:t>I-1</w:t>
            </w:r>
          </w:p>
        </w:tc>
      </w:tr>
    </w:tbl>
    <w:p>
      <w:pPr>
        <w:jc w:val="center"/>
        <w:ind w:right="4600"/>
        <w:spacing w:after="0"/>
        <w:rPr>
          <w:sz w:val="20"/>
          <w:szCs w:val="20"/>
          <w:color w:val="auto"/>
        </w:rPr>
        <w:sectPr>
          <w:pgSz w:w="11900" w:h="16838" w:orient="portrait"/>
          <w:cols w:equalWidth="0" w:num="1">
            <w:col w:w="10960"/>
          </w:cols>
          <w:pgMar w:left="440" w:top="48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bookmarkStart w:id="11" w:name="page12"/>
    <w:bookmarkEnd w:id="11"/>
    <w:p>
      <w:pPr>
        <w:spacing w:after="0"/>
        <w:rPr>
          <w:sz w:val="20"/>
          <w:szCs w:val="20"/>
          <w:color w:val="auto"/>
        </w:rPr>
      </w:pPr>
      <w:r>
        <w:rPr>
          <w:rFonts w:ascii="Arial" w:cs="Arial" w:eastAsia="Arial" w:hAnsi="Arial"/>
          <w:sz w:val="18"/>
          <w:szCs w:val="18"/>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Day Count Convention: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Proceeds (before expenses) to TI:</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Reoffer Yield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Benchmark Treasury Price and Yield: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Make-Whole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Par Call: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Trade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Denominations: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CUSIP/ISIN:</w:t>
      </w:r>
    </w:p>
    <w:p>
      <w:pPr>
        <w:spacing w:after="0" w:line="20" w:lineRule="exact"/>
        <w:rPr>
          <w:sz w:val="20"/>
          <w:szCs w:val="20"/>
          <w:color w:val="auto"/>
        </w:rPr>
      </w:pPr>
      <w:r>
        <w:rPr>
          <w:sz w:val="20"/>
          <w:szCs w:val="20"/>
          <w:color w:val="auto"/>
        </w:rPr>
        <w:br w:type="column"/>
      </w:r>
    </w:p>
    <w:p>
      <w:pPr>
        <w:ind w:right="1600"/>
        <w:spacing w:after="0" w:line="375" w:lineRule="auto"/>
        <w:rPr>
          <w:sz w:val="20"/>
          <w:szCs w:val="20"/>
          <w:color w:val="auto"/>
        </w:rPr>
      </w:pPr>
      <w:r>
        <w:rPr>
          <w:rFonts w:ascii="Arial" w:cs="Arial" w:eastAsia="Arial" w:hAnsi="Arial"/>
          <w:sz w:val="18"/>
          <w:szCs w:val="18"/>
          <w:color w:val="auto"/>
        </w:rPr>
        <w:t>February 15 and August 15, beginning on August 15, 2023, and on the maturity date 30/360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-508000</wp:posOffset>
            </wp:positionV>
            <wp:extent cx="7174865"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ind w:right="580"/>
        <w:spacing w:after="0" w:line="277" w:lineRule="auto"/>
        <w:rPr>
          <w:sz w:val="20"/>
          <w:szCs w:val="20"/>
          <w:color w:val="auto"/>
        </w:rPr>
      </w:pPr>
      <w:r>
        <w:rPr>
          <w:rFonts w:ascii="Arial" w:cs="Arial" w:eastAsia="Arial" w:hAnsi="Arial"/>
          <w:sz w:val="18"/>
          <w:szCs w:val="18"/>
          <w:color w:val="auto"/>
        </w:rPr>
        <w:t>$204,208,000, plus accrued interest from (and including) February 15, 2023 to (but excluding) the Settlement Date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3.500% due April 30, 2028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67 basis points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4.028%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100-20</w:t>
      </w:r>
      <w:r>
        <w:rPr>
          <w:rFonts w:ascii="Arial" w:cs="Arial" w:eastAsia="Arial" w:hAnsi="Arial"/>
          <w:sz w:val="26"/>
          <w:szCs w:val="26"/>
          <w:color w:val="auto"/>
          <w:vertAlign w:val="superscript"/>
        </w:rPr>
        <w:t>5/8</w:t>
      </w:r>
      <w:r>
        <w:rPr>
          <w:rFonts w:ascii="Arial" w:cs="Arial" w:eastAsia="Arial" w:hAnsi="Arial"/>
          <w:sz w:val="18"/>
          <w:szCs w:val="18"/>
          <w:color w:val="auto"/>
        </w:rPr>
        <w:t>; 3.358%</w:t>
      </w:r>
    </w:p>
    <w:p>
      <w:pPr>
        <w:spacing w:after="0" w:line="4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At any time before January 15, 2028 (one month before the maturity date) at the greater of: (1) (a) the sum of the present values of the remaining scheduled payments of principal and interest thereon discounted to the redemption date (assuming the Notes matured on January 15, 2028) on a semi-annual basis (assuming a 360-day year consisting of twelve 30-day months) at the Treasury Rate plus 12.5 basis points less</w:t>
      </w:r>
    </w:p>
    <w:p>
      <w:pPr>
        <w:spacing w:after="0" w:line="1" w:lineRule="exact"/>
        <w:rPr>
          <w:sz w:val="20"/>
          <w:szCs w:val="20"/>
          <w:color w:val="auto"/>
        </w:rPr>
      </w:pPr>
    </w:p>
    <w:p>
      <w:pPr>
        <w:ind w:right="300" w:firstLine="1"/>
        <w:spacing w:after="0" w:line="290" w:lineRule="auto"/>
        <w:tabs>
          <w:tab w:leader="none" w:pos="255" w:val="left"/>
        </w:tabs>
        <w:numPr>
          <w:ilvl w:val="0"/>
          <w:numId w:val="3"/>
        </w:numPr>
        <w:rPr>
          <w:rFonts w:ascii="Arial" w:cs="Arial" w:eastAsia="Arial" w:hAnsi="Arial"/>
          <w:sz w:val="17"/>
          <w:szCs w:val="17"/>
          <w:color w:val="auto"/>
        </w:rPr>
      </w:pPr>
      <w:r>
        <w:rPr>
          <w:rFonts w:ascii="Arial" w:cs="Arial" w:eastAsia="Arial" w:hAnsi="Arial"/>
          <w:sz w:val="17"/>
          <w:szCs w:val="17"/>
          <w:color w:val="auto"/>
        </w:rPr>
        <w:t>interest accrued to the date of redemption, and (2) 100% of the principal amount of the Notes to be redeemed, plus, in either case, accrued and unpaid interest thereon to the redemption date.</w:t>
      </w:r>
    </w:p>
    <w:p>
      <w:pPr>
        <w:spacing w:after="0" w:line="53"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At any time on or after January 15, 2028 (one month before the maturity date) at 100% of the principal amount of notes being redeemed plus accrued and unpaid interest thereon to the redemption date.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May 11,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May 18, 2023 (T+5)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$2,000 and multiples of $1,000 thereafter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882508 BV5/US882508BV59</w:t>
      </w:r>
    </w:p>
    <w:p>
      <w:pPr>
        <w:spacing w:after="0" w:line="158"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I-2</w:t>
      </w:r>
    </w:p>
    <w:p>
      <w:pPr>
        <w:sectPr>
          <w:pgSz w:w="11900" w:h="16838" w:orient="portrait"/>
          <w:cols w:equalWidth="0" w:num="2">
            <w:col w:w="2700" w:space="600"/>
            <w:col w:w="7660"/>
          </w:cols>
          <w:pgMar w:left="440" w:top="490" w:right="4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25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6320" w:type="dxa"/>
            <w:vAlign w:val="bottom"/>
            <w:gridSpan w:val="2"/>
          </w:tcPr>
          <w:p>
            <w:pPr>
              <w:jc w:val="center"/>
              <w:ind w:right="4600"/>
              <w:spacing w:after="0"/>
              <w:rPr>
                <w:sz w:val="20"/>
                <w:szCs w:val="20"/>
                <w:color w:val="auto"/>
              </w:rPr>
            </w:pPr>
            <w:r>
              <w:rPr>
                <w:rFonts w:ascii="Arial" w:cs="Arial" w:eastAsia="Arial" w:hAnsi="Arial"/>
                <w:sz w:val="18"/>
                <w:szCs w:val="18"/>
                <w:color w:val="auto"/>
                <w:w w:val="89"/>
              </w:rPr>
              <w:t>4.</w:t>
            </w:r>
            <w:r>
              <w:rPr>
                <w:rFonts w:ascii="Arial" w:cs="Arial" w:eastAsia="Arial" w:hAnsi="Arial"/>
                <w:sz w:val="18"/>
                <w:szCs w:val="18"/>
                <w:u w:val="single" w:color="auto"/>
                <w:color w:val="auto"/>
                <w:w w:val="89"/>
              </w:rPr>
              <w:t>900%</w:t>
            </w:r>
            <w:r>
              <w:rPr>
                <w:rFonts w:ascii="Arial" w:cs="Arial" w:eastAsia="Arial" w:hAnsi="Arial"/>
                <w:sz w:val="18"/>
                <w:szCs w:val="18"/>
                <w:color w:val="auto"/>
                <w:w w:val="89"/>
              </w:rPr>
              <w:t xml:space="preserve"> Notes due 2033</w:t>
            </w:r>
          </w:p>
        </w:tc>
      </w:tr>
      <w:tr>
        <w:trPr>
          <w:trHeight w:val="20"/>
        </w:trPr>
        <w:tc>
          <w:tcPr>
            <w:tcW w:w="25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480"/>
        </w:trPr>
        <w:tc>
          <w:tcPr>
            <w:tcW w:w="2500" w:type="dxa"/>
            <w:vAlign w:val="bottom"/>
          </w:tcPr>
          <w:p>
            <w:pPr>
              <w:spacing w:after="0"/>
              <w:rPr>
                <w:sz w:val="20"/>
                <w:szCs w:val="20"/>
                <w:color w:val="auto"/>
              </w:rPr>
            </w:pPr>
            <w:r>
              <w:rPr>
                <w:rFonts w:ascii="Arial" w:cs="Arial" w:eastAsia="Arial" w:hAnsi="Arial"/>
                <w:sz w:val="18"/>
                <w:szCs w:val="18"/>
                <w:color w:val="auto"/>
              </w:rPr>
              <w:t>Issuer:</w:t>
            </w:r>
          </w:p>
        </w:tc>
        <w:tc>
          <w:tcPr>
            <w:tcW w:w="8460" w:type="dxa"/>
            <w:vAlign w:val="bottom"/>
            <w:gridSpan w:val="3"/>
          </w:tcPr>
          <w:p>
            <w:pPr>
              <w:ind w:left="800"/>
              <w:spacing w:after="0"/>
              <w:rPr>
                <w:sz w:val="20"/>
                <w:szCs w:val="20"/>
                <w:color w:val="auto"/>
              </w:rPr>
            </w:pPr>
            <w:r>
              <w:rPr>
                <w:rFonts w:ascii="Arial" w:cs="Arial" w:eastAsia="Arial" w:hAnsi="Arial"/>
                <w:sz w:val="18"/>
                <w:szCs w:val="18"/>
                <w:color w:val="auto"/>
              </w:rPr>
              <w:t>Texas Instruments Incorporated (“TI”)</w:t>
            </w:r>
          </w:p>
        </w:tc>
      </w:tr>
      <w:tr>
        <w:trPr>
          <w:trHeight w:val="324"/>
        </w:trPr>
        <w:tc>
          <w:tcPr>
            <w:tcW w:w="2500" w:type="dxa"/>
            <w:vAlign w:val="bottom"/>
          </w:tcPr>
          <w:p>
            <w:pPr>
              <w:spacing w:after="0"/>
              <w:rPr>
                <w:sz w:val="20"/>
                <w:szCs w:val="20"/>
                <w:color w:val="auto"/>
              </w:rPr>
            </w:pPr>
            <w:r>
              <w:rPr>
                <w:rFonts w:ascii="Arial" w:cs="Arial" w:eastAsia="Arial" w:hAnsi="Arial"/>
                <w:sz w:val="18"/>
                <w:szCs w:val="18"/>
                <w:color w:val="auto"/>
              </w:rPr>
              <w:t>Principal Amount:</w:t>
            </w:r>
          </w:p>
        </w:tc>
        <w:tc>
          <w:tcPr>
            <w:tcW w:w="8460" w:type="dxa"/>
            <w:vAlign w:val="bottom"/>
            <w:gridSpan w:val="3"/>
          </w:tcPr>
          <w:p>
            <w:pPr>
              <w:ind w:left="800"/>
              <w:spacing w:after="0"/>
              <w:rPr>
                <w:sz w:val="20"/>
                <w:szCs w:val="20"/>
                <w:color w:val="auto"/>
              </w:rPr>
            </w:pPr>
            <w:r>
              <w:rPr>
                <w:rFonts w:ascii="Arial" w:cs="Arial" w:eastAsia="Arial" w:hAnsi="Arial"/>
                <w:sz w:val="18"/>
                <w:szCs w:val="18"/>
                <w:color w:val="auto"/>
              </w:rPr>
              <w:t>$200,000,000 (the “2033 Additional Notes”)</w:t>
            </w:r>
          </w:p>
        </w:tc>
      </w:tr>
      <w:tr>
        <w:trPr>
          <w:trHeight w:val="323"/>
        </w:trPr>
        <w:tc>
          <w:tcPr>
            <w:tcW w:w="2500" w:type="dxa"/>
            <w:vAlign w:val="bottom"/>
          </w:tcPr>
          <w:p>
            <w:pPr>
              <w:spacing w:after="0"/>
              <w:rPr>
                <w:sz w:val="24"/>
                <w:szCs w:val="24"/>
                <w:color w:val="auto"/>
              </w:rPr>
            </w:pPr>
          </w:p>
        </w:tc>
        <w:tc>
          <w:tcPr>
            <w:tcW w:w="8460" w:type="dxa"/>
            <w:vAlign w:val="bottom"/>
            <w:gridSpan w:val="3"/>
          </w:tcPr>
          <w:p>
            <w:pPr>
              <w:ind w:left="800"/>
              <w:spacing w:after="0"/>
              <w:rPr>
                <w:sz w:val="20"/>
                <w:szCs w:val="20"/>
                <w:color w:val="auto"/>
              </w:rPr>
            </w:pPr>
            <w:r>
              <w:rPr>
                <w:rFonts w:ascii="Arial" w:cs="Arial" w:eastAsia="Arial" w:hAnsi="Arial"/>
                <w:sz w:val="18"/>
                <w:szCs w:val="18"/>
                <w:color w:val="auto"/>
                <w:w w:val="90"/>
              </w:rPr>
              <w:t>The 2033 Additional Notes offered hereby constitute a further issuance of the 4.900% Notes due 2033 that</w:t>
            </w:r>
          </w:p>
        </w:tc>
      </w:tr>
      <w:tr>
        <w:trPr>
          <w:trHeight w:val="216"/>
        </w:trPr>
        <w:tc>
          <w:tcPr>
            <w:tcW w:w="2500" w:type="dxa"/>
            <w:vAlign w:val="bottom"/>
          </w:tcPr>
          <w:p>
            <w:pPr>
              <w:spacing w:after="0"/>
              <w:rPr>
                <w:sz w:val="18"/>
                <w:szCs w:val="18"/>
                <w:color w:val="auto"/>
              </w:rPr>
            </w:pPr>
          </w:p>
        </w:tc>
        <w:tc>
          <w:tcPr>
            <w:tcW w:w="8460" w:type="dxa"/>
            <w:vAlign w:val="bottom"/>
            <w:gridSpan w:val="3"/>
          </w:tcPr>
          <w:p>
            <w:pPr>
              <w:ind w:left="800"/>
              <w:spacing w:after="0"/>
              <w:rPr>
                <w:sz w:val="20"/>
                <w:szCs w:val="20"/>
                <w:color w:val="auto"/>
              </w:rPr>
            </w:pPr>
            <w:r>
              <w:rPr>
                <w:rFonts w:ascii="Arial" w:cs="Arial" w:eastAsia="Arial" w:hAnsi="Arial"/>
                <w:sz w:val="18"/>
                <w:szCs w:val="18"/>
                <w:color w:val="auto"/>
                <w:w w:val="94"/>
              </w:rPr>
              <w:t>TI issued prior to the date hereof (the “2033 Existing Notes”) and will be consolidated with, and form a</w:t>
            </w:r>
          </w:p>
        </w:tc>
      </w:tr>
      <w:tr>
        <w:trPr>
          <w:trHeight w:val="216"/>
        </w:trPr>
        <w:tc>
          <w:tcPr>
            <w:tcW w:w="2500" w:type="dxa"/>
            <w:vAlign w:val="bottom"/>
          </w:tcPr>
          <w:p>
            <w:pPr>
              <w:spacing w:after="0"/>
              <w:rPr>
                <w:sz w:val="18"/>
                <w:szCs w:val="18"/>
                <w:color w:val="auto"/>
              </w:rPr>
            </w:pPr>
          </w:p>
        </w:tc>
        <w:tc>
          <w:tcPr>
            <w:tcW w:w="8460" w:type="dxa"/>
            <w:vAlign w:val="bottom"/>
            <w:gridSpan w:val="3"/>
          </w:tcPr>
          <w:p>
            <w:pPr>
              <w:ind w:left="800"/>
              <w:spacing w:after="0"/>
              <w:rPr>
                <w:sz w:val="20"/>
                <w:szCs w:val="20"/>
                <w:color w:val="auto"/>
              </w:rPr>
            </w:pPr>
            <w:r>
              <w:rPr>
                <w:rFonts w:ascii="Arial" w:cs="Arial" w:eastAsia="Arial" w:hAnsi="Arial"/>
                <w:sz w:val="18"/>
                <w:szCs w:val="18"/>
                <w:color w:val="auto"/>
                <w:w w:val="97"/>
              </w:rPr>
              <w:t>single series with, the 2033 Existing Notes for all purposes under the indenture governing the 2033</w:t>
            </w:r>
          </w:p>
        </w:tc>
      </w:tr>
      <w:tr>
        <w:trPr>
          <w:trHeight w:val="216"/>
        </w:trPr>
        <w:tc>
          <w:tcPr>
            <w:tcW w:w="2500" w:type="dxa"/>
            <w:vAlign w:val="bottom"/>
          </w:tcPr>
          <w:p>
            <w:pPr>
              <w:spacing w:after="0"/>
              <w:rPr>
                <w:sz w:val="18"/>
                <w:szCs w:val="18"/>
                <w:color w:val="auto"/>
              </w:rPr>
            </w:pPr>
          </w:p>
        </w:tc>
        <w:tc>
          <w:tcPr>
            <w:tcW w:w="8460" w:type="dxa"/>
            <w:vAlign w:val="bottom"/>
            <w:gridSpan w:val="3"/>
          </w:tcPr>
          <w:p>
            <w:pPr>
              <w:ind w:left="800"/>
              <w:spacing w:after="0"/>
              <w:rPr>
                <w:sz w:val="20"/>
                <w:szCs w:val="20"/>
                <w:color w:val="auto"/>
              </w:rPr>
            </w:pPr>
            <w:r>
              <w:rPr>
                <w:rFonts w:ascii="Arial" w:cs="Arial" w:eastAsia="Arial" w:hAnsi="Arial"/>
                <w:sz w:val="18"/>
                <w:szCs w:val="18"/>
                <w:color w:val="auto"/>
              </w:rPr>
              <w:t>Existing Notes, including with respect to voting (the 2033 Existing Notes, together with the 2033</w:t>
            </w:r>
          </w:p>
        </w:tc>
      </w:tr>
      <w:tr>
        <w:trPr>
          <w:trHeight w:val="216"/>
        </w:trPr>
        <w:tc>
          <w:tcPr>
            <w:tcW w:w="2500" w:type="dxa"/>
            <w:vAlign w:val="bottom"/>
          </w:tcPr>
          <w:p>
            <w:pPr>
              <w:spacing w:after="0"/>
              <w:rPr>
                <w:sz w:val="18"/>
                <w:szCs w:val="18"/>
                <w:color w:val="auto"/>
              </w:rPr>
            </w:pPr>
          </w:p>
        </w:tc>
        <w:tc>
          <w:tcPr>
            <w:tcW w:w="8460" w:type="dxa"/>
            <w:vAlign w:val="bottom"/>
            <w:gridSpan w:val="3"/>
          </w:tcPr>
          <w:p>
            <w:pPr>
              <w:ind w:left="800"/>
              <w:spacing w:after="0"/>
              <w:rPr>
                <w:sz w:val="20"/>
                <w:szCs w:val="20"/>
                <w:color w:val="auto"/>
              </w:rPr>
            </w:pPr>
            <w:r>
              <w:rPr>
                <w:rFonts w:ascii="Arial" w:cs="Arial" w:eastAsia="Arial" w:hAnsi="Arial"/>
                <w:sz w:val="18"/>
                <w:szCs w:val="18"/>
                <w:color w:val="auto"/>
                <w:w w:val="92"/>
              </w:rPr>
              <w:t>Additional Notes, the “2033 Notes”). Upon issuance, the 2033 Additional Notes will have the same terms</w:t>
            </w:r>
          </w:p>
        </w:tc>
      </w:tr>
      <w:tr>
        <w:trPr>
          <w:trHeight w:val="216"/>
        </w:trPr>
        <w:tc>
          <w:tcPr>
            <w:tcW w:w="2500" w:type="dxa"/>
            <w:vAlign w:val="bottom"/>
          </w:tcPr>
          <w:p>
            <w:pPr>
              <w:spacing w:after="0"/>
              <w:rPr>
                <w:sz w:val="18"/>
                <w:szCs w:val="18"/>
                <w:color w:val="auto"/>
              </w:rPr>
            </w:pPr>
          </w:p>
        </w:tc>
        <w:tc>
          <w:tcPr>
            <w:tcW w:w="8460" w:type="dxa"/>
            <w:vAlign w:val="bottom"/>
            <w:gridSpan w:val="3"/>
          </w:tcPr>
          <w:p>
            <w:pPr>
              <w:ind w:left="800"/>
              <w:spacing w:after="0"/>
              <w:rPr>
                <w:sz w:val="20"/>
                <w:szCs w:val="20"/>
                <w:color w:val="auto"/>
              </w:rPr>
            </w:pPr>
            <w:r>
              <w:rPr>
                <w:rFonts w:ascii="Arial" w:cs="Arial" w:eastAsia="Arial" w:hAnsi="Arial"/>
                <w:sz w:val="18"/>
                <w:szCs w:val="18"/>
                <w:color w:val="auto"/>
                <w:w w:val="89"/>
              </w:rPr>
              <w:t>as the 2033 Existing Notes (other than the issue date, price to public and interest accrued prior to the issue</w:t>
            </w:r>
          </w:p>
        </w:tc>
      </w:tr>
      <w:tr>
        <w:trPr>
          <w:trHeight w:val="216"/>
        </w:trPr>
        <w:tc>
          <w:tcPr>
            <w:tcW w:w="2500" w:type="dxa"/>
            <w:vAlign w:val="bottom"/>
          </w:tcPr>
          <w:p>
            <w:pPr>
              <w:spacing w:after="0"/>
              <w:rPr>
                <w:sz w:val="18"/>
                <w:szCs w:val="18"/>
                <w:color w:val="auto"/>
              </w:rPr>
            </w:pPr>
          </w:p>
        </w:tc>
        <w:tc>
          <w:tcPr>
            <w:tcW w:w="8460" w:type="dxa"/>
            <w:vAlign w:val="bottom"/>
            <w:gridSpan w:val="3"/>
          </w:tcPr>
          <w:p>
            <w:pPr>
              <w:ind w:left="800"/>
              <w:spacing w:after="0"/>
              <w:rPr>
                <w:sz w:val="20"/>
                <w:szCs w:val="20"/>
                <w:color w:val="auto"/>
              </w:rPr>
            </w:pPr>
            <w:r>
              <w:rPr>
                <w:rFonts w:ascii="Arial" w:cs="Arial" w:eastAsia="Arial" w:hAnsi="Arial"/>
                <w:sz w:val="18"/>
                <w:szCs w:val="18"/>
                <w:color w:val="auto"/>
                <w:w w:val="93"/>
              </w:rPr>
              <w:t>date of the 2033 Additional Notes), will be fungible with the 2033 Existing Notes for U.S. federal income</w:t>
            </w:r>
          </w:p>
        </w:tc>
      </w:tr>
      <w:tr>
        <w:trPr>
          <w:trHeight w:val="230"/>
        </w:trPr>
        <w:tc>
          <w:tcPr>
            <w:tcW w:w="2500" w:type="dxa"/>
            <w:vAlign w:val="bottom"/>
          </w:tcPr>
          <w:p>
            <w:pPr>
              <w:spacing w:after="0"/>
              <w:rPr>
                <w:sz w:val="20"/>
                <w:szCs w:val="20"/>
                <w:color w:val="auto"/>
              </w:rPr>
            </w:pPr>
          </w:p>
        </w:tc>
        <w:tc>
          <w:tcPr>
            <w:tcW w:w="8460" w:type="dxa"/>
            <w:vAlign w:val="bottom"/>
            <w:gridSpan w:val="3"/>
          </w:tcPr>
          <w:p>
            <w:pPr>
              <w:ind w:left="800"/>
              <w:spacing w:after="0"/>
              <w:rPr>
                <w:sz w:val="20"/>
                <w:szCs w:val="20"/>
                <w:color w:val="auto"/>
              </w:rPr>
            </w:pPr>
            <w:r>
              <w:rPr>
                <w:rFonts w:ascii="Arial" w:cs="Arial" w:eastAsia="Arial" w:hAnsi="Arial"/>
                <w:sz w:val="18"/>
                <w:szCs w:val="18"/>
                <w:color w:val="auto"/>
              </w:rPr>
              <w:t>tax purposes and will have the same CUSIP and ISIN numbers as the 2033 Existing Notes.</w:t>
            </w:r>
          </w:p>
        </w:tc>
      </w:tr>
      <w:tr>
        <w:trPr>
          <w:trHeight w:val="338"/>
        </w:trPr>
        <w:tc>
          <w:tcPr>
            <w:tcW w:w="2500" w:type="dxa"/>
            <w:vAlign w:val="bottom"/>
          </w:tcPr>
          <w:p>
            <w:pPr>
              <w:spacing w:after="0"/>
              <w:rPr>
                <w:sz w:val="20"/>
                <w:szCs w:val="20"/>
                <w:color w:val="auto"/>
              </w:rPr>
            </w:pPr>
            <w:r>
              <w:rPr>
                <w:rFonts w:ascii="Arial" w:cs="Arial" w:eastAsia="Arial" w:hAnsi="Arial"/>
                <w:sz w:val="18"/>
                <w:szCs w:val="18"/>
                <w:color w:val="auto"/>
              </w:rPr>
              <w:t>Maturity:</w:t>
            </w:r>
          </w:p>
        </w:tc>
        <w:tc>
          <w:tcPr>
            <w:tcW w:w="8460" w:type="dxa"/>
            <w:vAlign w:val="bottom"/>
            <w:gridSpan w:val="3"/>
          </w:tcPr>
          <w:p>
            <w:pPr>
              <w:ind w:left="800"/>
              <w:spacing w:after="0"/>
              <w:rPr>
                <w:sz w:val="20"/>
                <w:szCs w:val="20"/>
                <w:color w:val="auto"/>
              </w:rPr>
            </w:pPr>
            <w:r>
              <w:rPr>
                <w:rFonts w:ascii="Arial" w:cs="Arial" w:eastAsia="Arial" w:hAnsi="Arial"/>
                <w:sz w:val="18"/>
                <w:szCs w:val="18"/>
                <w:color w:val="auto"/>
              </w:rPr>
              <w:t>March 14, 2033</w:t>
            </w:r>
          </w:p>
        </w:tc>
      </w:tr>
      <w:tr>
        <w:trPr>
          <w:trHeight w:val="324"/>
        </w:trPr>
        <w:tc>
          <w:tcPr>
            <w:tcW w:w="2500" w:type="dxa"/>
            <w:vAlign w:val="bottom"/>
          </w:tcPr>
          <w:p>
            <w:pPr>
              <w:spacing w:after="0"/>
              <w:rPr>
                <w:sz w:val="20"/>
                <w:szCs w:val="20"/>
                <w:color w:val="auto"/>
              </w:rPr>
            </w:pPr>
            <w:r>
              <w:rPr>
                <w:rFonts w:ascii="Arial" w:cs="Arial" w:eastAsia="Arial" w:hAnsi="Arial"/>
                <w:sz w:val="18"/>
                <w:szCs w:val="18"/>
                <w:color w:val="auto"/>
              </w:rPr>
              <w:t>Coupon:</w:t>
            </w:r>
          </w:p>
        </w:tc>
        <w:tc>
          <w:tcPr>
            <w:tcW w:w="2140" w:type="dxa"/>
            <w:vAlign w:val="bottom"/>
          </w:tcPr>
          <w:p>
            <w:pPr>
              <w:ind w:left="800"/>
              <w:spacing w:after="0"/>
              <w:rPr>
                <w:sz w:val="20"/>
                <w:szCs w:val="20"/>
                <w:color w:val="auto"/>
              </w:rPr>
            </w:pPr>
            <w:r>
              <w:rPr>
                <w:rFonts w:ascii="Arial" w:cs="Arial" w:eastAsia="Arial" w:hAnsi="Arial"/>
                <w:sz w:val="18"/>
                <w:szCs w:val="18"/>
                <w:color w:val="auto"/>
              </w:rPr>
              <w:t>4.900%</w:t>
            </w:r>
          </w:p>
        </w:tc>
        <w:tc>
          <w:tcPr>
            <w:tcW w:w="172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310"/>
        </w:trPr>
        <w:tc>
          <w:tcPr>
            <w:tcW w:w="2500" w:type="dxa"/>
            <w:vAlign w:val="bottom"/>
          </w:tcPr>
          <w:p>
            <w:pPr>
              <w:spacing w:after="0"/>
              <w:rPr>
                <w:sz w:val="20"/>
                <w:szCs w:val="20"/>
                <w:color w:val="auto"/>
              </w:rPr>
            </w:pPr>
            <w:r>
              <w:rPr>
                <w:rFonts w:ascii="Arial" w:cs="Arial" w:eastAsia="Arial" w:hAnsi="Arial"/>
                <w:sz w:val="18"/>
                <w:szCs w:val="18"/>
                <w:color w:val="auto"/>
              </w:rPr>
              <w:t>Price to Public:</w:t>
            </w:r>
          </w:p>
        </w:tc>
        <w:tc>
          <w:tcPr>
            <w:tcW w:w="8460" w:type="dxa"/>
            <w:vAlign w:val="bottom"/>
            <w:gridSpan w:val="3"/>
          </w:tcPr>
          <w:p>
            <w:pPr>
              <w:ind w:left="800"/>
              <w:spacing w:after="0"/>
              <w:rPr>
                <w:sz w:val="20"/>
                <w:szCs w:val="20"/>
                <w:color w:val="auto"/>
              </w:rPr>
            </w:pPr>
            <w:r>
              <w:rPr>
                <w:rFonts w:ascii="Arial" w:cs="Arial" w:eastAsia="Arial" w:hAnsi="Arial"/>
                <w:sz w:val="18"/>
                <w:szCs w:val="18"/>
                <w:color w:val="auto"/>
                <w:w w:val="99"/>
              </w:rPr>
              <w:t>103.751% of principal amount, plus accrued interest from (and including) March 14, 2023 to (but</w:t>
            </w:r>
          </w:p>
        </w:tc>
      </w:tr>
      <w:tr>
        <w:trPr>
          <w:trHeight w:val="230"/>
        </w:trPr>
        <w:tc>
          <w:tcPr>
            <w:tcW w:w="2500" w:type="dxa"/>
            <w:vAlign w:val="bottom"/>
          </w:tcPr>
          <w:p>
            <w:pPr>
              <w:spacing w:after="0"/>
              <w:rPr>
                <w:sz w:val="20"/>
                <w:szCs w:val="20"/>
                <w:color w:val="auto"/>
              </w:rPr>
            </w:pPr>
          </w:p>
        </w:tc>
        <w:tc>
          <w:tcPr>
            <w:tcW w:w="8460" w:type="dxa"/>
            <w:vAlign w:val="bottom"/>
            <w:gridSpan w:val="3"/>
          </w:tcPr>
          <w:p>
            <w:pPr>
              <w:ind w:left="800"/>
              <w:spacing w:after="0"/>
              <w:rPr>
                <w:sz w:val="20"/>
                <w:szCs w:val="20"/>
                <w:color w:val="auto"/>
              </w:rPr>
            </w:pPr>
            <w:r>
              <w:rPr>
                <w:rFonts w:ascii="Arial" w:cs="Arial" w:eastAsia="Arial" w:hAnsi="Arial"/>
                <w:sz w:val="18"/>
                <w:szCs w:val="18"/>
                <w:color w:val="auto"/>
              </w:rPr>
              <w:t>excluding) the Settlement Date</w:t>
            </w:r>
          </w:p>
        </w:tc>
      </w:tr>
      <w:tr>
        <w:trPr>
          <w:trHeight w:val="324"/>
        </w:trPr>
        <w:tc>
          <w:tcPr>
            <w:tcW w:w="2500" w:type="dxa"/>
            <w:vAlign w:val="bottom"/>
          </w:tcPr>
          <w:p>
            <w:pPr>
              <w:spacing w:after="0"/>
              <w:rPr>
                <w:sz w:val="20"/>
                <w:szCs w:val="20"/>
                <w:color w:val="auto"/>
              </w:rPr>
            </w:pPr>
            <w:r>
              <w:rPr>
                <w:rFonts w:ascii="Arial" w:cs="Arial" w:eastAsia="Arial" w:hAnsi="Arial"/>
                <w:sz w:val="18"/>
                <w:szCs w:val="18"/>
                <w:color w:val="auto"/>
              </w:rPr>
              <w:t>Interest Payment Dates:</w:t>
            </w:r>
          </w:p>
        </w:tc>
        <w:tc>
          <w:tcPr>
            <w:tcW w:w="8460" w:type="dxa"/>
            <w:vAlign w:val="bottom"/>
            <w:gridSpan w:val="3"/>
          </w:tcPr>
          <w:p>
            <w:pPr>
              <w:ind w:left="800"/>
              <w:spacing w:after="0"/>
              <w:rPr>
                <w:sz w:val="20"/>
                <w:szCs w:val="20"/>
                <w:color w:val="auto"/>
              </w:rPr>
            </w:pPr>
            <w:r>
              <w:rPr>
                <w:rFonts w:ascii="Arial" w:cs="Arial" w:eastAsia="Arial" w:hAnsi="Arial"/>
                <w:sz w:val="18"/>
                <w:szCs w:val="18"/>
                <w:color w:val="auto"/>
              </w:rPr>
              <w:t>March 14 and September 14, beginning on September 14, 2023, and on the maturity date</w:t>
            </w:r>
          </w:p>
        </w:tc>
      </w:tr>
      <w:tr>
        <w:trPr>
          <w:trHeight w:val="324"/>
        </w:trPr>
        <w:tc>
          <w:tcPr>
            <w:tcW w:w="2500" w:type="dxa"/>
            <w:vAlign w:val="bottom"/>
          </w:tcPr>
          <w:p>
            <w:pPr>
              <w:spacing w:after="0"/>
              <w:rPr>
                <w:sz w:val="20"/>
                <w:szCs w:val="20"/>
                <w:color w:val="auto"/>
              </w:rPr>
            </w:pPr>
            <w:r>
              <w:rPr>
                <w:rFonts w:ascii="Arial" w:cs="Arial" w:eastAsia="Arial" w:hAnsi="Arial"/>
                <w:sz w:val="18"/>
                <w:szCs w:val="18"/>
                <w:color w:val="auto"/>
              </w:rPr>
              <w:t>Day Count Convention:</w:t>
            </w:r>
          </w:p>
        </w:tc>
        <w:tc>
          <w:tcPr>
            <w:tcW w:w="2140" w:type="dxa"/>
            <w:vAlign w:val="bottom"/>
          </w:tcPr>
          <w:p>
            <w:pPr>
              <w:ind w:left="800"/>
              <w:spacing w:after="0"/>
              <w:rPr>
                <w:sz w:val="20"/>
                <w:szCs w:val="20"/>
                <w:color w:val="auto"/>
              </w:rPr>
            </w:pPr>
            <w:r>
              <w:rPr>
                <w:rFonts w:ascii="Arial" w:cs="Arial" w:eastAsia="Arial" w:hAnsi="Arial"/>
                <w:sz w:val="18"/>
                <w:szCs w:val="18"/>
                <w:color w:val="auto"/>
              </w:rPr>
              <w:t>30/360</w:t>
            </w:r>
          </w:p>
        </w:tc>
        <w:tc>
          <w:tcPr>
            <w:tcW w:w="172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365"/>
        </w:trPr>
        <w:tc>
          <w:tcPr>
            <w:tcW w:w="25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320" w:type="dxa"/>
            <w:vAlign w:val="bottom"/>
            <w:gridSpan w:val="2"/>
          </w:tcPr>
          <w:p>
            <w:pPr>
              <w:jc w:val="center"/>
              <w:ind w:right="4600"/>
              <w:spacing w:after="0"/>
              <w:rPr>
                <w:sz w:val="20"/>
                <w:szCs w:val="20"/>
                <w:color w:val="auto"/>
              </w:rPr>
            </w:pPr>
            <w:r>
              <w:rPr>
                <w:rFonts w:ascii="Arial" w:cs="Arial" w:eastAsia="Arial" w:hAnsi="Arial"/>
                <w:sz w:val="18"/>
                <w:szCs w:val="18"/>
                <w:color w:val="auto"/>
                <w:w w:val="94"/>
              </w:rPr>
              <w:t>I-3</w:t>
            </w:r>
          </w:p>
        </w:tc>
      </w:tr>
    </w:tbl>
    <w:p>
      <w:pPr>
        <w:jc w:val="center"/>
        <w:ind w:right="4600"/>
        <w:spacing w:after="0"/>
        <w:rPr>
          <w:sz w:val="20"/>
          <w:szCs w:val="20"/>
          <w:color w:val="auto"/>
        </w:rPr>
        <w:sectPr>
          <w:pgSz w:w="11900" w:h="16838" w:orient="portrait"/>
          <w:cols w:equalWidth="0" w:num="1">
            <w:col w:w="10960"/>
          </w:cols>
          <w:pgMar w:left="440" w:top="473"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bookmarkStart w:id="13" w:name="page14"/>
    <w:bookmarkEnd w:id="13"/>
    <w:p>
      <w:pPr>
        <w:spacing w:after="0"/>
        <w:rPr>
          <w:sz w:val="20"/>
          <w:szCs w:val="20"/>
          <w:color w:val="auto"/>
        </w:rPr>
      </w:pPr>
      <w:r>
        <w:rPr>
          <w:rFonts w:ascii="Arial" w:cs="Arial" w:eastAsia="Arial" w:hAnsi="Arial"/>
          <w:sz w:val="17"/>
          <w:szCs w:val="17"/>
          <w:color w:val="auto"/>
        </w:rPr>
        <w:t>Proceeds (before expenses) to TI:</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Reoffer Yield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Benchmark Treasury Price and Yield: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Make-Whole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Par Call: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Trade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Denominations: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CUSIP/ISIN:</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$206,802,000, plus accrued interest from (and including) March 14, 2023 to (but excluding) the Settlement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-400685</wp:posOffset>
            </wp:positionV>
            <wp:extent cx="7174865"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3.500% due February 15, 2033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102 basis points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4.415%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100-27+; 3.395%</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At any time before December 14, 2032 (three months before the maturity date) at the greater of: (1) (a) the sum of the present values of the remaining scheduled payments of principal and interest thereon discounted to the redemption date (assuming the Notes matured on December 14, 2032) on a semi-annual basis (assuming a 360-day year consisting of twelve 30-day months) at the Treasury Rate plus 15 basis points less (b) interest accrued to the date of redemption, and (2) 100% of the principal amount of the Notes to be redeemed, plus, in either case, accrued and unpaid interest thereon to the redemption date.</w:t>
      </w:r>
    </w:p>
    <w:p>
      <w:pPr>
        <w:spacing w:after="0" w:line="56"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At any time on or after December 14, 2032 (three months before the maturity date) at 100% of the principal amount of notes being redeemed plus accrued and unpaid interest thereon to the redemption date.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May 11,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May 18, 2023 (T+5)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$2,000 and multiples of $1,000 thereafter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882508CB8/US882508CB86</w:t>
      </w:r>
    </w:p>
    <w:p>
      <w:pPr>
        <w:spacing w:after="0" w:line="158"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I-4</w:t>
      </w:r>
    </w:p>
    <w:p>
      <w:pPr>
        <w:sectPr>
          <w:pgSz w:w="11900" w:h="16838" w:orient="portrait"/>
          <w:cols w:equalWidth="0" w:num="2">
            <w:col w:w="2700" w:space="600"/>
            <w:col w:w="7700"/>
          </w:cols>
          <w:pgMar w:left="440" w:top="490" w:right="459" w:bottom="1440" w:gutter="0" w:footer="0" w:header="0"/>
        </w:sectPr>
      </w:pPr>
    </w:p>
    <w:bookmarkStart w:id="14" w:name="page15"/>
    <w:bookmarkEnd w:id="14"/>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Issuer: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Coupon: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Price to Public: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Day Count Convention: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Proceeds (before expenses) to TI:</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Benchmark Treasury Price and Yield: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Make-Whole Call:</w:t>
      </w:r>
    </w:p>
    <w:p>
      <w:pPr>
        <w:spacing w:after="0" w:line="20" w:lineRule="exact"/>
        <w:rPr>
          <w:sz w:val="20"/>
          <w:szCs w:val="20"/>
          <w:color w:val="auto"/>
        </w:rPr>
      </w:pPr>
      <w:r>
        <w:rPr>
          <w:sz w:val="20"/>
          <w:szCs w:val="20"/>
          <w:color w:val="auto"/>
        </w:rPr>
        <w:br w:type="column"/>
      </w:r>
    </w:p>
    <w:p>
      <w:pPr>
        <w:ind w:left="1340"/>
        <w:spacing w:after="0"/>
        <w:rPr>
          <w:sz w:val="20"/>
          <w:szCs w:val="20"/>
          <w:color w:val="auto"/>
        </w:rPr>
      </w:pPr>
      <w:r>
        <w:rPr>
          <w:rFonts w:ascii="Arial" w:cs="Arial" w:eastAsia="Arial" w:hAnsi="Arial"/>
          <w:sz w:val="18"/>
          <w:szCs w:val="18"/>
          <w:u w:val="single" w:color="auto"/>
          <w:color w:val="auto"/>
        </w:rPr>
        <w:t>5.050% Notes due 2063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-228600</wp:posOffset>
            </wp:positionV>
            <wp:extent cx="7174865"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 (“TI”)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$1,200,000,000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May 18, 2063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5.050%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99.167% of principal amount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May 18 and November 18, beginning on November 18, 2023, and on the maturity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30/360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$1,182,804,000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4.000% due November 15, 2052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137 basis points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5.099%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104-26+; 3.729%</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At any time before November 18, 2062 (six months before the maturity date) at the greater of: (1) (a) the sum of the present values of the remaining scheduled payments of principal and interest thereon discounted to the redemption date (assuming the Notes matured on November 18, 2062) on a semi-annual basis (assuming a 360-day year consisting of twelve 30-day months) at the Treasury Rate plus 25 basis points less (b) interest accrued to the date of redemption, and (2) 100% of the principal amount of the Notes to be redeemed, plus, in either case, accrued and unpaid interest thereon to the redemption date.</w:t>
      </w:r>
    </w:p>
    <w:p>
      <w:pPr>
        <w:spacing w:after="0" w:line="97"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I-5</w:t>
      </w:r>
    </w:p>
    <w:p>
      <w:pPr>
        <w:sectPr>
          <w:pgSz w:w="11900" w:h="16838" w:orient="portrait"/>
          <w:cols w:equalWidth="0" w:num="2">
            <w:col w:w="2700" w:space="600"/>
            <w:col w:w="7620"/>
          </w:cols>
          <w:pgMar w:left="440" w:top="490" w:right="5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Par Call:</w:t>
            </w:r>
          </w:p>
        </w:tc>
        <w:tc>
          <w:tcPr>
            <w:tcW w:w="8140" w:type="dxa"/>
            <w:vAlign w:val="bottom"/>
            <w:gridSpan w:val="3"/>
          </w:tcPr>
          <w:p>
            <w:pPr>
              <w:ind w:left="520"/>
              <w:spacing w:after="0"/>
              <w:rPr>
                <w:sz w:val="20"/>
                <w:szCs w:val="20"/>
                <w:color w:val="auto"/>
              </w:rPr>
            </w:pPr>
            <w:r>
              <w:rPr>
                <w:rFonts w:ascii="Arial" w:cs="Arial" w:eastAsia="Arial" w:hAnsi="Arial"/>
                <w:sz w:val="18"/>
                <w:szCs w:val="18"/>
                <w:color w:val="auto"/>
                <w:w w:val="91"/>
              </w:rPr>
              <w:t>At any time on or after November 18, 2062 (six months before the maturity date) at 100% of the principal</w:t>
            </w:r>
          </w:p>
        </w:tc>
      </w:tr>
      <w:tr>
        <w:trPr>
          <w:trHeight w:val="230"/>
        </w:trPr>
        <w:tc>
          <w:tcPr>
            <w:tcW w:w="2780" w:type="dxa"/>
            <w:vAlign w:val="bottom"/>
          </w:tcPr>
          <w:p>
            <w:pPr>
              <w:spacing w:after="0"/>
              <w:rPr>
                <w:sz w:val="20"/>
                <w:szCs w:val="20"/>
                <w:color w:val="auto"/>
              </w:rPr>
            </w:pPr>
          </w:p>
        </w:tc>
        <w:tc>
          <w:tcPr>
            <w:tcW w:w="8140" w:type="dxa"/>
            <w:vAlign w:val="bottom"/>
            <w:gridSpan w:val="3"/>
          </w:tcPr>
          <w:p>
            <w:pPr>
              <w:ind w:left="520"/>
              <w:spacing w:after="0"/>
              <w:rPr>
                <w:sz w:val="20"/>
                <w:szCs w:val="20"/>
                <w:color w:val="auto"/>
              </w:rPr>
            </w:pPr>
            <w:r>
              <w:rPr>
                <w:rFonts w:ascii="Arial" w:cs="Arial" w:eastAsia="Arial" w:hAnsi="Arial"/>
                <w:sz w:val="18"/>
                <w:szCs w:val="18"/>
                <w:color w:val="auto"/>
                <w:w w:val="96"/>
              </w:rPr>
              <w:t>amount of notes being redeemed plus accrued and unpaid interest thereon to the redemption date.</w:t>
            </w:r>
          </w:p>
        </w:tc>
      </w:tr>
      <w:tr>
        <w:trPr>
          <w:trHeight w:val="324"/>
        </w:trPr>
        <w:tc>
          <w:tcPr>
            <w:tcW w:w="2780" w:type="dxa"/>
            <w:vAlign w:val="bottom"/>
          </w:tcPr>
          <w:p>
            <w:pPr>
              <w:spacing w:after="0"/>
              <w:rPr>
                <w:sz w:val="20"/>
                <w:szCs w:val="20"/>
                <w:color w:val="auto"/>
              </w:rPr>
            </w:pPr>
            <w:r>
              <w:rPr>
                <w:rFonts w:ascii="Arial" w:cs="Arial" w:eastAsia="Arial" w:hAnsi="Arial"/>
                <w:sz w:val="18"/>
                <w:szCs w:val="18"/>
                <w:color w:val="auto"/>
              </w:rPr>
              <w:t>Trade Date:</w:t>
            </w:r>
          </w:p>
        </w:tc>
        <w:tc>
          <w:tcPr>
            <w:tcW w:w="8140" w:type="dxa"/>
            <w:vAlign w:val="bottom"/>
            <w:gridSpan w:val="3"/>
          </w:tcPr>
          <w:p>
            <w:pPr>
              <w:ind w:left="520"/>
              <w:spacing w:after="0"/>
              <w:rPr>
                <w:sz w:val="20"/>
                <w:szCs w:val="20"/>
                <w:color w:val="auto"/>
              </w:rPr>
            </w:pPr>
            <w:r>
              <w:rPr>
                <w:rFonts w:ascii="Arial" w:cs="Arial" w:eastAsia="Arial" w:hAnsi="Arial"/>
                <w:sz w:val="18"/>
                <w:szCs w:val="18"/>
                <w:color w:val="auto"/>
              </w:rPr>
              <w:t>May 11, 2023</w:t>
            </w:r>
          </w:p>
        </w:tc>
      </w:tr>
      <w:tr>
        <w:trPr>
          <w:trHeight w:val="324"/>
        </w:trPr>
        <w:tc>
          <w:tcPr>
            <w:tcW w:w="2780" w:type="dxa"/>
            <w:vAlign w:val="bottom"/>
          </w:tcPr>
          <w:p>
            <w:pPr>
              <w:spacing w:after="0"/>
              <w:rPr>
                <w:sz w:val="20"/>
                <w:szCs w:val="20"/>
                <w:color w:val="auto"/>
              </w:rPr>
            </w:pPr>
            <w:r>
              <w:rPr>
                <w:rFonts w:ascii="Arial" w:cs="Arial" w:eastAsia="Arial" w:hAnsi="Arial"/>
                <w:sz w:val="18"/>
                <w:szCs w:val="18"/>
                <w:color w:val="auto"/>
              </w:rPr>
              <w:t>Settlement Date:</w:t>
            </w:r>
          </w:p>
        </w:tc>
        <w:tc>
          <w:tcPr>
            <w:tcW w:w="8140" w:type="dxa"/>
            <w:vAlign w:val="bottom"/>
            <w:gridSpan w:val="3"/>
          </w:tcPr>
          <w:p>
            <w:pPr>
              <w:ind w:left="520"/>
              <w:spacing w:after="0"/>
              <w:rPr>
                <w:sz w:val="20"/>
                <w:szCs w:val="20"/>
                <w:color w:val="auto"/>
              </w:rPr>
            </w:pPr>
            <w:r>
              <w:rPr>
                <w:rFonts w:ascii="Arial" w:cs="Arial" w:eastAsia="Arial" w:hAnsi="Arial"/>
                <w:sz w:val="18"/>
                <w:szCs w:val="18"/>
                <w:color w:val="auto"/>
              </w:rPr>
              <w:t>May 18, 2023 (T+5)</w:t>
            </w:r>
          </w:p>
        </w:tc>
      </w:tr>
      <w:tr>
        <w:trPr>
          <w:trHeight w:val="324"/>
        </w:trPr>
        <w:tc>
          <w:tcPr>
            <w:tcW w:w="2780" w:type="dxa"/>
            <w:vAlign w:val="bottom"/>
          </w:tcPr>
          <w:p>
            <w:pPr>
              <w:spacing w:after="0"/>
              <w:rPr>
                <w:sz w:val="20"/>
                <w:szCs w:val="20"/>
                <w:color w:val="auto"/>
              </w:rPr>
            </w:pPr>
            <w:r>
              <w:rPr>
                <w:rFonts w:ascii="Arial" w:cs="Arial" w:eastAsia="Arial" w:hAnsi="Arial"/>
                <w:sz w:val="18"/>
                <w:szCs w:val="18"/>
                <w:color w:val="auto"/>
              </w:rPr>
              <w:t>Denominations:</w:t>
            </w:r>
          </w:p>
        </w:tc>
        <w:tc>
          <w:tcPr>
            <w:tcW w:w="8140" w:type="dxa"/>
            <w:vAlign w:val="bottom"/>
            <w:gridSpan w:val="3"/>
          </w:tcPr>
          <w:p>
            <w:pPr>
              <w:ind w:left="520"/>
              <w:spacing w:after="0"/>
              <w:rPr>
                <w:sz w:val="20"/>
                <w:szCs w:val="20"/>
                <w:color w:val="auto"/>
              </w:rPr>
            </w:pPr>
            <w:r>
              <w:rPr>
                <w:rFonts w:ascii="Arial" w:cs="Arial" w:eastAsia="Arial" w:hAnsi="Arial"/>
                <w:sz w:val="18"/>
                <w:szCs w:val="18"/>
                <w:color w:val="auto"/>
              </w:rPr>
              <w:t>$2,000 and multiples of $1,000 thereafter</w:t>
            </w:r>
          </w:p>
        </w:tc>
      </w:tr>
      <w:tr>
        <w:trPr>
          <w:trHeight w:val="324"/>
        </w:trPr>
        <w:tc>
          <w:tcPr>
            <w:tcW w:w="2780" w:type="dxa"/>
            <w:vAlign w:val="bottom"/>
          </w:tcPr>
          <w:p>
            <w:pPr>
              <w:spacing w:after="0"/>
              <w:rPr>
                <w:sz w:val="20"/>
                <w:szCs w:val="20"/>
                <w:color w:val="auto"/>
              </w:rPr>
            </w:pPr>
            <w:r>
              <w:rPr>
                <w:rFonts w:ascii="Arial" w:cs="Arial" w:eastAsia="Arial" w:hAnsi="Arial"/>
                <w:sz w:val="18"/>
                <w:szCs w:val="18"/>
                <w:color w:val="auto"/>
              </w:rPr>
              <w:t>CUSIP/ISIN:</w:t>
            </w:r>
          </w:p>
        </w:tc>
        <w:tc>
          <w:tcPr>
            <w:tcW w:w="8140" w:type="dxa"/>
            <w:vAlign w:val="bottom"/>
            <w:gridSpan w:val="3"/>
          </w:tcPr>
          <w:p>
            <w:pPr>
              <w:ind w:left="520"/>
              <w:spacing w:after="0"/>
              <w:rPr>
                <w:sz w:val="20"/>
                <w:szCs w:val="20"/>
                <w:color w:val="auto"/>
              </w:rPr>
            </w:pPr>
            <w:r>
              <w:rPr>
                <w:rFonts w:ascii="Arial" w:cs="Arial" w:eastAsia="Arial" w:hAnsi="Arial"/>
                <w:sz w:val="18"/>
                <w:szCs w:val="18"/>
                <w:color w:val="auto"/>
              </w:rPr>
              <w:t>882926AA6/US882926AA67</w:t>
            </w:r>
          </w:p>
        </w:tc>
      </w:tr>
      <w:tr>
        <w:trPr>
          <w:trHeight w:val="392"/>
        </w:trPr>
        <w:tc>
          <w:tcPr>
            <w:tcW w:w="27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080" w:type="dxa"/>
            <w:vAlign w:val="bottom"/>
            <w:gridSpan w:val="2"/>
          </w:tcPr>
          <w:p>
            <w:pPr>
              <w:jc w:val="center"/>
              <w:ind w:right="4760"/>
              <w:spacing w:after="0"/>
              <w:rPr>
                <w:sz w:val="20"/>
                <w:szCs w:val="20"/>
                <w:color w:val="auto"/>
              </w:rPr>
            </w:pPr>
            <w:r>
              <w:rPr>
                <w:rFonts w:ascii="Arial" w:cs="Arial" w:eastAsia="Arial" w:hAnsi="Arial"/>
                <w:sz w:val="18"/>
                <w:szCs w:val="18"/>
                <w:color w:val="auto"/>
                <w:w w:val="94"/>
              </w:rPr>
              <w:t>Other Information</w:t>
            </w:r>
          </w:p>
        </w:tc>
      </w:tr>
      <w:tr>
        <w:trPr>
          <w:trHeight w:val="20"/>
        </w:trPr>
        <w:tc>
          <w:tcPr>
            <w:tcW w:w="27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479"/>
        </w:trPr>
        <w:tc>
          <w:tcPr>
            <w:tcW w:w="2780" w:type="dxa"/>
            <w:vAlign w:val="bottom"/>
          </w:tcPr>
          <w:p>
            <w:pPr>
              <w:spacing w:after="0"/>
              <w:rPr>
                <w:sz w:val="20"/>
                <w:szCs w:val="20"/>
                <w:color w:val="auto"/>
              </w:rPr>
            </w:pPr>
            <w:r>
              <w:rPr>
                <w:rFonts w:ascii="Arial" w:cs="Arial" w:eastAsia="Arial" w:hAnsi="Arial"/>
                <w:sz w:val="18"/>
                <w:szCs w:val="18"/>
                <w:color w:val="auto"/>
              </w:rPr>
              <w:t>Ratings:*</w:t>
            </w:r>
          </w:p>
        </w:tc>
        <w:tc>
          <w:tcPr>
            <w:tcW w:w="8140" w:type="dxa"/>
            <w:vAlign w:val="bottom"/>
            <w:gridSpan w:val="3"/>
          </w:tcPr>
          <w:p>
            <w:pPr>
              <w:ind w:left="520"/>
              <w:spacing w:after="0"/>
              <w:rPr>
                <w:sz w:val="20"/>
                <w:szCs w:val="20"/>
                <w:color w:val="auto"/>
              </w:rPr>
            </w:pPr>
            <w:r>
              <w:rPr>
                <w:rFonts w:ascii="Arial" w:cs="Arial" w:eastAsia="Arial" w:hAnsi="Arial"/>
                <w:sz w:val="18"/>
                <w:szCs w:val="18"/>
                <w:i w:val="1"/>
                <w:iCs w:val="1"/>
                <w:color w:val="auto"/>
              </w:rPr>
              <w:t>[Intentionally Omitted]</w:t>
            </w:r>
          </w:p>
        </w:tc>
      </w:tr>
      <w:tr>
        <w:trPr>
          <w:trHeight w:val="310"/>
        </w:trPr>
        <w:tc>
          <w:tcPr>
            <w:tcW w:w="278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8140" w:type="dxa"/>
            <w:vAlign w:val="bottom"/>
            <w:gridSpan w:val="3"/>
          </w:tcPr>
          <w:p>
            <w:pPr>
              <w:ind w:left="520"/>
              <w:spacing w:after="0"/>
              <w:rPr>
                <w:sz w:val="20"/>
                <w:szCs w:val="20"/>
                <w:color w:val="auto"/>
              </w:rPr>
            </w:pPr>
            <w:r>
              <w:rPr>
                <w:rFonts w:ascii="Arial" w:cs="Arial" w:eastAsia="Arial" w:hAnsi="Arial"/>
                <w:sz w:val="18"/>
                <w:szCs w:val="18"/>
                <w:color w:val="auto"/>
              </w:rPr>
              <w:t>J.P. Morgan Securities LLC</w:t>
            </w:r>
          </w:p>
        </w:tc>
      </w:tr>
      <w:tr>
        <w:trPr>
          <w:trHeight w:val="216"/>
        </w:trPr>
        <w:tc>
          <w:tcPr>
            <w:tcW w:w="2780" w:type="dxa"/>
            <w:vAlign w:val="bottom"/>
          </w:tcPr>
          <w:p>
            <w:pPr>
              <w:spacing w:after="0"/>
              <w:rPr>
                <w:sz w:val="18"/>
                <w:szCs w:val="18"/>
                <w:color w:val="auto"/>
              </w:rPr>
            </w:pPr>
          </w:p>
        </w:tc>
        <w:tc>
          <w:tcPr>
            <w:tcW w:w="8140" w:type="dxa"/>
            <w:vAlign w:val="bottom"/>
            <w:gridSpan w:val="3"/>
          </w:tcPr>
          <w:p>
            <w:pPr>
              <w:ind w:left="520"/>
              <w:spacing w:after="0"/>
              <w:rPr>
                <w:sz w:val="20"/>
                <w:szCs w:val="20"/>
                <w:color w:val="auto"/>
              </w:rPr>
            </w:pPr>
            <w:r>
              <w:rPr>
                <w:rFonts w:ascii="Arial" w:cs="Arial" w:eastAsia="Arial" w:hAnsi="Arial"/>
                <w:sz w:val="18"/>
                <w:szCs w:val="18"/>
                <w:color w:val="auto"/>
              </w:rPr>
              <w:t>Morgan Stanley &amp; Co. LLC</w:t>
            </w:r>
          </w:p>
        </w:tc>
      </w:tr>
      <w:tr>
        <w:trPr>
          <w:trHeight w:val="230"/>
        </w:trPr>
        <w:tc>
          <w:tcPr>
            <w:tcW w:w="2780" w:type="dxa"/>
            <w:vAlign w:val="bottom"/>
          </w:tcPr>
          <w:p>
            <w:pPr>
              <w:spacing w:after="0"/>
              <w:rPr>
                <w:sz w:val="20"/>
                <w:szCs w:val="20"/>
                <w:color w:val="auto"/>
              </w:rPr>
            </w:pPr>
          </w:p>
        </w:tc>
        <w:tc>
          <w:tcPr>
            <w:tcW w:w="8140" w:type="dxa"/>
            <w:vAlign w:val="bottom"/>
            <w:gridSpan w:val="3"/>
          </w:tcPr>
          <w:p>
            <w:pPr>
              <w:ind w:left="520"/>
              <w:spacing w:after="0"/>
              <w:rPr>
                <w:sz w:val="20"/>
                <w:szCs w:val="20"/>
                <w:color w:val="auto"/>
              </w:rPr>
            </w:pPr>
            <w:r>
              <w:rPr>
                <w:rFonts w:ascii="Arial" w:cs="Arial" w:eastAsia="Arial" w:hAnsi="Arial"/>
                <w:sz w:val="18"/>
                <w:szCs w:val="18"/>
                <w:color w:val="auto"/>
              </w:rPr>
              <w:t>U.S. Bancorp Investments, Inc.</w:t>
            </w:r>
          </w:p>
        </w:tc>
      </w:tr>
      <w:tr>
        <w:trPr>
          <w:trHeight w:val="378"/>
        </w:trPr>
        <w:tc>
          <w:tcPr>
            <w:tcW w:w="27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080" w:type="dxa"/>
            <w:vAlign w:val="bottom"/>
            <w:gridSpan w:val="2"/>
          </w:tcPr>
          <w:p>
            <w:pPr>
              <w:jc w:val="center"/>
              <w:ind w:right="4760"/>
              <w:spacing w:after="0"/>
              <w:rPr>
                <w:sz w:val="20"/>
                <w:szCs w:val="20"/>
                <w:color w:val="auto"/>
              </w:rPr>
            </w:pPr>
            <w:r>
              <w:rPr>
                <w:rFonts w:ascii="Arial" w:cs="Arial" w:eastAsia="Arial" w:hAnsi="Arial"/>
                <w:sz w:val="18"/>
                <w:szCs w:val="18"/>
                <w:color w:val="auto"/>
                <w:w w:val="94"/>
              </w:rPr>
              <w:t>I-6</w:t>
            </w:r>
          </w:p>
        </w:tc>
      </w:tr>
    </w:tbl>
    <w:p>
      <w:pPr>
        <w:jc w:val="center"/>
        <w:ind w:right="4760"/>
        <w:spacing w:after="0"/>
        <w:rPr>
          <w:sz w:val="20"/>
          <w:szCs w:val="20"/>
          <w:color w:val="auto"/>
        </w:rPr>
        <w:sectPr>
          <w:pgSz w:w="11900" w:h="16838" w:orient="portrait"/>
          <w:cols w:equalWidth="0" w:num="1">
            <w:col w:w="10920"/>
          </w:cols>
          <w:pgMar w:left="440" w:top="598" w:right="5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bookmarkStart w:id="16" w:name="page17"/>
    <w:bookmarkEnd w:id="1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 securities rating is not a recommendation to buy, sell or hold securities and may be subject to revision or withdrawal at any time.</w:t>
      </w:r>
    </w:p>
    <w:p>
      <w:pPr>
        <w:spacing w:after="0" w:line="1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color w:val="auto"/>
        </w:rPr>
        <w:t>It is expected that delivery of the notes will be made against payment therefore on or about May 18, 2023, which is the fifth business day following the date hereof (such settlement cycle being referred to as “T+5”). Under Rule 15c6-1 under the Securities Exchange Act of 1934, as amended, trades in the secondary market generally are required to settle in two business days unless the parties to any such trade expressly agree otherwise. Accordingly, purchasers who wish to trade the notes prior to the second business day before the delivery of the notes will be required, by virtue of the fact that the notes initially will settle in T+5, to specify an alternative settlement cycle at the time of any such trade to prevent failed settlement. Purchasers of the notes who wish to trade the notes prior to the second business day before the delivery of the notes should consult their own advisors.</w:t>
      </w:r>
    </w:p>
    <w:p>
      <w:pPr>
        <w:spacing w:after="0" w:line="64"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The issuer has filed a registration statement (including a prospectus) and a prospectus supplement with the Securities and Exchange Commission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J.P. Morgan Securities LLC at (212) 834-4533 (collect), Morgan Stanley &amp; Co. LLC at (866) 718-1649 (toll-free) or U.S. Bancorp Investments, Inc. at (877) 558-2607.</w:t>
      </w:r>
    </w:p>
    <w:p>
      <w:pPr>
        <w:spacing w:after="0" w:line="81" w:lineRule="exact"/>
        <w:rPr>
          <w:sz w:val="20"/>
          <w:szCs w:val="20"/>
          <w:color w:val="auto"/>
        </w:rPr>
      </w:pPr>
    </w:p>
    <w:p>
      <w:pPr>
        <w:ind w:right="140"/>
        <w:spacing w:after="0" w:line="347" w:lineRule="auto"/>
        <w:rPr>
          <w:sz w:val="20"/>
          <w:szCs w:val="20"/>
          <w:color w:val="auto"/>
        </w:rPr>
      </w:pPr>
      <w:r>
        <w:rPr>
          <w:rFonts w:ascii="Arial" w:cs="Arial" w:eastAsia="Arial" w:hAnsi="Arial"/>
          <w:sz w:val="16"/>
          <w:szCs w:val="16"/>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I-7</w:t>
      </w:r>
    </w:p>
    <w:p>
      <w:pPr>
        <w:sectPr>
          <w:pgSz w:w="11900" w:h="16838" w:orient="portrait"/>
          <w:cols w:equalWidth="0" w:num="1">
            <w:col w:w="10920"/>
          </w:cols>
          <w:pgMar w:left="440" w:top="486" w:right="539" w:bottom="1440" w:gutter="0" w:footer="0" w:header="0"/>
        </w:sectPr>
      </w:pPr>
    </w:p>
    <w:bookmarkStart w:id="17" w:name="page18"/>
    <w:bookmarkEnd w:id="1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SCHEDULE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UNDERWRITING AGREEMENT</w:t>
      </w:r>
    </w:p>
    <w:p>
      <w:pPr>
        <w:spacing w:after="0" w:line="221"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4.600% Notes</w:t>
            </w:r>
          </w:p>
        </w:tc>
        <w:tc>
          <w:tcPr>
            <w:tcW w:w="320" w:type="dxa"/>
            <w:vAlign w:val="bottom"/>
          </w:tcPr>
          <w:p>
            <w:pPr>
              <w:spacing w:after="0"/>
              <w:rPr>
                <w:sz w:val="14"/>
                <w:szCs w:val="14"/>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4"/>
                <w:szCs w:val="14"/>
                <w:color w:val="auto"/>
              </w:rPr>
              <w:t>4.900% Notes</w:t>
            </w:r>
          </w:p>
        </w:tc>
        <w:tc>
          <w:tcPr>
            <w:tcW w:w="1180" w:type="dxa"/>
            <w:vAlign w:val="bottom"/>
            <w:gridSpan w:val="3"/>
          </w:tcPr>
          <w:p>
            <w:pPr>
              <w:jc w:val="center"/>
              <w:ind w:right="40"/>
              <w:spacing w:after="0"/>
              <w:rPr>
                <w:sz w:val="20"/>
                <w:szCs w:val="20"/>
                <w:color w:val="auto"/>
              </w:rPr>
            </w:pPr>
            <w:r>
              <w:rPr>
                <w:rFonts w:ascii="Arial" w:cs="Arial" w:eastAsia="Arial" w:hAnsi="Arial"/>
                <w:sz w:val="14"/>
                <w:szCs w:val="14"/>
                <w:color w:val="auto"/>
                <w:w w:val="91"/>
              </w:rPr>
              <w:t>5.050% Notes due</w:t>
            </w:r>
          </w:p>
        </w:tc>
      </w:tr>
      <w:tr>
        <w:trPr>
          <w:trHeight w:val="167"/>
        </w:trPr>
        <w:tc>
          <w:tcPr>
            <w:tcW w:w="5460" w:type="dxa"/>
            <w:vAlign w:val="bottom"/>
            <w:gridSpan w:val="2"/>
          </w:tcPr>
          <w:p>
            <w:pPr>
              <w:spacing w:after="0"/>
              <w:rPr>
                <w:sz w:val="20"/>
                <w:szCs w:val="20"/>
                <w:color w:val="auto"/>
              </w:rPr>
            </w:pPr>
            <w:r>
              <w:rPr>
                <w:rFonts w:ascii="Arial" w:cs="Arial" w:eastAsia="Arial" w:hAnsi="Arial"/>
                <w:sz w:val="14"/>
                <w:szCs w:val="14"/>
                <w:color w:val="auto"/>
              </w:rPr>
              <w:t>Underwriter</w:t>
            </w:r>
          </w:p>
        </w:tc>
        <w:tc>
          <w:tcPr>
            <w:tcW w:w="10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due 2028</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color w:val="auto"/>
              </w:rPr>
              <w:t>due 2033</w:t>
            </w:r>
          </w:p>
        </w:tc>
        <w:tc>
          <w:tcPr>
            <w:tcW w:w="100" w:type="dxa"/>
            <w:vAlign w:val="bottom"/>
          </w:tcPr>
          <w:p>
            <w:pPr>
              <w:spacing w:after="0"/>
              <w:rPr>
                <w:sz w:val="14"/>
                <w:szCs w:val="14"/>
                <w:color w:val="auto"/>
              </w:rPr>
            </w:pPr>
          </w:p>
        </w:tc>
        <w:tc>
          <w:tcPr>
            <w:tcW w:w="1020" w:type="dxa"/>
            <w:vAlign w:val="bottom"/>
          </w:tcPr>
          <w:p>
            <w:pPr>
              <w:jc w:val="right"/>
              <w:ind w:right="334"/>
              <w:spacing w:after="0"/>
              <w:rPr>
                <w:sz w:val="20"/>
                <w:szCs w:val="20"/>
                <w:color w:val="auto"/>
              </w:rPr>
            </w:pPr>
            <w:r>
              <w:rPr>
                <w:rFonts w:ascii="Arial" w:cs="Arial" w:eastAsia="Arial" w:hAnsi="Arial"/>
                <w:sz w:val="14"/>
                <w:szCs w:val="14"/>
                <w:color w:val="auto"/>
              </w:rPr>
              <w:t>2063</w:t>
            </w:r>
          </w:p>
        </w:tc>
        <w:tc>
          <w:tcPr>
            <w:tcW w:w="60" w:type="dxa"/>
            <w:vAlign w:val="bottom"/>
          </w:tcPr>
          <w:p>
            <w:pPr>
              <w:spacing w:after="0"/>
              <w:rPr>
                <w:sz w:val="14"/>
                <w:szCs w:val="14"/>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66,668,000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66,666,000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400,000,000</w:t>
            </w: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7"/>
              </w:rPr>
              <w:t>66,666,000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66,666,000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400,000,000</w:t>
            </w: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66,666,000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66,668,000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400,000,000</w:t>
            </w:r>
          </w:p>
        </w:tc>
      </w:tr>
      <w:tr>
        <w:trPr>
          <w:trHeight w:val="216"/>
        </w:trPr>
        <w:tc>
          <w:tcPr>
            <w:tcW w:w="70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200,000,000</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200,000,000</w:t>
            </w: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6"/>
              </w:rPr>
              <w:t>1,200,000,000</w:t>
            </w:r>
          </w:p>
        </w:tc>
      </w:tr>
      <w:tr>
        <w:trPr>
          <w:trHeight w:val="20"/>
        </w:trPr>
        <w:tc>
          <w:tcPr>
            <w:tcW w:w="7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to the Underwriters:</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102.104% of the principal amount, plus accrued interest from (and including) February 15, 2023 to (but excluding) May 18, 2023 with respect to the 4.600% Notes due 2028</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103.401% of the principal amount, plus accrued interest from (and including) March 14, 2023 to (but excluding) May 18, 2023 with respect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4.900% Notes due 2033</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98.567% of the principal amount with respect to the 5.050% Notes due 2063</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0960"/>
          </w:cols>
          <w:pgMar w:left="440" w:top="486" w:right="499" w:bottom="1440" w:gutter="0" w:footer="0" w:header="0"/>
        </w:sectPr>
      </w:pPr>
    </w:p>
    <w:bookmarkStart w:id="18" w:name="page19"/>
    <w:bookmarkEnd w:id="18"/>
    <w:p>
      <w:pPr>
        <w:jc w:val="center"/>
        <w:ind w:right="-5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SCHEDULE III</w:t>
      </w:r>
    </w:p>
    <w:p>
      <w:pPr>
        <w:spacing w:after="0" w:line="225" w:lineRule="exact"/>
        <w:rPr>
          <w:sz w:val="20"/>
          <w:szCs w:val="20"/>
          <w:color w:val="auto"/>
        </w:rPr>
      </w:pPr>
    </w:p>
    <w:p>
      <w:pPr>
        <w:jc w:val="right"/>
        <w:ind w:right="3019"/>
        <w:spacing w:after="0"/>
        <w:rPr>
          <w:sz w:val="20"/>
          <w:szCs w:val="20"/>
          <w:color w:val="auto"/>
        </w:rPr>
      </w:pPr>
      <w:r>
        <w:rPr>
          <w:rFonts w:ascii="Arial" w:cs="Arial" w:eastAsia="Arial" w:hAnsi="Arial"/>
          <w:sz w:val="18"/>
          <w:szCs w:val="18"/>
          <w:b w:val="1"/>
          <w:bCs w:val="1"/>
          <w:color w:val="auto"/>
        </w:rPr>
        <w:t>TO UNDERWRITING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Schedule I.</w:t>
      </w:r>
    </w:p>
    <w:p>
      <w:pPr>
        <w:spacing w:after="0" w:line="158"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III-1</w:t>
      </w:r>
    </w:p>
    <w:p>
      <w:pPr>
        <w:sectPr>
          <w:pgSz w:w="11900" w:h="16838" w:orient="portrait"/>
          <w:cols w:equalWidth="0" w:num="1">
            <w:col w:w="9579"/>
          </w:cols>
          <w:pgMar w:left="880" w:top="486" w:right="1440" w:bottom="1440" w:gutter="0" w:footer="0" w:header="0"/>
        </w:sectPr>
      </w:pPr>
    </w:p>
    <w:bookmarkStart w:id="19" w:name="page20"/>
    <w:bookmarkEnd w:id="19"/>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SCHEDULE IV</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TO UNDERWRITING AGREEMENT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only information that the Underwriters have furnished to the Company in writing expressly for use in the Prospectus Supplement is:</w:t>
      </w:r>
    </w:p>
    <w:p>
      <w:pPr>
        <w:spacing w:after="0" w:line="248" w:lineRule="exact"/>
        <w:rPr>
          <w:sz w:val="20"/>
          <w:szCs w:val="20"/>
          <w:color w:val="auto"/>
        </w:rPr>
      </w:pPr>
    </w:p>
    <w:p>
      <w:pPr>
        <w:ind w:right="60" w:firstLine="419"/>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third paragraph of text under the caption “Underwriting” in the Prospectus Supplement, concerning the terms offered by the Underwriters;</w:t>
      </w:r>
    </w:p>
    <w:p>
      <w:pPr>
        <w:spacing w:after="0" w:line="170" w:lineRule="exact"/>
        <w:rPr>
          <w:rFonts w:ascii="Arial" w:cs="Arial" w:eastAsia="Arial" w:hAnsi="Arial"/>
          <w:sz w:val="18"/>
          <w:szCs w:val="18"/>
          <w:color w:val="auto"/>
        </w:rPr>
      </w:pPr>
    </w:p>
    <w:p>
      <w:pPr>
        <w:ind w:firstLine="419"/>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sixth and seventh paragraphs of text under the caption “Underwriting” in the Prospectus Supplement, concerning short sales, purchases to cover short positions and stabilizing purchases.</w:t>
      </w:r>
    </w:p>
    <w:p>
      <w:pPr>
        <w:spacing w:after="0" w:line="34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IV-1</w:t>
      </w:r>
    </w:p>
    <w:p>
      <w:pPr>
        <w:sectPr>
          <w:pgSz w:w="11900" w:h="16838" w:orient="portrait"/>
          <w:cols w:equalWidth="0" w:num="1">
            <w:col w:w="9900"/>
          </w:cols>
          <w:pgMar w:left="880" w:top="486" w:right="111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Texas Instruments Incorporated Underwriting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Provisions</w:t>
      </w:r>
    </w:p>
    <w:p>
      <w:pPr>
        <w:spacing w:after="0" w:line="211" w:lineRule="exact"/>
        <w:rPr>
          <w:sz w:val="20"/>
          <w:szCs w:val="20"/>
          <w:color w:val="auto"/>
        </w:rPr>
      </w:pPr>
    </w:p>
    <w:p>
      <w:pPr>
        <w:ind w:left="9680"/>
        <w:spacing w:after="0"/>
        <w:rPr>
          <w:sz w:val="20"/>
          <w:szCs w:val="20"/>
          <w:color w:val="auto"/>
        </w:rPr>
      </w:pPr>
      <w:r>
        <w:rPr>
          <w:rFonts w:ascii="Arial" w:cs="Arial" w:eastAsia="Arial" w:hAnsi="Arial"/>
          <w:sz w:val="16"/>
          <w:szCs w:val="16"/>
          <w:color w:val="auto"/>
        </w:rPr>
        <w:t>February 22, 2019</w:t>
      </w:r>
    </w:p>
    <w:p>
      <w:pPr>
        <w:spacing w:after="0" w:line="24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From time to time, Texas Instruments Incorporated, a Delaware corporation, may enter into one or more underwriting agreements that provide for the sale of designated securities to the several underwriters named therein. The standard provisions set forth herein may be incorporated by reference in any such underwriting agreement (an “</w:t>
      </w:r>
      <w:r>
        <w:rPr>
          <w:rFonts w:ascii="Arial" w:cs="Arial" w:eastAsia="Arial" w:hAnsi="Arial"/>
          <w:sz w:val="18"/>
          <w:szCs w:val="18"/>
          <w:b w:val="1"/>
          <w:bCs w:val="1"/>
          <w:color w:val="auto"/>
        </w:rPr>
        <w:t>Underwriting Agreement</w:t>
      </w:r>
      <w:r>
        <w:rPr>
          <w:rFonts w:ascii="Arial" w:cs="Arial" w:eastAsia="Arial" w:hAnsi="Arial"/>
          <w:sz w:val="18"/>
          <w:szCs w:val="18"/>
          <w:color w:val="auto"/>
        </w:rPr>
        <w:t>”). The Underwriting Agreement, including the provisions incorporated therein by reference, is herein referred to as this “Agreement”. Unless otherwise defined herein, terms defined in the Underwriting Agreement are used herein as therein defined.</w:t>
      </w:r>
    </w:p>
    <w:p>
      <w:pPr>
        <w:spacing w:after="0" w:line="18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From time to time in one or more offerings on terms determined at the time of sale, the Company proposes to issue and sell (a) its common stock, $1.00 par value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(b) its preferred stock, $25.00 par value per share (the “</w:t>
      </w:r>
      <w:r>
        <w:rPr>
          <w:rFonts w:ascii="Arial" w:cs="Arial" w:eastAsia="Arial" w:hAnsi="Arial"/>
          <w:sz w:val="17"/>
          <w:szCs w:val="17"/>
          <w:b w:val="1"/>
          <w:bCs w:val="1"/>
          <w:color w:val="auto"/>
        </w:rPr>
        <w:t>Preferred Stock</w:t>
      </w:r>
      <w:r>
        <w:rPr>
          <w:rFonts w:ascii="Arial" w:cs="Arial" w:eastAsia="Arial" w:hAnsi="Arial"/>
          <w:sz w:val="17"/>
          <w:szCs w:val="17"/>
          <w:color w:val="auto"/>
        </w:rPr>
        <w:t>”), (c) certain of its debt securities (the “</w:t>
      </w:r>
      <w:r>
        <w:rPr>
          <w:rFonts w:ascii="Arial" w:cs="Arial" w:eastAsia="Arial" w:hAnsi="Arial"/>
          <w:sz w:val="17"/>
          <w:szCs w:val="17"/>
          <w:b w:val="1"/>
          <w:bCs w:val="1"/>
          <w:color w:val="auto"/>
        </w:rPr>
        <w:t>Debt Securities</w:t>
      </w:r>
      <w:r>
        <w:rPr>
          <w:rFonts w:ascii="Arial" w:cs="Arial" w:eastAsia="Arial" w:hAnsi="Arial"/>
          <w:sz w:val="17"/>
          <w:szCs w:val="17"/>
          <w:color w:val="auto"/>
        </w:rPr>
        <w:t>”) issuable under an indenture (the “</w:t>
      </w:r>
      <w:r>
        <w:rPr>
          <w:rFonts w:ascii="Arial" w:cs="Arial" w:eastAsia="Arial" w:hAnsi="Arial"/>
          <w:sz w:val="17"/>
          <w:szCs w:val="17"/>
          <w:b w:val="1"/>
          <w:bCs w:val="1"/>
          <w:color w:val="auto"/>
        </w:rPr>
        <w:t>Indenture</w:t>
      </w:r>
      <w:r>
        <w:rPr>
          <w:rFonts w:ascii="Arial" w:cs="Arial" w:eastAsia="Arial" w:hAnsi="Arial"/>
          <w:sz w:val="17"/>
          <w:szCs w:val="17"/>
          <w:color w:val="auto"/>
        </w:rPr>
        <w:t>”) entered into by the Company and U.S. Bank National Association,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(d) warrants to purchase Common Stock, Preferred Stock or Debt Securities (“</w:t>
      </w:r>
      <w:r>
        <w:rPr>
          <w:rFonts w:ascii="Arial" w:cs="Arial" w:eastAsia="Arial" w:hAnsi="Arial"/>
          <w:sz w:val="17"/>
          <w:szCs w:val="17"/>
          <w:b w:val="1"/>
          <w:bCs w:val="1"/>
          <w:color w:val="auto"/>
        </w:rPr>
        <w:t>Warrants</w:t>
      </w:r>
      <w:r>
        <w:rPr>
          <w:rFonts w:ascii="Arial" w:cs="Arial" w:eastAsia="Arial" w:hAnsi="Arial"/>
          <w:sz w:val="17"/>
          <w:szCs w:val="17"/>
          <w:color w:val="auto"/>
        </w:rPr>
        <w:t>”), and (e) units consisting of Common Stock, Preferred Stock, Debt Securities or Warrants or any combination thereof (“</w:t>
      </w:r>
      <w:r>
        <w:rPr>
          <w:rFonts w:ascii="Arial" w:cs="Arial" w:eastAsia="Arial" w:hAnsi="Arial"/>
          <w:sz w:val="17"/>
          <w:szCs w:val="17"/>
          <w:b w:val="1"/>
          <w:bCs w:val="1"/>
          <w:color w:val="auto"/>
        </w:rPr>
        <w:t>Units</w:t>
      </w:r>
      <w:r>
        <w:rPr>
          <w:rFonts w:ascii="Arial" w:cs="Arial" w:eastAsia="Arial" w:hAnsi="Arial"/>
          <w:sz w:val="17"/>
          <w:szCs w:val="17"/>
          <w:color w:val="auto"/>
        </w:rPr>
        <w:t>”). The Common Stock, Preferred Stock, Debt Securities, Warrants and Units are each referred to as “</w:t>
      </w:r>
      <w:r>
        <w:rPr>
          <w:rFonts w:ascii="Arial" w:cs="Arial" w:eastAsia="Arial" w:hAnsi="Arial"/>
          <w:sz w:val="17"/>
          <w:szCs w:val="17"/>
          <w:b w:val="1"/>
          <w:bCs w:val="1"/>
          <w:color w:val="auto"/>
        </w:rPr>
        <w:t>Securities</w:t>
      </w:r>
      <w:r>
        <w:rPr>
          <w:rFonts w:ascii="Arial" w:cs="Arial" w:eastAsia="Arial" w:hAnsi="Arial"/>
          <w:sz w:val="17"/>
          <w:szCs w:val="17"/>
          <w:color w:val="auto"/>
        </w:rPr>
        <w:t>” for the purposes of this Agreement.</w:t>
      </w:r>
    </w:p>
    <w:p>
      <w:pPr>
        <w:spacing w:after="0" w:line="17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Company has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registration statement including a prospectus relating to the Securities and has filed with, or transmitted for filing to, or shall promptly after the date of this Agreement file with or transmit for filing to, the Commission a prospectus supplement (the “</w:t>
      </w:r>
      <w:r>
        <w:rPr>
          <w:rFonts w:ascii="Arial" w:cs="Arial" w:eastAsia="Arial" w:hAnsi="Arial"/>
          <w:sz w:val="17"/>
          <w:szCs w:val="17"/>
          <w:b w:val="1"/>
          <w:bCs w:val="1"/>
          <w:color w:val="auto"/>
        </w:rPr>
        <w:t>Prospectus Supplement</w:t>
      </w:r>
      <w:r>
        <w:rPr>
          <w:rFonts w:ascii="Arial" w:cs="Arial" w:eastAsia="Arial" w:hAnsi="Arial"/>
          <w:sz w:val="17"/>
          <w:szCs w:val="17"/>
          <w:color w:val="auto"/>
        </w:rPr>
        <w:t>”) specifically relating to the Securities listed on Schedule I hereto (the “</w:t>
      </w:r>
      <w:r>
        <w:rPr>
          <w:rFonts w:ascii="Arial" w:cs="Arial" w:eastAsia="Arial" w:hAnsi="Arial"/>
          <w:sz w:val="17"/>
          <w:szCs w:val="17"/>
          <w:b w:val="1"/>
          <w:bCs w:val="1"/>
          <w:color w:val="auto"/>
        </w:rPr>
        <w:t>Offered</w:t>
      </w:r>
      <w:r>
        <w:rPr>
          <w:rFonts w:ascii="Arial" w:cs="Arial" w:eastAsia="Arial" w:hAnsi="Arial"/>
          <w:sz w:val="17"/>
          <w:szCs w:val="17"/>
          <w:color w:val="auto"/>
        </w:rPr>
        <w:t xml:space="preserve"> </w:t>
      </w:r>
      <w:r>
        <w:rPr>
          <w:rFonts w:ascii="Arial" w:cs="Arial" w:eastAsia="Arial" w:hAnsi="Arial"/>
          <w:sz w:val="17"/>
          <w:szCs w:val="17"/>
          <w:b w:val="1"/>
          <w:bCs w:val="1"/>
          <w:color w:val="auto"/>
        </w:rPr>
        <w:t>Securities</w:t>
      </w:r>
      <w:r>
        <w:rPr>
          <w:rFonts w:ascii="Arial" w:cs="Arial" w:eastAsia="Arial" w:hAnsi="Arial"/>
          <w:sz w:val="17"/>
          <w:szCs w:val="17"/>
          <w:color w:val="auto"/>
        </w:rPr>
        <w:t>”) pursuant to Rule 424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The term “</w:t>
      </w:r>
      <w:r>
        <w:rPr>
          <w:rFonts w:ascii="Arial" w:cs="Arial" w:eastAsia="Arial" w:hAnsi="Arial"/>
          <w:sz w:val="17"/>
          <w:szCs w:val="17"/>
          <w:b w:val="1"/>
          <w:bCs w:val="1"/>
          <w:color w:val="auto"/>
        </w:rPr>
        <w:t>Registration Statement</w:t>
      </w:r>
      <w:r>
        <w:rPr>
          <w:rFonts w:ascii="Arial" w:cs="Arial" w:eastAsia="Arial" w:hAnsi="Arial"/>
          <w:sz w:val="17"/>
          <w:szCs w:val="17"/>
          <w:color w:val="auto"/>
        </w:rPr>
        <w:t>” means the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 statement, including the exhibits thereto and any additional registration statement filed by the Company pursuant to Rule 462, as amended to the date of the Underwriting Agreement, including the information, if any, deemed to be part of the registration statement at the time of effectiveness pursuant to Rule 430A or Rule 430B under the Securities Act. The term “</w:t>
      </w:r>
      <w:r>
        <w:rPr>
          <w:rFonts w:ascii="Arial" w:cs="Arial" w:eastAsia="Arial" w:hAnsi="Arial"/>
          <w:sz w:val="17"/>
          <w:szCs w:val="17"/>
          <w:b w:val="1"/>
          <w:bCs w:val="1"/>
          <w:color w:val="auto"/>
        </w:rPr>
        <w:t>Base Prospectus</w:t>
      </w:r>
      <w:r>
        <w:rPr>
          <w:rFonts w:ascii="Arial" w:cs="Arial" w:eastAsia="Arial" w:hAnsi="Arial"/>
          <w:sz w:val="17"/>
          <w:szCs w:val="17"/>
          <w:color w:val="auto"/>
        </w:rPr>
        <w:t>” means the prospectus included in the Registration Statement. The term “</w:t>
      </w:r>
      <w:r>
        <w:rPr>
          <w:rFonts w:ascii="Arial" w:cs="Arial" w:eastAsia="Arial" w:hAnsi="Arial"/>
          <w:sz w:val="17"/>
          <w:szCs w:val="17"/>
          <w:b w:val="1"/>
          <w:bCs w:val="1"/>
          <w:color w:val="auto"/>
        </w:rPr>
        <w:t>Prospectus</w:t>
      </w:r>
      <w:r>
        <w:rPr>
          <w:rFonts w:ascii="Arial" w:cs="Arial" w:eastAsia="Arial" w:hAnsi="Arial"/>
          <w:sz w:val="17"/>
          <w:szCs w:val="17"/>
          <w:color w:val="auto"/>
        </w:rPr>
        <w:t>” means the Base Prospectus together with the Prospectus Supplement or supplements specifically relating to the Offered Securities, as filed with, or transmitted for filing to, the Commission pursuant to Rule 424. The term “</w:t>
      </w:r>
      <w:r>
        <w:rPr>
          <w:rFonts w:ascii="Arial" w:cs="Arial" w:eastAsia="Arial" w:hAnsi="Arial"/>
          <w:sz w:val="17"/>
          <w:szCs w:val="17"/>
          <w:b w:val="1"/>
          <w:bCs w:val="1"/>
          <w:color w:val="auto"/>
        </w:rPr>
        <w:t>preliminary prospectus</w:t>
      </w:r>
      <w:r>
        <w:rPr>
          <w:rFonts w:ascii="Arial" w:cs="Arial" w:eastAsia="Arial" w:hAnsi="Arial"/>
          <w:sz w:val="17"/>
          <w:szCs w:val="17"/>
          <w:color w:val="auto"/>
        </w:rPr>
        <w:t>” means a preliminary prospectus supplement specifically relating to the Offered Securities, together with the Base Prospectus. The term “</w:t>
      </w:r>
      <w:r>
        <w:rPr>
          <w:rFonts w:ascii="Arial" w:cs="Arial" w:eastAsia="Arial" w:hAnsi="Arial"/>
          <w:sz w:val="17"/>
          <w:szCs w:val="17"/>
          <w:b w:val="1"/>
          <w:bCs w:val="1"/>
          <w:color w:val="auto"/>
        </w:rPr>
        <w:t>free writing</w:t>
      </w:r>
      <w:r>
        <w:rPr>
          <w:rFonts w:ascii="Arial" w:cs="Arial" w:eastAsia="Arial" w:hAnsi="Arial"/>
          <w:sz w:val="17"/>
          <w:szCs w:val="17"/>
          <w:color w:val="auto"/>
        </w:rPr>
        <w:t xml:space="preserve"> </w:t>
      </w:r>
      <w:r>
        <w:rPr>
          <w:rFonts w:ascii="Arial" w:cs="Arial" w:eastAsia="Arial" w:hAnsi="Arial"/>
          <w:sz w:val="17"/>
          <w:szCs w:val="17"/>
          <w:b w:val="1"/>
          <w:bCs w:val="1"/>
          <w:color w:val="auto"/>
        </w:rPr>
        <w:t>prospectus</w:t>
      </w:r>
      <w:r>
        <w:rPr>
          <w:rFonts w:ascii="Arial" w:cs="Arial" w:eastAsia="Arial" w:hAnsi="Arial"/>
          <w:sz w:val="17"/>
          <w:szCs w:val="17"/>
          <w:color w:val="auto"/>
        </w:rPr>
        <w:t>” has the meaning set forth in Rule 405 under the Securities Act. The term “</w:t>
      </w:r>
      <w:r>
        <w:rPr>
          <w:rFonts w:ascii="Arial" w:cs="Arial" w:eastAsia="Arial" w:hAnsi="Arial"/>
          <w:sz w:val="17"/>
          <w:szCs w:val="17"/>
          <w:b w:val="1"/>
          <w:bCs w:val="1"/>
          <w:color w:val="auto"/>
        </w:rPr>
        <w:t>issuer free writing prospectus</w:t>
      </w:r>
      <w:r>
        <w:rPr>
          <w:rFonts w:ascii="Arial" w:cs="Arial" w:eastAsia="Arial" w:hAnsi="Arial"/>
          <w:sz w:val="17"/>
          <w:szCs w:val="17"/>
          <w:color w:val="auto"/>
        </w:rPr>
        <w:t>” has the meaning set forth in</w:t>
      </w:r>
      <w:r>
        <w:rPr>
          <w:rFonts w:ascii="Arial" w:cs="Arial" w:eastAsia="Arial" w:hAnsi="Arial"/>
          <w:sz w:val="17"/>
          <w:szCs w:val="17"/>
          <w:b w:val="1"/>
          <w:bCs w:val="1"/>
          <w:color w:val="auto"/>
        </w:rPr>
        <w:t xml:space="preserve"> </w:t>
      </w:r>
      <w:r>
        <w:rPr>
          <w:rFonts w:ascii="Arial" w:cs="Arial" w:eastAsia="Arial" w:hAnsi="Arial"/>
          <w:sz w:val="17"/>
          <w:szCs w:val="17"/>
          <w:color w:val="auto"/>
        </w:rPr>
        <w:t>Rule 433 under the Securities Act. The term “</w:t>
      </w:r>
      <w:r>
        <w:rPr>
          <w:rFonts w:ascii="Arial" w:cs="Arial" w:eastAsia="Arial" w:hAnsi="Arial"/>
          <w:sz w:val="17"/>
          <w:szCs w:val="17"/>
          <w:b w:val="1"/>
          <w:bCs w:val="1"/>
          <w:color w:val="auto"/>
        </w:rPr>
        <w:t>Time of Sale Prospectus</w:t>
      </w:r>
      <w:r>
        <w:rPr>
          <w:rFonts w:ascii="Arial" w:cs="Arial" w:eastAsia="Arial" w:hAnsi="Arial"/>
          <w:sz w:val="17"/>
          <w:szCs w:val="17"/>
          <w:color w:val="auto"/>
        </w:rPr>
        <w:t>” means the Base Prospectus and preliminary prospectus, if any, together with any additional documents or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486" w:right="439" w:bottom="1440" w:gutter="0" w:footer="0" w:header="0"/>
        </w:sectPr>
      </w:pPr>
    </w:p>
    <w:bookmarkStart w:id="21" w:name="page22"/>
    <w:bookmarkEnd w:id="21"/>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other information identified in Schedule III to the Underwriting Agreement. As used herein, the terms “Registration Statement,” “Base Prospectus,” “Prospectus,” “preliminary prospectus” and “Time of Sale Prospectus” shall include in each case the documents, if any, incorporated by reference therein. The terms “supplement,” “amendment” and “amend” as used herein shall include all documents deemed to be incorporated by reference in the Prospectus that are filed subsequent to the date of the Base Prospectus by the Company with the Commission pursuant to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As used herein, the term “</w:t>
      </w:r>
      <w:r>
        <w:rPr>
          <w:rFonts w:ascii="Arial" w:cs="Arial" w:eastAsia="Arial" w:hAnsi="Arial"/>
          <w:sz w:val="17"/>
          <w:szCs w:val="17"/>
          <w:b w:val="1"/>
          <w:bCs w:val="1"/>
          <w:color w:val="auto"/>
        </w:rPr>
        <w:t>Applicable Time</w:t>
      </w:r>
      <w:r>
        <w:rPr>
          <w:rFonts w:ascii="Arial" w:cs="Arial" w:eastAsia="Arial" w:hAnsi="Arial"/>
          <w:sz w:val="17"/>
          <w:szCs w:val="17"/>
          <w:color w:val="auto"/>
        </w:rPr>
        <w:t>” means the time and date set forth in the Underwriting Agreement or such other time as agreed in writing by the Company and the Manager.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is advised by the Manager that the Underwriters propose to make a public offering of their respective portions of the Offered Securities as soon after this Agreement is entered into as in the Manager’s judgment is advisable. The terms of the public offering of the Offered Securities are set forth in the Prospectus.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II.</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Payment for the Offered Securities shall be made to the Company by Federal funds wire transfer at the time and place set forth in the Underwriting Agreement, upon delivery to the Manager for the respective accounts of the several Underwriters of the Offered Securities registered in such names and in such denominations as the Manager shall request in writing by the time specified in the Underwriting Agreement. The time and date of such payment and delivery with respect to the Offered Securities are herein referred to as the Closing Date.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several obligations of the Underwriters hereunder are subject to the following conditions:</w:t>
      </w:r>
    </w:p>
    <w:p>
      <w:pPr>
        <w:spacing w:after="0" w:line="117" w:lineRule="exact"/>
        <w:rPr>
          <w:sz w:val="20"/>
          <w:szCs w:val="20"/>
          <w:color w:val="auto"/>
        </w:rPr>
      </w:pPr>
    </w:p>
    <w:p>
      <w:pPr>
        <w:ind w:left="440" w:right="80" w:firstLine="419"/>
        <w:spacing w:after="0" w:line="271" w:lineRule="auto"/>
        <w:tabs>
          <w:tab w:leader="none" w:pos="1108" w:val="left"/>
        </w:tabs>
        <w:numPr>
          <w:ilvl w:val="0"/>
          <w:numId w:val="5"/>
        </w:numPr>
        <w:rPr>
          <w:rFonts w:ascii="Arial" w:cs="Arial" w:eastAsia="Arial" w:hAnsi="Arial"/>
          <w:sz w:val="17"/>
          <w:szCs w:val="17"/>
          <w:color w:val="auto"/>
        </w:rPr>
      </w:pPr>
      <w:r>
        <w:rPr>
          <w:rFonts w:ascii="Arial" w:cs="Arial" w:eastAsia="Arial" w:hAnsi="Arial"/>
          <w:sz w:val="17"/>
          <w:szCs w:val="17"/>
          <w:color w:val="auto"/>
        </w:rPr>
        <w:t>No stop order suspending the effectiveness of the Registration Statement shall be in effect, and no proceedings for such purpose shall be pending before or threatened by the Commission and there shall have been no material adverse change (not in the ordinary course of business), in the condition of the Company and its consolidated subsidiaries, taken as a whole, from that set forth in or contemplated by the Time of Sale Prospectus; and the Manager shall have received, on the Closing Date, a certificate, dated the Closing Date and signed by an executive officer of the Company, to the foregoing effect. Such certificate will also provide (i) that the representations and warranties of the Company contained herein are true and correct as of the Closing Date and (ii) that the Company has complied with all agreements and satisfied all conditions on its part to be performed or satisfied hereunder at or prior to the Closing Date. The officer making such certificate may rely upon the best of his knowledge as to proceedings pending or threatened.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490" w:right="459" w:bottom="1440" w:gutter="0" w:footer="0" w:header="0"/>
        </w:sectPr>
      </w:pPr>
    </w:p>
    <w:bookmarkStart w:id="22" w:name="page23"/>
    <w:bookmarkEnd w:id="22"/>
    <w:p>
      <w:pPr>
        <w:ind w:right="540" w:firstLine="419"/>
        <w:spacing w:after="0" w:line="277" w:lineRule="auto"/>
        <w:tabs>
          <w:tab w:leader="none" w:pos="674"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Manager shall have received on the Closing Date an opinion of the general counsel of the Company (or another lawyer of the Company reasonably satisfactory to the Underwriters), dated the Closing Date, to the effect (as applicable) that:</w:t>
      </w:r>
    </w:p>
    <w:p>
      <w:pPr>
        <w:spacing w:after="0" w:line="62" w:lineRule="exact"/>
        <w:rPr>
          <w:rFonts w:ascii="Arial" w:cs="Arial" w:eastAsia="Arial" w:hAnsi="Arial"/>
          <w:sz w:val="18"/>
          <w:szCs w:val="18"/>
          <w:color w:val="auto"/>
        </w:rPr>
      </w:pPr>
    </w:p>
    <w:p>
      <w:pPr>
        <w:ind w:left="540" w:right="160" w:firstLine="408"/>
        <w:spacing w:after="0" w:line="277" w:lineRule="auto"/>
        <w:tabs>
          <w:tab w:leader="none" w:pos="1152"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Company has been duly incorporated and is validly existing as a corporation in good standing under the laws of the State of Delaware.</w:t>
      </w:r>
    </w:p>
    <w:p>
      <w:pPr>
        <w:spacing w:after="0" w:line="62" w:lineRule="exact"/>
        <w:rPr>
          <w:rFonts w:ascii="Arial" w:cs="Arial" w:eastAsia="Arial" w:hAnsi="Arial"/>
          <w:sz w:val="18"/>
          <w:szCs w:val="18"/>
          <w:color w:val="auto"/>
        </w:rPr>
      </w:pPr>
    </w:p>
    <w:p>
      <w:pPr>
        <w:jc w:val="both"/>
        <w:ind w:left="540" w:right="60" w:firstLine="408"/>
        <w:spacing w:after="0" w:line="286" w:lineRule="auto"/>
        <w:tabs>
          <w:tab w:leader="none" w:pos="1202" w:val="left"/>
        </w:tabs>
        <w:numPr>
          <w:ilvl w:val="1"/>
          <w:numId w:val="6"/>
        </w:numPr>
        <w:rPr>
          <w:rFonts w:ascii="Arial" w:cs="Arial" w:eastAsia="Arial" w:hAnsi="Arial"/>
          <w:sz w:val="17"/>
          <w:szCs w:val="17"/>
          <w:color w:val="auto"/>
        </w:rPr>
      </w:pPr>
      <w:r>
        <w:rPr>
          <w:rFonts w:ascii="Arial" w:cs="Arial" w:eastAsia="Arial" w:hAnsi="Arial"/>
          <w:sz w:val="17"/>
          <w:szCs w:val="17"/>
          <w:color w:val="auto"/>
        </w:rPr>
        <w:t>The Company is duly qualified to transact business and in good standing in each other state of the United States wherein it owns or leases property or conducts business, which requires such qualification, except to the extent that the failure to be so qualified or in good standing would not have a material adverse effect on the Company and its subsidiaries, considered as a whole.</w:t>
      </w:r>
    </w:p>
    <w:p>
      <w:pPr>
        <w:spacing w:after="0" w:line="57" w:lineRule="exact"/>
        <w:rPr>
          <w:rFonts w:ascii="Arial" w:cs="Arial" w:eastAsia="Arial" w:hAnsi="Arial"/>
          <w:sz w:val="17"/>
          <w:szCs w:val="17"/>
          <w:color w:val="auto"/>
        </w:rPr>
      </w:pPr>
    </w:p>
    <w:p>
      <w:pPr>
        <w:ind w:left="540" w:right="160" w:firstLine="408"/>
        <w:spacing w:after="0" w:line="277" w:lineRule="auto"/>
        <w:tabs>
          <w:tab w:leader="none" w:pos="1252"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such counsel’s knowledge, no proceedings for a stop order are pending or threatened by the Commission with respect to the Registration Statement.</w:t>
      </w:r>
    </w:p>
    <w:p>
      <w:pPr>
        <w:spacing w:after="0" w:line="62" w:lineRule="exact"/>
        <w:rPr>
          <w:rFonts w:ascii="Arial" w:cs="Arial" w:eastAsia="Arial" w:hAnsi="Arial"/>
          <w:sz w:val="18"/>
          <w:szCs w:val="18"/>
          <w:color w:val="auto"/>
        </w:rPr>
      </w:pPr>
    </w:p>
    <w:p>
      <w:pPr>
        <w:ind w:left="540" w:right="200" w:firstLine="408"/>
        <w:spacing w:after="0" w:line="263" w:lineRule="auto"/>
        <w:tabs>
          <w:tab w:leader="none" w:pos="1242"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execution and delivery by the Company of this Agreement and, as applicable, the Indenture, the Offered Securities, the Warrant Agreement and the Unit Agreement (each, a “</w:t>
      </w:r>
      <w:r>
        <w:rPr>
          <w:rFonts w:ascii="Arial" w:cs="Arial" w:eastAsia="Arial" w:hAnsi="Arial"/>
          <w:sz w:val="18"/>
          <w:szCs w:val="18"/>
          <w:b w:val="1"/>
          <w:bCs w:val="1"/>
          <w:color w:val="auto"/>
        </w:rPr>
        <w:t>Transaction Document</w:t>
      </w:r>
      <w:r>
        <w:rPr>
          <w:rFonts w:ascii="Arial" w:cs="Arial" w:eastAsia="Arial" w:hAnsi="Arial"/>
          <w:sz w:val="18"/>
          <w:szCs w:val="18"/>
          <w:color w:val="auto"/>
        </w:rPr>
        <w:t>”) and the performance by the Company of its obligations thereunder will not conflict with, constitute a default under or violate:</w:t>
      </w:r>
    </w:p>
    <w:p>
      <w:pPr>
        <w:spacing w:after="0" w:line="75" w:lineRule="exact"/>
        <w:rPr>
          <w:rFonts w:ascii="Arial" w:cs="Arial" w:eastAsia="Arial" w:hAnsi="Arial"/>
          <w:sz w:val="18"/>
          <w:szCs w:val="18"/>
          <w:color w:val="auto"/>
        </w:rPr>
      </w:pPr>
    </w:p>
    <w:p>
      <w:pPr>
        <w:ind w:left="1660" w:hanging="289"/>
        <w:spacing w:after="0"/>
        <w:tabs>
          <w:tab w:leader="none" w:pos="1660" w:val="left"/>
        </w:tabs>
        <w:numPr>
          <w:ilvl w:val="2"/>
          <w:numId w:val="6"/>
        </w:numPr>
        <w:rPr>
          <w:rFonts w:ascii="Arial" w:cs="Arial" w:eastAsia="Arial" w:hAnsi="Arial"/>
          <w:sz w:val="18"/>
          <w:szCs w:val="18"/>
          <w:color w:val="auto"/>
        </w:rPr>
      </w:pPr>
      <w:r>
        <w:rPr>
          <w:rFonts w:ascii="Arial" w:cs="Arial" w:eastAsia="Arial" w:hAnsi="Arial"/>
          <w:sz w:val="18"/>
          <w:szCs w:val="18"/>
          <w:color w:val="auto"/>
        </w:rPr>
        <w:t>any of the terms, conditions or provisions of the Certificate of Incorporation or by-laws of the Company; or</w:t>
      </w:r>
    </w:p>
    <w:p>
      <w:pPr>
        <w:spacing w:after="0" w:line="117" w:lineRule="exact"/>
        <w:rPr>
          <w:rFonts w:ascii="Arial" w:cs="Arial" w:eastAsia="Arial" w:hAnsi="Arial"/>
          <w:sz w:val="18"/>
          <w:szCs w:val="18"/>
          <w:color w:val="auto"/>
        </w:rPr>
      </w:pPr>
    </w:p>
    <w:p>
      <w:pPr>
        <w:ind w:left="980" w:firstLine="391"/>
        <w:spacing w:after="0" w:line="259" w:lineRule="auto"/>
        <w:tabs>
          <w:tab w:leader="none" w:pos="1648" w:val="left"/>
        </w:tabs>
        <w:numPr>
          <w:ilvl w:val="2"/>
          <w:numId w:val="6"/>
        </w:numPr>
        <w:rPr>
          <w:rFonts w:ascii="Arial" w:cs="Arial" w:eastAsia="Arial" w:hAnsi="Arial"/>
          <w:sz w:val="18"/>
          <w:szCs w:val="18"/>
          <w:color w:val="auto"/>
        </w:rPr>
      </w:pPr>
      <w:r>
        <w:rPr>
          <w:rFonts w:ascii="Arial" w:cs="Arial" w:eastAsia="Arial" w:hAnsi="Arial"/>
          <w:sz w:val="18"/>
          <w:szCs w:val="18"/>
          <w:color w:val="auto"/>
        </w:rPr>
        <w:t>any of the terms, conditions or provisions of any agreement or other instrument binding upon the Company that is filed as an exhibit to the Registration Statement or to any document incorporated by reference into the Time of Sale Prospectus, except to the extent that the conflict, default or violation will not have a material adverse effect on the Company and its subsidiaries, considered as a whole.</w:t>
      </w:r>
    </w:p>
    <w:p>
      <w:pPr>
        <w:spacing w:after="0" w:line="78" w:lineRule="exact"/>
        <w:rPr>
          <w:rFonts w:ascii="Arial" w:cs="Arial" w:eastAsia="Arial" w:hAnsi="Arial"/>
          <w:sz w:val="18"/>
          <w:szCs w:val="18"/>
          <w:color w:val="auto"/>
        </w:rPr>
      </w:pPr>
    </w:p>
    <w:p>
      <w:pPr>
        <w:ind w:left="540" w:right="300" w:firstLine="408"/>
        <w:spacing w:after="0" w:line="279" w:lineRule="auto"/>
        <w:tabs>
          <w:tab w:leader="none" w:pos="1192" w:val="left"/>
        </w:tabs>
        <w:numPr>
          <w:ilvl w:val="1"/>
          <w:numId w:val="6"/>
        </w:numPr>
        <w:rPr>
          <w:rFonts w:ascii="Arial" w:cs="Arial" w:eastAsia="Arial" w:hAnsi="Arial"/>
          <w:sz w:val="17"/>
          <w:szCs w:val="17"/>
          <w:color w:val="auto"/>
        </w:rPr>
      </w:pPr>
      <w:r>
        <w:rPr>
          <w:rFonts w:ascii="Arial" w:cs="Arial" w:eastAsia="Arial" w:hAnsi="Arial"/>
          <w:sz w:val="17"/>
          <w:szCs w:val="17"/>
          <w:color w:val="auto"/>
        </w:rPr>
        <w:t>To such counsel’s knowledge, no consent, approval or authorization of or filing with any governmental body or agency is required for the performance by the Company of its obligations under this Agreement or the applicable Transaction Documents, except such as are specified and have been obtained and such as may be required by the securities or Blue Sky laws of the various states in connection with the offer and sale of the Offered Securities by the Underwriters.</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0"/>
          </w:cols>
          <w:pgMar w:left="880" w:top="490" w:right="459" w:bottom="1440" w:gutter="0" w:footer="0" w:header="0"/>
        </w:sectPr>
      </w:pPr>
    </w:p>
    <w:bookmarkStart w:id="23" w:name="page24"/>
    <w:bookmarkEnd w:id="23"/>
    <w:p>
      <w:pPr>
        <w:ind w:left="-20" w:firstLine="408"/>
        <w:spacing w:after="0" w:line="296" w:lineRule="auto"/>
        <w:tabs>
          <w:tab w:leader="none" w:pos="682" w:val="left"/>
        </w:tabs>
        <w:numPr>
          <w:ilvl w:val="0"/>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To such counsel’s knowledge, there is no action, suit or formal proceeding pending or threatened against the Company or any of its subsidiaries before any court or arbitrator or any governmental body or agency or to which any of the properties of the Company or any of its subsidiaries is subject that are required to be described in the Registration Statement or the Time of Sale Prospectus and are not so described or of any contract or other document that is required to be described in the Registration Statement or the Time of Sale Prospectus or to be filed as an exhibit to the Registration Statement that is not described or filed as required.</w:t>
      </w:r>
    </w:p>
    <w:p>
      <w:pPr>
        <w:spacing w:after="0" w:line="53" w:lineRule="exact"/>
        <w:rPr>
          <w:rFonts w:ascii="Arial" w:cs="Arial" w:eastAsia="Arial" w:hAnsi="Arial"/>
          <w:sz w:val="16"/>
          <w:szCs w:val="16"/>
          <w:color w:val="auto"/>
        </w:rPr>
      </w:pPr>
    </w:p>
    <w:p>
      <w:pPr>
        <w:ind w:left="-20" w:right="120" w:firstLine="408"/>
        <w:spacing w:after="0" w:line="257" w:lineRule="auto"/>
        <w:tabs>
          <w:tab w:leader="none" w:pos="736"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opinion of such counsel each document filed pursuant to the Exchange Act and incorporated by reference in the Registration Statement and the Prospectus (except for the financial statements and financial schedules and other financial and statistical data included therein, as to which such counsel need not express any opinion) appeared on its face to be appropriately responsive as of its filing date in all material respects to the requirements of the Exchange Act and the applicable rules and regulations of the Commission thereunder.</w:t>
      </w:r>
    </w:p>
    <w:p>
      <w:pPr>
        <w:spacing w:after="0" w:line="79" w:lineRule="exact"/>
        <w:rPr>
          <w:rFonts w:ascii="Arial" w:cs="Arial" w:eastAsia="Arial" w:hAnsi="Arial"/>
          <w:sz w:val="18"/>
          <w:szCs w:val="18"/>
          <w:color w:val="auto"/>
        </w:rPr>
      </w:pPr>
    </w:p>
    <w:p>
      <w:pPr>
        <w:ind w:left="-20" w:right="80" w:firstLine="408"/>
        <w:spacing w:after="0" w:line="277" w:lineRule="auto"/>
        <w:tabs>
          <w:tab w:leader="none" w:pos="786"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Nothing has come to the attention of such counsel that causes such counsel to believe that, insofar as relevant to the offering of the Offered Securities:</w:t>
      </w:r>
    </w:p>
    <w:p>
      <w:pPr>
        <w:spacing w:after="0" w:line="62" w:lineRule="exact"/>
        <w:rPr>
          <w:rFonts w:ascii="Arial" w:cs="Arial" w:eastAsia="Arial" w:hAnsi="Arial"/>
          <w:sz w:val="18"/>
          <w:szCs w:val="18"/>
          <w:color w:val="auto"/>
        </w:rPr>
      </w:pPr>
    </w:p>
    <w:p>
      <w:pPr>
        <w:ind w:left="420" w:right="80" w:firstLine="391"/>
        <w:spacing w:after="0" w:line="255" w:lineRule="auto"/>
        <w:tabs>
          <w:tab w:leader="none" w:pos="1098"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Registration Statement as of the date the Registration Statement or any amendment (or any part thereof) is considered to have become effective as to the Underwriters pursuant to Section 11(d) of the Securities Act and Rule 430B(f) promulgated thereunder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w:t>
      </w:r>
    </w:p>
    <w:p>
      <w:pPr>
        <w:spacing w:after="0" w:line="84" w:lineRule="exact"/>
        <w:rPr>
          <w:rFonts w:ascii="Arial" w:cs="Arial" w:eastAsia="Arial" w:hAnsi="Arial"/>
          <w:sz w:val="18"/>
          <w:szCs w:val="18"/>
          <w:color w:val="auto"/>
        </w:rPr>
      </w:pPr>
    </w:p>
    <w:p>
      <w:pPr>
        <w:ind w:left="420" w:right="20" w:firstLine="391"/>
        <w:spacing w:after="0" w:line="301" w:lineRule="auto"/>
        <w:tabs>
          <w:tab w:leader="none" w:pos="1088"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Registration Statement or any amendment thereto (except for the financial statements and financial schedules and other financial and statistical data included therein and except for that part of the Registration Statement that constitutes the Form T-1, as to which such counsel need not express any belief) as of the date of this Agreement contained any untrue statement of a material fact or omitted to state a material fact required to be stated therein or necessary to make the statements therein not misleading;</w:t>
      </w:r>
    </w:p>
    <w:p>
      <w:pPr>
        <w:spacing w:after="0" w:line="9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000"/>
          </w:cols>
          <w:pgMar w:left="1440" w:top="490" w:right="459" w:bottom="1440" w:gutter="0" w:footer="0" w:header="0"/>
        </w:sectPr>
      </w:pPr>
    </w:p>
    <w:bookmarkStart w:id="24" w:name="page25"/>
    <w:bookmarkEnd w:id="24"/>
    <w:p>
      <w:pPr>
        <w:ind w:left="980" w:right="180" w:firstLine="391"/>
        <w:spacing w:after="0" w:line="259" w:lineRule="auto"/>
        <w:tabs>
          <w:tab w:leader="none" w:pos="1648" w:val="left"/>
        </w:tabs>
        <w:numPr>
          <w:ilvl w:val="2"/>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Time of Sale Prospectus (except for the financial statements and financial schedules and other financial and statistical data included therein, as to which such counsel need not express any belief) as of the Applicable Time contained any untrue statement of a material fact or omitted to state a material fact necessary in order to make the statements therein, in the light of the circumstances under which they were made, not misleading; or</w:t>
      </w:r>
    </w:p>
    <w:p>
      <w:pPr>
        <w:spacing w:after="0" w:line="78" w:lineRule="exact"/>
        <w:rPr>
          <w:rFonts w:ascii="Arial" w:cs="Arial" w:eastAsia="Arial" w:hAnsi="Arial"/>
          <w:sz w:val="18"/>
          <w:szCs w:val="18"/>
          <w:color w:val="auto"/>
        </w:rPr>
      </w:pPr>
    </w:p>
    <w:p>
      <w:pPr>
        <w:ind w:left="980" w:right="60" w:firstLine="391"/>
        <w:spacing w:after="0" w:line="301" w:lineRule="auto"/>
        <w:tabs>
          <w:tab w:leader="none" w:pos="1658" w:val="left"/>
        </w:tabs>
        <w:numPr>
          <w:ilvl w:val="2"/>
          <w:numId w:val="8"/>
        </w:numPr>
        <w:rPr>
          <w:rFonts w:ascii="Arial" w:cs="Arial" w:eastAsia="Arial" w:hAnsi="Arial"/>
          <w:sz w:val="16"/>
          <w:szCs w:val="16"/>
          <w:color w:val="auto"/>
        </w:rPr>
      </w:pPr>
      <w:r>
        <w:rPr>
          <w:rFonts w:ascii="Arial" w:cs="Arial" w:eastAsia="Arial" w:hAnsi="Arial"/>
          <w:sz w:val="16"/>
          <w:szCs w:val="16"/>
          <w:color w:val="auto"/>
        </w:rPr>
        <w:t>the Prospectus (except for the financial statements and financial schedules and other financial and statistical data included therein, as to which such counsel need not express any belief) at the date of this Agreement or as amended or supplemented, if applicable, as of the Closing Date contains any untrue statement of a material fact or omits to state a material fact necessary in order to make the statements therein, in the light of the circumstances under which they were made, not misleading.</w:t>
      </w:r>
    </w:p>
    <w:p>
      <w:pPr>
        <w:spacing w:after="0" w:line="49" w:lineRule="exact"/>
        <w:rPr>
          <w:rFonts w:ascii="Arial" w:cs="Arial" w:eastAsia="Arial" w:hAnsi="Arial"/>
          <w:sz w:val="16"/>
          <w:szCs w:val="16"/>
          <w:color w:val="auto"/>
        </w:rPr>
      </w:pPr>
    </w:p>
    <w:p>
      <w:pPr>
        <w:ind w:right="720" w:firstLine="419"/>
        <w:spacing w:after="0" w:line="277" w:lineRule="auto"/>
        <w:tabs>
          <w:tab w:leader="none" w:pos="66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Manager shall have received on the Closing Date an opinion of Davis Polk &amp; Wardwell LLP, special outside counsel to the Company, dated the Closing Date, to the effect (as applicable) that:</w:t>
      </w:r>
    </w:p>
    <w:p>
      <w:pPr>
        <w:spacing w:after="0" w:line="62" w:lineRule="exact"/>
        <w:rPr>
          <w:rFonts w:ascii="Arial" w:cs="Arial" w:eastAsia="Arial" w:hAnsi="Arial"/>
          <w:sz w:val="18"/>
          <w:szCs w:val="18"/>
          <w:color w:val="auto"/>
        </w:rPr>
      </w:pPr>
    </w:p>
    <w:p>
      <w:pPr>
        <w:ind w:left="540" w:firstLine="408"/>
        <w:spacing w:after="0" w:line="263" w:lineRule="auto"/>
        <w:tabs>
          <w:tab w:leader="none" w:pos="1156" w:val="left"/>
        </w:tabs>
        <w:numPr>
          <w:ilvl w:val="1"/>
          <w:numId w:val="9"/>
        </w:numPr>
        <w:rPr>
          <w:rFonts w:ascii="Arial" w:cs="Arial" w:eastAsia="Arial" w:hAnsi="Arial"/>
          <w:sz w:val="18"/>
          <w:szCs w:val="18"/>
          <w:color w:val="auto"/>
        </w:rPr>
      </w:pPr>
      <w:r>
        <w:rPr>
          <w:rFonts w:ascii="Arial" w:cs="Arial" w:eastAsia="Arial" w:hAnsi="Arial"/>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75" w:lineRule="exact"/>
        <w:rPr>
          <w:rFonts w:ascii="Arial" w:cs="Arial" w:eastAsia="Arial" w:hAnsi="Arial"/>
          <w:sz w:val="18"/>
          <w:szCs w:val="18"/>
          <w:color w:val="auto"/>
        </w:rPr>
      </w:pPr>
    </w:p>
    <w:p>
      <w:pPr>
        <w:ind w:left="1220" w:hanging="272"/>
        <w:spacing w:after="0"/>
        <w:tabs>
          <w:tab w:leader="none" w:pos="1220" w:val="left"/>
        </w:tabs>
        <w:numPr>
          <w:ilvl w:val="1"/>
          <w:numId w:val="9"/>
        </w:numPr>
        <w:rPr>
          <w:rFonts w:ascii="Arial" w:cs="Arial" w:eastAsia="Arial" w:hAnsi="Arial"/>
          <w:sz w:val="18"/>
          <w:szCs w:val="18"/>
          <w:color w:val="auto"/>
        </w:rPr>
      </w:pPr>
      <w:r>
        <w:rPr>
          <w:rFonts w:ascii="Arial" w:cs="Arial" w:eastAsia="Arial" w:hAnsi="Arial"/>
          <w:sz w:val="18"/>
          <w:szCs w:val="18"/>
          <w:color w:val="auto"/>
        </w:rPr>
        <w:t>If Debt Securities are Offered Securities:</w:t>
      </w:r>
    </w:p>
    <w:p>
      <w:pPr>
        <w:spacing w:after="0" w:line="117" w:lineRule="exact"/>
        <w:rPr>
          <w:rFonts w:ascii="Arial" w:cs="Arial" w:eastAsia="Arial" w:hAnsi="Arial"/>
          <w:sz w:val="18"/>
          <w:szCs w:val="18"/>
          <w:color w:val="auto"/>
        </w:rPr>
      </w:pPr>
    </w:p>
    <w:p>
      <w:pPr>
        <w:ind w:left="980" w:right="40" w:firstLine="391"/>
        <w:spacing w:after="0" w:line="272" w:lineRule="auto"/>
        <w:tabs>
          <w:tab w:leader="none" w:pos="1658" w:val="left"/>
        </w:tabs>
        <w:numPr>
          <w:ilvl w:val="2"/>
          <w:numId w:val="9"/>
        </w:numPr>
        <w:rPr>
          <w:rFonts w:ascii="Arial" w:cs="Arial" w:eastAsia="Arial" w:hAnsi="Arial"/>
          <w:sz w:val="17"/>
          <w:szCs w:val="17"/>
          <w:color w:val="auto"/>
        </w:rPr>
      </w:pPr>
      <w:r>
        <w:rPr>
          <w:rFonts w:ascii="Arial" w:cs="Arial" w:eastAsia="Arial" w:hAnsi="Arial"/>
          <w:sz w:val="17"/>
          <w:szCs w:val="17"/>
          <w:color w:val="auto"/>
        </w:rPr>
        <w:t>such Debt Securities have been duly authorized and, when executed and authenticated in accordance with the provisions of the Indenture and delivered to and paid for by the Underwriters pursuant to this Agreement, will be valid and binding obligations of the Company enforceable in accordance with their terms, subject to applicable bankruptcy, insolvency and similar laws affecting creditors’ rights generally, concepts of reasonableness and equitable principles of general applicability (collectively, the “</w:t>
      </w:r>
      <w:r>
        <w:rPr>
          <w:rFonts w:ascii="Arial" w:cs="Arial" w:eastAsia="Arial" w:hAnsi="Arial"/>
          <w:sz w:val="17"/>
          <w:szCs w:val="17"/>
          <w:b w:val="1"/>
          <w:bCs w:val="1"/>
          <w:color w:val="auto"/>
        </w:rPr>
        <w:t>Enforceability Exceptions</w:t>
      </w:r>
      <w:r>
        <w:rPr>
          <w:rFonts w:ascii="Arial" w:cs="Arial" w:eastAsia="Arial" w:hAnsi="Arial"/>
          <w:sz w:val="17"/>
          <w:szCs w:val="17"/>
          <w:color w:val="auto"/>
        </w:rPr>
        <w:t>”), provided that such counsel need not express any opinion as to the validity, legally binding effect or enforceability of any provision that permits holders to collect any portion of stated principal amount upon acceleration of such securities to the extent determined to constitute unearned interest;</w:t>
      </w:r>
    </w:p>
    <w:p>
      <w:pPr>
        <w:spacing w:after="0" w:line="69" w:lineRule="exact"/>
        <w:rPr>
          <w:rFonts w:ascii="Arial" w:cs="Arial" w:eastAsia="Arial" w:hAnsi="Arial"/>
          <w:sz w:val="17"/>
          <w:szCs w:val="17"/>
          <w:color w:val="auto"/>
        </w:rPr>
      </w:pPr>
    </w:p>
    <w:p>
      <w:pPr>
        <w:ind w:left="980" w:right="240" w:firstLine="391"/>
        <w:spacing w:after="0" w:line="277" w:lineRule="auto"/>
        <w:tabs>
          <w:tab w:leader="none" w:pos="1648" w:val="left"/>
        </w:tabs>
        <w:numPr>
          <w:ilvl w:val="2"/>
          <w:numId w:val="9"/>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 and is a valid and binding agreement of the Company enforceable in accordance with its terms, subject to the Enforceability Exceptions; and</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880" w:top="490" w:right="459" w:bottom="1440" w:gutter="0" w:footer="0" w:header="0"/>
        </w:sectPr>
      </w:pPr>
    </w:p>
    <w:bookmarkStart w:id="25" w:name="page26"/>
    <w:bookmarkEnd w:id="25"/>
    <w:p>
      <w:pPr>
        <w:ind w:left="1100" w:hanging="289"/>
        <w:spacing w:after="0"/>
        <w:tabs>
          <w:tab w:leader="none" w:pos="1100" w:val="left"/>
        </w:tabs>
        <w:numPr>
          <w:ilvl w:val="1"/>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Indenture has been duly qualified under the Trust Indenture Act of 1939.</w:t>
      </w:r>
    </w:p>
    <w:p>
      <w:pPr>
        <w:spacing w:after="0" w:line="117" w:lineRule="exact"/>
        <w:rPr>
          <w:rFonts w:ascii="Arial" w:cs="Arial" w:eastAsia="Arial" w:hAnsi="Arial"/>
          <w:sz w:val="18"/>
          <w:szCs w:val="18"/>
          <w:color w:val="auto"/>
        </w:rPr>
      </w:pPr>
    </w:p>
    <w:p>
      <w:pPr>
        <w:ind w:left="700" w:hanging="312"/>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Warrants are Offered Securities:</w:t>
      </w:r>
    </w:p>
    <w:p>
      <w:pPr>
        <w:spacing w:after="0" w:line="117" w:lineRule="exact"/>
        <w:rPr>
          <w:rFonts w:ascii="Arial" w:cs="Arial" w:eastAsia="Arial" w:hAnsi="Arial"/>
          <w:sz w:val="18"/>
          <w:szCs w:val="18"/>
          <w:color w:val="auto"/>
        </w:rPr>
      </w:pPr>
    </w:p>
    <w:p>
      <w:pPr>
        <w:ind w:left="420" w:firstLine="391"/>
        <w:spacing w:after="0" w:line="259" w:lineRule="auto"/>
        <w:tabs>
          <w:tab w:leader="none" w:pos="1098" w:val="left"/>
        </w:tabs>
        <w:numPr>
          <w:ilvl w:val="1"/>
          <w:numId w:val="11"/>
        </w:numPr>
        <w:rPr>
          <w:rFonts w:ascii="Arial" w:cs="Arial" w:eastAsia="Arial" w:hAnsi="Arial"/>
          <w:sz w:val="18"/>
          <w:szCs w:val="18"/>
          <w:color w:val="auto"/>
        </w:rPr>
      </w:pPr>
      <w:r>
        <w:rPr>
          <w:rFonts w:ascii="Arial" w:cs="Arial" w:eastAsia="Arial" w:hAnsi="Arial"/>
          <w:sz w:val="18"/>
          <w:szCs w:val="18"/>
          <w:color w:val="auto"/>
        </w:rPr>
        <w:t>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w:t>
      </w:r>
    </w:p>
    <w:p>
      <w:pPr>
        <w:spacing w:after="0" w:line="78" w:lineRule="exact"/>
        <w:rPr>
          <w:rFonts w:ascii="Arial" w:cs="Arial" w:eastAsia="Arial" w:hAnsi="Arial"/>
          <w:sz w:val="18"/>
          <w:szCs w:val="18"/>
          <w:color w:val="auto"/>
        </w:rPr>
      </w:pPr>
    </w:p>
    <w:p>
      <w:pPr>
        <w:ind w:left="420" w:right="180" w:firstLine="391"/>
        <w:spacing w:after="0" w:line="277" w:lineRule="auto"/>
        <w:tabs>
          <w:tab w:leader="none" w:pos="1088"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Warrant Agreement has been duly authorized, executed and delivered by, and is a valid and binding agreement of, the Company, enforceable in accordance with its terms, subject to the Enforceability Exceptions.</w:t>
      </w:r>
    </w:p>
    <w:p>
      <w:pPr>
        <w:spacing w:after="0" w:line="62" w:lineRule="exact"/>
        <w:rPr>
          <w:rFonts w:ascii="Arial" w:cs="Arial" w:eastAsia="Arial" w:hAnsi="Arial"/>
          <w:sz w:val="18"/>
          <w:szCs w:val="18"/>
          <w:color w:val="auto"/>
        </w:rPr>
      </w:pPr>
    </w:p>
    <w:p>
      <w:pPr>
        <w:ind w:left="700" w:hanging="312"/>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Units are Offered Securities:</w:t>
      </w:r>
    </w:p>
    <w:p>
      <w:pPr>
        <w:spacing w:after="0" w:line="117" w:lineRule="exact"/>
        <w:rPr>
          <w:rFonts w:ascii="Arial" w:cs="Arial" w:eastAsia="Arial" w:hAnsi="Arial"/>
          <w:sz w:val="18"/>
          <w:szCs w:val="18"/>
          <w:color w:val="auto"/>
        </w:rPr>
      </w:pPr>
    </w:p>
    <w:p>
      <w:pPr>
        <w:ind w:left="420" w:right="100" w:firstLine="391"/>
        <w:spacing w:after="0" w:line="259" w:lineRule="auto"/>
        <w:tabs>
          <w:tab w:leader="none" w:pos="1098" w:val="left"/>
        </w:tabs>
        <w:numPr>
          <w:ilvl w:val="1"/>
          <w:numId w:val="11"/>
        </w:numPr>
        <w:rPr>
          <w:rFonts w:ascii="Arial" w:cs="Arial" w:eastAsia="Arial" w:hAnsi="Arial"/>
          <w:sz w:val="18"/>
          <w:szCs w:val="18"/>
          <w:color w:val="auto"/>
        </w:rPr>
      </w:pPr>
      <w:r>
        <w:rPr>
          <w:rFonts w:ascii="Arial" w:cs="Arial" w:eastAsia="Arial" w:hAnsi="Arial"/>
          <w:sz w:val="18"/>
          <w:szCs w:val="18"/>
          <w:color w:val="auto"/>
        </w:rPr>
        <w:t>such Units have been duly authorized and, when executed and delivered in accordance with the provisions of the Unit Agreement and delivered to and paid for by the Underwriters in accordance with the terms of this Agreement, such Units will be valid and binding obligations of the Company, enforceable in accordance with their terms, subject to the Enforceability Exceptions; and</w:t>
      </w:r>
    </w:p>
    <w:p>
      <w:pPr>
        <w:spacing w:after="0" w:line="78" w:lineRule="exact"/>
        <w:rPr>
          <w:rFonts w:ascii="Arial" w:cs="Arial" w:eastAsia="Arial" w:hAnsi="Arial"/>
          <w:sz w:val="18"/>
          <w:szCs w:val="18"/>
          <w:color w:val="auto"/>
        </w:rPr>
      </w:pPr>
    </w:p>
    <w:p>
      <w:pPr>
        <w:ind w:left="420" w:right="440" w:firstLine="391"/>
        <w:spacing w:after="0" w:line="277" w:lineRule="auto"/>
        <w:tabs>
          <w:tab w:leader="none" w:pos="1088"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Unit Agreement has been duly authorized, executed and delivered by, and is a valid and binding agreement of, the Company, enforceable in accordance with its terms, subject to the Enforceability Exceptions.</w:t>
      </w:r>
    </w:p>
    <w:p>
      <w:pPr>
        <w:spacing w:after="0" w:line="62" w:lineRule="exact"/>
        <w:rPr>
          <w:rFonts w:ascii="Arial" w:cs="Arial" w:eastAsia="Arial" w:hAnsi="Arial"/>
          <w:sz w:val="18"/>
          <w:szCs w:val="18"/>
          <w:color w:val="auto"/>
        </w:rPr>
      </w:pPr>
    </w:p>
    <w:p>
      <w:pPr>
        <w:ind w:left="640" w:hanging="25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left="-20" w:right="260" w:firstLine="408"/>
        <w:spacing w:after="0" w:line="263" w:lineRule="auto"/>
        <w:tabs>
          <w:tab w:leader="none" w:pos="68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statements included in the Time of Sale Prospectus and the Prospectus under the captions “Description of Capital Stock,” “Description of Debt Securities,” “Description of Warrants,” and “Description of Units,” as applicable, insofar as they summarize provisions of the Offered Securities, fairly summarize such provisions in all material respects.</w:t>
      </w:r>
    </w:p>
    <w:p>
      <w:pPr>
        <w:spacing w:after="0" w:line="75" w:lineRule="exact"/>
        <w:rPr>
          <w:rFonts w:ascii="Arial" w:cs="Arial" w:eastAsia="Arial" w:hAnsi="Arial"/>
          <w:sz w:val="18"/>
          <w:szCs w:val="18"/>
          <w:color w:val="auto"/>
        </w:rPr>
      </w:pPr>
    </w:p>
    <w:p>
      <w:pPr>
        <w:ind w:left="-20" w:right="240" w:firstLine="408"/>
        <w:spacing w:after="0" w:line="308" w:lineRule="auto"/>
        <w:tabs>
          <w:tab w:leader="none" w:pos="732"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statements included in the Time of Sale Prospectus and the Prospectus under the captions “Material U.S. Federal Income Tax Consequences” and “Underwriting” relating to legal matters fairly summarize such matters in all material respects.</w:t>
      </w:r>
    </w:p>
    <w:p>
      <w:pPr>
        <w:spacing w:after="0" w:line="7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000"/>
          </w:cols>
          <w:pgMar w:left="1440" w:top="490" w:right="459" w:bottom="1440" w:gutter="0" w:footer="0" w:header="0"/>
        </w:sectPr>
      </w:pPr>
    </w:p>
    <w:bookmarkStart w:id="26" w:name="page27"/>
    <w:bookmarkEnd w:id="26"/>
    <w:p>
      <w:pPr>
        <w:ind w:left="-20" w:right="120" w:firstLine="408"/>
        <w:spacing w:after="0" w:line="282" w:lineRule="auto"/>
        <w:tabs>
          <w:tab w:leader="none" w:pos="786"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In the case of Offered Securities that are convertible into or exercisable or exchangeable for other Securities (the “</w:t>
      </w:r>
      <w:r>
        <w:rPr>
          <w:rFonts w:ascii="Arial" w:cs="Arial" w:eastAsia="Arial" w:hAnsi="Arial"/>
          <w:sz w:val="18"/>
          <w:szCs w:val="18"/>
          <w:b w:val="1"/>
          <w:bCs w:val="1"/>
          <w:color w:val="auto"/>
        </w:rPr>
        <w:t>Underlying</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 the Underlying Securities have been duly authorized and reserved for issuance.</w:t>
      </w:r>
    </w:p>
    <w:p>
      <w:pPr>
        <w:spacing w:after="0" w:line="57" w:lineRule="exact"/>
        <w:rPr>
          <w:rFonts w:ascii="Arial" w:cs="Arial" w:eastAsia="Arial" w:hAnsi="Arial"/>
          <w:sz w:val="18"/>
          <w:szCs w:val="18"/>
          <w:color w:val="auto"/>
        </w:rPr>
      </w:pPr>
    </w:p>
    <w:p>
      <w:pPr>
        <w:jc w:val="both"/>
        <w:ind w:left="-20" w:right="160" w:firstLine="408"/>
        <w:spacing w:after="0" w:line="311" w:lineRule="auto"/>
        <w:tabs>
          <w:tab w:leader="none" w:pos="682" w:val="left"/>
        </w:tabs>
        <w:numPr>
          <w:ilvl w:val="0"/>
          <w:numId w:val="12"/>
        </w:numPr>
        <w:rPr>
          <w:rFonts w:ascii="Arial" w:cs="Arial" w:eastAsia="Arial" w:hAnsi="Arial"/>
          <w:sz w:val="16"/>
          <w:szCs w:val="16"/>
          <w:color w:val="auto"/>
        </w:rPr>
      </w:pPr>
      <w:r>
        <w:rPr>
          <w:rFonts w:ascii="Arial" w:cs="Arial" w:eastAsia="Arial" w:hAnsi="Arial"/>
          <w:sz w:val="16"/>
          <w:szCs w:val="16"/>
          <w:color w:val="auto"/>
        </w:rPr>
        <w:t>When the Underlying Securities are issued upon conversion, exercise or exchange of the Offered Securities in accordance with the terms of the Offered Securities or any applicable Transaction Document, such Underlying Securities will be validly issued, fully paid and non-assessable and will not be subject to any preemptive or other right to subscribe for or purchase such Underlying Securities.</w:t>
      </w:r>
    </w:p>
    <w:p>
      <w:pPr>
        <w:spacing w:after="0" w:line="40" w:lineRule="exact"/>
        <w:rPr>
          <w:rFonts w:ascii="Arial" w:cs="Arial" w:eastAsia="Arial" w:hAnsi="Arial"/>
          <w:sz w:val="16"/>
          <w:szCs w:val="16"/>
          <w:color w:val="auto"/>
        </w:rPr>
      </w:pPr>
    </w:p>
    <w:p>
      <w:pPr>
        <w:ind w:left="-20" w:firstLine="408"/>
        <w:spacing w:after="0" w:line="311" w:lineRule="auto"/>
        <w:tabs>
          <w:tab w:leader="none" w:pos="632"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is not, and after giving effect to the offering and sale of the Offered Securities and the application of the proceeds thereof as described in each of the Registration Statement, Time of Sale Information and the Prospectus, the Company will not, be required to register as an “investment company” as such term is defined in the Investment Company Act of 1940, as amended.</w:t>
      </w:r>
    </w:p>
    <w:p>
      <w:pPr>
        <w:spacing w:after="0" w:line="40" w:lineRule="exact"/>
        <w:rPr>
          <w:rFonts w:ascii="Arial" w:cs="Arial" w:eastAsia="Arial" w:hAnsi="Arial"/>
          <w:sz w:val="16"/>
          <w:szCs w:val="16"/>
          <w:color w:val="auto"/>
        </w:rPr>
      </w:pPr>
    </w:p>
    <w:p>
      <w:pPr>
        <w:ind w:left="-20" w:right="80" w:firstLine="408"/>
        <w:spacing w:after="0" w:line="301" w:lineRule="auto"/>
        <w:tabs>
          <w:tab w:leader="none" w:pos="686"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the opinion of such counsel the Registration Statement and the Prospectus (except for the financial statements and financial schedules and other financial and statistical data included therein and except for that part of the Registration Statement that constitutes the Form T-1, as to which such counsel need not express any opinion) appear on their face to be appropriately responsive in all material respects to the requirements of the Securities Act and the applicable rules and regulations of the Commission thereunder.</w:t>
      </w:r>
    </w:p>
    <w:p>
      <w:pPr>
        <w:spacing w:after="0" w:line="49" w:lineRule="exact"/>
        <w:rPr>
          <w:rFonts w:ascii="Arial" w:cs="Arial" w:eastAsia="Arial" w:hAnsi="Arial"/>
          <w:sz w:val="16"/>
          <w:szCs w:val="16"/>
          <w:color w:val="auto"/>
        </w:rPr>
      </w:pPr>
    </w:p>
    <w:p>
      <w:pPr>
        <w:ind w:left="-20" w:right="120" w:firstLine="408"/>
        <w:spacing w:after="0" w:line="277" w:lineRule="auto"/>
        <w:tabs>
          <w:tab w:leader="none" w:pos="736"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Nothing has come to the attention of such counsel that causes such counsel to believe that, insofar as relevant to the offering of the Offered Securities:</w:t>
      </w:r>
    </w:p>
    <w:p>
      <w:pPr>
        <w:spacing w:after="0" w:line="62" w:lineRule="exact"/>
        <w:rPr>
          <w:rFonts w:ascii="Arial" w:cs="Arial" w:eastAsia="Arial" w:hAnsi="Arial"/>
          <w:sz w:val="18"/>
          <w:szCs w:val="18"/>
          <w:color w:val="auto"/>
        </w:rPr>
      </w:pPr>
    </w:p>
    <w:p>
      <w:pPr>
        <w:ind w:left="420" w:right="140" w:firstLine="391"/>
        <w:spacing w:after="0" w:line="293" w:lineRule="auto"/>
        <w:tabs>
          <w:tab w:leader="none" w:pos="1098"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Registration Statement as of the date the Registration Statement or any amendment (or any part thereof) is considered to have become effective as to the Underwriters pursuant to Section 11(d) of the Securities Act and Rule 430B(f) promulgated thereunder or as of the date of this Agreement (in each case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w:t>
      </w:r>
    </w:p>
    <w:p>
      <w:pPr>
        <w:spacing w:after="0" w:line="9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000"/>
          </w:cols>
          <w:pgMar w:left="1440" w:top="486" w:right="459" w:bottom="1440" w:gutter="0" w:footer="0" w:header="0"/>
        </w:sectPr>
      </w:pPr>
    </w:p>
    <w:bookmarkStart w:id="27" w:name="page28"/>
    <w:bookmarkEnd w:id="27"/>
    <w:p>
      <w:pPr>
        <w:ind w:left="1420" w:right="180" w:firstLine="391"/>
        <w:spacing w:after="0" w:line="259" w:lineRule="auto"/>
        <w:tabs>
          <w:tab w:leader="none" w:pos="2088" w:val="left"/>
        </w:tabs>
        <w:numPr>
          <w:ilvl w:val="2"/>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Time of Sale Prospectus (except for the financial statements and financial schedules and other financial and statistical data included therein, as to which such counsel need not express any belief) as of the Applicable Time contained any untrue statement of a material fact or omitted to state a material fact necessary in order to make the statements therein, in the light of the circumstances under which they were made, not misleading; or</w:t>
      </w:r>
    </w:p>
    <w:p>
      <w:pPr>
        <w:spacing w:after="0" w:line="78" w:lineRule="exact"/>
        <w:rPr>
          <w:rFonts w:ascii="Arial" w:cs="Arial" w:eastAsia="Arial" w:hAnsi="Arial"/>
          <w:sz w:val="18"/>
          <w:szCs w:val="18"/>
          <w:color w:val="auto"/>
        </w:rPr>
      </w:pPr>
    </w:p>
    <w:p>
      <w:pPr>
        <w:ind w:left="1420" w:firstLine="391"/>
        <w:spacing w:after="0" w:line="301" w:lineRule="auto"/>
        <w:tabs>
          <w:tab w:leader="none" w:pos="2088" w:val="left"/>
        </w:tabs>
        <w:numPr>
          <w:ilvl w:val="2"/>
          <w:numId w:val="13"/>
        </w:numPr>
        <w:rPr>
          <w:rFonts w:ascii="Arial" w:cs="Arial" w:eastAsia="Arial" w:hAnsi="Arial"/>
          <w:sz w:val="16"/>
          <w:szCs w:val="16"/>
          <w:color w:val="auto"/>
        </w:rPr>
      </w:pPr>
      <w:r>
        <w:rPr>
          <w:rFonts w:ascii="Arial" w:cs="Arial" w:eastAsia="Arial" w:hAnsi="Arial"/>
          <w:sz w:val="16"/>
          <w:szCs w:val="16"/>
          <w:color w:val="auto"/>
        </w:rPr>
        <w:t>the Prospectus (except for the financial statements and financial schedules and other financial and statistical data included therein, as to which such counsel need not express any belief) at the date of this Agreement or as amended or supplemented, if applicable, as of the Closing Date contained or contains any untrue statement of a material fact or omitted or omits to state a material fact necessary in order to make the statements therein, in the light of the circumstances under which they were made, not misleading.</w:t>
      </w:r>
    </w:p>
    <w:p>
      <w:pPr>
        <w:spacing w:after="0" w:line="49" w:lineRule="exact"/>
        <w:rPr>
          <w:rFonts w:ascii="Arial" w:cs="Arial" w:eastAsia="Arial" w:hAnsi="Arial"/>
          <w:sz w:val="16"/>
          <w:szCs w:val="16"/>
          <w:color w:val="auto"/>
        </w:rPr>
      </w:pPr>
    </w:p>
    <w:p>
      <w:pPr>
        <w:ind w:left="980" w:right="60" w:firstLine="408"/>
        <w:spacing w:after="0" w:line="277" w:lineRule="auto"/>
        <w:tabs>
          <w:tab w:leader="none" w:pos="1782"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execution, delivery and performance by the Company of this Agreement, the Indenture, and the Offered Securities will not contravene any provision of applicable law.</w:t>
      </w:r>
    </w:p>
    <w:p>
      <w:pPr>
        <w:spacing w:after="0" w:line="62" w:lineRule="exact"/>
        <w:rPr>
          <w:rFonts w:ascii="Arial" w:cs="Arial" w:eastAsia="Arial" w:hAnsi="Arial"/>
          <w:sz w:val="18"/>
          <w:szCs w:val="18"/>
          <w:color w:val="auto"/>
        </w:rPr>
      </w:pPr>
    </w:p>
    <w:p>
      <w:pPr>
        <w:ind w:left="440" w:right="420" w:firstLine="419"/>
        <w:spacing w:after="0" w:line="277" w:lineRule="auto"/>
        <w:tabs>
          <w:tab w:leader="none" w:pos="11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Manager shall have received on the Closing Date an opinion of its own counsel, in a form acceptable to the Manager, dated the Closing Date.</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It is understood that the general counsel of the Company may rely as to all matters relating to the laws of the State of New York upon the opinion of Davis Polk &amp; Wardwell LLP.</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With respect to the matters set forth in (b)(vii), (b)(viii), (c)(xi) and (c)(xii) above, the general counsel of the Company and Davis Polk &amp; Wardwell LLP may state that their belief is based upon participation by them in the preparation of the Registration Statement (excluding, in the case of Davis Polk &amp; Wardwell LLP, any documents incorporated by reference therein), the Time of Sale Prospectus, and the Prospectus (as amended or supplemented) and review and discussion of the contents thereof (including any such incorporated documents), but is without independent check or verification, except as specified.</w:t>
      </w:r>
    </w:p>
    <w:p>
      <w:pPr>
        <w:spacing w:after="0" w:line="80" w:lineRule="exact"/>
        <w:rPr>
          <w:sz w:val="20"/>
          <w:szCs w:val="20"/>
          <w:color w:val="auto"/>
        </w:rPr>
      </w:pPr>
    </w:p>
    <w:p>
      <w:pPr>
        <w:ind w:left="440" w:right="120" w:firstLine="419"/>
        <w:spacing w:after="0" w:line="279" w:lineRule="auto"/>
        <w:tabs>
          <w:tab w:leader="none" w:pos="1104"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Manager shall have received on the date hereof and on the Closing Date a letter dated such date, in form and substance satisfactory to the Manager, from the Company’s independent public accountants, containing statements and information of the type ordinarily included in accountants’ “comfort letters” to underwriters with respect to the financial statements and certain financial information contained or incorporated by reference in the Registration Statement, the Time of Sale Prospectus and the Prospectus.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490" w:right="459" w:bottom="1440" w:gutter="0" w:footer="0" w:header="0"/>
        </w:sectPr>
      </w:pPr>
    </w:p>
    <w:bookmarkStart w:id="28" w:name="page29"/>
    <w:bookmarkEnd w:id="28"/>
    <w:p>
      <w:pPr>
        <w:jc w:val="both"/>
        <w:ind w:left="440" w:right="280" w:firstLine="419"/>
        <w:spacing w:after="0" w:line="301" w:lineRule="auto"/>
        <w:tabs>
          <w:tab w:leader="none" w:pos="1088" w:val="left"/>
        </w:tabs>
        <w:numPr>
          <w:ilvl w:val="0"/>
          <w:numId w:val="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Subsequent to the Applicable Time and prior to the Closing Date, there shall not have occurred any downgrading, nor shall any notice have been given of (i) any intended or potential downgrading or (ii) any review or possible change that, in the Manager’s opinion, indicates an intended or potential downgrading in the rating accorded any of the Company’s securities by any “nationally recognized statistical rating organization,” as such term is defined in Section 3(a)(62) of the Exchange Act, that, in the Manager’s judgment, is material and adverse.</w:t>
      </w:r>
    </w:p>
    <w:p>
      <w:pPr>
        <w:spacing w:after="0" w:line="49" w:lineRule="exact"/>
        <w:rPr>
          <w:rFonts w:ascii="Arial" w:cs="Arial" w:eastAsia="Arial" w:hAnsi="Arial"/>
          <w:sz w:val="16"/>
          <w:szCs w:val="16"/>
          <w:color w:val="auto"/>
        </w:rPr>
      </w:pPr>
    </w:p>
    <w:p>
      <w:pPr>
        <w:ind w:left="440" w:firstLine="419"/>
        <w:spacing w:after="0" w:line="279" w:lineRule="auto"/>
        <w:tabs>
          <w:tab w:leader="none" w:pos="1114"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There shall not have occurred any change, or any event that is reasonably likely to cause a change, in the condition of the Company and its subsidiaries, taken as a whole, from that set forth in or contemplated in the Time of Sale Prospectus as of the date of this Agreement, that, in the Manager’s judgment, is material and adverse and that makes it, in the Manager’s judgment, impracticable to market the Offered Securities on the terms, in the manner and substantially at the price contemplated in the Time of Sale Prospectus.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further consideration of the agreements of the Underwriters contained in this Agreement, the Company covenants as follows:</w:t>
      </w:r>
    </w:p>
    <w:p>
      <w:pPr>
        <w:spacing w:after="0" w:line="117" w:lineRule="exact"/>
        <w:rPr>
          <w:sz w:val="20"/>
          <w:szCs w:val="20"/>
          <w:color w:val="auto"/>
        </w:rPr>
      </w:pPr>
    </w:p>
    <w:p>
      <w:pPr>
        <w:ind w:left="440" w:right="60" w:firstLine="419"/>
        <w:spacing w:after="0" w:line="311" w:lineRule="auto"/>
        <w:tabs>
          <w:tab w:leader="none" w:pos="1104"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furnish the Manager, without charge, one copy of the Registration Statement, including exhibits and materials, if any, incorporated by reference therein, and, during the period mentioned in paragraph (f) below, as many copies of the Time of Sale Prospectus, the Prospectus, any documents incorporated by reference therein and any supplements and amendments thereto as the Manager may reasonably request.</w:t>
      </w:r>
    </w:p>
    <w:p>
      <w:pPr>
        <w:spacing w:after="0" w:line="40" w:lineRule="exact"/>
        <w:rPr>
          <w:rFonts w:ascii="Arial" w:cs="Arial" w:eastAsia="Arial" w:hAnsi="Arial"/>
          <w:sz w:val="16"/>
          <w:szCs w:val="16"/>
          <w:color w:val="auto"/>
        </w:rPr>
      </w:pPr>
    </w:p>
    <w:p>
      <w:pPr>
        <w:ind w:left="440" w:right="20" w:firstLine="419"/>
        <w:spacing w:after="0" w:line="259" w:lineRule="auto"/>
        <w:tabs>
          <w:tab w:leader="none" w:pos="1118"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Before amending or supplementing the Registration Statement, the Time of Sale Prospectus or the Prospectus with respect to the Offered Securities, to furnish the Manager a copy of each such proposed amendment or supplement and not to file any such proposed amendment or supplement to which the Manager reasonably objects unless, in the Company’s good faith judgment, the Company is required by law or regulation to make such filing.</w:t>
      </w:r>
    </w:p>
    <w:p>
      <w:pPr>
        <w:spacing w:after="0" w:line="78" w:lineRule="exact"/>
        <w:rPr>
          <w:rFonts w:ascii="Arial" w:cs="Arial" w:eastAsia="Arial" w:hAnsi="Arial"/>
          <w:sz w:val="18"/>
          <w:szCs w:val="18"/>
          <w:color w:val="auto"/>
        </w:rPr>
      </w:pPr>
    </w:p>
    <w:p>
      <w:pPr>
        <w:ind w:left="440" w:right="200" w:firstLine="419"/>
        <w:spacing w:after="0" w:line="277" w:lineRule="auto"/>
        <w:tabs>
          <w:tab w:leader="none" w:pos="11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Before filing, using or referring to any free writing prospectus relating to the Offered Securities, to furnish the Manager a copy of each such free writing prospectus.</w:t>
      </w:r>
    </w:p>
    <w:p>
      <w:pPr>
        <w:spacing w:after="0" w:line="62" w:lineRule="exact"/>
        <w:rPr>
          <w:rFonts w:ascii="Arial" w:cs="Arial" w:eastAsia="Arial" w:hAnsi="Arial"/>
          <w:sz w:val="18"/>
          <w:szCs w:val="18"/>
          <w:color w:val="auto"/>
        </w:rPr>
      </w:pPr>
    </w:p>
    <w:p>
      <w:pPr>
        <w:jc w:val="both"/>
        <w:ind w:left="440" w:right="100" w:firstLine="419"/>
        <w:spacing w:after="0" w:line="263" w:lineRule="auto"/>
        <w:tabs>
          <w:tab w:leader="none" w:pos="1118"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to take any action that would result in an Underwriter being required to file with the Commission pursuant to Rule 433(d) under the Securities Act a free writing prospectus prepared by or on behalf of the Underwriter that the Underwriter otherwise would not have been required to file thereunder.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490" w:right="459" w:bottom="1440" w:gutter="0" w:footer="0" w:header="0"/>
        </w:sectPr>
      </w:pPr>
    </w:p>
    <w:bookmarkStart w:id="29" w:name="page30"/>
    <w:bookmarkEnd w:id="29"/>
    <w:p>
      <w:pPr>
        <w:ind w:right="20" w:firstLine="419"/>
        <w:spacing w:after="0" w:line="269" w:lineRule="auto"/>
        <w:tabs>
          <w:tab w:leader="none" w:pos="668" w:val="left"/>
        </w:tabs>
        <w:numPr>
          <w:ilvl w:val="0"/>
          <w:numId w:val="1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If the Time of Sale Prospectus is being used to solicit offers to buy the Offered Securities at a time when the Prospectus is not yet available to prospective purchasers and any event shall occur as a result of which it is necessary to amend or supplement the Time of Sale Prospectus in order to make the statements therein, in the light of the circumstances existing at the time, not misleading, or if any event shall occur as a result of which any free writing prospectus included as part of the Time of Sale Prospectus conflicts with the information contained in the Registration Statement then on file, the Company shall forthwith prepare and furnish, at its expense, to the Underwriters and to the dealers (whose names and addresses the Manager will furnish to the Company), either amendments or supplements to the Time of Sale Prospectus so that the statements in the Time of Sale Prospectus as so amended or supplemented will not, in the light of the circumstances existing at the time, be misleading or so that any free writing prospectus which is included as part of the Time of Sale Prospectus, as amended or supplemented, will no longer conflict with the Registration Statement, or so that the Time of Sale Prospectus, as amended or supplemented, will comply with applicable law.</w:t>
      </w:r>
    </w:p>
    <w:p>
      <w:pPr>
        <w:spacing w:after="0" w:line="77" w:lineRule="exact"/>
        <w:rPr>
          <w:rFonts w:ascii="Arial" w:cs="Arial" w:eastAsia="Arial" w:hAnsi="Arial"/>
          <w:sz w:val="17"/>
          <w:szCs w:val="17"/>
          <w:color w:val="auto"/>
        </w:rPr>
      </w:pPr>
    </w:p>
    <w:p>
      <w:pPr>
        <w:ind w:right="60" w:firstLine="419"/>
        <w:spacing w:after="0" w:line="287" w:lineRule="auto"/>
        <w:tabs>
          <w:tab w:leader="none" w:pos="648"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during such period after the first date of the public offering of the Offered Securities as in the opinion of counsel for the Underwriters the Prospectus (or in lieu thereof the notice referred to in Rule 173(a) under the Securities Act) is required by law to be delivered in connection with sales by an Underwriter or dealer (the “Prospectus Delivery Period”), any event shall occur or condition exist as a result of which it is necessary to amend or supplement the Prospectus in order to make the statements therein, in the light of the circumstances when the Prospectus (or in lieu thereof the notice referred to in Rule 173(a) under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Manager will furnish to the Company) to which Securities may have been sold by the Manager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under the Securities Act) is delivered to a purchaser, be misleading or so that the Prospectus, as amended or supplemented, will comply with applicable law.</w:t>
      </w:r>
    </w:p>
    <w:p>
      <w:pPr>
        <w:spacing w:after="0" w:line="63" w:lineRule="exact"/>
        <w:rPr>
          <w:rFonts w:ascii="Arial" w:cs="Arial" w:eastAsia="Arial" w:hAnsi="Arial"/>
          <w:sz w:val="16"/>
          <w:szCs w:val="16"/>
          <w:color w:val="auto"/>
        </w:rPr>
      </w:pPr>
    </w:p>
    <w:p>
      <w:pPr>
        <w:ind w:firstLine="419"/>
        <w:spacing w:after="0" w:line="342" w:lineRule="auto"/>
        <w:tabs>
          <w:tab w:leader="none" w:pos="674"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endeavor to qualify the Offered Securities for offer and sale under the securities or Blue Sky laws of such jurisdictions as the Manager shall reasonably request and to pay all expenses (including fees and disbursements of counsel) in connection with such qualification.</w:t>
      </w:r>
    </w:p>
    <w:p>
      <w:pPr>
        <w:spacing w:after="0" w:line="15" w:lineRule="exact"/>
        <w:rPr>
          <w:rFonts w:ascii="Arial" w:cs="Arial" w:eastAsia="Arial" w:hAnsi="Arial"/>
          <w:sz w:val="16"/>
          <w:szCs w:val="16"/>
          <w:color w:val="auto"/>
        </w:rPr>
      </w:pPr>
    </w:p>
    <w:p>
      <w:pPr>
        <w:ind w:right="80" w:firstLine="419"/>
        <w:spacing w:after="0" w:line="279" w:lineRule="auto"/>
        <w:tabs>
          <w:tab w:leader="none" w:pos="674"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make generally available to the Company’s security holders as soon as practicable an earning statement covering a twelve month period beginning after the date of this Agreement, which shall satisfy the provisions of Section 11(a) of the Securities Act and the applicable rules and regulations thereunder; it being intended that the Company will satisfy the foregoing obligations by making available in the manner provided for by Rule 158 of the Securities Act copies of its annual report on Form 10-K and its current reports on Form 10-Q.</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60"/>
          </w:cols>
          <w:pgMar w:left="880" w:top="490" w:right="459" w:bottom="1440" w:gutter="0" w:footer="0" w:header="0"/>
        </w:sectPr>
      </w:pPr>
    </w:p>
    <w:bookmarkStart w:id="30" w:name="page31"/>
    <w:bookmarkEnd w:id="30"/>
    <w:p>
      <w:pPr>
        <w:ind w:right="180" w:firstLine="419"/>
        <w:spacing w:after="0" w:line="259" w:lineRule="auto"/>
        <w:tabs>
          <w:tab w:leader="none" w:pos="638"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If Debt Securities are Offered Securities, during the period beginning on the date of this Agreement and continuing to and including the Closing Date, not to offer, sell, contract to sell or otherwise dispose of any debt securities of the Company substantially similar to the Offered Securities (other than (i) the Offered Securities or (ii) commercial paper issued in the ordinary course of business) without the prior written consent of the Manager.</w:t>
      </w:r>
    </w:p>
    <w:p>
      <w:pPr>
        <w:spacing w:after="0" w:line="78" w:lineRule="exact"/>
        <w:rPr>
          <w:rFonts w:ascii="Arial" w:cs="Arial" w:eastAsia="Arial" w:hAnsi="Arial"/>
          <w:sz w:val="18"/>
          <w:szCs w:val="18"/>
          <w:color w:val="auto"/>
        </w:rPr>
      </w:pPr>
    </w:p>
    <w:p>
      <w:pPr>
        <w:ind w:firstLine="419"/>
        <w:spacing w:after="0" w:line="259" w:lineRule="auto"/>
        <w:tabs>
          <w:tab w:leader="none" w:pos="638"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the request of the Manager, to prepare a final term sheet relating to the offering of the Offered Securities, containing only information that describes the final terms of the Offered Securities or the offering in a form consented to by the Manager, and to file such final term sheet within the period required by Rule 433(d)(5)(ii) under the Securities Act following the date the final terms have been established for the offering of the Offered Securities.</w:t>
      </w:r>
    </w:p>
    <w:p>
      <w:pPr>
        <w:spacing w:after="0" w:line="78" w:lineRule="exact"/>
        <w:rPr>
          <w:rFonts w:ascii="Arial" w:cs="Arial" w:eastAsia="Arial" w:hAnsi="Arial"/>
          <w:sz w:val="18"/>
          <w:szCs w:val="18"/>
          <w:color w:val="auto"/>
        </w:rPr>
      </w:pPr>
    </w:p>
    <w:p>
      <w:pPr>
        <w:ind w:right="20" w:firstLine="419"/>
        <w:spacing w:after="0" w:line="277" w:lineRule="auto"/>
        <w:tabs>
          <w:tab w:leader="none" w:pos="67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pay the registration fees for this offering within the time period required by Rule 456(b)(1)(i) under the Securities Act (without giving effect to the proviso therein) and in any event prior to the Closing Date.</w:t>
      </w:r>
    </w:p>
    <w:p>
      <w:pPr>
        <w:spacing w:after="0" w:line="62" w:lineRule="exact"/>
        <w:rPr>
          <w:rFonts w:ascii="Arial" w:cs="Arial" w:eastAsia="Arial" w:hAnsi="Arial"/>
          <w:sz w:val="18"/>
          <w:szCs w:val="18"/>
          <w:color w:val="auto"/>
        </w:rPr>
      </w:pPr>
    </w:p>
    <w:p>
      <w:pPr>
        <w:ind w:firstLine="419"/>
        <w:spacing w:after="0" w:line="268"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taxes payable in that connection; (ii) 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Securities under the laws of such jurisdictions as the Manager may reasonably request and the preparation, printing and distribution of a Blue Sky Memorandum (including the related fees and expenses of counsel for the Underwriters); (vi) any fees charged by rating agencies for rating the Securities; (vii) the fees and expenses of the Trustee and any paying agent (including related fees and expenses of any counsel to such parties); (viii) all expenses and application fees incurred in connection with any filing with, and clearance of any offering by, the Financial Industry Regulatory Authority, Inc.; and (ix) all expenses incurred by the Company in connection with any “road show” presentation to potential investors.</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60"/>
          </w:cols>
          <w:pgMar w:left="880" w:top="490" w:right="459" w:bottom="1440" w:gutter="0" w:footer="0" w:header="0"/>
        </w:sectPr>
      </w:pPr>
    </w:p>
    <w:bookmarkStart w:id="31" w:name="page32"/>
    <w:bookmarkEnd w:id="31"/>
    <w:p>
      <w:pPr>
        <w:ind w:left="440" w:firstLine="419"/>
        <w:spacing w:after="0" w:line="275" w:lineRule="auto"/>
        <w:tabs>
          <w:tab w:leader="none" w:pos="1168" w:val="left"/>
        </w:tabs>
        <w:numPr>
          <w:ilvl w:val="1"/>
          <w:numId w:val="2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of the Securities contemplated hereby.</w:t>
      </w:r>
    </w:p>
    <w:p>
      <w:pPr>
        <w:spacing w:after="0" w:line="68" w:lineRule="exact"/>
        <w:rPr>
          <w:rFonts w:ascii="Arial" w:cs="Arial" w:eastAsia="Arial" w:hAnsi="Arial"/>
          <w:sz w:val="17"/>
          <w:szCs w:val="17"/>
          <w:color w:val="auto"/>
        </w:rPr>
      </w:pPr>
    </w:p>
    <w:p>
      <w:pPr>
        <w:ind w:left="440" w:right="20" w:firstLine="419"/>
        <w:spacing w:after="0" w:line="284" w:lineRule="auto"/>
        <w:tabs>
          <w:tab w:leader="none" w:pos="1118" w:val="left"/>
        </w:tabs>
        <w:numPr>
          <w:ilvl w:val="1"/>
          <w:numId w:val="21"/>
        </w:numPr>
        <w:rPr>
          <w:rFonts w:ascii="Arial" w:cs="Arial" w:eastAsia="Arial" w:hAnsi="Arial"/>
          <w:sz w:val="16"/>
          <w:szCs w:val="16"/>
          <w:color w:val="auto"/>
        </w:rPr>
      </w:pPr>
      <w:r>
        <w:rPr>
          <w:rFonts w:ascii="Arial" w:cs="Arial" w:eastAsia="Arial" w:hAnsi="Arial"/>
          <w:sz w:val="16"/>
          <w:szCs w:val="16"/>
          <w:color w:val="auto"/>
        </w:rPr>
        <w:t>During the Prospectus Delivery Period, to notify the Manager promptly in writing (i) when any amendment to the Registration Statement has been filed or becomes effective; (ii) when any supplement to the Prospectus or any amendment to the Prospectus or any Issuer Free Writing Prospectus has been filed; (iii) of any request by the Commission for any amendment to the Registration Statement or any amendment or supplement to the Prospectus or the receipt of any comments from the Commission relating to the Registration Statement; (iv) of the issuance by the Commission of any order suspending the effectiveness of the Registration Statement or preventing or suspending the use of any Preliminary Prospectus or the Prospectus or the initiation or threatening of any proceeding for that purpose or pursuant to Section 8A of the Securities Act;</w:t>
      </w:r>
    </w:p>
    <w:p>
      <w:pPr>
        <w:spacing w:after="0" w:line="4" w:lineRule="exact"/>
        <w:rPr>
          <w:rFonts w:ascii="Arial" w:cs="Arial" w:eastAsia="Arial" w:hAnsi="Arial"/>
          <w:sz w:val="16"/>
          <w:szCs w:val="16"/>
          <w:color w:val="auto"/>
        </w:rPr>
      </w:pPr>
    </w:p>
    <w:p>
      <w:pPr>
        <w:ind w:left="440" w:right="40" w:hanging="4"/>
        <w:spacing w:after="0" w:line="286" w:lineRule="auto"/>
        <w:tabs>
          <w:tab w:leader="none" w:pos="695" w:val="left"/>
        </w:tabs>
        <w:numPr>
          <w:ilvl w:val="0"/>
          <w:numId w:val="22"/>
        </w:numPr>
        <w:rPr>
          <w:rFonts w:ascii="Arial" w:cs="Arial" w:eastAsia="Arial" w:hAnsi="Arial"/>
          <w:sz w:val="16"/>
          <w:szCs w:val="16"/>
          <w:color w:val="auto"/>
        </w:rPr>
      </w:pPr>
      <w:r>
        <w:rPr>
          <w:rFonts w:ascii="Arial" w:cs="Arial" w:eastAsia="Arial" w:hAnsi="Arial"/>
          <w:sz w:val="16"/>
          <w:szCs w:val="16"/>
          <w:color w:val="auto"/>
        </w:rPr>
        <w:t>of the occurrence of any event within the Prospectus Delivery Period as a result of which the Prospectus, the Time of Sale Information or any Issuer Free Writing Prospectus as then amended or supplemented would include any untrue statement of a material fact or omit to state a material fact required to be stated therein or necessary in order to make the statements therein, in the light of the circumstances existing when the Prospectus, the Time of Sale Information or any such Issuer Free Writing Prospectus is delivered to a purchaser, not misleading; (vi) of the receipt by the Company of any notice of objection of the Commission to the use of the Registration Statement or any post-effective amendment thereto pursuant to Rule 401(g)(2) under the Securities Act and (vii) of the receipt by the Company of any notice with respect to any suspension of the qualification of the Securities for offer and sale in any jurisdiction or the initiation or threatening of any proceeding for such purpose; and the Company will use its commercially reasonable efforts to prevent the issuance of any such order suspending the effectiveness of the Registration Statement, preventing or suspending the use of any Preliminary Prospectus or the Prospectus or suspending any such qualification of the Securities and, if any such order is issued, will use its commercially reasonable efforts to obtain as soon as possible the withdrawal thereof.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represents and warrants to each Underwriter as of the date of the Underwriting Agreement that: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490" w:right="459" w:bottom="1440" w:gutter="0" w:footer="0" w:header="0"/>
        </w:sectPr>
      </w:pPr>
    </w:p>
    <w:bookmarkStart w:id="32" w:name="page33"/>
    <w:bookmarkEnd w:id="32"/>
    <w:p>
      <w:pPr>
        <w:ind w:firstLine="419"/>
        <w:spacing w:after="0" w:line="301" w:lineRule="auto"/>
        <w:tabs>
          <w:tab w:leader="none" w:pos="664" w:val="left"/>
        </w:tabs>
        <w:numPr>
          <w:ilvl w:val="0"/>
          <w:numId w:val="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Registration Statement has become effective; no stop order suspending the effectiveness of the Registration Statement is in effect, and no proceedings for such purpose are pending before or threatened by the Commission.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spacing w:after="0" w:line="49" w:lineRule="exact"/>
        <w:rPr>
          <w:rFonts w:ascii="Arial" w:cs="Arial" w:eastAsia="Arial" w:hAnsi="Arial"/>
          <w:sz w:val="16"/>
          <w:szCs w:val="16"/>
          <w:color w:val="auto"/>
        </w:rPr>
      </w:pPr>
    </w:p>
    <w:p>
      <w:pPr>
        <w:ind w:firstLine="419"/>
        <w:spacing w:after="0" w:line="285" w:lineRule="auto"/>
        <w:tabs>
          <w:tab w:leader="none" w:pos="678" w:val="left"/>
        </w:tabs>
        <w:numPr>
          <w:ilvl w:val="0"/>
          <w:numId w:val="23"/>
        </w:numPr>
        <w:rPr>
          <w:rFonts w:ascii="Arial" w:cs="Arial" w:eastAsia="Arial" w:hAnsi="Arial"/>
          <w:sz w:val="16"/>
          <w:szCs w:val="16"/>
          <w:color w:val="auto"/>
        </w:rPr>
      </w:pPr>
      <w:r>
        <w:rPr>
          <w:rFonts w:ascii="Arial" w:cs="Arial" w:eastAsia="Arial" w:hAnsi="Arial"/>
          <w:sz w:val="16"/>
          <w:szCs w:val="16"/>
          <w:color w:val="auto"/>
        </w:rPr>
        <w:t>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to make the statements therein not misleading, (ii) the Registration Statement as of the date hereof does not contain any untrue statement of a material fact or omit to state a material fact required to be stated therein or necessary to make the statements therein not misleading, (iii) the Registration Statement and the Prospectus comply, and as amended or supplemented, if applicable, will comply in all material respects with the Securities Act and the applicable rules and regulations of the Commission thereunder, (iv) the Time of Sale Prospectus does not, and at the time of each sale of the Securities in connection with the offering when the Prospectus is not yet available to prospective purchasers,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does not contain and, at the date of the Underwriting Agreement or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(A) statements or omissions in the Registration Statement, the Time of Sale Prospectus or the Prospectus based upon information relating to any Underwriter furnished to the Company in writing by such Underwriter through the Manager expressly for use therein or (B) that part of the Registration Statement that constitutes the Statement of Eligibility (Form T-1) under the Trust Indenture Act of the Trustee.</w:t>
      </w:r>
    </w:p>
    <w:p>
      <w:pPr>
        <w:spacing w:after="0" w:line="31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60"/>
          </w:cols>
          <w:pgMar w:left="880" w:top="490" w:right="459" w:bottom="1440" w:gutter="0" w:footer="0" w:header="0"/>
        </w:sectPr>
      </w:pPr>
    </w:p>
    <w:bookmarkStart w:id="33" w:name="page34"/>
    <w:bookmarkEnd w:id="33"/>
    <w:p>
      <w:pPr>
        <w:ind w:firstLine="419"/>
        <w:spacing w:after="0" w:line="253" w:lineRule="auto"/>
        <w:tabs>
          <w:tab w:leader="none" w:pos="664"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 hereto forming part of the Time of Sale Prospectus, and electronic road shows, if any, each furnished to the Manager before first use, the Company has not prepared, used or referred to, and will not, without the Manager’s prior consent, prepare, use or refer to, any free writing prospectus.</w:t>
      </w:r>
    </w:p>
    <w:p>
      <w:pPr>
        <w:spacing w:after="0" w:line="88" w:lineRule="exact"/>
        <w:rPr>
          <w:rFonts w:ascii="Arial" w:cs="Arial" w:eastAsia="Arial" w:hAnsi="Arial"/>
          <w:sz w:val="18"/>
          <w:szCs w:val="18"/>
          <w:color w:val="auto"/>
        </w:rPr>
      </w:pPr>
    </w:p>
    <w:p>
      <w:pPr>
        <w:ind w:firstLine="419"/>
        <w:spacing w:after="0" w:line="257" w:lineRule="auto"/>
        <w:tabs>
          <w:tab w:leader="none" w:pos="67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in good standing under the laws of the State of Delaware and has full corporate power and authority to own its properties and to conduct its business as presently conducted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79" w:lineRule="exact"/>
        <w:rPr>
          <w:rFonts w:ascii="Arial" w:cs="Arial" w:eastAsia="Arial" w:hAnsi="Arial"/>
          <w:sz w:val="18"/>
          <w:szCs w:val="18"/>
          <w:color w:val="auto"/>
        </w:rPr>
      </w:pPr>
    </w:p>
    <w:p>
      <w:pPr>
        <w:ind w:right="260" w:firstLine="419"/>
        <w:spacing w:after="0" w:line="263" w:lineRule="auto"/>
        <w:tabs>
          <w:tab w:leader="none" w:pos="668"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75" w:lineRule="exact"/>
        <w:rPr>
          <w:rFonts w:ascii="Arial" w:cs="Arial" w:eastAsia="Arial" w:hAnsi="Arial"/>
          <w:sz w:val="18"/>
          <w:szCs w:val="18"/>
          <w:color w:val="auto"/>
        </w:rPr>
      </w:pPr>
    </w:p>
    <w:p>
      <w:pPr>
        <w:ind w:right="20" w:firstLine="419"/>
        <w:spacing w:after="0" w:line="255" w:lineRule="auto"/>
        <w:tabs>
          <w:tab w:leader="none" w:pos="6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Debt Securities are the Offered Securities, (i) such Debt Securities have been duly authorized and, when executed and authenticated in accordance with the provisions of the Indenture and delivered to and paid for by the Underwriters in accordance with the terms of this Agreement, will be valid and binding obligations of the Company, in each case enforceable in accordance with their respective terms, subject to the Enforceability Exceptions, and will be entitled to the benefits of the Indenture and (ii) the Indenture has been duly qualified under the Trust Indenture Act and has been duly authorized, executed and delivered by, and is a valid and binding agreement of, the Company, enforceable in accordance with its terms, subject to the Enforceability Exceptions.</w:t>
      </w:r>
    </w:p>
    <w:p>
      <w:pPr>
        <w:spacing w:after="0" w:line="84" w:lineRule="exact"/>
        <w:rPr>
          <w:rFonts w:ascii="Arial" w:cs="Arial" w:eastAsia="Arial" w:hAnsi="Arial"/>
          <w:sz w:val="18"/>
          <w:szCs w:val="18"/>
          <w:color w:val="auto"/>
        </w:rPr>
      </w:pPr>
    </w:p>
    <w:p>
      <w:pPr>
        <w:ind w:right="20" w:firstLine="419"/>
        <w:spacing w:after="0" w:line="275" w:lineRule="auto"/>
        <w:tabs>
          <w:tab w:leader="none" w:pos="678"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Warrants are Offered Securities, (i) 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 (ii) the Warrant Agreement has been duly authorized, executed and delivered by, and is a valid and binding agreement of, the Company, enforceable in accordance with its terms, subject to the Enforceability Exceptions.</w:t>
      </w:r>
    </w:p>
    <w:p>
      <w:pPr>
        <w:spacing w:after="0" w:line="10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40"/>
          </w:cols>
          <w:pgMar w:left="880" w:top="490" w:right="479" w:bottom="1440" w:gutter="0" w:footer="0" w:header="0"/>
        </w:sectPr>
      </w:pPr>
    </w:p>
    <w:bookmarkStart w:id="34" w:name="page35"/>
    <w:bookmarkEnd w:id="34"/>
    <w:p>
      <w:pPr>
        <w:ind w:left="4" w:right="280" w:firstLine="419"/>
        <w:spacing w:after="0" w:line="287" w:lineRule="auto"/>
        <w:tabs>
          <w:tab w:leader="none" w:pos="681" w:val="left"/>
        </w:tabs>
        <w:numPr>
          <w:ilvl w:val="1"/>
          <w:numId w:val="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If Units are Offered Securities, (i) such Units have been duly authorized and, when executed and delivered in accordance with the provisions of the Unit Agreement and delivered to and paid for by the Underwriters in accordance with the terms of this Agreement, such Units will be valid and binding obligations of the Company, enforceable in accordance with their terms, subject to the Enforceability Exceptions and</w:t>
      </w:r>
    </w:p>
    <w:p>
      <w:pPr>
        <w:spacing w:after="0" w:line="2" w:lineRule="exact"/>
        <w:rPr>
          <w:rFonts w:ascii="Arial" w:cs="Arial" w:eastAsia="Arial" w:hAnsi="Arial"/>
          <w:sz w:val="16"/>
          <w:szCs w:val="16"/>
          <w:color w:val="auto"/>
        </w:rPr>
      </w:pPr>
    </w:p>
    <w:p>
      <w:pPr>
        <w:ind w:left="4" w:hanging="4"/>
        <w:spacing w:after="0" w:line="260" w:lineRule="auto"/>
        <w:tabs>
          <w:tab w:leader="none" w:pos="26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Unit Agreement has been duly authorized, executed and delivered by, and is a valid and binding agreement of, the Company, enforceable in accordance with its terms, subject to the Enforceability Exceptions.</w:t>
      </w:r>
    </w:p>
    <w:p>
      <w:pPr>
        <w:spacing w:after="0" w:line="77" w:lineRule="exact"/>
        <w:rPr>
          <w:rFonts w:ascii="Arial" w:cs="Arial" w:eastAsia="Arial" w:hAnsi="Arial"/>
          <w:sz w:val="18"/>
          <w:szCs w:val="18"/>
          <w:color w:val="auto"/>
        </w:rPr>
      </w:pPr>
    </w:p>
    <w:p>
      <w:pPr>
        <w:ind w:left="644" w:hanging="221"/>
        <w:spacing w:after="0"/>
        <w:tabs>
          <w:tab w:leader="none" w:pos="644"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left="4" w:right="20" w:firstLine="419"/>
        <w:spacing w:after="0" w:line="254" w:lineRule="auto"/>
        <w:tabs>
          <w:tab w:leader="none" w:pos="638"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Company is not in violation of its charter or by-laws. The Company is not (1)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is a party or by which the Company is bound or to which any of the property or assets of the Company is subject; or (2) in violation of any law or statute or any judgment, order, rule or regulation of any court or arbitrator or governmental or regulatory authority, except, in the case of clauses (1) and (2) above, for any such default or violation that would not, individually or in the aggregate, reasonably be expected to have a material adverse effect on the Company and its subsidiaries, taken as a whole.</w:t>
      </w:r>
    </w:p>
    <w:p>
      <w:pPr>
        <w:spacing w:after="0" w:line="86" w:lineRule="exact"/>
        <w:rPr>
          <w:rFonts w:ascii="Arial" w:cs="Arial" w:eastAsia="Arial" w:hAnsi="Arial"/>
          <w:sz w:val="18"/>
          <w:szCs w:val="18"/>
          <w:color w:val="auto"/>
        </w:rPr>
      </w:pPr>
    </w:p>
    <w:p>
      <w:pPr>
        <w:ind w:left="4" w:right="20" w:firstLine="419"/>
        <w:spacing w:after="0" w:line="255" w:lineRule="auto"/>
        <w:tabs>
          <w:tab w:leader="none" w:pos="678"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execution and delivery by the Company of, and the performance by the Company of its obligations under, this Agreement and, as applicable, each other Transaction Document will not contravene (i) any provision of applicable law, (ii) the certificate of incorporation or by-laws of the Company, (iii) any agreement or other instrument binding upon the Company or any of its subsidiaries, or (iv) any judgment, order or decree of any governmental body, agency or court having jurisdiction over the Company or any subsidiary of the Company except, in the case of clauses (i), (iii) and (iv) above, as would not, individually or in the aggregate, reasonably be expected to have a material adverse effect on the Company and its subsidiaries, taken as a whole.</w:t>
      </w:r>
    </w:p>
    <w:p>
      <w:pPr>
        <w:spacing w:after="0" w:line="84" w:lineRule="exact"/>
        <w:rPr>
          <w:rFonts w:ascii="Arial" w:cs="Arial" w:eastAsia="Arial" w:hAnsi="Arial"/>
          <w:sz w:val="18"/>
          <w:szCs w:val="18"/>
          <w:color w:val="auto"/>
        </w:rPr>
      </w:pPr>
    </w:p>
    <w:p>
      <w:pPr>
        <w:ind w:left="4" w:right="180" w:firstLine="419"/>
        <w:spacing w:after="0" w:line="286" w:lineRule="auto"/>
        <w:tabs>
          <w:tab w:leader="none" w:pos="641" w:val="left"/>
        </w:tabs>
        <w:numPr>
          <w:ilvl w:val="1"/>
          <w:numId w:val="26"/>
        </w:numPr>
        <w:rPr>
          <w:rFonts w:ascii="Arial" w:cs="Arial" w:eastAsia="Arial" w:hAnsi="Arial"/>
          <w:sz w:val="17"/>
          <w:szCs w:val="17"/>
          <w:color w:val="auto"/>
        </w:rPr>
      </w:pPr>
      <w:r>
        <w:rPr>
          <w:rFonts w:ascii="Arial" w:cs="Arial" w:eastAsia="Arial" w:hAnsi="Arial"/>
          <w:sz w:val="17"/>
          <w:szCs w:val="17"/>
          <w:color w:val="auto"/>
        </w:rPr>
        <w:t>No consent, approval, authorization or order of, or qualification with, any governmental body or agency is required for the performance by the Company of its obligations under this Agreement or the applicable Transaction Documents, except such as may be required by the securities or Blue Sky laws of the various states in connection with the offer and sale of the Offered Securities.</w:t>
      </w:r>
    </w:p>
    <w:p>
      <w:pPr>
        <w:spacing w:after="0" w:line="57" w:lineRule="exact"/>
        <w:rPr>
          <w:rFonts w:ascii="Arial" w:cs="Arial" w:eastAsia="Arial" w:hAnsi="Arial"/>
          <w:sz w:val="17"/>
          <w:szCs w:val="17"/>
          <w:color w:val="auto"/>
        </w:rPr>
      </w:pPr>
    </w:p>
    <w:p>
      <w:pPr>
        <w:ind w:left="4" w:right="300" w:firstLine="419"/>
        <w:spacing w:after="0" w:line="263" w:lineRule="auto"/>
        <w:tabs>
          <w:tab w:leader="none" w:pos="728"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116"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84"/>
          </w:cols>
          <w:pgMar w:left="876" w:top="490" w:right="439" w:bottom="1440" w:gutter="0" w:footer="0" w:header="0"/>
        </w:sectPr>
      </w:pPr>
    </w:p>
    <w:bookmarkStart w:id="35" w:name="page36"/>
    <w:bookmarkEnd w:id="35"/>
    <w:p>
      <w:pPr>
        <w:ind w:left="440" w:firstLine="419"/>
        <w:spacing w:after="0" w:line="275" w:lineRule="auto"/>
        <w:tabs>
          <w:tab w:leader="none" w:pos="1114" w:val="left"/>
        </w:tabs>
        <w:numPr>
          <w:ilvl w:val="0"/>
          <w:numId w:val="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There are no legal or governmental proceedings pending or threatened to which the Company or any of its subsidiaries is a party or to which any of the properties of the Company or any of its subsidiaries is subject other than proceedings described in the Time of Sale Prospectus and proceedings that would not, individually or in the aggregate, reasonably be expected to have a material adverse effect on the Company and its subsidiaries, taken as a whole, or on the power or ability of the Company to perform its obligations under this Agreement or the applicable Transaction Documents or to consummate the transactions contemplated by the Time of Sale Prospectus.</w:t>
      </w:r>
    </w:p>
    <w:p>
      <w:pPr>
        <w:spacing w:after="0" w:line="68" w:lineRule="exact"/>
        <w:rPr>
          <w:rFonts w:ascii="Arial" w:cs="Arial" w:eastAsia="Arial" w:hAnsi="Arial"/>
          <w:sz w:val="17"/>
          <w:szCs w:val="17"/>
          <w:color w:val="auto"/>
        </w:rPr>
      </w:pPr>
    </w:p>
    <w:p>
      <w:pPr>
        <w:ind w:left="440" w:right="60" w:firstLine="419"/>
        <w:spacing w:after="0" w:line="263" w:lineRule="auto"/>
        <w:tabs>
          <w:tab w:leader="none" w:pos="1118"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75" w:lineRule="exact"/>
        <w:rPr>
          <w:rFonts w:ascii="Arial" w:cs="Arial" w:eastAsia="Arial" w:hAnsi="Arial"/>
          <w:sz w:val="18"/>
          <w:szCs w:val="18"/>
          <w:color w:val="auto"/>
        </w:rPr>
      </w:pPr>
    </w:p>
    <w:p>
      <w:pPr>
        <w:jc w:val="both"/>
        <w:ind w:left="440" w:right="20" w:firstLine="419"/>
        <w:spacing w:after="0" w:line="263" w:lineRule="auto"/>
        <w:tabs>
          <w:tab w:leader="none" w:pos="111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Offered Securities and the application of the proceeds thereof as described in the Time of Sale Prospectus will not be, required to register as an “investment company” as such term is defined in the Investment Company Act of 1940, as amended.</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w:t>
      </w:r>
    </w:p>
    <w:p>
      <w:pPr>
        <w:spacing w:after="0" w:line="2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 agrees to indemnify and hold harmless each Underwriter and each person, if any, who controls each Underwriter within the meaning of either Section 15 of the Securities Act or Section 20 of the Exchange Act, from and against any and all losses, claims, damages and liabilities (including the reasonable fees and expenses of counsel in connection with any governmental or regulatory investigation or proceeding) caused by any untrue statement or alleged untrue statement of a material fact contained in the Registration Statement or any amendment thereof, any preliminary prospectus, the Time of Sale Prospectus, any issuer free writing prospectus as defined in Rule 433(h) under the Securities Act, any Company information that the Company has filed, or is required to file, pursuant to Rule 433(d) under the Securities Act, or the Prospectus or any amendment or supplement thereto, or caused by any omission or alleged omission to state therein a material fact necessary to make the statements therein not misleading, except insofar as such losses, claims, damages or liabilities are caused by any such untrue statement or omission or alleged untrue statement or omission based upon information furnished to the Company in writing by such Underwriter through the Manager expressly for use therein.</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440" w:top="490" w:right="519" w:bottom="1440" w:gutter="0" w:footer="0" w:header="0"/>
        </w:sectPr>
      </w:pPr>
    </w:p>
    <w:bookmarkStart w:id="36" w:name="page37"/>
    <w:bookmarkEnd w:id="36"/>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Each Underwriter agrees, severally and not jointly, to indemnify and hold harmless the Company, its directors, its officers who sign the Registration Statement and each person, if any, who controls the Company to the same extent as the foregoing indemnity from the Company to each Underwriter, but only with reference to information relating to such Underwriter furnished to the Company in writing by such Underwriter expressly for use in the Registration Statement or any amendment thereof, any preliminary prospectus, the Time of Sale Prospectus, any issuer free writing prospectus or the Prospectus or any amendment or supplement thereto, it being understood and agreed that the only such information furnished by any Underwriter consists of the information described as such in Schedule IV to the Underwriting Agreement.</w:t>
      </w:r>
    </w:p>
    <w:p>
      <w:pPr>
        <w:spacing w:after="0" w:line="17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case any proceeding (including any governmental investigation) shall be instituted involving any person in respect of which indemnity may be sought pursuant to either of the two preceding paragraphs,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 more than one separate firm (in addition to any local counsel) for all such indemnified parties and that all such fees and expenses shall be reimbursed as they are incurred. Such firm shall be designated in writing by the Manager in the case of parties indemnified pursuant to the second preceding paragraph and by the Company in the case of parties indemnified pursuant to the first preceding paragraph.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If the indemnification provided for in this Article VI under the first or second paragraphs hereof is unavailable in respect of any losses, claims, damages or liabilities referred to therein, then each indemnifying party under such paragraph, in lieu of indemnifying such indemnified party, shall contribute to the amount paid or payable by such indemnified party as a result of such losses, claims, damages or liabilities (i) in such proportion as is appropriate to reflect the relative benefits received by the Company on the one hand and the Underwriters on the other from the offering of the Offered Securities or (ii) if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490" w:right="479" w:bottom="1440" w:gutter="0" w:footer="0" w:header="0"/>
        </w:sectPr>
      </w:pPr>
    </w:p>
    <w:bookmarkStart w:id="37" w:name="page38"/>
    <w:bookmarkEnd w:id="37"/>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allocation provided by clause (i) above is not permitted by applicable law, such proportion as is appropriate to reflect not only the relative benefits referred to in clause (i) above but also the relative fault of the Company on the one hand and of the 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in connection with the offering of the Offered Securities shall be deemed to be in the same proportion as the net proceeds from the offering of such Offered Securities (before deducting expenses) received by the Company bear to the total underwriting discounts and commissions received by the Underwriters in respect thereof, in each case as set forth in the table on the cover of the Prospectus. The relative fault of the Company on the one hand and of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8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Company and the Underwriters agree that it would not be just and equitable if contribution pursuant to this Article VI were determined by pro rata allocation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Article VI, no Underwriter shall be required to contribute any amount in excess of the amount by which the total price at which the Offered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Article VI are several, in proportion to the respective amounts of Offered Securities purchased by each of such Underwriters, and not joint.</w:t>
      </w:r>
    </w:p>
    <w:p>
      <w:pPr>
        <w:spacing w:after="0" w:line="18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indemnity and contribution agreements contained in this Article VI and the representations and warranties of the Company in this Agreement shall remain operative and in full force and effect regardless of (i) any termination of this Agreement, (ii) any investigation made by or on behalf of any Underwriter or on behalf of any Underwriter or any person controlling any Underwriter or by or on behalf of the Company, its directors or officers or any person controlling the Company and (iii) acceptance of and payment for any of the Offered Securities.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490" w:right="45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VII.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further consideration of the agreements of the Company herein contained, each Underwriter severally covenants as follows:</w:t>
      </w:r>
    </w:p>
    <w:p>
      <w:pPr>
        <w:spacing w:after="0" w:line="117" w:lineRule="exact"/>
        <w:rPr>
          <w:sz w:val="20"/>
          <w:szCs w:val="20"/>
          <w:color w:val="auto"/>
        </w:rPr>
      </w:pPr>
    </w:p>
    <w:p>
      <w:pPr>
        <w:ind w:left="440" w:right="140" w:firstLine="419"/>
        <w:spacing w:after="0" w:line="263" w:lineRule="auto"/>
        <w:tabs>
          <w:tab w:leader="none" w:pos="1108"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75" w:lineRule="exact"/>
        <w:rPr>
          <w:rFonts w:ascii="Arial" w:cs="Arial" w:eastAsia="Arial" w:hAnsi="Arial"/>
          <w:sz w:val="18"/>
          <w:szCs w:val="18"/>
          <w:color w:val="auto"/>
        </w:rPr>
      </w:pPr>
    </w:p>
    <w:p>
      <w:pPr>
        <w:ind w:left="440" w:right="40" w:firstLine="419"/>
        <w:spacing w:after="0" w:line="254" w:lineRule="auto"/>
        <w:tabs>
          <w:tab w:leader="none" w:pos="1118"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 to use, refer to or distribute any free writing prospectus except (i) a free writing prospectus that (A) is not an issuer free writing prospectus and (B) contains only information describing the preliminary terms of the Offered Securities or the offering thereof, which information is limited to the categories of terms referenced on Schedule I to the Underwriting Agreement or otherwise permitted under Rule 134 of the Securities Act, (ii) a free writing prospectus as shall be agreed in writing with the Company that is not distributed, used or referred to by such Underwriter in a manner reasonably designed to lead to its broad unrestricted dissemination (unless the Company consents in writing to such dissemination) or (iii) a free writing prospectus identified in Schedule III to the Underwriting Agreement as forming part of the Time of Sale Prospectus.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VIII.</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Agreement shall be subject to termination in the Manager’s absolute discretion, by notice given to the Company, if (a) after the Applicable Time and prior to the Closing Date (i) trading generally shall have been suspended or materially limited on or by, as the case may be, any of the New York Stock Exchange or The Nasdaq Stock Market, (ii) trading of any securities of the Company shall have been suspended on the The Nasdaq Stock Market or in the U.S. over-the-counter market, (iii) a general moratorium on commercial banking activities in New York shall have been declared by either Federal or New York State authorities, or (iv) there shall have occurred any outbreak or escalation of hostilities or a severe deterioration in U.S. financial markets or any other calamity or crisis that is material and adverse and (b) in the case of any of the events specified in clause (a)(iv), such event singly or together with any other such event makes it, in the Manager’s judgment, impracticable to market the Offered Securities on the terms and in the manner contemplated in the Time of Sale Prospectus and this Agreement. Any such termination of this Agreement shall be without liability on the part of any Manager or on the part of the Company except as stated in Article IX.</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486" w:right="45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IX.</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If on the Closing Date any one or more of the Underwriters shall fail or refuse to purchase Offered Securities that it or they have agreed to purchase on such date, and the aggregate amount of Offered Securities which such defaulting Underwriter or Underwriters agreed but failed or refused to purchase is not more than one-tenth of the aggregate amount of the Offered Securities to be purchased on such date, the other Underwriters shall be obligated severally in the proportions that the amount of Offered Securities set forth opposite their respective names in the Underwriting Agreement bears to the aggregate amount of Offered Securities set forth opposite the names of all such non-defaulting Underwriters, or in such other proportions as the Manager may specify, to purchase the Offered Securities which such defaulting Underwriter or Underwriters agreed but failed or refused to purchase on such date; provided that in no event shall the amount of Offered Securities that any Underwriter has agreed to purchase pursuant to the Underwriting Agreement be increased pursuant to this Article IX by an amount in excess of one-ninth of such amount of Offered Securities without the written consent of such Underwriter. If on the Closing Date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Underwriters and the Company for the purchase of such Offered Securities are not made within 36 hours after such default, this Agreement shall terminate without liability on the part of any non-defaulting Underwriter or the Company. In any such case either the Underwriters or the Company shall have the right to postpone the Closing Date but in no event for longer than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18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the Offered Securities.</w:t>
      </w:r>
    </w:p>
    <w:p>
      <w:pPr>
        <w:spacing w:after="0" w:line="18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acknowledges and agrees that the Underwriters are acting solely in the capacity of an arm’s length contractual counterparty to the Company with respect to the offering of Offered Securities contemplated hereby (including in connection with determining the terms of the offering) and not as a financial advisor or a fiduciary to, or an agent of, the Company or any other person. Additionally, none of the Underwriters is advising the Company or any other person as to any legal, tax, investment, accounting or regulatory matters in any jurisdiction with respect to the offering of Offered Securities contemplated hereby.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486" w:right="479" w:bottom="1440" w:gutter="0" w:footer="0" w:header="0"/>
        </w:sectPr>
      </w:pPr>
    </w:p>
    <w:bookmarkStart w:id="40" w:name="page41"/>
    <w:bookmarkEnd w:id="40"/>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As used in this paragraph:</w:t>
      </w:r>
    </w:p>
    <w:p>
      <w:pPr>
        <w:spacing w:after="0" w:line="58" w:lineRule="exact"/>
        <w:rPr>
          <w:sz w:val="20"/>
          <w:szCs w:val="20"/>
          <w:color w:val="auto"/>
        </w:rPr>
      </w:pPr>
    </w:p>
    <w:p>
      <w:pPr>
        <w:ind w:left="1100" w:hanging="241"/>
        <w:spacing w:after="0"/>
        <w:tabs>
          <w:tab w:leader="none" w:pos="11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“BHC Act Affiliate” has the meaning assigned to the term “affiliate” in, and shall be interpreted in accordance with, 12 U.S.C. § 1841(k);</w:t>
      </w:r>
    </w:p>
    <w:p>
      <w:pPr>
        <w:spacing w:after="0" w:line="140" w:lineRule="exact"/>
        <w:rPr>
          <w:rFonts w:ascii="Arial" w:cs="Arial" w:eastAsia="Arial" w:hAnsi="Arial"/>
          <w:sz w:val="16"/>
          <w:szCs w:val="16"/>
          <w:color w:val="auto"/>
        </w:rPr>
      </w:pPr>
    </w:p>
    <w:p>
      <w:pPr>
        <w:jc w:val="both"/>
        <w:ind w:left="440" w:right="340" w:firstLine="419"/>
        <w:spacing w:after="0" w:line="263" w:lineRule="auto"/>
        <w:tabs>
          <w:tab w:leader="none" w:pos="1118"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75" w:lineRule="exact"/>
        <w:rPr>
          <w:rFonts w:ascii="Arial" w:cs="Arial" w:eastAsia="Arial" w:hAnsi="Arial"/>
          <w:sz w:val="18"/>
          <w:szCs w:val="18"/>
          <w:color w:val="auto"/>
        </w:rPr>
      </w:pPr>
    </w:p>
    <w:p>
      <w:pPr>
        <w:ind w:left="440" w:firstLine="419"/>
        <w:spacing w:after="0" w:line="277" w:lineRule="auto"/>
        <w:tabs>
          <w:tab w:leader="none" w:pos="110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“Default Right” has the meaning assigned to that term in, and shall be interpreted in accordance with, 12 C.F.R. §§ 252.81, 47.2 or 382.1, as applicable;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“U.S. Special Resolution Regime” means each of (i) the Federal Deposit Insurance Act and the regulations promulgated thereunder and</w:t>
      </w:r>
    </w:p>
    <w:p>
      <w:pPr>
        <w:spacing w:after="0" w:line="46" w:lineRule="exact"/>
        <w:rPr>
          <w:rFonts w:ascii="Arial" w:cs="Arial" w:eastAsia="Arial" w:hAnsi="Arial"/>
          <w:sz w:val="16"/>
          <w:szCs w:val="16"/>
          <w:color w:val="auto"/>
        </w:rPr>
      </w:pPr>
    </w:p>
    <w:p>
      <w:pPr>
        <w:ind w:left="700" w:hanging="264"/>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Title II of the Dodd-Frank Wall Street Reform and Consumer Protection Act and the regulations promulgated thereunder.</w:t>
      </w:r>
    </w:p>
    <w:p>
      <w:pPr>
        <w:spacing w:after="0" w:line="21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This Agreement shall inure to the benefit of and be binding upon the parties hereto and their respective successors and the officers and directors and any controlling persons referred to herein, and the affiliates of each Underwriter referred to in Section VI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157"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Underwriters.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490" w:right="459" w:bottom="1440" w:gutter="0" w:footer="0" w:header="0"/>
        </w:sectPr>
      </w:pPr>
    </w:p>
    <w:bookmarkStart w:id="41" w:name="page42"/>
    <w:bookmarkEnd w:id="41"/>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This Agreement may be signed in any number of counterparts, each of which shall be an original, with the same effect as if the signatures thereto and hereto were upon the same instrument.</w:t>
      </w:r>
    </w:p>
    <w:p>
      <w:pPr>
        <w:spacing w:after="0" w:line="170" w:lineRule="exact"/>
        <w:rPr>
          <w:sz w:val="20"/>
          <w:szCs w:val="20"/>
          <w:color w:val="auto"/>
        </w:rPr>
      </w:pPr>
    </w:p>
    <w:p>
      <w:pPr>
        <w:jc w:val="center"/>
        <w:spacing w:after="0" w:line="449" w:lineRule="auto"/>
        <w:rPr>
          <w:sz w:val="20"/>
          <w:szCs w:val="20"/>
          <w:color w:val="auto"/>
        </w:rPr>
      </w:pPr>
      <w:r>
        <w:rPr>
          <w:rFonts w:ascii="Arial" w:cs="Arial" w:eastAsia="Arial" w:hAnsi="Arial"/>
          <w:sz w:val="18"/>
          <w:szCs w:val="18"/>
          <w:color w:val="auto"/>
        </w:rPr>
        <w:t>THIS AGREEMENT SHALL BE GOVERNED BY AND CONSTRUED IN ACCORDANCE WITH THE LAWS OF THE STATE OF NEW YORK. 22</w:t>
      </w:r>
    </w:p>
    <w:p>
      <w:pPr>
        <w:sectPr>
          <w:pgSz w:w="11900" w:h="16838" w:orient="portrait"/>
          <w:cols w:equalWidth="0" w:num="1">
            <w:col w:w="10820"/>
          </w:cols>
          <w:pgMar w:left="440" w:top="490" w:right="6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OFFICERS’ CERTIFICATE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18, 2023</w:t>
      </w:r>
    </w:p>
    <w:p>
      <w:pPr>
        <w:spacing w:after="0" w:line="225"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Reference is made to the Indenture dated as of May 23, 2011 (the “</w:t>
      </w:r>
      <w:r>
        <w:rPr>
          <w:rFonts w:ascii="Arial" w:cs="Arial" w:eastAsia="Arial" w:hAnsi="Arial"/>
          <w:sz w:val="17"/>
          <w:szCs w:val="17"/>
          <w:b w:val="1"/>
          <w:bCs w:val="1"/>
          <w:color w:val="auto"/>
        </w:rPr>
        <w:t>Indenture</w:t>
      </w:r>
      <w:r>
        <w:rPr>
          <w:rFonts w:ascii="Arial" w:cs="Arial" w:eastAsia="Arial" w:hAnsi="Arial"/>
          <w:sz w:val="17"/>
          <w:szCs w:val="17"/>
          <w:color w:val="auto"/>
        </w:rPr>
        <w:t>”) by and between Texas Instruments Incorporated (the “</w:t>
      </w:r>
      <w:r>
        <w:rPr>
          <w:rFonts w:ascii="Arial" w:cs="Arial" w:eastAsia="Arial" w:hAnsi="Arial"/>
          <w:sz w:val="17"/>
          <w:szCs w:val="17"/>
          <w:b w:val="1"/>
          <w:bCs w:val="1"/>
          <w:color w:val="auto"/>
        </w:rPr>
        <w:t>Issuer</w:t>
      </w:r>
      <w:r>
        <w:rPr>
          <w:rFonts w:ascii="Arial" w:cs="Arial" w:eastAsia="Arial" w:hAnsi="Arial"/>
          <w:sz w:val="17"/>
          <w:szCs w:val="17"/>
          <w:color w:val="auto"/>
        </w:rPr>
        <w:t>”) and U.S. Bank Trust Company, National Association, as successor in interest to U.S. Bank National Association,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The Trustee is the trustee for any and all securities issued under the Indenture. Pursuant to Section 2.04(c) of the Indenture, the undersigned officers do hereby certify, in connection with the issuance of $200,000,000 aggregate principal amount of 4.600% Notes due 2028 (the “</w:t>
      </w:r>
      <w:r>
        <w:rPr>
          <w:rFonts w:ascii="Arial" w:cs="Arial" w:eastAsia="Arial" w:hAnsi="Arial"/>
          <w:sz w:val="17"/>
          <w:szCs w:val="17"/>
          <w:b w:val="1"/>
          <w:bCs w:val="1"/>
          <w:color w:val="auto"/>
        </w:rPr>
        <w:t>Additional 2028 Notes</w:t>
      </w:r>
      <w:r>
        <w:rPr>
          <w:rFonts w:ascii="Arial" w:cs="Arial" w:eastAsia="Arial" w:hAnsi="Arial"/>
          <w:sz w:val="17"/>
          <w:szCs w:val="17"/>
          <w:color w:val="auto"/>
        </w:rPr>
        <w:t>” and, together with the Existing 2028 Notes (as defined below), the “</w:t>
      </w:r>
      <w:r>
        <w:rPr>
          <w:rFonts w:ascii="Arial" w:cs="Arial" w:eastAsia="Arial" w:hAnsi="Arial"/>
          <w:sz w:val="17"/>
          <w:szCs w:val="17"/>
          <w:b w:val="1"/>
          <w:bCs w:val="1"/>
          <w:color w:val="auto"/>
        </w:rPr>
        <w:t>2028 Notes</w:t>
      </w:r>
      <w:r>
        <w:rPr>
          <w:rFonts w:ascii="Arial" w:cs="Arial" w:eastAsia="Arial" w:hAnsi="Arial"/>
          <w:sz w:val="17"/>
          <w:szCs w:val="17"/>
          <w:color w:val="auto"/>
        </w:rPr>
        <w:t>”), $200,000,000 aggregate principal amount of 4.900% Notes due 2033 (the “</w:t>
      </w:r>
      <w:r>
        <w:rPr>
          <w:rFonts w:ascii="Arial" w:cs="Arial" w:eastAsia="Arial" w:hAnsi="Arial"/>
          <w:sz w:val="17"/>
          <w:szCs w:val="17"/>
          <w:b w:val="1"/>
          <w:bCs w:val="1"/>
          <w:color w:val="auto"/>
        </w:rPr>
        <w:t>Additional 2033 Notes</w:t>
      </w:r>
      <w:r>
        <w:rPr>
          <w:rFonts w:ascii="Arial" w:cs="Arial" w:eastAsia="Arial" w:hAnsi="Arial"/>
          <w:sz w:val="17"/>
          <w:szCs w:val="17"/>
          <w:color w:val="auto"/>
        </w:rPr>
        <w:t>” and, together with the Existing 2033 Notes (as defined below), the “</w:t>
      </w:r>
      <w:r>
        <w:rPr>
          <w:rFonts w:ascii="Arial" w:cs="Arial" w:eastAsia="Arial" w:hAnsi="Arial"/>
          <w:sz w:val="17"/>
          <w:szCs w:val="17"/>
          <w:b w:val="1"/>
          <w:bCs w:val="1"/>
          <w:color w:val="auto"/>
        </w:rPr>
        <w:t>2033 Notes</w:t>
      </w:r>
      <w:r>
        <w:rPr>
          <w:rFonts w:ascii="Arial" w:cs="Arial" w:eastAsia="Arial" w:hAnsi="Arial"/>
          <w:sz w:val="17"/>
          <w:szCs w:val="17"/>
          <w:color w:val="auto"/>
        </w:rPr>
        <w:t>”) and $1,200,000,000 aggregate principal amount of 5.050% Notes due 2063 (the “</w:t>
      </w:r>
      <w:r>
        <w:rPr>
          <w:rFonts w:ascii="Arial" w:cs="Arial" w:eastAsia="Arial" w:hAnsi="Arial"/>
          <w:sz w:val="17"/>
          <w:szCs w:val="17"/>
          <w:b w:val="1"/>
          <w:bCs w:val="1"/>
          <w:color w:val="auto"/>
        </w:rPr>
        <w:t>2063 Notes</w:t>
      </w:r>
      <w:r>
        <w:rPr>
          <w:rFonts w:ascii="Arial" w:cs="Arial" w:eastAsia="Arial" w:hAnsi="Arial"/>
          <w:sz w:val="17"/>
          <w:szCs w:val="17"/>
          <w:color w:val="auto"/>
        </w:rPr>
        <w:t>” and, together with the 2028 Notes and the 2033 Notes, the “</w:t>
      </w:r>
      <w:r>
        <w:rPr>
          <w:rFonts w:ascii="Arial" w:cs="Arial" w:eastAsia="Arial" w:hAnsi="Arial"/>
          <w:sz w:val="17"/>
          <w:szCs w:val="17"/>
          <w:b w:val="1"/>
          <w:bCs w:val="1"/>
          <w:color w:val="auto"/>
        </w:rPr>
        <w:t>Notes</w:t>
      </w:r>
      <w:r>
        <w:rPr>
          <w:rFonts w:ascii="Arial" w:cs="Arial" w:eastAsia="Arial" w:hAnsi="Arial"/>
          <w:sz w:val="17"/>
          <w:szCs w:val="17"/>
          <w:color w:val="auto"/>
        </w:rPr>
        <w:t>”), that (i) the form and terms of the Notes have been established pursuant to Section 2.01 and Section 2.03 of the Indenture and comply with the Indenture, and (ii) the terms of the Notes are as follows: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Capitalized terms used but not otherwise defined herein shall have the meanings specified in the Indenture.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Additional 2028 Notes</w:t>
      </w:r>
    </w:p>
    <w:p>
      <w:pPr>
        <w:sectPr>
          <w:pgSz w:w="11900" w:h="16838" w:orient="portrait"/>
          <w:cols w:equalWidth="0" w:num="1">
            <w:col w:w="11020"/>
          </w:cols>
          <w:pgMar w:left="440" w:top="121" w:right="4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Title: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4.600% Notes due 2028</w:t>
      </w:r>
    </w:p>
    <w:p>
      <w:pPr>
        <w:spacing w:after="0" w:line="140" w:lineRule="exact"/>
        <w:rPr>
          <w:sz w:val="20"/>
          <w:szCs w:val="20"/>
          <w:color w:val="auto"/>
        </w:rPr>
      </w:pPr>
    </w:p>
    <w:p>
      <w:pPr>
        <w:sectPr>
          <w:pgSz w:w="11900" w:h="16838" w:orient="portrait"/>
          <w:cols w:equalWidth="0" w:num="2">
            <w:col w:w="3140" w:space="720"/>
            <w:col w:w="716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Texas Instruments Incorporated.</w:t>
      </w:r>
    </w:p>
    <w:p>
      <w:pPr>
        <w:spacing w:after="0" w:line="140" w:lineRule="exact"/>
        <w:rPr>
          <w:sz w:val="20"/>
          <w:szCs w:val="20"/>
          <w:color w:val="auto"/>
        </w:rPr>
      </w:pPr>
    </w:p>
    <w:p>
      <w:pPr>
        <w:sectPr>
          <w:pgSz w:w="11900" w:h="16838" w:orient="portrait"/>
          <w:cols w:equalWidth="0" w:num="2">
            <w:col w:w="3140" w:space="720"/>
            <w:col w:w="7160"/>
          </w:cols>
          <w:pgMar w:left="440" w:top="121" w:right="439" w:bottom="1440" w:gutter="0" w:footer="0" w:header="0"/>
          <w:type w:val="continuous"/>
        </w:sectPr>
      </w:pPr>
    </w:p>
    <w:p>
      <w:pPr>
        <w:spacing w:after="0" w:line="277" w:lineRule="auto"/>
        <w:rPr>
          <w:sz w:val="20"/>
          <w:szCs w:val="20"/>
          <w:color w:val="auto"/>
        </w:rPr>
      </w:pPr>
      <w:r>
        <w:rPr>
          <w:rFonts w:ascii="Arial" w:cs="Arial" w:eastAsia="Arial" w:hAnsi="Arial"/>
          <w:sz w:val="18"/>
          <w:szCs w:val="18"/>
          <w:i w:val="1"/>
          <w:iCs w:val="1"/>
          <w:color w:val="auto"/>
        </w:rPr>
        <w:t>Trustee, Registrar, Transfer Agent, Authenticating Agent, and Paying Agent:</w:t>
      </w:r>
    </w:p>
    <w:p>
      <w:pPr>
        <w:spacing w:after="0" w:line="20" w:lineRule="exact"/>
        <w:rPr>
          <w:sz w:val="20"/>
          <w:szCs w:val="20"/>
          <w:color w:val="auto"/>
        </w:rPr>
      </w:pPr>
      <w:r>
        <w:rPr>
          <w:sz w:val="20"/>
          <w:szCs w:val="20"/>
          <w:color w:val="auto"/>
        </w:rPr>
        <w:br w:type="column"/>
      </w:r>
    </w:p>
    <w:p>
      <w:pPr>
        <w:ind w:right="300"/>
        <w:spacing w:after="0" w:line="277" w:lineRule="auto"/>
        <w:rPr>
          <w:sz w:val="20"/>
          <w:szCs w:val="20"/>
          <w:color w:val="auto"/>
        </w:rPr>
      </w:pPr>
      <w:r>
        <w:rPr>
          <w:rFonts w:ascii="Arial" w:cs="Arial" w:eastAsia="Arial" w:hAnsi="Arial"/>
          <w:sz w:val="18"/>
          <w:szCs w:val="18"/>
          <w:color w:val="auto"/>
        </w:rPr>
        <w:t>U.S. Bank Trust Company, National Association, as successor in interest to U.S. Bank National Association.</w:t>
      </w:r>
    </w:p>
    <w:p>
      <w:pPr>
        <w:spacing w:after="0" w:line="62" w:lineRule="exact"/>
        <w:rPr>
          <w:sz w:val="20"/>
          <w:szCs w:val="20"/>
          <w:color w:val="auto"/>
        </w:rPr>
      </w:pPr>
    </w:p>
    <w:p>
      <w:pPr>
        <w:sectPr>
          <w:pgSz w:w="11900" w:h="16838" w:orient="portrait"/>
          <w:cols w:equalWidth="0" w:num="2">
            <w:col w:w="3580" w:space="280"/>
            <w:col w:w="716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Aggregate Principal Amount at Maturity:</w:t>
      </w:r>
    </w:p>
    <w:p>
      <w:pPr>
        <w:spacing w:after="0" w:line="20" w:lineRule="exact"/>
        <w:rPr>
          <w:sz w:val="20"/>
          <w:szCs w:val="20"/>
          <w:color w:val="auto"/>
        </w:rPr>
      </w:pPr>
      <w:r>
        <w:rPr>
          <w:sz w:val="20"/>
          <w:szCs w:val="20"/>
          <w:color w:val="auto"/>
        </w:rPr>
        <w:br w:type="column"/>
      </w:r>
    </w:p>
    <w:p>
      <w:pPr>
        <w:ind w:right="100"/>
        <w:spacing w:after="0" w:line="273" w:lineRule="auto"/>
        <w:rPr>
          <w:sz w:val="20"/>
          <w:szCs w:val="20"/>
          <w:color w:val="auto"/>
        </w:rPr>
      </w:pPr>
      <w:r>
        <w:rPr>
          <w:rFonts w:ascii="Arial" w:cs="Arial" w:eastAsia="Arial" w:hAnsi="Arial"/>
          <w:sz w:val="17"/>
          <w:szCs w:val="17"/>
          <w:color w:val="auto"/>
        </w:rPr>
        <w:t>The $200,000,000 aggregate principal amount of Additional 2028 Notes are a further issuance of and form a single series with the $500,000,000 aggregate principal amount of the existing 4.600% Notes due 2028 issued by the Issuer on November 18, 2022 (the “</w:t>
      </w:r>
      <w:r>
        <w:rPr>
          <w:rFonts w:ascii="Arial" w:cs="Arial" w:eastAsia="Arial" w:hAnsi="Arial"/>
          <w:sz w:val="17"/>
          <w:szCs w:val="17"/>
          <w:b w:val="1"/>
          <w:bCs w:val="1"/>
          <w:color w:val="auto"/>
        </w:rPr>
        <w:t>Existing 2028 Notes</w:t>
      </w:r>
      <w:r>
        <w:rPr>
          <w:rFonts w:ascii="Arial" w:cs="Arial" w:eastAsia="Arial" w:hAnsi="Arial"/>
          <w:sz w:val="17"/>
          <w:szCs w:val="17"/>
          <w:color w:val="auto"/>
        </w:rPr>
        <w:t>”). The Additional 2028 Notes will have the same terms (other than issue date, price to public and initial interest payment date) and will vote together as a single class, with the same CUSIP number as, and be fungible with, the Existing 2028 Notes.</w:t>
      </w:r>
    </w:p>
    <w:p>
      <w:pPr>
        <w:spacing w:after="0" w:line="70" w:lineRule="exact"/>
        <w:rPr>
          <w:sz w:val="20"/>
          <w:szCs w:val="20"/>
          <w:color w:val="auto"/>
        </w:rPr>
      </w:pPr>
    </w:p>
    <w:p>
      <w:pPr>
        <w:sectPr>
          <w:pgSz w:w="11900" w:h="16838" w:orient="portrait"/>
          <w:cols w:equalWidth="0" w:num="2">
            <w:col w:w="3140" w:space="720"/>
            <w:col w:w="7160"/>
          </w:cols>
          <w:pgMar w:left="440" w:top="121" w:right="439" w:bottom="1440" w:gutter="0" w:footer="0" w:header="0"/>
          <w:type w:val="continuous"/>
        </w:sectPr>
      </w:pPr>
    </w:p>
    <w:p>
      <w:pPr>
        <w:spacing w:after="0"/>
        <w:rPr>
          <w:sz w:val="20"/>
          <w:szCs w:val="20"/>
          <w:color w:val="auto"/>
        </w:rPr>
      </w:pPr>
      <w:r>
        <w:rPr>
          <w:rFonts w:ascii="Arial" w:cs="Arial" w:eastAsia="Arial" w:hAnsi="Arial"/>
          <w:sz w:val="17"/>
          <w:szCs w:val="17"/>
          <w:i w:val="1"/>
          <w:iCs w:val="1"/>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February 15, 2028.</w:t>
      </w:r>
    </w:p>
    <w:p>
      <w:pPr>
        <w:sectPr>
          <w:pgSz w:w="11900" w:h="16838" w:orient="portrait"/>
          <w:cols w:equalWidth="0" w:num="2">
            <w:col w:w="3140" w:space="720"/>
            <w:col w:w="7160"/>
          </w:cols>
          <w:pgMar w:left="440" w:top="121" w:right="4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Date from which Interest will Accrue: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 Call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20" w:lineRule="exact"/>
        <w:rPr>
          <w:sz w:val="20"/>
          <w:szCs w:val="20"/>
          <w:color w:val="auto"/>
        </w:rPr>
      </w:pPr>
      <w:r>
        <w:rPr>
          <w:sz w:val="20"/>
          <w:szCs w:val="20"/>
          <w:color w:val="auto"/>
        </w:rPr>
        <w:br w:type="column"/>
      </w:r>
    </w:p>
    <w:p>
      <w:pPr>
        <w:ind w:left="9"/>
        <w:spacing w:after="0"/>
        <w:rPr>
          <w:sz w:val="20"/>
          <w:szCs w:val="20"/>
          <w:color w:val="auto"/>
        </w:rPr>
      </w:pPr>
      <w:r>
        <w:rPr>
          <w:rFonts w:ascii="Arial" w:cs="Arial" w:eastAsia="Arial" w:hAnsi="Arial"/>
          <w:sz w:val="18"/>
          <w:szCs w:val="18"/>
          <w:color w:val="auto"/>
        </w:rPr>
        <w:t>4.600%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-2528570</wp:posOffset>
            </wp:positionH>
            <wp:positionV relativeFrom="paragraph">
              <wp:posOffset>-297180</wp:posOffset>
            </wp:positionV>
            <wp:extent cx="7174865"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spacing w:after="0" w:line="97" w:lineRule="exact"/>
        <w:rPr>
          <w:sz w:val="20"/>
          <w:szCs w:val="20"/>
          <w:color w:val="auto"/>
        </w:rPr>
      </w:pPr>
    </w:p>
    <w:p>
      <w:pPr>
        <w:ind w:left="9"/>
        <w:spacing w:after="0"/>
        <w:rPr>
          <w:sz w:val="20"/>
          <w:szCs w:val="20"/>
          <w:color w:val="auto"/>
        </w:rPr>
      </w:pPr>
      <w:r>
        <w:rPr>
          <w:rFonts w:ascii="Arial" w:cs="Arial" w:eastAsia="Arial" w:hAnsi="Arial"/>
          <w:sz w:val="18"/>
          <w:szCs w:val="18"/>
          <w:color w:val="auto"/>
        </w:rPr>
        <w:t>February 15, 2023.</w:t>
      </w:r>
    </w:p>
    <w:p>
      <w:pPr>
        <w:spacing w:after="0" w:line="117" w:lineRule="exact"/>
        <w:rPr>
          <w:sz w:val="20"/>
          <w:szCs w:val="20"/>
          <w:color w:val="auto"/>
        </w:rPr>
      </w:pPr>
    </w:p>
    <w:p>
      <w:pPr>
        <w:ind w:left="9"/>
        <w:spacing w:after="0"/>
        <w:rPr>
          <w:sz w:val="20"/>
          <w:szCs w:val="20"/>
          <w:color w:val="auto"/>
        </w:rPr>
      </w:pPr>
      <w:r>
        <w:rPr>
          <w:rFonts w:ascii="Arial" w:cs="Arial" w:eastAsia="Arial" w:hAnsi="Arial"/>
          <w:sz w:val="18"/>
          <w:szCs w:val="18"/>
          <w:color w:val="auto"/>
        </w:rPr>
        <w:t>February 15 and August 15, commencing on August 15, 2023, and on the maturity date</w:t>
      </w:r>
    </w:p>
    <w:p>
      <w:pPr>
        <w:spacing w:after="0" w:line="117" w:lineRule="exact"/>
        <w:rPr>
          <w:sz w:val="20"/>
          <w:szCs w:val="20"/>
          <w:color w:val="auto"/>
        </w:rPr>
      </w:pPr>
    </w:p>
    <w:p>
      <w:pPr>
        <w:ind w:left="9"/>
        <w:spacing w:after="0"/>
        <w:rPr>
          <w:sz w:val="20"/>
          <w:szCs w:val="20"/>
          <w:color w:val="auto"/>
        </w:rPr>
      </w:pPr>
      <w:r>
        <w:rPr>
          <w:rFonts w:ascii="Arial" w:cs="Arial" w:eastAsia="Arial" w:hAnsi="Arial"/>
          <w:sz w:val="18"/>
          <w:szCs w:val="18"/>
          <w:color w:val="auto"/>
        </w:rPr>
        <w:t>January 15, 2028 (one month before the maturity date).</w:t>
      </w:r>
    </w:p>
    <w:p>
      <w:pPr>
        <w:spacing w:after="0" w:line="117" w:lineRule="exact"/>
        <w:rPr>
          <w:sz w:val="20"/>
          <w:szCs w:val="20"/>
          <w:color w:val="auto"/>
        </w:rPr>
      </w:pPr>
    </w:p>
    <w:p>
      <w:pPr>
        <w:ind w:left="9" w:right="100"/>
        <w:spacing w:after="0" w:line="263" w:lineRule="auto"/>
        <w:rPr>
          <w:sz w:val="20"/>
          <w:szCs w:val="20"/>
          <w:color w:val="auto"/>
        </w:rPr>
      </w:pPr>
      <w:r>
        <w:rPr>
          <w:rFonts w:ascii="Arial" w:cs="Arial" w:eastAsia="Arial" w:hAnsi="Arial"/>
          <w:sz w:val="18"/>
          <w:szCs w:val="18"/>
          <w:color w:val="auto"/>
        </w:rPr>
        <w:t>Prior to the Par Call Date, the 2028 Notes will be redeemable, in whole or in part at any time, or from time to time, at the Issuer’s option, at a “make-whole premium” redemption price calculated by the Issuer equal to the greater of:</w:t>
      </w:r>
    </w:p>
    <w:p>
      <w:pPr>
        <w:spacing w:after="0" w:line="89" w:lineRule="exact"/>
        <w:rPr>
          <w:sz w:val="20"/>
          <w:szCs w:val="20"/>
          <w:color w:val="auto"/>
        </w:rPr>
      </w:pPr>
    </w:p>
    <w:p>
      <w:pPr>
        <w:ind w:left="9" w:right="40" w:hanging="9"/>
        <w:spacing w:after="0" w:line="273" w:lineRule="auto"/>
        <w:tabs>
          <w:tab w:leader="none" w:pos="263"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12.5 basis points less (b) interest accrued to the date of redemption, and (2) 100% of the principal amount of the 2028 Notes to be redeemed, plus, in either case, accrued and unpaid interest thereon to the redemption date.</w:t>
      </w:r>
    </w:p>
    <w:p>
      <w:pPr>
        <w:spacing w:after="0" w:line="83" w:lineRule="exact"/>
        <w:rPr>
          <w:sz w:val="20"/>
          <w:szCs w:val="20"/>
          <w:color w:val="auto"/>
        </w:rPr>
      </w:pPr>
    </w:p>
    <w:p>
      <w:pPr>
        <w:jc w:val="both"/>
        <w:ind w:left="9" w:right="260"/>
        <w:spacing w:after="0" w:line="311" w:lineRule="auto"/>
        <w:rPr>
          <w:sz w:val="20"/>
          <w:szCs w:val="20"/>
          <w:color w:val="auto"/>
        </w:rPr>
      </w:pPr>
      <w:r>
        <w:rPr>
          <w:rFonts w:ascii="Arial" w:cs="Arial" w:eastAsia="Arial" w:hAnsi="Arial"/>
          <w:sz w:val="16"/>
          <w:szCs w:val="16"/>
          <w:color w:val="auto"/>
        </w:rPr>
        <w:t>On or after the Par Call Date, the Issuer may redeem the 2028 Notes, in whole or in part, at any time and from time to time, at a redemption price equal to 100% of the principal amount of the 2028 Notes being redeemed plus accrued and unpaid interest thereon to the redemption date.</w:t>
      </w:r>
    </w:p>
    <w:p>
      <w:pPr>
        <w:spacing w:after="0" w:line="54" w:lineRule="exact"/>
        <w:rPr>
          <w:sz w:val="20"/>
          <w:szCs w:val="20"/>
          <w:color w:val="auto"/>
        </w:rPr>
      </w:pPr>
    </w:p>
    <w:p>
      <w:pPr>
        <w:ind w:left="9" w:right="20"/>
        <w:spacing w:after="0" w:line="311" w:lineRule="auto"/>
        <w:rPr>
          <w:sz w:val="20"/>
          <w:szCs w:val="20"/>
          <w:color w:val="auto"/>
        </w:rPr>
      </w:pPr>
      <w:r>
        <w:rPr>
          <w:rFonts w:ascii="Arial" w:cs="Arial" w:eastAsia="Arial" w:hAnsi="Arial"/>
          <w:sz w:val="16"/>
          <w:szCs w:val="16"/>
          <w:color w:val="auto"/>
        </w:rPr>
        <w:t>The Issuer will deliver to the Trustee at least 15 days prior to the date on which notice of a redemption is mailed to holders of the 2028 Notes (unless a shorter time period shall be acceptable to the Trustee) an Officers’ Certificate stating the aggregate principal amount of 2028 Notes.</w:t>
      </w:r>
    </w:p>
    <w:p>
      <w:pPr>
        <w:spacing w:after="0" w:line="54" w:lineRule="exact"/>
        <w:rPr>
          <w:sz w:val="20"/>
          <w:szCs w:val="20"/>
          <w:color w:val="auto"/>
        </w:rPr>
      </w:pPr>
    </w:p>
    <w:p>
      <w:pPr>
        <w:ind w:left="9"/>
        <w:spacing w:after="0" w:line="279" w:lineRule="auto"/>
        <w:rPr>
          <w:sz w:val="20"/>
          <w:szCs w:val="20"/>
          <w:color w:val="auto"/>
        </w:rPr>
      </w:pPr>
      <w:r>
        <w:rPr>
          <w:rFonts w:ascii="Arial" w:cs="Arial" w:eastAsia="Arial" w:hAnsi="Arial"/>
          <w:sz w:val="17"/>
          <w:szCs w:val="17"/>
          <w:color w:val="auto"/>
        </w:rPr>
        <w:t>Notice of any redemption will be mailed or electronically delivered (or otherwise transmitted in accordance with the Depositary’s procedures) at least 10 days but not more than 60 days before the redemption date to each Holder of the 2028 Notes to be redeemed. Notice of any redemption may, at the Issuer’s discretion, be given subject to one or more</w:t>
      </w:r>
    </w:p>
    <w:p>
      <w:pPr>
        <w:sectPr>
          <w:pgSz w:w="11900" w:h="16838" w:orient="portrait"/>
          <w:cols w:equalWidth="0" w:num="2">
            <w:col w:w="3131" w:space="720"/>
            <w:col w:w="7129"/>
          </w:cols>
          <w:pgMar w:left="440" w:top="598" w:right="479" w:bottom="1440" w:gutter="0" w:footer="0" w:header="0"/>
        </w:sectPr>
      </w:pPr>
    </w:p>
    <w:bookmarkStart w:id="44" w:name="page45"/>
    <w:bookmarkEnd w:id="44"/>
    <w:p>
      <w:pPr>
        <w:ind w:left="38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conditions precedent, including, but not limited to, completion of a corporate transaction that is pending. If such redemption is so subject to satisfaction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w:t>
      </w:r>
    </w:p>
    <w:p>
      <w:pPr>
        <w:spacing w:after="0" w:line="82" w:lineRule="exact"/>
        <w:rPr>
          <w:sz w:val="20"/>
          <w:szCs w:val="20"/>
          <w:color w:val="auto"/>
        </w:rPr>
      </w:pPr>
    </w:p>
    <w:p>
      <w:pPr>
        <w:ind w:left="3860" w:right="20"/>
        <w:spacing w:after="0" w:line="270" w:lineRule="auto"/>
        <w:rPr>
          <w:sz w:val="20"/>
          <w:szCs w:val="20"/>
          <w:color w:val="auto"/>
        </w:rPr>
      </w:pPr>
      <w:r>
        <w:rPr>
          <w:rFonts w:ascii="Arial" w:cs="Arial" w:eastAsia="Arial" w:hAnsi="Arial"/>
          <w:sz w:val="17"/>
          <w:szCs w:val="17"/>
          <w:color w:val="auto"/>
        </w:rPr>
        <w:t>In the case of a partial redemption, selection of the 2028 Notes for redemption will be made pro rata, by lot or by such other method as the Trustee in its sole discretion deems appropriate and fair. No 2028 Note of a principal amount of $2,000 or less will be redeemed in part. If any 2028 Note is to be redeemed in part only, the notice of redemption that relates to such Note will state the portion of the principal amount of such Note to be redeemed. A new Note in a principal amount equal to the unredeemed portion of the Note will be issued in the name of the holder of the 2028 Note upon surrender for cancellation of the original Note. For so long as the 2028 Notes are held by DTC (or another Depositary), the redemption of the 2028 Notes shall be done in accordance with the policies and procedures of the Depositary.</w:t>
      </w:r>
    </w:p>
    <w:p>
      <w:pPr>
        <w:spacing w:after="0" w:line="86" w:lineRule="exact"/>
        <w:rPr>
          <w:sz w:val="20"/>
          <w:szCs w:val="20"/>
          <w:color w:val="auto"/>
        </w:rPr>
      </w:pPr>
    </w:p>
    <w:p>
      <w:pPr>
        <w:ind w:left="3860" w:right="260"/>
        <w:spacing w:after="0" w:line="342" w:lineRule="auto"/>
        <w:rPr>
          <w:sz w:val="20"/>
          <w:szCs w:val="20"/>
          <w:color w:val="auto"/>
        </w:rPr>
      </w:pPr>
      <w:r>
        <w:rPr>
          <w:rFonts w:ascii="Arial" w:cs="Arial" w:eastAsia="Arial" w:hAnsi="Arial"/>
          <w:sz w:val="16"/>
          <w:szCs w:val="16"/>
          <w:color w:val="auto"/>
        </w:rPr>
        <w:t>Unless the Issuer defaults in payment of the redemption price, on and after the redemption date, interest will cease to accrue on the 2028 Notes or portions thereof called for redemption.</w:t>
      </w:r>
    </w:p>
    <w:p>
      <w:pPr>
        <w:sectPr>
          <w:pgSz w:w="11900" w:h="16838" w:orient="portrait"/>
          <w:cols w:equalWidth="0" w:num="1">
            <w:col w:w="11000"/>
          </w:cols>
          <w:pgMar w:left="440" w:top="598" w:right="459"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151" w:lineRule="exact"/>
        <w:rPr>
          <w:sz w:val="20"/>
          <w:szCs w:val="20"/>
          <w:color w:val="auto"/>
        </w:rPr>
      </w:pPr>
    </w:p>
    <w:p>
      <w:pPr>
        <w:sectPr>
          <w:pgSz w:w="11900" w:h="16838" w:orient="portrait"/>
          <w:cols w:equalWidth="0" w:num="2">
            <w:col w:w="3140" w:space="720"/>
            <w:col w:w="7140"/>
          </w:cols>
          <w:pgMar w:left="440" w:top="598" w:right="4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Sinking 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None.</w:t>
      </w:r>
    </w:p>
    <w:p>
      <w:pPr>
        <w:spacing w:after="0" w:line="151" w:lineRule="exact"/>
        <w:rPr>
          <w:sz w:val="20"/>
          <w:szCs w:val="20"/>
          <w:color w:val="auto"/>
        </w:rPr>
      </w:pPr>
    </w:p>
    <w:p>
      <w:pPr>
        <w:sectPr>
          <w:pgSz w:w="11900" w:h="16838" w:orient="portrait"/>
          <w:cols w:equalWidth="0" w:num="2">
            <w:col w:w="3140" w:space="720"/>
            <w:col w:w="7140"/>
          </w:cols>
          <w:pgMar w:left="440" w:top="598" w:right="4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$2,000 and multiples of $1,000 in excess thereof.</w:t>
      </w:r>
    </w:p>
    <w:p>
      <w:pPr>
        <w:spacing w:after="0" w:line="140" w:lineRule="exact"/>
        <w:rPr>
          <w:sz w:val="20"/>
          <w:szCs w:val="20"/>
          <w:color w:val="auto"/>
        </w:rPr>
      </w:pPr>
    </w:p>
    <w:p>
      <w:pPr>
        <w:sectPr>
          <w:pgSz w:w="11900" w:h="16838" w:orient="portrait"/>
          <w:cols w:equalWidth="0" w:num="2">
            <w:col w:w="3140" w:space="720"/>
            <w:col w:w="7140"/>
          </w:cols>
          <w:pgMar w:left="440" w:top="598" w:right="4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Miscellaneous:</w:t>
      </w:r>
    </w:p>
    <w:p>
      <w:pPr>
        <w:spacing w:after="0" w:line="20" w:lineRule="exact"/>
        <w:rPr>
          <w:sz w:val="20"/>
          <w:szCs w:val="20"/>
          <w:color w:val="auto"/>
        </w:rPr>
      </w:pPr>
      <w:r>
        <w:rPr>
          <w:sz w:val="20"/>
          <w:szCs w:val="20"/>
          <w:color w:val="auto"/>
        </w:rPr>
        <w:br w:type="column"/>
      </w:r>
    </w:p>
    <w:p>
      <w:pPr>
        <w:ind w:right="360"/>
        <w:spacing w:after="0" w:line="277" w:lineRule="auto"/>
        <w:rPr>
          <w:sz w:val="20"/>
          <w:szCs w:val="20"/>
          <w:color w:val="auto"/>
        </w:rPr>
      </w:pPr>
      <w:r>
        <w:rPr>
          <w:rFonts w:ascii="Arial" w:cs="Arial" w:eastAsia="Arial" w:hAnsi="Arial"/>
          <w:sz w:val="18"/>
          <w:szCs w:val="18"/>
          <w:color w:val="auto"/>
        </w:rPr>
        <w:t xml:space="preserve">The terms of the 2028 Notes shall include such other terms as are set forth in the form of 2028 Notes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and in the Indenture.</w:t>
      </w:r>
    </w:p>
    <w:p>
      <w:pPr>
        <w:sectPr>
          <w:pgSz w:w="11900" w:h="16838" w:orient="portrait"/>
          <w:cols w:equalWidth="0" w:num="2">
            <w:col w:w="3140" w:space="720"/>
            <w:col w:w="7140"/>
          </w:cols>
          <w:pgMar w:left="440" w:top="598" w:right="45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The Additional 2033 Notes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Title: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Trustee, Registrar, Transfer Agent, Authenticating Agent, and Paying Agent: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Aggregate Principal Amount at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Maturity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 from which Interest will Accrue: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 Call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left="9"/>
        <w:spacing w:after="0"/>
        <w:rPr>
          <w:sz w:val="20"/>
          <w:szCs w:val="20"/>
          <w:color w:val="auto"/>
        </w:rPr>
      </w:pPr>
      <w:r>
        <w:rPr>
          <w:rFonts w:ascii="Arial" w:cs="Arial" w:eastAsia="Arial" w:hAnsi="Arial"/>
          <w:sz w:val="18"/>
          <w:szCs w:val="18"/>
          <w:color w:val="auto"/>
        </w:rPr>
        <w:t>4.900% Notes due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-2528570</wp:posOffset>
            </wp:positionH>
            <wp:positionV relativeFrom="paragraph">
              <wp:posOffset>-588645</wp:posOffset>
            </wp:positionV>
            <wp:extent cx="7174865"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spacing w:after="0" w:line="97" w:lineRule="exact"/>
        <w:rPr>
          <w:sz w:val="20"/>
          <w:szCs w:val="20"/>
          <w:color w:val="auto"/>
        </w:rPr>
      </w:pPr>
    </w:p>
    <w:p>
      <w:pPr>
        <w:ind w:left="9"/>
        <w:spacing w:after="0"/>
        <w:rPr>
          <w:sz w:val="20"/>
          <w:szCs w:val="20"/>
          <w:color w:val="auto"/>
        </w:rPr>
      </w:pPr>
      <w:r>
        <w:rPr>
          <w:rFonts w:ascii="Arial" w:cs="Arial" w:eastAsia="Arial" w:hAnsi="Arial"/>
          <w:sz w:val="18"/>
          <w:szCs w:val="18"/>
          <w:color w:val="auto"/>
        </w:rPr>
        <w:t>Texas Instruments Incorporated.</w:t>
      </w:r>
    </w:p>
    <w:p>
      <w:pPr>
        <w:spacing w:after="0" w:line="117" w:lineRule="exact"/>
        <w:rPr>
          <w:sz w:val="20"/>
          <w:szCs w:val="20"/>
          <w:color w:val="auto"/>
        </w:rPr>
      </w:pPr>
    </w:p>
    <w:p>
      <w:pPr>
        <w:ind w:left="9" w:right="260"/>
        <w:spacing w:after="0" w:line="277" w:lineRule="auto"/>
        <w:rPr>
          <w:sz w:val="20"/>
          <w:szCs w:val="20"/>
          <w:color w:val="auto"/>
        </w:rPr>
      </w:pPr>
      <w:r>
        <w:rPr>
          <w:rFonts w:ascii="Arial" w:cs="Arial" w:eastAsia="Arial" w:hAnsi="Arial"/>
          <w:sz w:val="18"/>
          <w:szCs w:val="18"/>
          <w:color w:val="auto"/>
        </w:rPr>
        <w:t>U.S. Bank Trust Company, National Association, as successor in interest to U.S. Bank National Association.</w:t>
      </w:r>
    </w:p>
    <w:p>
      <w:pPr>
        <w:spacing w:after="0" w:line="62" w:lineRule="exact"/>
        <w:rPr>
          <w:sz w:val="20"/>
          <w:szCs w:val="20"/>
          <w:color w:val="auto"/>
        </w:rPr>
      </w:pPr>
    </w:p>
    <w:p>
      <w:pPr>
        <w:ind w:left="9"/>
        <w:spacing w:after="0" w:line="255" w:lineRule="auto"/>
        <w:rPr>
          <w:sz w:val="20"/>
          <w:szCs w:val="20"/>
          <w:color w:val="auto"/>
        </w:rPr>
      </w:pPr>
      <w:r>
        <w:rPr>
          <w:rFonts w:ascii="Arial" w:cs="Arial" w:eastAsia="Arial" w:hAnsi="Arial"/>
          <w:sz w:val="18"/>
          <w:szCs w:val="18"/>
          <w:color w:val="auto"/>
        </w:rPr>
        <w:t>The $200,000,000 aggregate principal amount of Additional 2033 Notes are a further issuance of and form a single series with the $750,000,000 aggregate principal amount of the existing 4.900% Notes due 2033 issued by the issuer on March 14, 2023 (the “</w:t>
      </w:r>
      <w:r>
        <w:rPr>
          <w:rFonts w:ascii="Arial" w:cs="Arial" w:eastAsia="Arial" w:hAnsi="Arial"/>
          <w:sz w:val="18"/>
          <w:szCs w:val="18"/>
          <w:b w:val="1"/>
          <w:bCs w:val="1"/>
          <w:color w:val="auto"/>
        </w:rPr>
        <w:t>Existing 2033 Notes</w:t>
      </w:r>
      <w:r>
        <w:rPr>
          <w:rFonts w:ascii="Arial" w:cs="Arial" w:eastAsia="Arial" w:hAnsi="Arial"/>
          <w:sz w:val="18"/>
          <w:szCs w:val="18"/>
          <w:color w:val="auto"/>
        </w:rPr>
        <w:t>”). The Additional 2033 Notes will have the same terms (other than issue date and price to public) and will vote together as a single class, with the same CUSIP number as, and be fungible with, the Existing 2028 Notes.</w:t>
      </w:r>
    </w:p>
    <w:p>
      <w:pPr>
        <w:spacing w:after="0" w:line="84" w:lineRule="exact"/>
        <w:rPr>
          <w:sz w:val="20"/>
          <w:szCs w:val="20"/>
          <w:color w:val="auto"/>
        </w:rPr>
      </w:pPr>
    </w:p>
    <w:p>
      <w:pPr>
        <w:ind w:left="9"/>
        <w:spacing w:after="0"/>
        <w:rPr>
          <w:sz w:val="20"/>
          <w:szCs w:val="20"/>
          <w:color w:val="auto"/>
        </w:rPr>
      </w:pPr>
      <w:r>
        <w:rPr>
          <w:rFonts w:ascii="Arial" w:cs="Arial" w:eastAsia="Arial" w:hAnsi="Arial"/>
          <w:sz w:val="18"/>
          <w:szCs w:val="18"/>
          <w:color w:val="auto"/>
        </w:rPr>
        <w:t>March 14, 2033.</w:t>
      </w:r>
    </w:p>
    <w:p>
      <w:pPr>
        <w:spacing w:after="0" w:line="117" w:lineRule="exact"/>
        <w:rPr>
          <w:sz w:val="20"/>
          <w:szCs w:val="20"/>
          <w:color w:val="auto"/>
        </w:rPr>
      </w:pPr>
    </w:p>
    <w:p>
      <w:pPr>
        <w:ind w:left="9"/>
        <w:spacing w:after="0"/>
        <w:rPr>
          <w:sz w:val="20"/>
          <w:szCs w:val="20"/>
          <w:color w:val="auto"/>
        </w:rPr>
      </w:pPr>
      <w:r>
        <w:rPr>
          <w:rFonts w:ascii="Arial" w:cs="Arial" w:eastAsia="Arial" w:hAnsi="Arial"/>
          <w:sz w:val="18"/>
          <w:szCs w:val="18"/>
          <w:color w:val="auto"/>
        </w:rPr>
        <w:t>4.900% per annum.</w:t>
      </w:r>
    </w:p>
    <w:p>
      <w:pPr>
        <w:spacing w:after="0" w:line="117" w:lineRule="exact"/>
        <w:rPr>
          <w:sz w:val="20"/>
          <w:szCs w:val="20"/>
          <w:color w:val="auto"/>
        </w:rPr>
      </w:pPr>
    </w:p>
    <w:p>
      <w:pPr>
        <w:ind w:left="9"/>
        <w:spacing w:after="0"/>
        <w:rPr>
          <w:sz w:val="20"/>
          <w:szCs w:val="20"/>
          <w:color w:val="auto"/>
        </w:rPr>
      </w:pPr>
      <w:r>
        <w:rPr>
          <w:rFonts w:ascii="Arial" w:cs="Arial" w:eastAsia="Arial" w:hAnsi="Arial"/>
          <w:sz w:val="18"/>
          <w:szCs w:val="18"/>
          <w:color w:val="auto"/>
        </w:rPr>
        <w:t>March 14, 2023.</w:t>
      </w:r>
    </w:p>
    <w:p>
      <w:pPr>
        <w:spacing w:after="0" w:line="117" w:lineRule="exact"/>
        <w:rPr>
          <w:sz w:val="20"/>
          <w:szCs w:val="20"/>
          <w:color w:val="auto"/>
        </w:rPr>
      </w:pPr>
    </w:p>
    <w:p>
      <w:pPr>
        <w:ind w:left="9"/>
        <w:spacing w:after="0"/>
        <w:rPr>
          <w:sz w:val="20"/>
          <w:szCs w:val="20"/>
          <w:color w:val="auto"/>
        </w:rPr>
      </w:pPr>
      <w:r>
        <w:rPr>
          <w:rFonts w:ascii="Arial" w:cs="Arial" w:eastAsia="Arial" w:hAnsi="Arial"/>
          <w:sz w:val="17"/>
          <w:szCs w:val="17"/>
          <w:color w:val="auto"/>
        </w:rPr>
        <w:t>March 14 and September 14, commencing on September 14, 2023, and on the maturity date.</w:t>
      </w:r>
    </w:p>
    <w:p>
      <w:pPr>
        <w:spacing w:after="0" w:line="129" w:lineRule="exact"/>
        <w:rPr>
          <w:sz w:val="20"/>
          <w:szCs w:val="20"/>
          <w:color w:val="auto"/>
        </w:rPr>
      </w:pPr>
    </w:p>
    <w:p>
      <w:pPr>
        <w:ind w:left="9"/>
        <w:spacing w:after="0"/>
        <w:rPr>
          <w:sz w:val="20"/>
          <w:szCs w:val="20"/>
          <w:color w:val="auto"/>
        </w:rPr>
      </w:pPr>
      <w:r>
        <w:rPr>
          <w:rFonts w:ascii="Arial" w:cs="Arial" w:eastAsia="Arial" w:hAnsi="Arial"/>
          <w:sz w:val="18"/>
          <w:szCs w:val="18"/>
          <w:color w:val="auto"/>
        </w:rPr>
        <w:t>December 14, 2032 (three months before the maturity date).</w:t>
      </w:r>
    </w:p>
    <w:p>
      <w:pPr>
        <w:spacing w:after="0" w:line="117" w:lineRule="exact"/>
        <w:rPr>
          <w:sz w:val="20"/>
          <w:szCs w:val="20"/>
          <w:color w:val="auto"/>
        </w:rPr>
      </w:pPr>
    </w:p>
    <w:p>
      <w:pPr>
        <w:ind w:left="9" w:right="100"/>
        <w:spacing w:after="0" w:line="263" w:lineRule="auto"/>
        <w:rPr>
          <w:sz w:val="20"/>
          <w:szCs w:val="20"/>
          <w:color w:val="auto"/>
        </w:rPr>
      </w:pPr>
      <w:r>
        <w:rPr>
          <w:rFonts w:ascii="Arial" w:cs="Arial" w:eastAsia="Arial" w:hAnsi="Arial"/>
          <w:sz w:val="18"/>
          <w:szCs w:val="18"/>
          <w:color w:val="auto"/>
        </w:rPr>
        <w:t>Prior to the Par Call Date, the 2033 Notes will be redeemable, in whole or in part at any time, or from time to time, at the Issuer’s option, at a “make-whole premium” redemption price calculated by the Issuer equal to the greater of:</w:t>
      </w:r>
    </w:p>
    <w:p>
      <w:pPr>
        <w:spacing w:after="0" w:line="89" w:lineRule="exact"/>
        <w:rPr>
          <w:sz w:val="20"/>
          <w:szCs w:val="20"/>
          <w:color w:val="auto"/>
        </w:rPr>
      </w:pPr>
    </w:p>
    <w:p>
      <w:pPr>
        <w:ind w:left="9" w:right="40" w:hanging="9"/>
        <w:spacing w:after="0" w:line="273" w:lineRule="auto"/>
        <w:tabs>
          <w:tab w:leader="none" w:pos="263"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15 basis points less (b) interest accrued to the date of redemption, and (2) 100% of the principal amount of the 2033 Notes to be redeemed, plus, in either case, accrued and unpaid interest thereon to the redemption date.</w:t>
      </w:r>
    </w:p>
    <w:p>
      <w:pPr>
        <w:sectPr>
          <w:pgSz w:w="11900" w:h="16838" w:orient="portrait"/>
          <w:cols w:equalWidth="0" w:num="2">
            <w:col w:w="3580" w:space="271"/>
            <w:col w:w="7129"/>
          </w:cols>
          <w:pgMar w:left="440" w:top="486" w:right="479" w:bottom="1440" w:gutter="0" w:footer="0" w:header="0"/>
        </w:sectPr>
      </w:pPr>
    </w:p>
    <w:bookmarkStart w:id="46" w:name="page47"/>
    <w:bookmarkEnd w:id="46"/>
    <w:p>
      <w:pPr>
        <w:jc w:val="both"/>
        <w:ind w:left="2860" w:right="2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On or after the Par Call Date, the Issuer may redeem the 2033 Notes, in whole or in part, at any time and from time to time, at a redemption price equal to 100% of the principal amount of the 2033 Notes being redeemed plus accrued and unpaid interest thereon to the redemption date.</w:t>
      </w:r>
    </w:p>
    <w:p>
      <w:pPr>
        <w:spacing w:after="0" w:line="54" w:lineRule="exact"/>
        <w:rPr>
          <w:sz w:val="20"/>
          <w:szCs w:val="20"/>
          <w:color w:val="auto"/>
        </w:rPr>
      </w:pPr>
    </w:p>
    <w:p>
      <w:pPr>
        <w:ind w:left="2860" w:right="20"/>
        <w:spacing w:after="0" w:line="311" w:lineRule="auto"/>
        <w:rPr>
          <w:sz w:val="20"/>
          <w:szCs w:val="20"/>
          <w:color w:val="auto"/>
        </w:rPr>
      </w:pPr>
      <w:r>
        <w:rPr>
          <w:rFonts w:ascii="Arial" w:cs="Arial" w:eastAsia="Arial" w:hAnsi="Arial"/>
          <w:sz w:val="16"/>
          <w:szCs w:val="16"/>
          <w:color w:val="auto"/>
        </w:rPr>
        <w:t>The Issuer will deliver to the Trustee at least 15 days prior to the date on which notice of a redemption is mailed to holders of the 2033 Notes (unless a shorter time period shall be acceptable to the Trustee) an Officers’ Certificate stating the aggregate principal amount of 2033 Notes.</w:t>
      </w:r>
    </w:p>
    <w:p>
      <w:pPr>
        <w:spacing w:after="0" w:line="54" w:lineRule="exact"/>
        <w:rPr>
          <w:sz w:val="20"/>
          <w:szCs w:val="20"/>
          <w:color w:val="auto"/>
        </w:rPr>
      </w:pPr>
    </w:p>
    <w:p>
      <w:pPr>
        <w:ind w:left="2860"/>
        <w:spacing w:after="0" w:line="270" w:lineRule="auto"/>
        <w:rPr>
          <w:sz w:val="20"/>
          <w:szCs w:val="20"/>
          <w:color w:val="auto"/>
        </w:rPr>
      </w:pPr>
      <w:r>
        <w:rPr>
          <w:rFonts w:ascii="Arial" w:cs="Arial" w:eastAsia="Arial" w:hAnsi="Arial"/>
          <w:sz w:val="17"/>
          <w:szCs w:val="17"/>
          <w:color w:val="auto"/>
        </w:rPr>
        <w:t>Notice of any redemption will be mailed or electronically delivered (or otherwise transmitted in accordance with the Depositary’s procedures) at least 10 days but not more than 60 days before the redemption date to each Holder of the 2033 Notes to be redeemed. Notice of any redemption may, at the Issuer’s discretion, be given subject to one or more conditions precedent, including, but not limited to, completion of a corporate transaction that is pending. If such redemption is so subject to satisfaction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w:t>
      </w:r>
    </w:p>
    <w:p>
      <w:pPr>
        <w:spacing w:after="0" w:line="86" w:lineRule="exact"/>
        <w:rPr>
          <w:sz w:val="20"/>
          <w:szCs w:val="20"/>
          <w:color w:val="auto"/>
        </w:rPr>
      </w:pPr>
    </w:p>
    <w:p>
      <w:pPr>
        <w:ind w:left="2860"/>
        <w:spacing w:after="0" w:line="270" w:lineRule="auto"/>
        <w:rPr>
          <w:sz w:val="20"/>
          <w:szCs w:val="20"/>
          <w:color w:val="auto"/>
        </w:rPr>
      </w:pPr>
      <w:r>
        <w:rPr>
          <w:rFonts w:ascii="Arial" w:cs="Arial" w:eastAsia="Arial" w:hAnsi="Arial"/>
          <w:sz w:val="17"/>
          <w:szCs w:val="17"/>
          <w:color w:val="auto"/>
        </w:rPr>
        <w:t>In the case of a partial redemption, selection of the 2033 Notes for redemption will be made pro rata, by lot or by such other method as the Trustee in its sole discretion deems appropriate and fair. No 2033 Note of a principal amount of $2,000 or less will be redeemed in part. If any 2033 Note is to be redeemed in part only, the notice of redemption that relates to such Note will state the portion of the principal amount of such Note to be redeemed. A new Note in a principal amount equal to the unredeemed portion of the Note will be issued in the name of the holder of the 2033 Note upon surrender for cancellation of the original Note. For so long as the 2033 Notes are held by DTC (or another Depositary), the redemption of the 2033 Notes shall be done in accordance with the policies and procedures of the Depositary.</w:t>
      </w:r>
    </w:p>
    <w:p>
      <w:pPr>
        <w:sectPr>
          <w:pgSz w:w="11900" w:h="16838" w:orient="portrait"/>
          <w:cols w:equalWidth="0" w:num="1">
            <w:col w:w="9980"/>
          </w:cols>
          <w:pgMar w:left="1440" w:top="490" w:right="479" w:bottom="1440" w:gutter="0" w:footer="0" w:header="0"/>
        </w:sectPr>
      </w:pPr>
    </w:p>
    <w:bookmarkStart w:id="47" w:name="page48"/>
    <w:bookmarkEnd w:id="47"/>
    <w:p>
      <w:pPr>
        <w:ind w:left="38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Unless the Issuer defaults in payment of the redemption price, on and after the redemption date, interest will cease to accrue on the 2033 Notes or portions thereof called for redemption.</w:t>
      </w:r>
    </w:p>
    <w:p>
      <w:pPr>
        <w:sectPr>
          <w:pgSz w:w="11900" w:h="16838" w:orient="portrait"/>
          <w:cols w:equalWidth="0" w:num="1">
            <w:col w:w="10740"/>
          </w:cols>
          <w:pgMar w:left="440" w:top="598" w:right="719" w:bottom="1440" w:gutter="0" w:footer="0" w:header="0"/>
        </w:sectPr>
      </w:pP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None.</w:t>
      </w:r>
    </w:p>
    <w:p>
      <w:pPr>
        <w:spacing w:after="0" w:line="151" w:lineRule="exact"/>
        <w:rPr>
          <w:sz w:val="20"/>
          <w:szCs w:val="20"/>
          <w:color w:val="auto"/>
        </w:rPr>
      </w:pPr>
    </w:p>
    <w:p>
      <w:pPr>
        <w:sectPr>
          <w:pgSz w:w="11900" w:h="16838" w:orient="portrait"/>
          <w:cols w:equalWidth="0" w:num="2">
            <w:col w:w="3140" w:space="720"/>
            <w:col w:w="6880"/>
          </w:cols>
          <w:pgMar w:left="440" w:top="598" w:right="71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Sinking 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None.</w:t>
      </w:r>
    </w:p>
    <w:p>
      <w:pPr>
        <w:spacing w:after="0" w:line="151" w:lineRule="exact"/>
        <w:rPr>
          <w:sz w:val="20"/>
          <w:szCs w:val="20"/>
          <w:color w:val="auto"/>
        </w:rPr>
      </w:pPr>
    </w:p>
    <w:p>
      <w:pPr>
        <w:sectPr>
          <w:pgSz w:w="11900" w:h="16838" w:orient="portrait"/>
          <w:cols w:equalWidth="0" w:num="2">
            <w:col w:w="3140" w:space="720"/>
            <w:col w:w="6880"/>
          </w:cols>
          <w:pgMar w:left="440" w:top="598" w:right="71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$2,000 and multiples of $1,000 in excess thereof.</w:t>
      </w:r>
    </w:p>
    <w:p>
      <w:pPr>
        <w:spacing w:after="0" w:line="140" w:lineRule="exact"/>
        <w:rPr>
          <w:sz w:val="20"/>
          <w:szCs w:val="20"/>
          <w:color w:val="auto"/>
        </w:rPr>
      </w:pPr>
    </w:p>
    <w:p>
      <w:pPr>
        <w:sectPr>
          <w:pgSz w:w="11900" w:h="16838" w:orient="portrait"/>
          <w:cols w:equalWidth="0" w:num="2">
            <w:col w:w="3140" w:space="720"/>
            <w:col w:w="6880"/>
          </w:cols>
          <w:pgMar w:left="440" w:top="598" w:right="71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Miscellaneous:</w:t>
      </w:r>
    </w:p>
    <w:p>
      <w:pPr>
        <w:spacing w:after="0" w:line="20" w:lineRule="exact"/>
        <w:rPr>
          <w:sz w:val="20"/>
          <w:szCs w:val="20"/>
          <w:color w:val="auto"/>
        </w:rPr>
      </w:pPr>
      <w:r>
        <w:rPr>
          <w:sz w:val="20"/>
          <w:szCs w:val="20"/>
          <w:color w:val="auto"/>
        </w:rPr>
        <w:br w:type="column"/>
      </w:r>
    </w:p>
    <w:p>
      <w:pPr>
        <w:ind w:right="100"/>
        <w:spacing w:after="0" w:line="277" w:lineRule="auto"/>
        <w:rPr>
          <w:sz w:val="20"/>
          <w:szCs w:val="20"/>
          <w:color w:val="auto"/>
        </w:rPr>
      </w:pPr>
      <w:r>
        <w:rPr>
          <w:rFonts w:ascii="Arial" w:cs="Arial" w:eastAsia="Arial" w:hAnsi="Arial"/>
          <w:sz w:val="18"/>
          <w:szCs w:val="18"/>
          <w:color w:val="auto"/>
        </w:rPr>
        <w:t xml:space="preserve">The terms of the 2033 Notes shall include such other terms as are set forth in the form of 2033 Notes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and in the Indenture.</w:t>
      </w:r>
    </w:p>
    <w:p>
      <w:pPr>
        <w:spacing w:after="0" w:line="200" w:lineRule="exact"/>
        <w:rPr>
          <w:sz w:val="20"/>
          <w:szCs w:val="20"/>
          <w:color w:val="auto"/>
        </w:rPr>
      </w:pPr>
    </w:p>
    <w:p>
      <w:pPr>
        <w:sectPr>
          <w:pgSz w:w="11900" w:h="16838" w:orient="portrait"/>
          <w:cols w:equalWidth="0" w:num="2">
            <w:col w:w="3140" w:space="720"/>
            <w:col w:w="6880"/>
          </w:cols>
          <w:pgMar w:left="440" w:top="598" w:right="719" w:bottom="144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2063 Notes</w:t>
      </w:r>
    </w:p>
    <w:p>
      <w:pPr>
        <w:sectPr>
          <w:pgSz w:w="11900" w:h="16838" w:orient="portrait"/>
          <w:cols w:equalWidth="0" w:num="1">
            <w:col w:w="10740"/>
          </w:cols>
          <w:pgMar w:left="440" w:top="598" w:right="719" w:bottom="1440" w:gutter="0" w:footer="0" w:header="0"/>
          <w:type w:val="continuous"/>
        </w:sect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Title:</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5"/>
          <w:szCs w:val="15"/>
          <w:color w:val="auto"/>
        </w:rPr>
        <w:t>5.050% Notes due 2063.</w:t>
      </w:r>
    </w:p>
    <w:p>
      <w:pPr>
        <w:spacing w:after="0" w:line="151" w:lineRule="exact"/>
        <w:rPr>
          <w:sz w:val="20"/>
          <w:szCs w:val="20"/>
          <w:color w:val="auto"/>
        </w:rPr>
      </w:pPr>
    </w:p>
    <w:p>
      <w:pPr>
        <w:sectPr>
          <w:pgSz w:w="11900" w:h="16838" w:orient="portrait"/>
          <w:cols w:equalWidth="0" w:num="2">
            <w:col w:w="3140" w:space="720"/>
            <w:col w:w="6880"/>
          </w:cols>
          <w:pgMar w:left="440" w:top="598" w:right="71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Texas Instruments Incorporated.</w:t>
      </w:r>
    </w:p>
    <w:p>
      <w:pPr>
        <w:spacing w:after="0" w:line="140" w:lineRule="exact"/>
        <w:rPr>
          <w:sz w:val="20"/>
          <w:szCs w:val="20"/>
          <w:color w:val="auto"/>
        </w:rPr>
      </w:pPr>
    </w:p>
    <w:p>
      <w:pPr>
        <w:sectPr>
          <w:pgSz w:w="11900" w:h="16838" w:orient="portrait"/>
          <w:cols w:equalWidth="0" w:num="2">
            <w:col w:w="3140" w:space="720"/>
            <w:col w:w="6880"/>
          </w:cols>
          <w:pgMar w:left="440" w:top="598" w:right="719" w:bottom="1440" w:gutter="0" w:footer="0" w:header="0"/>
          <w:type w:val="continuous"/>
        </w:sectPr>
      </w:pPr>
    </w:p>
    <w:p>
      <w:pPr>
        <w:spacing w:after="0" w:line="277" w:lineRule="auto"/>
        <w:rPr>
          <w:sz w:val="20"/>
          <w:szCs w:val="20"/>
          <w:color w:val="auto"/>
        </w:rPr>
      </w:pPr>
      <w:r>
        <w:rPr>
          <w:rFonts w:ascii="Arial" w:cs="Arial" w:eastAsia="Arial" w:hAnsi="Arial"/>
          <w:sz w:val="18"/>
          <w:szCs w:val="18"/>
          <w:i w:val="1"/>
          <w:iCs w:val="1"/>
          <w:color w:val="auto"/>
        </w:rPr>
        <w:t>Trustee, Registrar, Transfer Agent, Authenticating Agent, and Paying Agent:</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U.S. Bank Trust Company, National Association, as successor in interest to U.S. Bank National Association.</w:t>
      </w:r>
    </w:p>
    <w:p>
      <w:pPr>
        <w:spacing w:after="0" w:line="62" w:lineRule="exact"/>
        <w:rPr>
          <w:sz w:val="20"/>
          <w:szCs w:val="20"/>
          <w:color w:val="auto"/>
        </w:rPr>
      </w:pPr>
    </w:p>
    <w:p>
      <w:pPr>
        <w:sectPr>
          <w:pgSz w:w="11900" w:h="16838" w:orient="portrait"/>
          <w:cols w:equalWidth="0" w:num="2">
            <w:col w:w="3580" w:space="280"/>
            <w:col w:w="6880"/>
          </w:cols>
          <w:pgMar w:left="440" w:top="598" w:right="71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Aggregate Principal Amount at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$1,200,000,000.</w:t>
      </w:r>
    </w:p>
    <w:p>
      <w:pPr>
        <w:spacing w:after="0" w:line="140" w:lineRule="exact"/>
        <w:rPr>
          <w:sz w:val="20"/>
          <w:szCs w:val="20"/>
          <w:color w:val="auto"/>
        </w:rPr>
      </w:pPr>
    </w:p>
    <w:p>
      <w:pPr>
        <w:sectPr>
          <w:pgSz w:w="11900" w:h="16838" w:orient="portrait"/>
          <w:cols w:equalWidth="0" w:num="2">
            <w:col w:w="3140" w:space="720"/>
            <w:col w:w="6880"/>
          </w:cols>
          <w:pgMar w:left="440" w:top="598" w:right="719" w:bottom="1440" w:gutter="0" w:footer="0" w:header="0"/>
          <w:type w:val="continuous"/>
        </w:sectPr>
      </w:pPr>
    </w:p>
    <w:p>
      <w:pPr>
        <w:spacing w:after="0"/>
        <w:rPr>
          <w:sz w:val="20"/>
          <w:szCs w:val="20"/>
          <w:color w:val="auto"/>
        </w:rPr>
      </w:pPr>
      <w:r>
        <w:rPr>
          <w:rFonts w:ascii="Arial" w:cs="Arial" w:eastAsia="Arial" w:hAnsi="Arial"/>
          <w:sz w:val="17"/>
          <w:szCs w:val="17"/>
          <w:i w:val="1"/>
          <w:iCs w:val="1"/>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May 18, 2063.</w:t>
      </w:r>
    </w:p>
    <w:p>
      <w:pPr>
        <w:spacing w:after="0" w:line="140" w:lineRule="exact"/>
        <w:rPr>
          <w:sz w:val="20"/>
          <w:szCs w:val="20"/>
          <w:color w:val="auto"/>
        </w:rPr>
      </w:pPr>
    </w:p>
    <w:p>
      <w:pPr>
        <w:sectPr>
          <w:pgSz w:w="11900" w:h="16838" w:orient="portrait"/>
          <w:cols w:equalWidth="0" w:num="2">
            <w:col w:w="3140" w:space="720"/>
            <w:col w:w="6880"/>
          </w:cols>
          <w:pgMar w:left="440" w:top="598" w:right="71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Interest: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5.050% per annum.</w:t>
      </w:r>
    </w:p>
    <w:p>
      <w:pPr>
        <w:spacing w:after="0" w:line="140" w:lineRule="exact"/>
        <w:rPr>
          <w:sz w:val="20"/>
          <w:szCs w:val="20"/>
          <w:color w:val="auto"/>
        </w:rPr>
      </w:pPr>
    </w:p>
    <w:p>
      <w:pPr>
        <w:sectPr>
          <w:pgSz w:w="11900" w:h="16838" w:orient="portrait"/>
          <w:cols w:equalWidth="0" w:num="2">
            <w:col w:w="3140" w:space="720"/>
            <w:col w:w="6880"/>
          </w:cols>
          <w:pgMar w:left="440" w:top="598" w:right="71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Date from which Interest will Accrue: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May 18, 2023.</w:t>
      </w:r>
    </w:p>
    <w:p>
      <w:pPr>
        <w:spacing w:after="0" w:line="140" w:lineRule="exact"/>
        <w:rPr>
          <w:sz w:val="20"/>
          <w:szCs w:val="20"/>
          <w:color w:val="auto"/>
        </w:rPr>
      </w:pPr>
    </w:p>
    <w:p>
      <w:pPr>
        <w:sectPr>
          <w:pgSz w:w="11900" w:h="16838" w:orient="portrait"/>
          <w:cols w:equalWidth="0" w:num="2">
            <w:col w:w="3140" w:space="720"/>
            <w:col w:w="6880"/>
          </w:cols>
          <w:pgMar w:left="440" w:top="598" w:right="71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May 18 and November 18, commencing on November 18, 2023, and on the maturity date.</w:t>
      </w:r>
    </w:p>
    <w:p>
      <w:pPr>
        <w:spacing w:after="0" w:line="140" w:lineRule="exact"/>
        <w:rPr>
          <w:sz w:val="20"/>
          <w:szCs w:val="20"/>
          <w:color w:val="auto"/>
        </w:rPr>
      </w:pPr>
    </w:p>
    <w:p>
      <w:pPr>
        <w:sectPr>
          <w:pgSz w:w="11900" w:h="16838" w:orient="portrait"/>
          <w:cols w:equalWidth="0" w:num="2">
            <w:col w:w="3140" w:space="720"/>
            <w:col w:w="6880"/>
          </w:cols>
          <w:pgMar w:left="440" w:top="598" w:right="719" w:bottom="1440" w:gutter="0" w:footer="0" w:header="0"/>
          <w:type w:val="continuous"/>
        </w:sectPr>
      </w:pPr>
    </w:p>
    <w:p>
      <w:pPr>
        <w:spacing w:after="0"/>
        <w:rPr>
          <w:sz w:val="20"/>
          <w:szCs w:val="20"/>
          <w:color w:val="auto"/>
        </w:rPr>
      </w:pPr>
      <w:r>
        <w:rPr>
          <w:rFonts w:ascii="Arial" w:cs="Arial" w:eastAsia="Arial" w:hAnsi="Arial"/>
          <w:sz w:val="17"/>
          <w:szCs w:val="17"/>
          <w:i w:val="1"/>
          <w:iCs w:val="1"/>
          <w:color w:val="auto"/>
        </w:rPr>
        <w:t>Par Call Date:</w:t>
      </w:r>
    </w:p>
    <w:p>
      <w:pPr>
        <w:spacing w:after="0" w:line="20" w:lineRule="exact"/>
        <w:rPr>
          <w:sz w:val="20"/>
          <w:szCs w:val="20"/>
          <w:color w:val="auto"/>
        </w:rPr>
      </w:pPr>
      <w:r>
        <w:rPr>
          <w:sz w:val="20"/>
          <w:szCs w:val="20"/>
          <w:color w:val="auto"/>
        </w:rPr>
        <w:br w:type="column"/>
      </w:r>
    </w:p>
    <w:p>
      <w:pPr>
        <w:jc w:val="center"/>
        <w:ind w:right="2700"/>
        <w:spacing w:after="0"/>
        <w:rPr>
          <w:sz w:val="20"/>
          <w:szCs w:val="20"/>
          <w:color w:val="auto"/>
        </w:rPr>
      </w:pPr>
      <w:r>
        <w:rPr>
          <w:rFonts w:ascii="Arial" w:cs="Arial" w:eastAsia="Arial" w:hAnsi="Arial"/>
          <w:sz w:val="16"/>
          <w:szCs w:val="16"/>
          <w:color w:val="auto"/>
        </w:rPr>
        <w:t>November 18, 2062 (six months before the maturity date).</w:t>
      </w:r>
    </w:p>
    <w:p>
      <w:pPr>
        <w:sectPr>
          <w:pgSz w:w="11900" w:h="16838" w:orient="portrait"/>
          <w:cols w:equalWidth="0" w:num="2">
            <w:col w:w="3140" w:space="720"/>
            <w:col w:w="6880"/>
          </w:cols>
          <w:pgMar w:left="440" w:top="598" w:right="71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6"/>
          <w:szCs w:val="16"/>
          <w:i w:val="1"/>
          <w:iCs w:val="1"/>
          <w:color w:val="auto"/>
        </w:rPr>
        <w:t>Redemption:</w:t>
      </w:r>
    </w:p>
    <w:p>
      <w:pPr>
        <w:spacing w:after="0" w:line="20" w:lineRule="exact"/>
        <w:rPr>
          <w:sz w:val="20"/>
          <w:szCs w:val="20"/>
          <w:color w:val="auto"/>
        </w:rPr>
      </w:pPr>
      <w:r>
        <w:rPr>
          <w:sz w:val="20"/>
          <w:szCs w:val="20"/>
          <w:color w:val="auto"/>
        </w:rPr>
        <w:br w:type="column"/>
      </w:r>
    </w:p>
    <w:p>
      <w:pPr>
        <w:ind w:right="100"/>
        <w:spacing w:after="0" w:line="263" w:lineRule="auto"/>
        <w:rPr>
          <w:sz w:val="20"/>
          <w:szCs w:val="20"/>
          <w:color w:val="auto"/>
        </w:rPr>
      </w:pPr>
      <w:r>
        <w:rPr>
          <w:rFonts w:ascii="Arial" w:cs="Arial" w:eastAsia="Arial" w:hAnsi="Arial"/>
          <w:sz w:val="18"/>
          <w:szCs w:val="18"/>
          <w:color w:val="auto"/>
        </w:rPr>
        <w:t>Prior to the Par Call Date, the 2063 Notes will be redeemable, in whole or in part at any time, or from time to time, at the Issuer’s option, at a “make-whole premium” redemption price calculated by the Issuer equal to the greater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-598170</wp:posOffset>
            </wp:positionV>
            <wp:extent cx="7174865"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spacing w:after="0" w:line="89" w:lineRule="exact"/>
        <w:rPr>
          <w:sz w:val="20"/>
          <w:szCs w:val="20"/>
          <w:color w:val="auto"/>
        </w:rPr>
      </w:pPr>
    </w:p>
    <w:p>
      <w:pPr>
        <w:sectPr>
          <w:pgSz w:w="11900" w:h="16838" w:orient="portrait"/>
          <w:cols w:equalWidth="0" w:num="2">
            <w:col w:w="3140" w:space="720"/>
            <w:col w:w="7120"/>
          </w:cols>
          <w:pgMar w:left="440" w:top="598" w:right="479" w:bottom="1440" w:gutter="0" w:footer="0" w:header="0"/>
        </w:sectPr>
      </w:pPr>
    </w:p>
    <w:p>
      <w:pPr>
        <w:ind w:left="3860" w:right="40"/>
        <w:spacing w:after="0" w:line="273" w:lineRule="auto"/>
        <w:rPr>
          <w:sz w:val="20"/>
          <w:szCs w:val="20"/>
          <w:color w:val="auto"/>
        </w:rPr>
      </w:pPr>
      <w:r>
        <w:rPr>
          <w:rFonts w:ascii="Arial" w:cs="Arial" w:eastAsia="Arial" w:hAnsi="Arial"/>
          <w:sz w:val="17"/>
          <w:szCs w:val="17"/>
          <w:color w:val="auto"/>
        </w:rPr>
        <w:t>(1)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25 basis points less (b) interest accrued to the date of redemption, and (2) 100% of the principal amount of the 2063 Notes to be redeemed, plus, in either case, accrued and unpaid interest thereon to the redemption date.</w:t>
      </w:r>
    </w:p>
    <w:p>
      <w:pPr>
        <w:spacing w:after="0" w:line="83" w:lineRule="exact"/>
        <w:rPr>
          <w:sz w:val="20"/>
          <w:szCs w:val="20"/>
          <w:color w:val="auto"/>
        </w:rPr>
      </w:pPr>
    </w:p>
    <w:p>
      <w:pPr>
        <w:jc w:val="both"/>
        <w:ind w:left="3860" w:right="260"/>
        <w:spacing w:after="0" w:line="311" w:lineRule="auto"/>
        <w:rPr>
          <w:sz w:val="20"/>
          <w:szCs w:val="20"/>
          <w:color w:val="auto"/>
        </w:rPr>
      </w:pPr>
      <w:r>
        <w:rPr>
          <w:rFonts w:ascii="Arial" w:cs="Arial" w:eastAsia="Arial" w:hAnsi="Arial"/>
          <w:sz w:val="16"/>
          <w:szCs w:val="16"/>
          <w:color w:val="auto"/>
        </w:rPr>
        <w:t>On or after the Par Call Date, the Issuer may redeem the 2063 Notes, in whole or in part, at any time and from time to time, at a redemption price equal to 100% of the principal amount of the 2063 Notes being redeemed plus accrued and unpaid interest thereon to the redemption date.</w:t>
      </w:r>
    </w:p>
    <w:p>
      <w:pPr>
        <w:spacing w:after="0" w:line="54" w:lineRule="exact"/>
        <w:rPr>
          <w:sz w:val="20"/>
          <w:szCs w:val="20"/>
          <w:color w:val="auto"/>
        </w:rPr>
      </w:pPr>
    </w:p>
    <w:p>
      <w:pPr>
        <w:ind w:left="3860" w:right="20"/>
        <w:spacing w:after="0" w:line="311" w:lineRule="auto"/>
        <w:rPr>
          <w:sz w:val="20"/>
          <w:szCs w:val="20"/>
          <w:color w:val="auto"/>
        </w:rPr>
      </w:pPr>
      <w:r>
        <w:rPr>
          <w:rFonts w:ascii="Arial" w:cs="Arial" w:eastAsia="Arial" w:hAnsi="Arial"/>
          <w:sz w:val="16"/>
          <w:szCs w:val="16"/>
          <w:color w:val="auto"/>
        </w:rPr>
        <w:t>The Issuer will deliver to the Trustee at least 15 days prior to the date on which notice of a redemption is mailed to holders of the 2063 Notes (unless a shorter time period shall be acceptable to the Trustee) an Officers’ Certificate stating the aggregate principal amount of 2063 Notes.</w:t>
      </w:r>
    </w:p>
    <w:p>
      <w:pPr>
        <w:spacing w:after="0" w:line="54" w:lineRule="exact"/>
        <w:rPr>
          <w:sz w:val="20"/>
          <w:szCs w:val="20"/>
          <w:color w:val="auto"/>
        </w:rPr>
      </w:pPr>
    </w:p>
    <w:p>
      <w:pPr>
        <w:ind w:left="3860"/>
        <w:spacing w:after="0" w:line="270" w:lineRule="auto"/>
        <w:rPr>
          <w:sz w:val="20"/>
          <w:szCs w:val="20"/>
          <w:color w:val="auto"/>
        </w:rPr>
      </w:pPr>
      <w:r>
        <w:rPr>
          <w:rFonts w:ascii="Arial" w:cs="Arial" w:eastAsia="Arial" w:hAnsi="Arial"/>
          <w:sz w:val="17"/>
          <w:szCs w:val="17"/>
          <w:color w:val="auto"/>
        </w:rPr>
        <w:t>Notice of any redemption will be mailed or electronically delivered (or otherwise transmitted in accordance with the Depositary’s procedures) at least 10 days but not more than 60 days before the redemption date to each Holder of the 2063 Notes to be redeemed. Notice of any redemption may, at the Issuer’s discretion, be given subject to one or more conditions precedent, including, but not limited to, completion of a corporate transaction that is pending. If such redemption is so subject to satisfaction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w:t>
      </w:r>
    </w:p>
    <w:p>
      <w:pPr>
        <w:sectPr>
          <w:pgSz w:w="11900" w:h="16838" w:orient="portrait"/>
          <w:cols w:equalWidth="0" w:num="1">
            <w:col w:w="10980"/>
          </w:cols>
          <w:pgMar w:left="440" w:top="598" w:right="479" w:bottom="1440" w:gutter="0" w:footer="0" w:header="0"/>
          <w:type w:val="continuous"/>
        </w:sectPr>
      </w:pPr>
    </w:p>
    <w:bookmarkStart w:id="49" w:name="page50"/>
    <w:bookmarkEnd w:id="49"/>
    <w:p>
      <w:pPr>
        <w:ind w:left="38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the case of a partial redemption, selection of the 2063 Notes for redemption will be made pro rata, by lot or by such other method as the Trustee in its sole discretion deems appropriate and fair. No 2063 Note of a principal amount of $2,000 or less will be redeemed in part. If any 2063 Note is to be redeemed in part only, the notice of redemption that relates to such Note will state the portion of the principal amount of such Note to be redeemed. A new Note in a principal amount equal to the unredeemed portion of the Note will be issued in the name of the holder of the 2063 Note upon surrender for cancellation of the original Note. For so long as the 2063 Notes are held by DTC (or another Depositary), the redemption of the 2063 Notes shall be done in accordance with the policies and procedures of the Depositary.</w:t>
      </w:r>
    </w:p>
    <w:p>
      <w:pPr>
        <w:spacing w:after="0" w:line="86" w:lineRule="exact"/>
        <w:rPr>
          <w:sz w:val="20"/>
          <w:szCs w:val="20"/>
          <w:color w:val="auto"/>
        </w:rPr>
      </w:pPr>
    </w:p>
    <w:p>
      <w:pPr>
        <w:ind w:left="3860" w:right="240"/>
        <w:spacing w:after="0" w:line="342" w:lineRule="auto"/>
        <w:rPr>
          <w:sz w:val="20"/>
          <w:szCs w:val="20"/>
          <w:color w:val="auto"/>
        </w:rPr>
      </w:pPr>
      <w:r>
        <w:rPr>
          <w:rFonts w:ascii="Arial" w:cs="Arial" w:eastAsia="Arial" w:hAnsi="Arial"/>
          <w:sz w:val="16"/>
          <w:szCs w:val="16"/>
          <w:color w:val="auto"/>
        </w:rPr>
        <w:t>Unless the Issuer defaults in payment of the redemption price, on and after the redemption date, interest will cease to accrue on the 2063 Notes or portions thereof called for redemption.</w:t>
      </w:r>
    </w:p>
    <w:p>
      <w:pPr>
        <w:sectPr>
          <w:pgSz w:w="11900" w:h="16838" w:orient="portrait"/>
          <w:cols w:equalWidth="0" w:num="1">
            <w:col w:w="10980"/>
          </w:cols>
          <w:pgMar w:left="440" w:top="490" w:right="479"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151" w:lineRule="exact"/>
        <w:rPr>
          <w:sz w:val="20"/>
          <w:szCs w:val="20"/>
          <w:color w:val="auto"/>
        </w:rPr>
      </w:pPr>
    </w:p>
    <w:p>
      <w:pPr>
        <w:sectPr>
          <w:pgSz w:w="11900" w:h="16838" w:orient="portrait"/>
          <w:cols w:equalWidth="0" w:num="2">
            <w:col w:w="3140" w:space="720"/>
            <w:col w:w="7120"/>
          </w:cols>
          <w:pgMar w:left="440" w:top="490" w:right="47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Sinking 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None.</w:t>
      </w:r>
    </w:p>
    <w:p>
      <w:pPr>
        <w:spacing w:after="0" w:line="151" w:lineRule="exact"/>
        <w:rPr>
          <w:sz w:val="20"/>
          <w:szCs w:val="20"/>
          <w:color w:val="auto"/>
        </w:rPr>
      </w:pPr>
    </w:p>
    <w:p>
      <w:pPr>
        <w:sectPr>
          <w:pgSz w:w="11900" w:h="16838" w:orient="portrait"/>
          <w:cols w:equalWidth="0" w:num="2">
            <w:col w:w="3140" w:space="720"/>
            <w:col w:w="7120"/>
          </w:cols>
          <w:pgMar w:left="440" w:top="490" w:right="47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$2,000 and multiples of $1,000 in excess thereof.</w:t>
      </w:r>
    </w:p>
    <w:p>
      <w:pPr>
        <w:spacing w:after="0" w:line="140" w:lineRule="exact"/>
        <w:rPr>
          <w:sz w:val="20"/>
          <w:szCs w:val="20"/>
          <w:color w:val="auto"/>
        </w:rPr>
      </w:pPr>
    </w:p>
    <w:p>
      <w:pPr>
        <w:sectPr>
          <w:pgSz w:w="11900" w:h="16838" w:orient="portrait"/>
          <w:cols w:equalWidth="0" w:num="2">
            <w:col w:w="3140" w:space="720"/>
            <w:col w:w="7120"/>
          </w:cols>
          <w:pgMar w:left="440" w:top="490" w:right="47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Miscellaneous:</w:t>
      </w:r>
    </w:p>
    <w:p>
      <w:pPr>
        <w:spacing w:after="0" w:line="20" w:lineRule="exact"/>
        <w:rPr>
          <w:sz w:val="20"/>
          <w:szCs w:val="20"/>
          <w:color w:val="auto"/>
        </w:rPr>
      </w:pPr>
      <w:r>
        <w:rPr>
          <w:sz w:val="20"/>
          <w:szCs w:val="20"/>
          <w:color w:val="auto"/>
        </w:rPr>
        <w:br w:type="column"/>
      </w:r>
    </w:p>
    <w:p>
      <w:pPr>
        <w:ind w:right="340"/>
        <w:spacing w:after="0" w:line="277" w:lineRule="auto"/>
        <w:rPr>
          <w:sz w:val="20"/>
          <w:szCs w:val="20"/>
          <w:color w:val="auto"/>
        </w:rPr>
      </w:pPr>
      <w:r>
        <w:rPr>
          <w:rFonts w:ascii="Arial" w:cs="Arial" w:eastAsia="Arial" w:hAnsi="Arial"/>
          <w:sz w:val="18"/>
          <w:szCs w:val="18"/>
          <w:color w:val="auto"/>
        </w:rPr>
        <w:t xml:space="preserve">The terms of the 2063 Notes shall include such other terms as are set forth in the form of 2063 Notes attached hereto as </w:t>
      </w:r>
      <w:r>
        <w:rPr>
          <w:rFonts w:ascii="Arial" w:cs="Arial" w:eastAsia="Arial" w:hAnsi="Arial"/>
          <w:sz w:val="18"/>
          <w:szCs w:val="18"/>
          <w:b w:val="1"/>
          <w:bCs w:val="1"/>
          <w:color w:val="auto"/>
        </w:rPr>
        <w:t>Exhibit C</w:t>
      </w:r>
      <w:r>
        <w:rPr>
          <w:rFonts w:ascii="Arial" w:cs="Arial" w:eastAsia="Arial" w:hAnsi="Arial"/>
          <w:sz w:val="18"/>
          <w:szCs w:val="18"/>
          <w:color w:val="auto"/>
        </w:rPr>
        <w:t xml:space="preserve"> and in the Indenture.</w:t>
      </w:r>
    </w:p>
    <w:p>
      <w:pPr>
        <w:spacing w:after="0" w:line="170" w:lineRule="exact"/>
        <w:rPr>
          <w:sz w:val="20"/>
          <w:szCs w:val="20"/>
          <w:color w:val="auto"/>
        </w:rPr>
      </w:pPr>
    </w:p>
    <w:p>
      <w:pPr>
        <w:sectPr>
          <w:pgSz w:w="11900" w:h="16838" w:orient="portrait"/>
          <w:cols w:equalWidth="0" w:num="2">
            <w:col w:w="3140" w:space="720"/>
            <w:col w:w="7120"/>
          </w:cols>
          <w:pgMar w:left="440" w:top="490" w:right="479" w:bottom="1440" w:gutter="0" w:footer="0" w:header="0"/>
          <w:type w:val="continuous"/>
        </w:sectPr>
      </w:pPr>
    </w:p>
    <w:p>
      <w:pPr>
        <w:ind w:right="20" w:firstLine="440"/>
        <w:spacing w:after="0" w:line="291" w:lineRule="auto"/>
        <w:rPr>
          <w:sz w:val="20"/>
          <w:szCs w:val="20"/>
          <w:color w:val="auto"/>
        </w:rPr>
      </w:pPr>
      <w:r>
        <w:rPr>
          <w:rFonts w:ascii="Arial" w:cs="Arial" w:eastAsia="Arial" w:hAnsi="Arial"/>
          <w:sz w:val="16"/>
          <w:szCs w:val="16"/>
          <w:color w:val="auto"/>
        </w:rPr>
        <w:t>Subject to the representations, warranties and covenants described in the Indenture, as amended or supplemented from time to time, the Issuer shall be entitled, subject to authorization by the Board of Directors of the Issuer and an Officers’ Certificate, to issue additional notes from time to time under each series of Notes issued hereby. Any such additional notes of a series shall have identical terms as the 2028 Notes, the 2033 Notes or the 2063 Notes, as the case may be, other than with respect to the date of issuance, the issue price and interest accrued prior to the issue date of the additional notes (together, the “</w:t>
      </w:r>
      <w:r>
        <w:rPr>
          <w:rFonts w:ascii="Arial" w:cs="Arial" w:eastAsia="Arial" w:hAnsi="Arial"/>
          <w:sz w:val="16"/>
          <w:szCs w:val="16"/>
          <w:b w:val="1"/>
          <w:bCs w:val="1"/>
          <w:color w:val="auto"/>
        </w:rPr>
        <w:t>Additional Notes</w:t>
      </w:r>
      <w:r>
        <w:rPr>
          <w:rFonts w:ascii="Arial" w:cs="Arial" w:eastAsia="Arial" w:hAnsi="Arial"/>
          <w:sz w:val="16"/>
          <w:szCs w:val="16"/>
          <w:color w:val="auto"/>
        </w:rPr>
        <w:t xml:space="preserve">”). The Additional Notes of a series will have the same CUSIP number as the applicable series of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Additional Notes that are not fungible with the applicable series of Notes for U.S. federal income tax purposes will be issued under a separate CUSIP number. Any Additional Notes will be issued in accordance with Section 2.03 of the Indenture.</w:t>
      </w:r>
    </w:p>
    <w:p>
      <w:pPr>
        <w:spacing w:after="0" w:line="166"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The undersigned officers have read and understand the provisions of the Indenture and the definitions relating thereto. The statements made in this Officers’ Certificate are based upon the examination of the provisions of the Indenture and upon the relevant books and records of the Issuer. In the opinion of each undersigned officer, such officer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0980"/>
          </w:cols>
          <w:pgMar w:left="440" w:top="490" w:right="47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WITNESS WHEREOF, the undersigned officers of the Issuer have duly executed this certificate as of the date first set forth above.</w:t>
      </w:r>
    </w:p>
    <w:p>
      <w:pPr>
        <w:spacing w:after="0" w:line="271"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TEXAS INSTRUMENTS INCORPORATED</w:t>
      </w:r>
    </w:p>
    <w:p>
      <w:pPr>
        <w:spacing w:after="0" w:line="22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 /s/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14605</wp:posOffset>
            </wp:positionV>
            <wp:extent cx="25717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Rafael R. Lizardi</w:t>
      </w:r>
    </w:p>
    <w:p>
      <w:pPr>
        <w:spacing w:after="0" w:line="23" w:lineRule="exact"/>
        <w:rPr>
          <w:sz w:val="20"/>
          <w:szCs w:val="20"/>
          <w:color w:val="auto"/>
        </w:rPr>
      </w:pPr>
    </w:p>
    <w:p>
      <w:pPr>
        <w:ind w:left="6520"/>
        <w:spacing w:after="0"/>
        <w:tabs>
          <w:tab w:leader="none" w:pos="7080" w:val="left"/>
        </w:tabs>
        <w:rPr>
          <w:sz w:val="20"/>
          <w:szCs w:val="20"/>
          <w:color w:val="auto"/>
        </w:rPr>
      </w:pPr>
      <w:r>
        <w:rPr>
          <w:rFonts w:ascii="Arial" w:cs="Arial" w:eastAsia="Arial" w:hAnsi="Arial"/>
          <w:sz w:val="18"/>
          <w:szCs w:val="18"/>
          <w:color w:val="auto"/>
        </w:rPr>
        <w:t>Title:</w:t>
        <w:tab/>
        <w:t>Senior Vice President and</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Financial Officer</w:t>
      </w:r>
    </w:p>
    <w:p>
      <w:pPr>
        <w:spacing w:after="0" w:line="26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14605</wp:posOffset>
            </wp:positionV>
            <wp:extent cx="25717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Jack I. Holmes</w:t>
      </w:r>
    </w:p>
    <w:p>
      <w:pPr>
        <w:spacing w:after="0" w:line="23" w:lineRule="exact"/>
        <w:rPr>
          <w:sz w:val="20"/>
          <w:szCs w:val="20"/>
          <w:color w:val="auto"/>
        </w:rPr>
      </w:pPr>
    </w:p>
    <w:p>
      <w:pPr>
        <w:ind w:left="6520"/>
        <w:spacing w:after="0"/>
        <w:tabs>
          <w:tab w:leader="none" w:pos="708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Officers’ Certificate Pursuant to the Indenture</w:t>
      </w:r>
      <w:r>
        <w:rPr>
          <w:rFonts w:ascii="Arial" w:cs="Arial" w:eastAsia="Arial" w:hAnsi="Arial"/>
          <w:sz w:val="18"/>
          <w:szCs w:val="18"/>
          <w:color w:val="auto"/>
        </w:rPr>
        <w:t>]</w:t>
      </w:r>
    </w:p>
    <w:p>
      <w:pPr>
        <w:sectPr>
          <w:pgSz w:w="11900" w:h="16838" w:orient="portrait"/>
          <w:cols w:equalWidth="0" w:num="1">
            <w:col w:w="9660"/>
          </w:cols>
          <w:pgMar w:left="880" w:top="490" w:right="1359" w:bottom="1440" w:gutter="0" w:footer="0" w:header="0"/>
        </w:sectPr>
      </w:pPr>
    </w:p>
    <w:bookmarkStart w:id="51" w:name="page52"/>
    <w:bookmarkEnd w:id="5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WITNESS WHEREOF, the undersigned officers of the Issuer have duly executed this certificate as of the date first set forth above.</w:t>
      </w:r>
    </w:p>
    <w:p>
      <w:pPr>
        <w:spacing w:after="0" w:line="271"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TEXAS INSTRUMENTS INCORPORATED</w:t>
      </w:r>
    </w:p>
    <w:p>
      <w:pPr>
        <w:spacing w:after="0" w:line="22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14605</wp:posOffset>
            </wp:positionV>
            <wp:extent cx="25717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Rafael R. Lizardi</w:t>
      </w:r>
    </w:p>
    <w:p>
      <w:pPr>
        <w:spacing w:after="0" w:line="23" w:lineRule="exact"/>
        <w:rPr>
          <w:sz w:val="20"/>
          <w:szCs w:val="20"/>
          <w:color w:val="auto"/>
        </w:rPr>
      </w:pPr>
    </w:p>
    <w:p>
      <w:pPr>
        <w:ind w:left="6520"/>
        <w:spacing w:after="0"/>
        <w:tabs>
          <w:tab w:leader="none" w:pos="7080" w:val="left"/>
        </w:tabs>
        <w:rPr>
          <w:sz w:val="20"/>
          <w:szCs w:val="20"/>
          <w:color w:val="auto"/>
        </w:rPr>
      </w:pPr>
      <w:r>
        <w:rPr>
          <w:rFonts w:ascii="Arial" w:cs="Arial" w:eastAsia="Arial" w:hAnsi="Arial"/>
          <w:sz w:val="18"/>
          <w:szCs w:val="18"/>
          <w:color w:val="auto"/>
        </w:rPr>
        <w:t>Title:</w:t>
        <w:tab/>
        <w:t>Senior Vice President and</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Financial Officer</w:t>
      </w:r>
    </w:p>
    <w:p>
      <w:pPr>
        <w:spacing w:after="0" w:line="26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 /s/ Jack I. Holmes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14605</wp:posOffset>
            </wp:positionV>
            <wp:extent cx="25717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Jack I. Holmes</w:t>
      </w:r>
    </w:p>
    <w:p>
      <w:pPr>
        <w:spacing w:after="0" w:line="23" w:lineRule="exact"/>
        <w:rPr>
          <w:sz w:val="20"/>
          <w:szCs w:val="20"/>
          <w:color w:val="auto"/>
        </w:rPr>
      </w:pPr>
    </w:p>
    <w:p>
      <w:pPr>
        <w:ind w:left="6520"/>
        <w:spacing w:after="0"/>
        <w:tabs>
          <w:tab w:leader="none" w:pos="708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Officers’ Certificate Pursuant to the Indenture</w:t>
      </w:r>
      <w:r>
        <w:rPr>
          <w:rFonts w:ascii="Arial" w:cs="Arial" w:eastAsia="Arial" w:hAnsi="Arial"/>
          <w:sz w:val="18"/>
          <w:szCs w:val="18"/>
          <w:color w:val="auto"/>
        </w:rPr>
        <w:t>]</w:t>
      </w:r>
    </w:p>
    <w:p>
      <w:pPr>
        <w:sectPr>
          <w:pgSz w:w="11900" w:h="16838" w:orient="portrait"/>
          <w:cols w:equalWidth="0" w:num="1">
            <w:col w:w="9660"/>
          </w:cols>
          <w:pgMar w:left="880" w:top="490" w:right="135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NOTES DUE 2028]</w:t>
      </w:r>
    </w:p>
    <w:p>
      <w:pPr>
        <w:spacing w:after="0" w:line="225" w:lineRule="exact"/>
        <w:rPr>
          <w:sz w:val="20"/>
          <w:szCs w:val="20"/>
          <w:color w:val="auto"/>
        </w:rPr>
      </w:pPr>
    </w:p>
    <w:p>
      <w:pPr>
        <w:ind w:right="180" w:firstLine="991"/>
        <w:spacing w:after="0" w:line="254" w:lineRule="auto"/>
        <w:rPr>
          <w:sz w:val="20"/>
          <w:szCs w:val="20"/>
          <w:color w:val="auto"/>
        </w:rPr>
      </w:pPr>
      <w:r>
        <w:rPr>
          <w:rFonts w:ascii="Arial" w:cs="Arial" w:eastAsia="Arial" w:hAnsi="Arial"/>
          <w:sz w:val="18"/>
          <w:szCs w:val="18"/>
          <w:color w:val="auto"/>
        </w:rPr>
        <w:t>UNLESS THIS NOTE IS PRESENTED BY AN AUTHORIZED REPRESENTATIVE OF THE DEPOSITORY TRUST COMPANY, A NEW YORK CORPORATION (“</w:t>
      </w:r>
      <w:r>
        <w:rPr>
          <w:rFonts w:ascii="Arial" w:cs="Arial" w:eastAsia="Arial" w:hAnsi="Arial"/>
          <w:sz w:val="18"/>
          <w:szCs w:val="18"/>
          <w:b w:val="1"/>
          <w:bCs w:val="1"/>
          <w:color w:val="auto"/>
        </w:rPr>
        <w:t>DTC</w:t>
      </w:r>
      <w:r>
        <w:rPr>
          <w:rFonts w:ascii="Arial" w:cs="Arial" w:eastAsia="Arial" w:hAnsi="Arial"/>
          <w:sz w:val="18"/>
          <w:szCs w:val="18"/>
          <w:color w:val="auto"/>
        </w:rPr>
        <w:t>”),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95" w:lineRule="exact"/>
        <w:rPr>
          <w:sz w:val="20"/>
          <w:szCs w:val="20"/>
          <w:color w:val="auto"/>
        </w:rPr>
      </w:pPr>
    </w:p>
    <w:p>
      <w:pPr>
        <w:ind w:right="260" w:firstLine="991"/>
        <w:spacing w:after="0" w:line="279"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spacing w:after="0" w:line="171" w:lineRule="exact"/>
        <w:rPr>
          <w:sz w:val="20"/>
          <w:szCs w:val="20"/>
          <w:color w:val="auto"/>
        </w:rPr>
      </w:pPr>
    </w:p>
    <w:p>
      <w:pPr>
        <w:jc w:val="both"/>
        <w:ind w:right="400" w:firstLine="991"/>
        <w:spacing w:after="0" w:line="263" w:lineRule="auto"/>
        <w:rPr>
          <w:sz w:val="20"/>
          <w:szCs w:val="20"/>
          <w:color w:val="auto"/>
        </w:rPr>
      </w:pPr>
      <w:r>
        <w:rPr>
          <w:rFonts w:ascii="Arial" w:cs="Arial" w:eastAsia="Arial" w:hAnsi="Arial"/>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ectPr>
          <w:pgSz w:w="11900" w:h="16838" w:orient="portrait"/>
          <w:cols w:equalWidth="0" w:num="1">
            <w:col w:w="11020"/>
          </w:cols>
          <w:pgMar w:left="440" w:top="486" w:right="439" w:bottom="1440" w:gutter="0" w:footer="0" w:header="0"/>
        </w:sectPr>
      </w:pPr>
    </w:p>
    <w:bookmarkStart w:id="53" w:name="page54"/>
    <w:bookmarkEnd w:id="5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TEXAS INSTRUMENTS INCORPORATED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4.600% Notes due 2028</w:t>
      </w:r>
    </w:p>
    <w:p>
      <w:pPr>
        <w:sectPr>
          <w:pgSz w:w="11900" w:h="16838" w:orient="portrait"/>
          <w:cols w:equalWidth="0" w:num="1">
            <w:col w:w="11020"/>
          </w:cols>
          <w:pgMar w:left="440" w:top="486" w:right="4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No. [ ]</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882508 BV5</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ISIN No.: US882508BV59</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$[_______]</w:t>
      </w:r>
    </w:p>
    <w:p>
      <w:pPr>
        <w:spacing w:after="0" w:line="200" w:lineRule="exact"/>
        <w:rPr>
          <w:sz w:val="20"/>
          <w:szCs w:val="20"/>
          <w:color w:val="auto"/>
        </w:rPr>
      </w:pPr>
    </w:p>
    <w:p>
      <w:pPr>
        <w:sectPr>
          <w:pgSz w:w="11900" w:h="16838" w:orient="portrait"/>
          <w:cols w:equalWidth="0" w:num="2">
            <w:col w:w="8340" w:space="720"/>
            <w:col w:w="1960"/>
          </w:cols>
          <w:pgMar w:left="440" w:top="486" w:right="439" w:bottom="1440" w:gutter="0" w:footer="0" w:header="0"/>
          <w:type w:val="continuous"/>
        </w:sectPr>
      </w:pPr>
    </w:p>
    <w:p>
      <w:pPr>
        <w:spacing w:after="0" w:line="7" w:lineRule="exact"/>
        <w:rPr>
          <w:sz w:val="20"/>
          <w:szCs w:val="20"/>
          <w:color w:val="auto"/>
        </w:rPr>
      </w:pPr>
    </w:p>
    <w:p>
      <w:pPr>
        <w:ind w:right="460" w:firstLine="440"/>
        <w:spacing w:after="0" w:line="282" w:lineRule="auto"/>
        <w:rPr>
          <w:sz w:val="20"/>
          <w:szCs w:val="20"/>
          <w:color w:val="auto"/>
        </w:rPr>
      </w:pPr>
      <w:r>
        <w:rPr>
          <w:rFonts w:ascii="Arial" w:cs="Arial" w:eastAsia="Arial" w:hAnsi="Arial"/>
          <w:sz w:val="18"/>
          <w:szCs w:val="18"/>
          <w:color w:val="auto"/>
        </w:rPr>
        <w:t>TEXAS INSTRUMENTS INCORPORATED, a Delaware corporation (the “</w:t>
      </w:r>
      <w:r>
        <w:rPr>
          <w:rFonts w:ascii="Arial" w:cs="Arial" w:eastAsia="Arial" w:hAnsi="Arial"/>
          <w:sz w:val="18"/>
          <w:szCs w:val="18"/>
          <w:b w:val="1"/>
          <w:bCs w:val="1"/>
          <w:color w:val="auto"/>
        </w:rPr>
        <w:t>Issuer</w:t>
      </w:r>
      <w:r>
        <w:rPr>
          <w:rFonts w:ascii="Arial" w:cs="Arial" w:eastAsia="Arial" w:hAnsi="Arial"/>
          <w:sz w:val="18"/>
          <w:szCs w:val="18"/>
          <w:color w:val="auto"/>
        </w:rPr>
        <w:t>”), for value received promises to pay to CEDE &amp; CO. or registered assigns the principal sum of $[_______] on February 15, 2028.</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Payment Dates: February 15 and August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August 15, 2023.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Record Dates: February 1 and August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ectPr>
          <w:pgSz w:w="11900" w:h="16838" w:orient="portrait"/>
          <w:cols w:equalWidth="0" w:num="1">
            <w:col w:w="11020"/>
          </w:cols>
          <w:pgMar w:left="440" w:top="486" w:right="439" w:bottom="1440" w:gutter="0" w:footer="0" w:header="0"/>
          <w:type w:val="continuous"/>
        </w:sectPr>
      </w:pPr>
    </w:p>
    <w:bookmarkStart w:id="54" w:name="page55"/>
    <w:bookmarkEnd w:id="54"/>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WITNESS WHEREOF, the Issuer has caused this Note to be signed manually or by facsimile by its duly authorized officers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34"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TEXAS INSTRUMENTS INCORPORATED</w:t>
      </w:r>
    </w:p>
    <w:p>
      <w:pPr>
        <w:spacing w:after="0" w:line="2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5715</wp:posOffset>
            </wp:positionV>
            <wp:extent cx="25717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Rafael R. Lizardi</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6"/>
          <w:szCs w:val="16"/>
          <w:color w:val="auto"/>
        </w:rPr>
        <w:t>Title: Senior Vice President and Chief Financial Officer</w:t>
      </w:r>
    </w:p>
    <w:p>
      <w:pPr>
        <w:spacing w:after="0" w:line="23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Jack I. Holmes</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 Vice President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 of Texas Instruments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Edgar A. Morales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Assistant Secretary</w:t>
      </w:r>
    </w:p>
    <w:p>
      <w:pPr>
        <w:sectPr>
          <w:pgSz w:w="11900" w:h="16838" w:orient="portrait"/>
          <w:cols w:equalWidth="0" w:num="1">
            <w:col w:w="11000"/>
          </w:cols>
          <w:pgMar w:left="440" w:top="490" w:right="459" w:bottom="1440" w:gutter="0" w:footer="0" w:header="0"/>
        </w:sectPr>
      </w:pPr>
    </w:p>
    <w:bookmarkStart w:id="55" w:name="page56"/>
    <w:bookmarkEnd w:id="5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This is one of the Notes of the series designated herein and referred to in the within-mentioned Indenture.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Dated: May 18, 2023</w:t>
      </w:r>
    </w:p>
    <w:p>
      <w:pPr>
        <w:spacing w:after="0" w:line="248" w:lineRule="exact"/>
        <w:rPr>
          <w:sz w:val="20"/>
          <w:szCs w:val="20"/>
          <w:color w:val="auto"/>
        </w:rPr>
      </w:pPr>
    </w:p>
    <w:p>
      <w:pPr>
        <w:ind w:left="6600"/>
        <w:spacing w:after="0"/>
        <w:rPr>
          <w:sz w:val="20"/>
          <w:szCs w:val="20"/>
          <w:color w:val="auto"/>
        </w:rPr>
      </w:pPr>
      <w:r>
        <w:rPr>
          <w:rFonts w:ascii="Arial" w:cs="Arial" w:eastAsia="Arial" w:hAnsi="Arial"/>
          <w:sz w:val="17"/>
          <w:szCs w:val="17"/>
          <w:b w:val="1"/>
          <w:bCs w:val="1"/>
          <w:color w:val="auto"/>
        </w:rPr>
        <w:t>U.S. BANK TRUST COMPANY, NATIONAL</w:t>
      </w:r>
    </w:p>
    <w:p>
      <w:pPr>
        <w:spacing w:after="0" w:line="39"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ASSOCIATION</w:t>
      </w:r>
      <w:r>
        <w:rPr>
          <w:rFonts w:ascii="Arial" w:cs="Arial" w:eastAsia="Arial" w:hAnsi="Arial"/>
          <w:sz w:val="18"/>
          <w:szCs w:val="18"/>
          <w:color w:val="auto"/>
        </w:rPr>
        <w:t>, as Trustee</w:t>
      </w:r>
    </w:p>
    <w:p>
      <w:pPr>
        <w:spacing w:after="0" w:line="21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Michael K. Herberger</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0140"/>
          </w:cols>
          <w:pgMar w:left="440" w:top="490" w:right="131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(REVERSE OF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4.600% Notes due 2028</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Interest.</w:t>
      </w:r>
    </w:p>
    <w:p>
      <w:pPr>
        <w:spacing w:after="0" w:line="221"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color w:val="auto"/>
        </w:rPr>
        <w:t>Texas Instruments Incorporated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Note at the rate per annum described above. Cash interest on the Notes will accrue from the most recent date to which interest has been paid; or, if no interest has been paid, from February 15, 2023. Interest on this Note will be paid to but excluding the relevant Interest Payment Date. The Issuer will pay interest semi-annually in arrears on each Interest Payment Date, commencing August 15, 2023 to the person in whose name the Note is registered at the close of business on the preceding Interest Record Date. Interest will be computed on the basis of a 360-day year consisting of twelve 30-day months in a manner consistent with Rule 11620(b) of the FINRA Uniform Practice Code.</w:t>
      </w:r>
    </w:p>
    <w:p>
      <w:pPr>
        <w:spacing w:after="0" w:line="191"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Notes and on overdue installments of interest (without regard to any applicable grace periods) to the extent lawful.</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 Paying Agent.</w:t>
      </w:r>
    </w:p>
    <w:p>
      <w:pPr>
        <w:spacing w:after="0" w:line="221" w:lineRule="exact"/>
        <w:rPr>
          <w:sz w:val="20"/>
          <w:szCs w:val="20"/>
          <w:color w:val="auto"/>
        </w:rPr>
      </w:pPr>
    </w:p>
    <w:p>
      <w:pPr>
        <w:ind w:right="500" w:firstLine="440"/>
        <w:spacing w:after="0" w:line="282" w:lineRule="auto"/>
        <w:rPr>
          <w:sz w:val="20"/>
          <w:szCs w:val="20"/>
          <w:color w:val="auto"/>
        </w:rPr>
      </w:pPr>
      <w:r>
        <w:rPr>
          <w:rFonts w:ascii="Arial" w:cs="Arial" w:eastAsia="Arial" w:hAnsi="Arial"/>
          <w:sz w:val="18"/>
          <w:szCs w:val="18"/>
          <w:color w:val="auto"/>
        </w:rPr>
        <w:t>Initially, U.S. Bank Trust Company, National Association (the “</w:t>
      </w:r>
      <w:r>
        <w:rPr>
          <w:rFonts w:ascii="Arial" w:cs="Arial" w:eastAsia="Arial" w:hAnsi="Arial"/>
          <w:sz w:val="18"/>
          <w:szCs w:val="18"/>
          <w:b w:val="1"/>
          <w:bCs w:val="1"/>
          <w:color w:val="auto"/>
        </w:rPr>
        <w:t>Trustee</w:t>
      </w:r>
      <w:r>
        <w:rPr>
          <w:rFonts w:ascii="Arial" w:cs="Arial" w:eastAsia="Arial" w:hAnsi="Arial"/>
          <w:sz w:val="18"/>
          <w:szCs w:val="18"/>
          <w:color w:val="auto"/>
        </w:rPr>
        <w:t>”) will act as paying agent. The Issuer may change any paying agent without notice to the holders (the “</w:t>
      </w:r>
      <w:r>
        <w:rPr>
          <w:rFonts w:ascii="Arial" w:cs="Arial" w:eastAsia="Arial" w:hAnsi="Arial"/>
          <w:sz w:val="18"/>
          <w:szCs w:val="18"/>
          <w:b w:val="1"/>
          <w:bCs w:val="1"/>
          <w:color w:val="auto"/>
        </w:rPr>
        <w:t>Holders</w:t>
      </w:r>
      <w:r>
        <w:rPr>
          <w:rFonts w:ascii="Arial" w:cs="Arial" w:eastAsia="Arial" w:hAnsi="Arial"/>
          <w:sz w:val="18"/>
          <w:szCs w:val="18"/>
          <w:color w:val="auto"/>
        </w:rPr>
        <w: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 Indenture; Defined Terms.</w:t>
      </w:r>
    </w:p>
    <w:p>
      <w:pPr>
        <w:spacing w:after="0" w:line="221" w:lineRule="exact"/>
        <w:rPr>
          <w:sz w:val="20"/>
          <w:szCs w:val="20"/>
          <w:color w:val="auto"/>
        </w:rPr>
      </w:pPr>
    </w:p>
    <w:p>
      <w:pPr>
        <w:ind w:right="80" w:firstLine="440"/>
        <w:spacing w:after="0" w:line="289" w:lineRule="auto"/>
        <w:rPr>
          <w:sz w:val="20"/>
          <w:szCs w:val="20"/>
          <w:color w:val="auto"/>
        </w:rPr>
      </w:pPr>
      <w:r>
        <w:rPr>
          <w:rFonts w:ascii="Arial" w:cs="Arial" w:eastAsia="Arial" w:hAnsi="Arial"/>
          <w:sz w:val="17"/>
          <w:szCs w:val="17"/>
          <w:color w:val="auto"/>
        </w:rPr>
        <w:t>This Note is one of the 4.600% Notes due 2028 (the “</w:t>
      </w:r>
      <w:r>
        <w:rPr>
          <w:rFonts w:ascii="Arial" w:cs="Arial" w:eastAsia="Arial" w:hAnsi="Arial"/>
          <w:sz w:val="17"/>
          <w:szCs w:val="17"/>
          <w:b w:val="1"/>
          <w:bCs w:val="1"/>
          <w:color w:val="auto"/>
        </w:rPr>
        <w:t>Notes</w:t>
      </w:r>
      <w:r>
        <w:rPr>
          <w:rFonts w:ascii="Arial" w:cs="Arial" w:eastAsia="Arial" w:hAnsi="Arial"/>
          <w:sz w:val="17"/>
          <w:szCs w:val="17"/>
          <w:color w:val="auto"/>
        </w:rPr>
        <w:t>”) issued under an indenture dated as of May 23, 2011 (the “</w:t>
      </w:r>
      <w:r>
        <w:rPr>
          <w:rFonts w:ascii="Arial" w:cs="Arial" w:eastAsia="Arial" w:hAnsi="Arial"/>
          <w:sz w:val="17"/>
          <w:szCs w:val="17"/>
          <w:b w:val="1"/>
          <w:bCs w:val="1"/>
          <w:color w:val="auto"/>
        </w:rPr>
        <w:t>Base Indenture</w:t>
      </w:r>
      <w:r>
        <w:rPr>
          <w:rFonts w:ascii="Arial" w:cs="Arial" w:eastAsia="Arial" w:hAnsi="Arial"/>
          <w:sz w:val="17"/>
          <w:szCs w:val="17"/>
          <w:color w:val="auto"/>
        </w:rPr>
        <w:t>”) by and between the Issuer and the Trustee, and established pursuant to an Officers’ Certificate dated May 18, 2023, issued pursuant to Section 2.01 and Section 2.03 thereof (together, the “</w:t>
      </w:r>
      <w:r>
        <w:rPr>
          <w:rFonts w:ascii="Arial" w:cs="Arial" w:eastAsia="Arial" w:hAnsi="Arial"/>
          <w:sz w:val="17"/>
          <w:szCs w:val="17"/>
          <w:b w:val="1"/>
          <w:bCs w:val="1"/>
          <w:color w:val="auto"/>
        </w:rPr>
        <w:t>Indenture</w:t>
      </w:r>
      <w:r>
        <w:rPr>
          <w:rFonts w:ascii="Arial" w:cs="Arial" w:eastAsia="Arial" w:hAnsi="Arial"/>
          <w:sz w:val="17"/>
          <w:szCs w:val="17"/>
          <w:color w:val="auto"/>
        </w:rPr>
        <w:t>”). This Note is a “Security” and the Notes are “Securities” under the Indenture.</w:t>
      </w:r>
    </w:p>
    <w:p>
      <w:pPr>
        <w:spacing w:after="0" w:line="162"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on which the Indenture was qualified under the TIA; including, without limitation, the defeasance provision set forth in Section 10.01(b) of the Base Indenture; provided that Section 10.01(b)(C) of the Base Indenture is amended and restated as set forth below for purposes of this Note. Notwithstanding anything to the contrary herein, the Notes are subject to all such terms, provided that Section 10.01(b)(C) of the Base Indenture is amended and restated as set forth below for purposes of this Note, and Holders of Notes are referred to the Indenture and the TIA for a statement of such terms. To the extent the terms of the Indenture and this Note are inconsistent, the terms of the Indenture shall govern, provided that, for purposes of this Note, Section 10.01(b)(C) of the Base Indenture is amended and restated as set forth below.</w:t>
      </w:r>
    </w:p>
    <w:p>
      <w:pPr>
        <w:sectPr>
          <w:pgSz w:w="11900" w:h="16838" w:orient="portrait"/>
          <w:cols w:equalWidth="0" w:num="1">
            <w:col w:w="11000"/>
          </w:cols>
          <w:pgMar w:left="440" w:top="490" w:right="459" w:bottom="1440" w:gutter="0" w:footer="0" w:header="0"/>
        </w:sectPr>
      </w:pPr>
    </w:p>
    <w:bookmarkStart w:id="57" w:name="page58"/>
    <w:bookmarkEnd w:id="57"/>
    <w:p>
      <w:pPr>
        <w:ind w:left="440" w:right="40" w:firstLine="423"/>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 the Issuer has delivered to the Trustee an Officers’ Certificate and an opinion of independent legal counsel satisfactory to the Trustee to the effect that the Issuer has received from, or there has been published by, the Internal Revenue Service a ruling, or that since the date of issuance of the Securities of such series there has been a change in the applicable Federal income tax law, in either case to the effect that beneficial owners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and”</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 Denominations; Transfer; Exchange.</w:t>
      </w:r>
    </w:p>
    <w:p>
      <w:pPr>
        <w:spacing w:after="0" w:line="225"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The Notes are in registered form, without coupons, in denominations of $2,000 and multiples of $1,000 in excess thereof.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 except, in the case of any Security to be redeemed in part, the portion thereof not so to be redeemed.</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 Amendment; Supplement; Waiver.</w:t>
      </w:r>
    </w:p>
    <w:p>
      <w:pPr>
        <w:spacing w:after="0" w:line="22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 Redemption.</w:t>
      </w:r>
    </w:p>
    <w:p>
      <w:pPr>
        <w:spacing w:after="0" w:line="22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Prior to the Par Call Date, the Notes will be redeemable, in whole or in part at any time, or from time to time, at the Issuer’s option, at a “make-whole premium” redemption price calculated by the Issuer equal to the greater of:</w:t>
      </w:r>
    </w:p>
    <w:p>
      <w:pPr>
        <w:sectPr>
          <w:pgSz w:w="11900" w:h="16838" w:orient="portrait"/>
          <w:cols w:equalWidth="0" w:num="1">
            <w:col w:w="11000"/>
          </w:cols>
          <w:pgMar w:left="440" w:top="490" w:right="459" w:bottom="1440" w:gutter="0" w:footer="0" w:header="0"/>
        </w:sectPr>
      </w:pPr>
    </w:p>
    <w:bookmarkStart w:id="58" w:name="page59"/>
    <w:bookmarkEnd w:id="58"/>
    <w:p>
      <w:pPr>
        <w:ind w:left="980" w:right="120" w:hanging="544"/>
        <w:spacing w:after="0" w:line="311" w:lineRule="auto"/>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 the sum of the present values of the remaining scheduled payments of principal and interest thereon in each case discounted to the redemption date (assuming the Notes matured on the Par Call Date) on a semiannual basis (assuming a 360-day year consisting of twelve 30-day months) at the Treasury Rate (as defined below) plus 12.5 basis points less (b) interest accrued to the date of redemption, and</w:t>
      </w:r>
    </w:p>
    <w:p>
      <w:pPr>
        <w:spacing w:after="0" w:line="54" w:lineRule="exact"/>
        <w:rPr>
          <w:rFonts w:ascii="Arial" w:cs="Arial" w:eastAsia="Arial" w:hAnsi="Arial"/>
          <w:sz w:val="16"/>
          <w:szCs w:val="16"/>
          <w:color w:val="auto"/>
        </w:rPr>
      </w:pPr>
    </w:p>
    <w:p>
      <w:pPr>
        <w:ind w:left="980" w:hanging="54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plus, in either case, accrued and unpaid interest thereon to the redemption date.</w:t>
      </w:r>
    </w:p>
    <w:p>
      <w:pPr>
        <w:spacing w:after="0" w:line="225" w:lineRule="exact"/>
        <w:rPr>
          <w:sz w:val="20"/>
          <w:szCs w:val="20"/>
          <w:color w:val="auto"/>
        </w:rPr>
      </w:pPr>
    </w:p>
    <w:p>
      <w:pPr>
        <w:ind w:right="80" w:firstLine="440"/>
        <w:spacing w:after="0" w:line="308" w:lineRule="auto"/>
        <w:rPr>
          <w:sz w:val="20"/>
          <w:szCs w:val="20"/>
          <w:color w:val="auto"/>
        </w:rPr>
      </w:pPr>
      <w:r>
        <w:rPr>
          <w:rFonts w:ascii="Arial" w:cs="Arial" w:eastAsia="Arial" w:hAnsi="Arial"/>
          <w:sz w:val="17"/>
          <w:szCs w:val="17"/>
          <w:color w:val="auto"/>
        </w:rPr>
        <w:t>On or after the Par Call Date, the Issuer may redeem the Notes, in whole or in part, at any time and from time to time, at a redemption price equal to 100% of the principal amount of the Notes being redeemed plus accrued and unpaid interest thereon to the redemption date.</w:t>
      </w:r>
    </w:p>
    <w:p>
      <w:pPr>
        <w:spacing w:after="0" w:line="146"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 Call Date</w:t>
      </w:r>
      <w:r>
        <w:rPr>
          <w:rFonts w:ascii="Arial" w:cs="Arial" w:eastAsia="Arial" w:hAnsi="Arial"/>
          <w:sz w:val="18"/>
          <w:szCs w:val="18"/>
          <w:color w:val="auto"/>
        </w:rPr>
        <w:t>” means January 15, 2028 (the date that is one month prior to the maturity date of the Notes).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Treasury Rate</w:t>
      </w:r>
      <w:r>
        <w:rPr>
          <w:rFonts w:ascii="Arial" w:cs="Arial" w:eastAsia="Arial" w:hAnsi="Arial"/>
          <w:sz w:val="16"/>
          <w:szCs w:val="16"/>
          <w:color w:val="auto"/>
        </w:rPr>
        <w:t>” means, with respect to any redemption date, the yield determined by the Issuer in accordance with the following two paragraphs.</w:t>
      </w:r>
    </w:p>
    <w:p>
      <w:pPr>
        <w:spacing w:after="0" w:line="252" w:lineRule="exact"/>
        <w:rPr>
          <w:sz w:val="20"/>
          <w:szCs w:val="20"/>
          <w:color w:val="auto"/>
        </w:rPr>
      </w:pPr>
    </w:p>
    <w:p>
      <w:pPr>
        <w:ind w:right="40" w:firstLine="440"/>
        <w:spacing w:after="0" w:line="286" w:lineRule="auto"/>
        <w:rPr>
          <w:sz w:val="20"/>
          <w:szCs w:val="20"/>
          <w:color w:val="auto"/>
        </w:rPr>
      </w:pPr>
      <w:r>
        <w:rPr>
          <w:rFonts w:ascii="Arial" w:cs="Arial" w:eastAsia="Arial" w:hAnsi="Arial"/>
          <w:sz w:val="16"/>
          <w:szCs w:val="16"/>
          <w:color w:val="auto"/>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Arial" w:cs="Arial" w:eastAsia="Arial" w:hAnsi="Arial"/>
          <w:sz w:val="16"/>
          <w:szCs w:val="16"/>
          <w:b w:val="1"/>
          <w:bCs w:val="1"/>
          <w:color w:val="auto"/>
        </w:rPr>
        <w:t>H.15</w:t>
      </w:r>
      <w:r>
        <w:rPr>
          <w:rFonts w:ascii="Arial" w:cs="Arial" w:eastAsia="Arial" w:hAnsi="Arial"/>
          <w:sz w:val="16"/>
          <w:szCs w:val="16"/>
          <w:color w:val="auto"/>
        </w:rPr>
        <w:t>”) under the caption “U.S. government securities—Treasury constant maturities—Nominal” (or any successor caption or heading) (“</w:t>
      </w:r>
      <w:r>
        <w:rPr>
          <w:rFonts w:ascii="Arial" w:cs="Arial" w:eastAsia="Arial" w:hAnsi="Arial"/>
          <w:sz w:val="16"/>
          <w:szCs w:val="16"/>
          <w:b w:val="1"/>
          <w:bCs w:val="1"/>
          <w:color w:val="auto"/>
        </w:rPr>
        <w:t>H.15 TCM</w:t>
      </w:r>
      <w:r>
        <w:rPr>
          <w:rFonts w:ascii="Arial" w:cs="Arial" w:eastAsia="Arial" w:hAnsi="Arial"/>
          <w:sz w:val="16"/>
          <w:szCs w:val="16"/>
          <w:color w:val="auto"/>
        </w:rPr>
        <w:t>”). In determining the Treasury Rate, the Issuer shall select, as applicable: (1) the yield for the Treasury constant maturity on H.15 exactly equal to the period from the redemption date to the Par Call Date (the “</w:t>
      </w:r>
      <w:r>
        <w:rPr>
          <w:rFonts w:ascii="Arial" w:cs="Arial" w:eastAsia="Arial" w:hAnsi="Arial"/>
          <w:sz w:val="16"/>
          <w:szCs w:val="16"/>
          <w:b w:val="1"/>
          <w:bCs w:val="1"/>
          <w:color w:val="auto"/>
        </w:rPr>
        <w:t>Remaining Life</w:t>
      </w:r>
      <w:r>
        <w:rPr>
          <w:rFonts w:ascii="Arial" w:cs="Arial" w:eastAsia="Arial" w:hAnsi="Arial"/>
          <w:sz w:val="16"/>
          <w:szCs w:val="16"/>
          <w:color w:val="auto"/>
        </w:rPr>
        <w:t>”);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ectPr>
          <w:pgSz w:w="11900" w:h="16838" w:orient="portrait"/>
          <w:cols w:equalWidth="0" w:num="1">
            <w:col w:w="11000"/>
          </w:cols>
          <w:pgMar w:left="440" w:top="490" w:right="459" w:bottom="1440" w:gutter="0" w:footer="0" w:header="0"/>
        </w:sectPr>
      </w:pPr>
    </w:p>
    <w:bookmarkStart w:id="59" w:name="page60"/>
    <w:bookmarkEnd w:id="59"/>
    <w:p>
      <w:pPr>
        <w:ind w:right="4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Issuer’s actions and determinations in determining the redemption price shall be conclusive and binding for all purposes, absent manifest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error.</w:t>
      </w:r>
    </w:p>
    <w:p>
      <w:pPr>
        <w:spacing w:after="0" w:line="21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Notice of any redemption will be mailed or electronically delivered (or otherwise transmitted in accordance with the Depositary’s procedures) at least 10 days but not more than 60 days before the redemption date to each Holder of the Notes to be redeemed.</w:t>
      </w:r>
    </w:p>
    <w:p>
      <w:pPr>
        <w:spacing w:after="0" w:line="170"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In the case of a partial redemption, selection of the Notes for redemption will be made pro rata, by lot or by such other method as the Trustee in its sole discretion deems appropriate and fair. No Note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192"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Unless the Issuer defaults in payment of the redemption price, on and after the redemption date, interest will cease to accrue on the Notes or portions thereof called for redemption.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 Defaults and Remedies.</w:t>
      </w:r>
    </w:p>
    <w:p>
      <w:pPr>
        <w:spacing w:after="0" w:line="225"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the outstanding Notes, shall by written notice, require the Issuer to repay immediately the entire principal amount of the Outstanding Notes, together with all accrued and unpaid interest and</w:t>
      </w:r>
    </w:p>
    <w:p>
      <w:pPr>
        <w:sectPr>
          <w:pgSz w:w="11900" w:h="16838" w:orient="portrait"/>
          <w:cols w:equalWidth="0" w:num="1">
            <w:col w:w="10980"/>
          </w:cols>
          <w:pgMar w:left="440" w:top="490" w:right="479" w:bottom="1440" w:gutter="0" w:footer="0" w:header="0"/>
        </w:sectPr>
      </w:pPr>
    </w:p>
    <w:bookmarkStart w:id="60" w:name="page61"/>
    <w:bookmarkEnd w:id="60"/>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premium, if any. If a bankruptcy Event of Default with respect to the Issuer occurs and is continuing, then the entire principal amount of the Outstanding Notes will automatically become due immediately and payable without any declaration or other act on the part of the Trustee or any Holder. Holders of Notes may not enforce the Indenture or the Notes except as provided in the Indenture. The Trustee is not obligated to enforce the Indenture or the Notes unless it has received indemnity as it reasonably requires. The Indenture permits, subject to certain limitations therein provided, Holders of a majority in aggregate principal amount of the Notes then outstanding to direct the Trustee in its exercise of any trust or power. The Trustee may withhold from Holders of Notes notice of certain continuing defaults or Events of Default if it determines that withholding notice is in their interest.</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 Authentication.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Note shall not be valid until the Trustee manually signs the certificate of authentication on this Note.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 Abbreviations and Defined Terms.</w:t>
      </w:r>
    </w:p>
    <w:p>
      <w:pPr>
        <w:spacing w:after="0" w:line="225"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 CUSIP Numbers.</w:t>
      </w:r>
    </w:p>
    <w:p>
      <w:pPr>
        <w:spacing w:after="0" w:line="225" w:lineRule="exact"/>
        <w:rPr>
          <w:sz w:val="20"/>
          <w:szCs w:val="20"/>
          <w:color w:val="auto"/>
        </w:rPr>
      </w:pPr>
    </w:p>
    <w:p>
      <w:pPr>
        <w:jc w:val="both"/>
        <w:ind w:right="480" w:firstLine="440"/>
        <w:spacing w:after="0" w:line="286" w:lineRule="auto"/>
        <w:rPr>
          <w:sz w:val="20"/>
          <w:szCs w:val="20"/>
          <w:color w:val="auto"/>
        </w:rPr>
      </w:pPr>
      <w:r>
        <w:rPr>
          <w:rFonts w:ascii="Arial" w:cs="Arial" w:eastAsia="Arial" w:hAnsi="Arial"/>
          <w:sz w:val="17"/>
          <w:szCs w:val="17"/>
          <w:color w:val="auto"/>
        </w:rPr>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 Governing Law.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laws of the State of New York shall govern the Indenture and this Note thereof.</w:t>
      </w:r>
    </w:p>
    <w:p>
      <w:pPr>
        <w:sectPr>
          <w:pgSz w:w="11900" w:h="16838" w:orient="portrait"/>
          <w:cols w:equalWidth="0" w:num="1">
            <w:col w:w="10980"/>
          </w:cols>
          <w:pgMar w:left="440" w:top="490" w:right="479" w:bottom="1440" w:gutter="0" w:footer="0" w:header="0"/>
        </w:sectPr>
      </w:pPr>
    </w:p>
    <w:bookmarkStart w:id="61" w:name="page62"/>
    <w:bookmarkEnd w:id="61"/>
    <w:p>
      <w:pPr>
        <w:jc w:val="center"/>
        <w:ind w:right="-1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(Print or type assignee’s name, address and zip code)</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(Insert assignee’s soc. sec. or tax I.D. No.)</w:t>
      </w:r>
    </w:p>
    <w:p>
      <w:pPr>
        <w:spacing w:after="0" w:line="225"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color w:val="auto"/>
        </w:rPr>
        <w:t>and irrevocably appoint</w:t>
      </w:r>
      <w:r>
        <w:rPr>
          <w:sz w:val="20"/>
          <w:szCs w:val="20"/>
          <w:color w:val="auto"/>
        </w:rPr>
        <w:tab/>
      </w:r>
      <w:r>
        <w:rPr>
          <w:rFonts w:ascii="Arial" w:cs="Arial" w:eastAsia="Arial" w:hAnsi="Arial"/>
          <w:sz w:val="16"/>
          <w:szCs w:val="16"/>
          <w:color w:val="auto"/>
        </w:rPr>
        <w:t>agent to transfer this Note on the books of the Issuer.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 Your Signature: 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4120515</wp:posOffset>
            </wp:positionH>
            <wp:positionV relativeFrom="paragraph">
              <wp:posOffset>306070</wp:posOffset>
            </wp:positionV>
            <wp:extent cx="28721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7210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6995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8" w:lineRule="exact"/>
        <w:rPr>
          <w:sz w:val="20"/>
          <w:szCs w:val="20"/>
          <w:color w:val="auto"/>
        </w:rPr>
      </w:pPr>
    </w:p>
    <w:p>
      <w:pPr>
        <w:spacing w:after="0"/>
        <w:tabs>
          <w:tab w:leader="none" w:pos="6480" w:val="left"/>
        </w:tabs>
        <w:rPr>
          <w:sz w:val="20"/>
          <w:szCs w:val="20"/>
          <w:color w:val="auto"/>
        </w:rPr>
      </w:pPr>
      <w:r>
        <w:rPr>
          <w:rFonts w:ascii="Arial" w:cs="Arial" w:eastAsia="Arial" w:hAnsi="Arial"/>
          <w:sz w:val="18"/>
          <w:szCs w:val="18"/>
          <w:color w:val="auto"/>
        </w:rPr>
        <w:t>Signature must be guaranteed</w:t>
      </w:r>
      <w:r>
        <w:rPr>
          <w:sz w:val="20"/>
          <w:szCs w:val="20"/>
          <w:color w:val="auto"/>
        </w:rPr>
        <w:tab/>
      </w:r>
      <w:r>
        <w:rPr>
          <w:rFonts w:ascii="Arial" w:cs="Arial" w:eastAsia="Arial" w:hAnsi="Arial"/>
          <w:sz w:val="15"/>
          <w:szCs w:val="15"/>
          <w:color w:val="auto"/>
        </w:rPr>
        <w:t>Signature</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8"/>
          <w:szCs w:val="18"/>
          <w:b w:val="1"/>
          <w:bCs w:val="1"/>
          <w:color w:val="auto"/>
        </w:rPr>
        <w:t>STAMP</w:t>
      </w:r>
      <w:r>
        <w:rPr>
          <w:rFonts w:ascii="Arial" w:cs="Arial" w:eastAsia="Arial" w:hAnsi="Arial"/>
          <w:sz w:val="18"/>
          <w:szCs w:val="18"/>
          <w:color w:val="auto"/>
        </w:rPr>
        <w:t>”) or such other “signature guarantee program” as may be determined by the Registrar in addition to, or in substitution for, STAMP, all in accordance with the United States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179070</wp:posOffset>
            </wp:positionV>
            <wp:extent cx="6995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800"/>
          </w:cols>
          <w:pgMar w:left="440" w:top="490" w:right="65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SCHEDULE OF EXCHANGES OF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exchanges of a part of this Global Note for Physical Notes or a part of another Global Note have been made: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Amount of decrease in</w:t>
            </w:r>
          </w:p>
        </w:tc>
        <w:tc>
          <w:tcPr>
            <w:tcW w:w="120" w:type="dxa"/>
            <w:vAlign w:val="bottom"/>
          </w:tcPr>
          <w:p>
            <w:pPr>
              <w:spacing w:after="0"/>
              <w:rPr>
                <w:sz w:val="14"/>
                <w:szCs w:val="14"/>
                <w:color w:val="auto"/>
              </w:rPr>
            </w:pPr>
          </w:p>
        </w:tc>
        <w:tc>
          <w:tcPr>
            <w:tcW w:w="2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Amount of increase in</w:t>
            </w:r>
          </w:p>
        </w:tc>
        <w:tc>
          <w:tcPr>
            <w:tcW w:w="30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amount of</w:t>
            </w: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this Global Note</w:t>
            </w:r>
          </w:p>
        </w:tc>
        <w:tc>
          <w:tcPr>
            <w:tcW w:w="100" w:type="dxa"/>
            <w:vAlign w:val="bottom"/>
          </w:tcPr>
          <w:p>
            <w:pPr>
              <w:spacing w:after="0"/>
              <w:rPr>
                <w:sz w:val="12"/>
                <w:szCs w:val="12"/>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Signature of authorized</w:t>
            </w:r>
          </w:p>
        </w:tc>
        <w:tc>
          <w:tcPr>
            <w:tcW w:w="0" w:type="dxa"/>
            <w:vAlign w:val="bottom"/>
          </w:tcPr>
          <w:p>
            <w:pPr>
              <w:spacing w:after="0"/>
              <w:rPr>
                <w:sz w:val="1"/>
                <w:szCs w:val="1"/>
                <w:color w:val="auto"/>
              </w:rPr>
            </w:pPr>
          </w:p>
        </w:tc>
      </w:tr>
      <w:tr>
        <w:trPr>
          <w:trHeight w:val="148"/>
        </w:trPr>
        <w:tc>
          <w:tcPr>
            <w:tcW w:w="242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Date of Exchange</w:t>
            </w:r>
          </w:p>
        </w:tc>
        <w:tc>
          <w:tcPr>
            <w:tcW w:w="14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principal amount of this</w:t>
            </w:r>
          </w:p>
        </w:tc>
        <w:tc>
          <w:tcPr>
            <w:tcW w:w="12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 amount of this</w:t>
            </w:r>
          </w:p>
        </w:tc>
        <w:tc>
          <w:tcPr>
            <w:tcW w:w="30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following such decrease</w:t>
            </w:r>
          </w:p>
        </w:tc>
        <w:tc>
          <w:tcPr>
            <w:tcW w:w="10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Global Note</w:t>
            </w:r>
          </w:p>
        </w:tc>
        <w:tc>
          <w:tcPr>
            <w:tcW w:w="12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Global Note</w:t>
            </w:r>
          </w:p>
        </w:tc>
        <w:tc>
          <w:tcPr>
            <w:tcW w:w="300" w:type="dxa"/>
            <w:vAlign w:val="bottom"/>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(or increase)</w:t>
            </w:r>
          </w:p>
        </w:tc>
        <w:tc>
          <w:tcPr>
            <w:tcW w:w="100" w:type="dxa"/>
            <w:vAlign w:val="bottom"/>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officer of Trustee</w:t>
            </w:r>
          </w:p>
        </w:tc>
        <w:tc>
          <w:tcPr>
            <w:tcW w:w="0" w:type="dxa"/>
            <w:vAlign w:val="bottom"/>
          </w:tcPr>
          <w:p>
            <w:pPr>
              <w:spacing w:after="0"/>
              <w:rPr>
                <w:sz w:val="1"/>
                <w:szCs w:val="1"/>
                <w:color w:val="auto"/>
              </w:rPr>
            </w:pPr>
          </w:p>
        </w:tc>
      </w:tr>
    </w:tbl>
    <w:p>
      <w:pPr>
        <w:sectPr>
          <w:pgSz w:w="11900" w:h="16838" w:orient="portrait"/>
          <w:cols w:equalWidth="0" w:num="1">
            <w:col w:w="11020"/>
          </w:cols>
          <w:pgMar w:left="440" w:top="490" w:right="4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NOTES DUE 2033]</w:t>
      </w:r>
    </w:p>
    <w:p>
      <w:pPr>
        <w:spacing w:after="0" w:line="225" w:lineRule="exact"/>
        <w:rPr>
          <w:sz w:val="20"/>
          <w:szCs w:val="20"/>
          <w:color w:val="auto"/>
        </w:rPr>
      </w:pPr>
    </w:p>
    <w:p>
      <w:pPr>
        <w:ind w:right="180" w:firstLine="991"/>
        <w:spacing w:after="0" w:line="254" w:lineRule="auto"/>
        <w:rPr>
          <w:sz w:val="20"/>
          <w:szCs w:val="20"/>
          <w:color w:val="auto"/>
        </w:rPr>
      </w:pPr>
      <w:r>
        <w:rPr>
          <w:rFonts w:ascii="Arial" w:cs="Arial" w:eastAsia="Arial" w:hAnsi="Arial"/>
          <w:sz w:val="18"/>
          <w:szCs w:val="18"/>
          <w:color w:val="auto"/>
        </w:rPr>
        <w:t>UNLESS THIS NOTE IS PRESENTED BY AN AUTHORIZED REPRESENTATIVE OF THE DEPOSITORY TRUST COMPANY, A NEW YORK CORPORATION (“</w:t>
      </w:r>
      <w:r>
        <w:rPr>
          <w:rFonts w:ascii="Arial" w:cs="Arial" w:eastAsia="Arial" w:hAnsi="Arial"/>
          <w:sz w:val="18"/>
          <w:szCs w:val="18"/>
          <w:b w:val="1"/>
          <w:bCs w:val="1"/>
          <w:color w:val="auto"/>
        </w:rPr>
        <w:t>DTC</w:t>
      </w:r>
      <w:r>
        <w:rPr>
          <w:rFonts w:ascii="Arial" w:cs="Arial" w:eastAsia="Arial" w:hAnsi="Arial"/>
          <w:sz w:val="18"/>
          <w:szCs w:val="18"/>
          <w:color w:val="auto"/>
        </w:rPr>
        <w:t>”),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95" w:lineRule="exact"/>
        <w:rPr>
          <w:sz w:val="20"/>
          <w:szCs w:val="20"/>
          <w:color w:val="auto"/>
        </w:rPr>
      </w:pPr>
    </w:p>
    <w:p>
      <w:pPr>
        <w:ind w:right="260" w:firstLine="991"/>
        <w:spacing w:after="0" w:line="279"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spacing w:after="0" w:line="171" w:lineRule="exact"/>
        <w:rPr>
          <w:sz w:val="20"/>
          <w:szCs w:val="20"/>
          <w:color w:val="auto"/>
        </w:rPr>
      </w:pPr>
    </w:p>
    <w:p>
      <w:pPr>
        <w:jc w:val="both"/>
        <w:ind w:right="400" w:firstLine="991"/>
        <w:spacing w:after="0" w:line="263" w:lineRule="auto"/>
        <w:rPr>
          <w:sz w:val="20"/>
          <w:szCs w:val="20"/>
          <w:color w:val="auto"/>
        </w:rPr>
      </w:pPr>
      <w:r>
        <w:rPr>
          <w:rFonts w:ascii="Arial" w:cs="Arial" w:eastAsia="Arial" w:hAnsi="Arial"/>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ectPr>
          <w:pgSz w:w="11900" w:h="16838" w:orient="portrait"/>
          <w:cols w:equalWidth="0" w:num="1">
            <w:col w:w="11020"/>
          </w:cols>
          <w:pgMar w:left="440" w:top="486" w:right="4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TEXAS INSTRUMENTS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4.900% Notes due 2033</w:t>
      </w:r>
    </w:p>
    <w:p>
      <w:pPr>
        <w:spacing w:after="0" w:line="238" w:lineRule="exact"/>
        <w:rPr>
          <w:sz w:val="20"/>
          <w:szCs w:val="20"/>
          <w:color w:val="auto"/>
        </w:rPr>
      </w:pPr>
    </w:p>
    <w:p>
      <w:pPr>
        <w:spacing w:after="0"/>
        <w:tabs>
          <w:tab w:leader="none" w:pos="9160" w:val="left"/>
        </w:tabs>
        <w:rPr>
          <w:sz w:val="20"/>
          <w:szCs w:val="20"/>
          <w:color w:val="auto"/>
        </w:rPr>
      </w:pPr>
      <w:r>
        <w:rPr>
          <w:rFonts w:ascii="Arial" w:cs="Arial" w:eastAsia="Arial" w:hAnsi="Arial"/>
          <w:sz w:val="18"/>
          <w:szCs w:val="18"/>
          <w:color w:val="auto"/>
        </w:rPr>
        <w:t>No. [ ]</w:t>
      </w:r>
      <w:r>
        <w:rPr>
          <w:sz w:val="20"/>
          <w:szCs w:val="20"/>
          <w:color w:val="auto"/>
        </w:rPr>
        <w:tab/>
      </w:r>
      <w:r>
        <w:rPr>
          <w:rFonts w:ascii="Arial" w:cs="Arial" w:eastAsia="Arial" w:hAnsi="Arial"/>
          <w:sz w:val="16"/>
          <w:szCs w:val="16"/>
          <w:color w:val="auto"/>
        </w:rPr>
        <w:t>CUSIP No.: 882508 CB8</w:t>
      </w:r>
    </w:p>
    <w:p>
      <w:pPr>
        <w:spacing w:after="0" w:line="23" w:lineRule="exact"/>
        <w:rPr>
          <w:sz w:val="20"/>
          <w:szCs w:val="20"/>
          <w:color w:val="auto"/>
        </w:rPr>
      </w:pPr>
    </w:p>
    <w:p>
      <w:pPr>
        <w:ind w:left="9060"/>
        <w:spacing w:after="0"/>
        <w:rPr>
          <w:sz w:val="20"/>
          <w:szCs w:val="20"/>
          <w:color w:val="auto"/>
        </w:rPr>
      </w:pPr>
      <w:r>
        <w:rPr>
          <w:rFonts w:ascii="Arial" w:cs="Arial" w:eastAsia="Arial" w:hAnsi="Arial"/>
          <w:sz w:val="16"/>
          <w:szCs w:val="16"/>
          <w:color w:val="auto"/>
        </w:rPr>
        <w:t>ISIN No.: US882508CB86</w:t>
      </w:r>
    </w:p>
    <w:p>
      <w:pPr>
        <w:spacing w:after="0" w:line="234" w:lineRule="exact"/>
        <w:rPr>
          <w:sz w:val="20"/>
          <w:szCs w:val="20"/>
          <w:color w:val="auto"/>
        </w:rPr>
      </w:pPr>
    </w:p>
    <w:p>
      <w:pPr>
        <w:ind w:left="10180"/>
        <w:spacing w:after="0"/>
        <w:rPr>
          <w:sz w:val="20"/>
          <w:szCs w:val="20"/>
          <w:color w:val="auto"/>
        </w:rPr>
      </w:pPr>
      <w:r>
        <w:rPr>
          <w:rFonts w:ascii="Arial" w:cs="Arial" w:eastAsia="Arial" w:hAnsi="Arial"/>
          <w:sz w:val="16"/>
          <w:szCs w:val="16"/>
          <w:color w:val="auto"/>
        </w:rPr>
        <w:t>$[_______]</w:t>
      </w:r>
    </w:p>
    <w:p>
      <w:pPr>
        <w:spacing w:after="0" w:line="244" w:lineRule="exact"/>
        <w:rPr>
          <w:sz w:val="20"/>
          <w:szCs w:val="20"/>
          <w:color w:val="auto"/>
        </w:rPr>
      </w:pPr>
    </w:p>
    <w:p>
      <w:pPr>
        <w:ind w:right="460" w:firstLine="440"/>
        <w:spacing w:after="0" w:line="282" w:lineRule="auto"/>
        <w:rPr>
          <w:sz w:val="20"/>
          <w:szCs w:val="20"/>
          <w:color w:val="auto"/>
        </w:rPr>
      </w:pPr>
      <w:r>
        <w:rPr>
          <w:rFonts w:ascii="Arial" w:cs="Arial" w:eastAsia="Arial" w:hAnsi="Arial"/>
          <w:sz w:val="18"/>
          <w:szCs w:val="18"/>
          <w:color w:val="auto"/>
        </w:rPr>
        <w:t>TEXAS INSTRUMENTS INCORPORATED, a Delaware corporation (the “</w:t>
      </w:r>
      <w:r>
        <w:rPr>
          <w:rFonts w:ascii="Arial" w:cs="Arial" w:eastAsia="Arial" w:hAnsi="Arial"/>
          <w:sz w:val="18"/>
          <w:szCs w:val="18"/>
          <w:b w:val="1"/>
          <w:bCs w:val="1"/>
          <w:color w:val="auto"/>
        </w:rPr>
        <w:t>Issuer</w:t>
      </w:r>
      <w:r>
        <w:rPr>
          <w:rFonts w:ascii="Arial" w:cs="Arial" w:eastAsia="Arial" w:hAnsi="Arial"/>
          <w:sz w:val="18"/>
          <w:szCs w:val="18"/>
          <w:color w:val="auto"/>
        </w:rPr>
        <w:t>”), for value received promises to pay to CEDE &amp; CO. or registered assigns the principal sum of $[_______] on March 14, 2033.</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Payment Dates: March 14 and September 14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September 14, 2023.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Record Dates: February 28 and August 31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ectPr>
          <w:pgSz w:w="11900" w:h="16838" w:orient="portrait"/>
          <w:cols w:equalWidth="0" w:num="1">
            <w:col w:w="11020"/>
          </w:cols>
          <w:pgMar w:left="440" w:top="486" w:right="439" w:bottom="1440" w:gutter="0" w:footer="0" w:header="0"/>
        </w:sectPr>
      </w:pPr>
    </w:p>
    <w:bookmarkStart w:id="65" w:name="page66"/>
    <w:bookmarkEnd w:id="65"/>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WITNESS WHEREOF, the Issuer has caused this Note to be signed manually or by facsimile by its duly authorized officers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34"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TEXAS INSTRUMENTS INCORPORATED</w:t>
      </w:r>
    </w:p>
    <w:p>
      <w:pPr>
        <w:spacing w:after="0" w:line="22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Rafael R. Lizardi</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Senior Vice President and Chief Financial</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30"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Jack I. Holmes</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 of Texas Instruments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Edgar A. Morales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Assistant Secretary</w:t>
      </w:r>
    </w:p>
    <w:p>
      <w:pPr>
        <w:sectPr>
          <w:pgSz w:w="11900" w:h="16838" w:orient="portrait"/>
          <w:cols w:equalWidth="0" w:num="1">
            <w:col w:w="11000"/>
          </w:cols>
          <w:pgMar w:left="440" w:top="490" w:right="459" w:bottom="1440" w:gutter="0" w:footer="0" w:header="0"/>
        </w:sectPr>
      </w:pPr>
    </w:p>
    <w:bookmarkStart w:id="66" w:name="page67"/>
    <w:bookmarkEnd w:id="6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This is one of the Notes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18, 2023</w:t>
      </w:r>
    </w:p>
    <w:p>
      <w:pPr>
        <w:spacing w:after="0" w:line="248" w:lineRule="exact"/>
        <w:rPr>
          <w:sz w:val="20"/>
          <w:szCs w:val="20"/>
          <w:color w:val="auto"/>
        </w:rPr>
      </w:pPr>
    </w:p>
    <w:p>
      <w:pPr>
        <w:ind w:left="6600"/>
        <w:spacing w:after="0"/>
        <w:rPr>
          <w:sz w:val="20"/>
          <w:szCs w:val="20"/>
          <w:color w:val="auto"/>
        </w:rPr>
      </w:pPr>
      <w:r>
        <w:rPr>
          <w:rFonts w:ascii="Arial" w:cs="Arial" w:eastAsia="Arial" w:hAnsi="Arial"/>
          <w:sz w:val="17"/>
          <w:szCs w:val="17"/>
          <w:b w:val="1"/>
          <w:bCs w:val="1"/>
          <w:color w:val="auto"/>
        </w:rPr>
        <w:t>U.S. BANK TRUST COMPANY, NATIONAL</w:t>
      </w:r>
    </w:p>
    <w:p>
      <w:pPr>
        <w:spacing w:after="0" w:line="39"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ASSOCIATION</w:t>
      </w:r>
      <w:r>
        <w:rPr>
          <w:rFonts w:ascii="Arial" w:cs="Arial" w:eastAsia="Arial" w:hAnsi="Arial"/>
          <w:sz w:val="18"/>
          <w:szCs w:val="18"/>
          <w:color w:val="auto"/>
        </w:rPr>
        <w:t>, as Trustee</w:t>
      </w:r>
    </w:p>
    <w:p>
      <w:pPr>
        <w:spacing w:after="0" w:line="21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Michael K. Herberger</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0140"/>
          </w:cols>
          <w:pgMar w:left="440" w:top="490" w:right="131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(REVERSE OF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4.900% Notes due 2033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Interest.</w:t>
      </w:r>
    </w:p>
    <w:p>
      <w:pPr>
        <w:spacing w:after="0" w:line="113"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color w:val="auto"/>
        </w:rPr>
        <w:t>Texas Instruments Incorporated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Note at the rate per annum described above. Cash interest on the Notes will accrue from the most recent date to which interest has been paid; or, if no interest has been paid, from March 14, 2023. Interest on this Note will be paid to but excluding the relevant Interest Payment Date. The Issuer will pay interest semi-annually in arrears on each Interest Payment Date, commencing September 14, 2023 to the person in whose name the Note is registered at the close of business on the preceding Interest Record Date. Interest will be computed on the basis of a 360-day year consisting of twelve 30-day months in a manner consistent with Rule 11620(b) of the FINRA Uniform Practice Code.</w:t>
      </w:r>
    </w:p>
    <w:p>
      <w:pPr>
        <w:spacing w:after="0" w:line="191"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Notes and on overdue installments of interest (without regard to any applicable grace periods) to the extent lawful.</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 Paying Agent.</w:t>
      </w:r>
    </w:p>
    <w:p>
      <w:pPr>
        <w:spacing w:after="0" w:line="113" w:lineRule="exact"/>
        <w:rPr>
          <w:sz w:val="20"/>
          <w:szCs w:val="20"/>
          <w:color w:val="auto"/>
        </w:rPr>
      </w:pPr>
    </w:p>
    <w:p>
      <w:pPr>
        <w:ind w:right="500" w:firstLine="440"/>
        <w:spacing w:after="0" w:line="282" w:lineRule="auto"/>
        <w:rPr>
          <w:sz w:val="20"/>
          <w:szCs w:val="20"/>
          <w:color w:val="auto"/>
        </w:rPr>
      </w:pPr>
      <w:r>
        <w:rPr>
          <w:rFonts w:ascii="Arial" w:cs="Arial" w:eastAsia="Arial" w:hAnsi="Arial"/>
          <w:sz w:val="18"/>
          <w:szCs w:val="18"/>
          <w:color w:val="auto"/>
        </w:rPr>
        <w:t>Initially, U.S. Bank Trust Company, National Association (the “</w:t>
      </w:r>
      <w:r>
        <w:rPr>
          <w:rFonts w:ascii="Arial" w:cs="Arial" w:eastAsia="Arial" w:hAnsi="Arial"/>
          <w:sz w:val="18"/>
          <w:szCs w:val="18"/>
          <w:b w:val="1"/>
          <w:bCs w:val="1"/>
          <w:color w:val="auto"/>
        </w:rPr>
        <w:t>Trustee</w:t>
      </w:r>
      <w:r>
        <w:rPr>
          <w:rFonts w:ascii="Arial" w:cs="Arial" w:eastAsia="Arial" w:hAnsi="Arial"/>
          <w:sz w:val="18"/>
          <w:szCs w:val="18"/>
          <w:color w:val="auto"/>
        </w:rPr>
        <w:t>”) will act as paying agent. The Issuer may change any paying agent without notice to the holders (the “</w:t>
      </w:r>
      <w:r>
        <w:rPr>
          <w:rFonts w:ascii="Arial" w:cs="Arial" w:eastAsia="Arial" w:hAnsi="Arial"/>
          <w:sz w:val="18"/>
          <w:szCs w:val="18"/>
          <w:b w:val="1"/>
          <w:bCs w:val="1"/>
          <w:color w:val="auto"/>
        </w:rPr>
        <w:t>Holders</w:t>
      </w:r>
      <w:r>
        <w:rPr>
          <w:rFonts w:ascii="Arial" w:cs="Arial" w:eastAsia="Arial" w:hAnsi="Arial"/>
          <w:sz w:val="18"/>
          <w:szCs w:val="18"/>
          <w:color w:val="auto"/>
        </w:rPr>
        <w: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 Indenture; Defined Terms.</w:t>
      </w:r>
    </w:p>
    <w:p>
      <w:pPr>
        <w:spacing w:after="0" w:line="113" w:lineRule="exact"/>
        <w:rPr>
          <w:sz w:val="20"/>
          <w:szCs w:val="20"/>
          <w:color w:val="auto"/>
        </w:rPr>
      </w:pPr>
    </w:p>
    <w:p>
      <w:pPr>
        <w:ind w:right="80" w:firstLine="440"/>
        <w:spacing w:after="0" w:line="289" w:lineRule="auto"/>
        <w:rPr>
          <w:sz w:val="20"/>
          <w:szCs w:val="20"/>
          <w:color w:val="auto"/>
        </w:rPr>
      </w:pPr>
      <w:r>
        <w:rPr>
          <w:rFonts w:ascii="Arial" w:cs="Arial" w:eastAsia="Arial" w:hAnsi="Arial"/>
          <w:sz w:val="17"/>
          <w:szCs w:val="17"/>
          <w:color w:val="auto"/>
        </w:rPr>
        <w:t>This Note is one of the 4.900% Notes due 2033 (the “</w:t>
      </w:r>
      <w:r>
        <w:rPr>
          <w:rFonts w:ascii="Arial" w:cs="Arial" w:eastAsia="Arial" w:hAnsi="Arial"/>
          <w:sz w:val="17"/>
          <w:szCs w:val="17"/>
          <w:b w:val="1"/>
          <w:bCs w:val="1"/>
          <w:color w:val="auto"/>
        </w:rPr>
        <w:t>Notes</w:t>
      </w:r>
      <w:r>
        <w:rPr>
          <w:rFonts w:ascii="Arial" w:cs="Arial" w:eastAsia="Arial" w:hAnsi="Arial"/>
          <w:sz w:val="17"/>
          <w:szCs w:val="17"/>
          <w:color w:val="auto"/>
        </w:rPr>
        <w:t>”) issued under an indenture dated as of May 23, 2011 (the “</w:t>
      </w:r>
      <w:r>
        <w:rPr>
          <w:rFonts w:ascii="Arial" w:cs="Arial" w:eastAsia="Arial" w:hAnsi="Arial"/>
          <w:sz w:val="17"/>
          <w:szCs w:val="17"/>
          <w:b w:val="1"/>
          <w:bCs w:val="1"/>
          <w:color w:val="auto"/>
        </w:rPr>
        <w:t>Base Indenture</w:t>
      </w:r>
      <w:r>
        <w:rPr>
          <w:rFonts w:ascii="Arial" w:cs="Arial" w:eastAsia="Arial" w:hAnsi="Arial"/>
          <w:sz w:val="17"/>
          <w:szCs w:val="17"/>
          <w:color w:val="auto"/>
        </w:rPr>
        <w:t>”) by and between the Issuer and the Trustee, and established pursuant to an Officers’ Certificate dated May 18, 2023, issued pursuant to Section 2.01 and Section 2.03 thereof (together, the “</w:t>
      </w:r>
      <w:r>
        <w:rPr>
          <w:rFonts w:ascii="Arial" w:cs="Arial" w:eastAsia="Arial" w:hAnsi="Arial"/>
          <w:sz w:val="17"/>
          <w:szCs w:val="17"/>
          <w:b w:val="1"/>
          <w:bCs w:val="1"/>
          <w:color w:val="auto"/>
        </w:rPr>
        <w:t>Indenture</w:t>
      </w:r>
      <w:r>
        <w:rPr>
          <w:rFonts w:ascii="Arial" w:cs="Arial" w:eastAsia="Arial" w:hAnsi="Arial"/>
          <w:sz w:val="17"/>
          <w:szCs w:val="17"/>
          <w:color w:val="auto"/>
        </w:rPr>
        <w:t>”). This Note is a “Security” and the Notes are “Securities” under the Indenture.</w:t>
      </w:r>
    </w:p>
    <w:p>
      <w:pPr>
        <w:spacing w:after="0" w:line="162"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on which the Indenture was qualified under the TIA; including, without limitation, the defeasance provision set forth in Section 10.01(b) of the Base Indenture; provided that Section 10.01(b)(C) of the Base Indenture is amended and restated as set forth below for purposes of this Note. Notwithstanding anything to the contrary herein, the Notes are subject to all such terms, provided that Section 10.01(b)(C) of the Base Indenture is amended and restated as set forth below for purposes of this Note, and Holders of Notes are referred to the Indenture and the TIA for a statement of such terms. To the extent the terms of the Indenture and this Note are inconsistent, the terms of the Indenture shall govern, provided that, for purposes of this Note, Section 10.01(b)(C) of the Base Indenture is amended and restated as set forth below.</w:t>
      </w:r>
    </w:p>
    <w:p>
      <w:pPr>
        <w:sectPr>
          <w:pgSz w:w="11900" w:h="16838" w:orient="portrait"/>
          <w:cols w:equalWidth="0" w:num="1">
            <w:col w:w="11000"/>
          </w:cols>
          <w:pgMar w:left="440" w:top="490" w:right="459" w:bottom="1440" w:gutter="0" w:footer="0" w:header="0"/>
        </w:sectPr>
      </w:pPr>
    </w:p>
    <w:bookmarkStart w:id="68" w:name="page69"/>
    <w:bookmarkEnd w:id="68"/>
    <w:p>
      <w:pPr>
        <w:ind w:left="440" w:right="40" w:firstLine="423"/>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 the Issuer has delivered to the Trustee an Officers’ Certificate and an opinion of independent legal counsel satisfactory to the Trustee to the effect that the Issuer has received from, or there has been published by, the Internal Revenue Service a ruling, or that since the date of issuance of the Securities of such series there has been a change in the applicable Federal income tax law, in either case to the effect that beneficial owners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and”</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 Denominations; Transfer; Exchange.</w:t>
      </w:r>
    </w:p>
    <w:p>
      <w:pPr>
        <w:spacing w:after="0" w:line="117"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The Notes are in registered form, without coupons, in denominations of $2,000 and multiples of $1,000 in excess thereof.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 except, in the case of any Security to be redeemed in part, the portion thereof not so to be redeemed.</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 Amendment; Supplement; Waiver.</w:t>
      </w:r>
    </w:p>
    <w:p>
      <w:pPr>
        <w:spacing w:after="0" w:line="11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 Redemption.</w:t>
      </w:r>
    </w:p>
    <w:p>
      <w:pPr>
        <w:spacing w:after="0" w:line="117"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Prior to the Par Call Date, the Notes will be redeemable, in whole or in part at any time, or from time to time, at the Issuer’s option, at a “make-whole premium” redemption price calculated by the Issuer equal to the greater of:</w:t>
      </w:r>
    </w:p>
    <w:p>
      <w:pPr>
        <w:sectPr>
          <w:pgSz w:w="11900" w:h="16838" w:orient="portrait"/>
          <w:cols w:equalWidth="0" w:num="1">
            <w:col w:w="11000"/>
          </w:cols>
          <w:pgMar w:left="440" w:top="490" w:right="459" w:bottom="1440" w:gutter="0" w:footer="0" w:header="0"/>
        </w:sectPr>
      </w:pPr>
    </w:p>
    <w:bookmarkStart w:id="69" w:name="page70"/>
    <w:bookmarkEnd w:id="69"/>
    <w:p>
      <w:pPr>
        <w:ind w:left="440" w:right="100" w:hanging="224"/>
        <w:spacing w:after="0" w:line="286" w:lineRule="auto"/>
        <w:tabs>
          <w:tab w:leader="none" w:pos="440" w:val="left"/>
        </w:tabs>
        <w:numPr>
          <w:ilvl w:val="0"/>
          <w:numId w:val="3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 the sum of the present values of the remaining scheduled payments of principal and interest thereon in each case discounted to the redemption date (assuming the Notes matured on the Par Call Date) on a semiannual basis (assuming a 360-day year consisting of twelve 30-day months) at the Treasury Rate (as defined below) plus 15 basis points less (b) interest accrued to the date of redemption, and</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(2)100% of the principal amount of the Notes to be redeemed,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plus, in either case, accrued and unpaid interest thereon to the redemption date.</w:t>
      </w:r>
    </w:p>
    <w:p>
      <w:pPr>
        <w:spacing w:after="0" w:line="225" w:lineRule="exact"/>
        <w:rPr>
          <w:sz w:val="20"/>
          <w:szCs w:val="20"/>
          <w:color w:val="auto"/>
        </w:rPr>
      </w:pPr>
    </w:p>
    <w:p>
      <w:pPr>
        <w:ind w:right="80" w:firstLine="440"/>
        <w:spacing w:after="0" w:line="308" w:lineRule="auto"/>
        <w:rPr>
          <w:sz w:val="20"/>
          <w:szCs w:val="20"/>
          <w:color w:val="auto"/>
        </w:rPr>
      </w:pPr>
      <w:r>
        <w:rPr>
          <w:rFonts w:ascii="Arial" w:cs="Arial" w:eastAsia="Arial" w:hAnsi="Arial"/>
          <w:sz w:val="17"/>
          <w:szCs w:val="17"/>
          <w:color w:val="auto"/>
        </w:rPr>
        <w:t>On or after the Par Call Date, the Issuer may redeem the Notes, in whole or in part, at any time and from time to time, at a redemption price equal to 100% of the principal amount of the Notes being redeemed plus accrued and unpaid interest thereon to the redemption date.</w:t>
      </w:r>
    </w:p>
    <w:p>
      <w:pPr>
        <w:spacing w:after="0" w:line="146"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 Call Date</w:t>
      </w:r>
      <w:r>
        <w:rPr>
          <w:rFonts w:ascii="Arial" w:cs="Arial" w:eastAsia="Arial" w:hAnsi="Arial"/>
          <w:sz w:val="18"/>
          <w:szCs w:val="18"/>
          <w:color w:val="auto"/>
        </w:rPr>
        <w:t>” means December 14, 2032 (the date that is three months prior to the maturity date of the Notes).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Treasury Rate</w:t>
      </w:r>
      <w:r>
        <w:rPr>
          <w:rFonts w:ascii="Arial" w:cs="Arial" w:eastAsia="Arial" w:hAnsi="Arial"/>
          <w:sz w:val="16"/>
          <w:szCs w:val="16"/>
          <w:color w:val="auto"/>
        </w:rPr>
        <w:t>” means, with respect to any redemption date, the yield determined by the Issuer in accordance with the following two paragraphs.</w:t>
      </w:r>
    </w:p>
    <w:p>
      <w:pPr>
        <w:spacing w:after="0" w:line="252" w:lineRule="exact"/>
        <w:rPr>
          <w:sz w:val="20"/>
          <w:szCs w:val="20"/>
          <w:color w:val="auto"/>
        </w:rPr>
      </w:pPr>
    </w:p>
    <w:p>
      <w:pPr>
        <w:ind w:right="40" w:firstLine="440"/>
        <w:spacing w:after="0" w:line="286" w:lineRule="auto"/>
        <w:rPr>
          <w:sz w:val="20"/>
          <w:szCs w:val="20"/>
          <w:color w:val="auto"/>
        </w:rPr>
      </w:pPr>
      <w:r>
        <w:rPr>
          <w:rFonts w:ascii="Arial" w:cs="Arial" w:eastAsia="Arial" w:hAnsi="Arial"/>
          <w:sz w:val="16"/>
          <w:szCs w:val="16"/>
          <w:color w:val="auto"/>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Arial" w:cs="Arial" w:eastAsia="Arial" w:hAnsi="Arial"/>
          <w:sz w:val="16"/>
          <w:szCs w:val="16"/>
          <w:b w:val="1"/>
          <w:bCs w:val="1"/>
          <w:color w:val="auto"/>
        </w:rPr>
        <w:t>H.15</w:t>
      </w:r>
      <w:r>
        <w:rPr>
          <w:rFonts w:ascii="Arial" w:cs="Arial" w:eastAsia="Arial" w:hAnsi="Arial"/>
          <w:sz w:val="16"/>
          <w:szCs w:val="16"/>
          <w:color w:val="auto"/>
        </w:rPr>
        <w:t>”) under the caption “U.S. government securities—Treasury constant maturities—Nominal” (or any successor caption or heading) (“</w:t>
      </w:r>
      <w:r>
        <w:rPr>
          <w:rFonts w:ascii="Arial" w:cs="Arial" w:eastAsia="Arial" w:hAnsi="Arial"/>
          <w:sz w:val="16"/>
          <w:szCs w:val="16"/>
          <w:b w:val="1"/>
          <w:bCs w:val="1"/>
          <w:color w:val="auto"/>
        </w:rPr>
        <w:t>H.15 TCM</w:t>
      </w:r>
      <w:r>
        <w:rPr>
          <w:rFonts w:ascii="Arial" w:cs="Arial" w:eastAsia="Arial" w:hAnsi="Arial"/>
          <w:sz w:val="16"/>
          <w:szCs w:val="16"/>
          <w:color w:val="auto"/>
        </w:rPr>
        <w:t>”). In determining the Treasury Rate, the Issuer shall select, as applicable: (1) the yield for the Treasury constant maturity on H.15 exactly equal to the period from the redemption date to the Par Call Date (the “</w:t>
      </w:r>
      <w:r>
        <w:rPr>
          <w:rFonts w:ascii="Arial" w:cs="Arial" w:eastAsia="Arial" w:hAnsi="Arial"/>
          <w:sz w:val="16"/>
          <w:szCs w:val="16"/>
          <w:b w:val="1"/>
          <w:bCs w:val="1"/>
          <w:color w:val="auto"/>
        </w:rPr>
        <w:t>Remaining Life</w:t>
      </w:r>
      <w:r>
        <w:rPr>
          <w:rFonts w:ascii="Arial" w:cs="Arial" w:eastAsia="Arial" w:hAnsi="Arial"/>
          <w:sz w:val="16"/>
          <w:szCs w:val="16"/>
          <w:color w:val="auto"/>
        </w:rPr>
        <w:t>”);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ectPr>
          <w:pgSz w:w="11900" w:h="16838" w:orient="portrait"/>
          <w:cols w:equalWidth="0" w:num="1">
            <w:col w:w="11000"/>
          </w:cols>
          <w:pgMar w:left="440" w:top="490" w:right="459" w:bottom="1440" w:gutter="0" w:footer="0" w:header="0"/>
        </w:sectPr>
      </w:pPr>
    </w:p>
    <w:bookmarkStart w:id="70" w:name="page71"/>
    <w:bookmarkEnd w:id="70"/>
    <w:p>
      <w:pPr>
        <w:ind w:right="4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Issuer’s actions and determinations in determining the redemption price shall be conclusive and binding for all purposes, absent manifest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error.</w:t>
      </w:r>
    </w:p>
    <w:p>
      <w:pPr>
        <w:spacing w:after="0" w:line="21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Notice of any redemption will be mailed or electronically delivered (or otherwise transmitted in accordance with the Depositary’s procedures) at least 10 days but not more than 60 days before the redemption date to each Holder of the Notes to be redeemed.</w:t>
      </w:r>
    </w:p>
    <w:p>
      <w:pPr>
        <w:spacing w:after="0" w:line="170"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In the case of a partial redemption, selection of the Notes for redemption will be made pro rata, by lot or by such other method as the Trustee in its sole discretion deems appropriate and fair. No Note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192"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Unless the Issuer defaults in payment of the redemption price, on and after the redemption date, interest will cease to accrue on the Notes or portions thereof called for redemption.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 Defaults and Remedies.</w:t>
      </w:r>
    </w:p>
    <w:p>
      <w:pPr>
        <w:spacing w:after="0" w:line="117"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the outstanding Notes, shall by written notice, require the Issuer to repay immediately the entire principal amount of the Outstanding Notes, together with all accrued and unpaid interest and</w:t>
      </w:r>
    </w:p>
    <w:p>
      <w:pPr>
        <w:sectPr>
          <w:pgSz w:w="11900" w:h="16838" w:orient="portrait"/>
          <w:cols w:equalWidth="0" w:num="1">
            <w:col w:w="10980"/>
          </w:cols>
          <w:pgMar w:left="440" w:top="490" w:right="479" w:bottom="1440" w:gutter="0" w:footer="0" w:header="0"/>
        </w:sectPr>
      </w:pPr>
    </w:p>
    <w:bookmarkStart w:id="71" w:name="page72"/>
    <w:bookmarkEnd w:id="71"/>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premium, if any. If a bankruptcy Event of Default with respect to the Issuer occurs and is continuing, then the entire principal amount of the Outstanding Notes will automatically become due immediately and payable without any declaration or other act on the part of the Trustee or any Holder. Holders of Notes may not enforce the Indenture or the Notes except as provided in the Indenture. The Trustee is not obligated to enforce the Indenture or the Notes unless it has received indemnity as it reasonably requires. The Indenture permits, subject to certain limitations therein provided, Holders of a majority in aggregate principal amount of the Notes then outstanding to direct the Trustee in its exercise of any trust or power. The Trustee may withhold from Holders of Notes notice of certain continuing defaults or Events of Default if it determines that withholding notice is in their interest.</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 Authentication.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Note shall not be valid until the Trustee manually signs the certificate of authentication on this Note.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 Abbreviations and Defined Terms.</w:t>
      </w:r>
    </w:p>
    <w:p>
      <w:pPr>
        <w:spacing w:after="0" w:line="117"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 CUSIP Numbers.</w:t>
      </w:r>
    </w:p>
    <w:p>
      <w:pPr>
        <w:spacing w:after="0" w:line="117" w:lineRule="exact"/>
        <w:rPr>
          <w:sz w:val="20"/>
          <w:szCs w:val="20"/>
          <w:color w:val="auto"/>
        </w:rPr>
      </w:pPr>
    </w:p>
    <w:p>
      <w:pPr>
        <w:jc w:val="both"/>
        <w:ind w:right="480" w:firstLine="440"/>
        <w:spacing w:after="0" w:line="286" w:lineRule="auto"/>
        <w:rPr>
          <w:sz w:val="20"/>
          <w:szCs w:val="20"/>
          <w:color w:val="auto"/>
        </w:rPr>
      </w:pPr>
      <w:r>
        <w:rPr>
          <w:rFonts w:ascii="Arial" w:cs="Arial" w:eastAsia="Arial" w:hAnsi="Arial"/>
          <w:sz w:val="17"/>
          <w:szCs w:val="17"/>
          <w:color w:val="auto"/>
        </w:rPr>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 Governing Law.</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laws of the State of New York shall govern the Indenture and this Note thereof.</w:t>
      </w:r>
    </w:p>
    <w:p>
      <w:pPr>
        <w:sectPr>
          <w:pgSz w:w="11900" w:h="16838" w:orient="portrait"/>
          <w:cols w:equalWidth="0" w:num="1">
            <w:col w:w="10980"/>
          </w:cols>
          <w:pgMar w:left="440" w:top="490" w:right="479" w:bottom="1440" w:gutter="0" w:footer="0" w:header="0"/>
        </w:sectPr>
      </w:pPr>
    </w:p>
    <w:bookmarkStart w:id="72" w:name="page73"/>
    <w:bookmarkEnd w:id="72"/>
    <w:p>
      <w:pPr>
        <w:jc w:val="center"/>
        <w:ind w:right="-1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(Print or type assignee’s name, address and zip code)</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(Insert assignee’s soc. sec. or tax I.D. No.)</w:t>
      </w:r>
    </w:p>
    <w:p>
      <w:pPr>
        <w:spacing w:after="0" w:line="225"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color w:val="auto"/>
        </w:rPr>
        <w:t>and irrevocably appoint</w:t>
      </w:r>
      <w:r>
        <w:rPr>
          <w:sz w:val="20"/>
          <w:szCs w:val="20"/>
          <w:color w:val="auto"/>
        </w:rPr>
        <w:tab/>
      </w:r>
      <w:r>
        <w:rPr>
          <w:rFonts w:ascii="Arial" w:cs="Arial" w:eastAsia="Arial" w:hAnsi="Arial"/>
          <w:sz w:val="16"/>
          <w:szCs w:val="16"/>
          <w:color w:val="auto"/>
        </w:rPr>
        <w:t>agent to transfer this Note on the books of the Issuer.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 Your Signature: 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4051935</wp:posOffset>
            </wp:positionH>
            <wp:positionV relativeFrom="paragraph">
              <wp:posOffset>306070</wp:posOffset>
            </wp:positionV>
            <wp:extent cx="29400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4051935</wp:posOffset>
            </wp:positionH>
            <wp:positionV relativeFrom="paragraph">
              <wp:posOffset>5715</wp:posOffset>
            </wp:positionV>
            <wp:extent cx="29400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9400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297180</wp:posOffset>
            </wp:positionV>
            <wp:extent cx="6995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tabs>
          <w:tab w:leader="none" w:pos="6360" w:val="left"/>
        </w:tabs>
        <w:rPr>
          <w:sz w:val="20"/>
          <w:szCs w:val="20"/>
          <w:color w:val="auto"/>
        </w:rPr>
      </w:pPr>
      <w:r>
        <w:rPr>
          <w:rFonts w:ascii="Arial" w:cs="Arial" w:eastAsia="Arial" w:hAnsi="Arial"/>
          <w:sz w:val="18"/>
          <w:szCs w:val="18"/>
          <w:color w:val="auto"/>
        </w:rPr>
        <w:t>Signature must be guaranteed</w:t>
      </w:r>
      <w:r>
        <w:rPr>
          <w:sz w:val="20"/>
          <w:szCs w:val="20"/>
          <w:color w:val="auto"/>
        </w:rPr>
        <w:tab/>
      </w:r>
      <w:r>
        <w:rPr>
          <w:rFonts w:ascii="Arial" w:cs="Arial" w:eastAsia="Arial" w:hAnsi="Arial"/>
          <w:sz w:val="16"/>
          <w:szCs w:val="16"/>
          <w:color w:val="auto"/>
        </w:rPr>
        <w:t>Signature</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8"/>
          <w:szCs w:val="18"/>
          <w:b w:val="1"/>
          <w:bCs w:val="1"/>
          <w:color w:val="auto"/>
        </w:rPr>
        <w:t>STAMP</w:t>
      </w:r>
      <w:r>
        <w:rPr>
          <w:rFonts w:ascii="Arial" w:cs="Arial" w:eastAsia="Arial" w:hAnsi="Arial"/>
          <w:sz w:val="18"/>
          <w:szCs w:val="18"/>
          <w:color w:val="auto"/>
        </w:rPr>
        <w:t>”) or such other “signature guarantee program” as may be determined by the Registrar in addition to, or in substitution for, STAMP, all in accordance with the United States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179070</wp:posOffset>
            </wp:positionV>
            <wp:extent cx="69951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800"/>
          </w:cols>
          <w:pgMar w:left="440" w:top="490" w:right="65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SCHEDULE OF EXCHANGES OF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exchanges of a part of this Global Note for Physical Notes or a part of another Global Note have been made: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Amount of decrease in</w:t>
            </w:r>
          </w:p>
        </w:tc>
        <w:tc>
          <w:tcPr>
            <w:tcW w:w="120" w:type="dxa"/>
            <w:vAlign w:val="bottom"/>
          </w:tcPr>
          <w:p>
            <w:pPr>
              <w:spacing w:after="0"/>
              <w:rPr>
                <w:sz w:val="14"/>
                <w:szCs w:val="14"/>
                <w:color w:val="auto"/>
              </w:rPr>
            </w:pPr>
          </w:p>
        </w:tc>
        <w:tc>
          <w:tcPr>
            <w:tcW w:w="2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Amount of increase in</w:t>
            </w:r>
          </w:p>
        </w:tc>
        <w:tc>
          <w:tcPr>
            <w:tcW w:w="30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amount of</w:t>
            </w: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this Global Note</w:t>
            </w:r>
          </w:p>
        </w:tc>
        <w:tc>
          <w:tcPr>
            <w:tcW w:w="100" w:type="dxa"/>
            <w:vAlign w:val="bottom"/>
          </w:tcPr>
          <w:p>
            <w:pPr>
              <w:spacing w:after="0"/>
              <w:rPr>
                <w:sz w:val="12"/>
                <w:szCs w:val="12"/>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Signature of authorized</w:t>
            </w:r>
          </w:p>
        </w:tc>
        <w:tc>
          <w:tcPr>
            <w:tcW w:w="0" w:type="dxa"/>
            <w:vAlign w:val="bottom"/>
          </w:tcPr>
          <w:p>
            <w:pPr>
              <w:spacing w:after="0"/>
              <w:rPr>
                <w:sz w:val="1"/>
                <w:szCs w:val="1"/>
                <w:color w:val="auto"/>
              </w:rPr>
            </w:pPr>
          </w:p>
        </w:tc>
      </w:tr>
      <w:tr>
        <w:trPr>
          <w:trHeight w:val="148"/>
        </w:trPr>
        <w:tc>
          <w:tcPr>
            <w:tcW w:w="242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Date of Exchange</w:t>
            </w:r>
          </w:p>
        </w:tc>
        <w:tc>
          <w:tcPr>
            <w:tcW w:w="14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principal amount of this</w:t>
            </w:r>
          </w:p>
        </w:tc>
        <w:tc>
          <w:tcPr>
            <w:tcW w:w="12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 amount of this</w:t>
            </w:r>
          </w:p>
        </w:tc>
        <w:tc>
          <w:tcPr>
            <w:tcW w:w="30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following such decrease</w:t>
            </w:r>
          </w:p>
        </w:tc>
        <w:tc>
          <w:tcPr>
            <w:tcW w:w="10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Global Note</w:t>
            </w:r>
          </w:p>
        </w:tc>
        <w:tc>
          <w:tcPr>
            <w:tcW w:w="12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Global Note</w:t>
            </w:r>
          </w:p>
        </w:tc>
        <w:tc>
          <w:tcPr>
            <w:tcW w:w="300" w:type="dxa"/>
            <w:vAlign w:val="bottom"/>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(or increase)</w:t>
            </w:r>
          </w:p>
        </w:tc>
        <w:tc>
          <w:tcPr>
            <w:tcW w:w="100" w:type="dxa"/>
            <w:vAlign w:val="bottom"/>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officer of Trustee</w:t>
            </w:r>
          </w:p>
        </w:tc>
        <w:tc>
          <w:tcPr>
            <w:tcW w:w="0" w:type="dxa"/>
            <w:vAlign w:val="bottom"/>
          </w:tcPr>
          <w:p>
            <w:pPr>
              <w:spacing w:after="0"/>
              <w:rPr>
                <w:sz w:val="1"/>
                <w:szCs w:val="1"/>
                <w:color w:val="auto"/>
              </w:rPr>
            </w:pPr>
          </w:p>
        </w:tc>
      </w:tr>
    </w:tbl>
    <w:p>
      <w:pPr>
        <w:sectPr>
          <w:pgSz w:w="11900" w:h="16838" w:orient="portrait"/>
          <w:cols w:equalWidth="0" w:num="1">
            <w:col w:w="11020"/>
          </w:cols>
          <w:pgMar w:left="440" w:top="490" w:right="4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NOTES DUE 2063]</w:t>
      </w:r>
    </w:p>
    <w:p>
      <w:pPr>
        <w:spacing w:after="0" w:line="225" w:lineRule="exact"/>
        <w:rPr>
          <w:sz w:val="20"/>
          <w:szCs w:val="20"/>
          <w:color w:val="auto"/>
        </w:rPr>
      </w:pPr>
    </w:p>
    <w:p>
      <w:pPr>
        <w:ind w:right="180" w:firstLine="991"/>
        <w:spacing w:after="0" w:line="254" w:lineRule="auto"/>
        <w:rPr>
          <w:sz w:val="20"/>
          <w:szCs w:val="20"/>
          <w:color w:val="auto"/>
        </w:rPr>
      </w:pPr>
      <w:r>
        <w:rPr>
          <w:rFonts w:ascii="Arial" w:cs="Arial" w:eastAsia="Arial" w:hAnsi="Arial"/>
          <w:sz w:val="18"/>
          <w:szCs w:val="18"/>
          <w:color w:val="auto"/>
        </w:rPr>
        <w:t>UNLESS THIS NOTE IS PRESENTED BY AN AUTHORIZED REPRESENTATIVE OF THE DEPOSITORY TRUST COMPANY, A NEW YORK CORPORATION (“</w:t>
      </w:r>
      <w:r>
        <w:rPr>
          <w:rFonts w:ascii="Arial" w:cs="Arial" w:eastAsia="Arial" w:hAnsi="Arial"/>
          <w:sz w:val="18"/>
          <w:szCs w:val="18"/>
          <w:b w:val="1"/>
          <w:bCs w:val="1"/>
          <w:color w:val="auto"/>
        </w:rPr>
        <w:t>DTC</w:t>
      </w:r>
      <w:r>
        <w:rPr>
          <w:rFonts w:ascii="Arial" w:cs="Arial" w:eastAsia="Arial" w:hAnsi="Arial"/>
          <w:sz w:val="18"/>
          <w:szCs w:val="18"/>
          <w:color w:val="auto"/>
        </w:rPr>
        <w:t>”),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95" w:lineRule="exact"/>
        <w:rPr>
          <w:sz w:val="20"/>
          <w:szCs w:val="20"/>
          <w:color w:val="auto"/>
        </w:rPr>
      </w:pPr>
    </w:p>
    <w:p>
      <w:pPr>
        <w:ind w:right="260" w:firstLine="991"/>
        <w:spacing w:after="0" w:line="279"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spacing w:after="0" w:line="171" w:lineRule="exact"/>
        <w:rPr>
          <w:sz w:val="20"/>
          <w:szCs w:val="20"/>
          <w:color w:val="auto"/>
        </w:rPr>
      </w:pPr>
    </w:p>
    <w:p>
      <w:pPr>
        <w:jc w:val="both"/>
        <w:ind w:right="400" w:firstLine="991"/>
        <w:spacing w:after="0" w:line="263" w:lineRule="auto"/>
        <w:rPr>
          <w:sz w:val="20"/>
          <w:szCs w:val="20"/>
          <w:color w:val="auto"/>
        </w:rPr>
      </w:pPr>
      <w:r>
        <w:rPr>
          <w:rFonts w:ascii="Arial" w:cs="Arial" w:eastAsia="Arial" w:hAnsi="Arial"/>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ectPr>
          <w:pgSz w:w="11900" w:h="16838" w:orient="portrait"/>
          <w:cols w:equalWidth="0" w:num="1">
            <w:col w:w="11020"/>
          </w:cols>
          <w:pgMar w:left="440" w:top="486" w:right="439" w:bottom="1440" w:gutter="0" w:footer="0" w:header="0"/>
        </w:sectPr>
      </w:pPr>
    </w:p>
    <w:bookmarkStart w:id="75" w:name="page76"/>
    <w:bookmarkEnd w:id="7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TEXAS INSTRUMENTS INCORPORATED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5.050% Notes due 2063</w:t>
      </w:r>
    </w:p>
    <w:p>
      <w:pPr>
        <w:sectPr>
          <w:pgSz w:w="11900" w:h="16838" w:orient="portrait"/>
          <w:cols w:equalWidth="0" w:num="1">
            <w:col w:w="11020"/>
          </w:cols>
          <w:pgMar w:left="440" w:top="486" w:right="439" w:bottom="1440" w:gutter="0" w:footer="0" w:header="0"/>
        </w:sect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CUSIP No.: 882926 AA6</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ISIN No.: US882926AA67</w:t>
      </w:r>
    </w:p>
    <w:p>
      <w:pPr>
        <w:spacing w:after="0" w:line="200" w:lineRule="exact"/>
        <w:rPr>
          <w:sz w:val="20"/>
          <w:szCs w:val="20"/>
          <w:color w:val="auto"/>
        </w:rPr>
      </w:pPr>
    </w:p>
    <w:p>
      <w:pPr>
        <w:sectPr>
          <w:pgSz w:w="11900" w:h="16838" w:orient="portrait"/>
          <w:cols w:equalWidth="0" w:num="3">
            <w:col w:w="360" w:space="180"/>
            <w:col w:w="7600" w:space="720"/>
            <w:col w:w="2160"/>
          </w:cols>
          <w:pgMar w:left="440" w:top="486" w:right="439" w:bottom="1440" w:gutter="0" w:footer="0" w:header="0"/>
          <w:type w:val="continuous"/>
        </w:sectPr>
      </w:pPr>
    </w:p>
    <w:p>
      <w:pPr>
        <w:spacing w:after="0" w:line="23" w:lineRule="exact"/>
        <w:rPr>
          <w:sz w:val="20"/>
          <w:szCs w:val="20"/>
          <w:color w:val="auto"/>
        </w:rPr>
      </w:pPr>
    </w:p>
    <w:p>
      <w:pPr>
        <w:ind w:left="10080"/>
        <w:spacing w:after="0"/>
        <w:rPr>
          <w:sz w:val="20"/>
          <w:szCs w:val="20"/>
          <w:color w:val="auto"/>
        </w:rPr>
      </w:pPr>
      <w:r>
        <w:rPr>
          <w:rFonts w:ascii="Arial" w:cs="Arial" w:eastAsia="Arial" w:hAnsi="Arial"/>
          <w:sz w:val="18"/>
          <w:szCs w:val="18"/>
          <w:color w:val="auto"/>
        </w:rPr>
        <w:t>$[_______]</w:t>
      </w:r>
    </w:p>
    <w:p>
      <w:pPr>
        <w:sectPr>
          <w:pgSz w:w="11900" w:h="16838" w:orient="portrait"/>
          <w:cols w:equalWidth="0" w:num="1">
            <w:col w:w="11020"/>
          </w:cols>
          <w:pgMar w:left="440" w:top="486" w:right="439" w:bottom="1440" w:gutter="0" w:footer="0" w:header="0"/>
          <w:type w:val="continuous"/>
        </w:sectPr>
      </w:pPr>
    </w:p>
    <w:p>
      <w:pPr>
        <w:spacing w:after="0" w:line="237" w:lineRule="exact"/>
        <w:rPr>
          <w:sz w:val="20"/>
          <w:szCs w:val="20"/>
          <w:color w:val="auto"/>
        </w:rPr>
      </w:pPr>
    </w:p>
    <w:p>
      <w:pPr>
        <w:ind w:right="460" w:firstLine="440"/>
        <w:spacing w:after="0" w:line="282" w:lineRule="auto"/>
        <w:rPr>
          <w:sz w:val="20"/>
          <w:szCs w:val="20"/>
          <w:color w:val="auto"/>
        </w:rPr>
      </w:pPr>
      <w:r>
        <w:rPr>
          <w:rFonts w:ascii="Arial" w:cs="Arial" w:eastAsia="Arial" w:hAnsi="Arial"/>
          <w:sz w:val="18"/>
          <w:szCs w:val="18"/>
          <w:color w:val="auto"/>
        </w:rPr>
        <w:t>TEXAS INSTRUMENTS INCORPORATED, a Delaware corporation (the “</w:t>
      </w:r>
      <w:r>
        <w:rPr>
          <w:rFonts w:ascii="Arial" w:cs="Arial" w:eastAsia="Arial" w:hAnsi="Arial"/>
          <w:sz w:val="18"/>
          <w:szCs w:val="18"/>
          <w:b w:val="1"/>
          <w:bCs w:val="1"/>
          <w:color w:val="auto"/>
        </w:rPr>
        <w:t>Issuer</w:t>
      </w:r>
      <w:r>
        <w:rPr>
          <w:rFonts w:ascii="Arial" w:cs="Arial" w:eastAsia="Arial" w:hAnsi="Arial"/>
          <w:sz w:val="18"/>
          <w:szCs w:val="18"/>
          <w:color w:val="auto"/>
        </w:rPr>
        <w:t>”), for value received promises to pay to CEDE &amp; CO. or registered assigns the principal sum of $[_______] on May 18, 2063.</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Payment Dates: May 18 and November 18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November 18, 2023.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Record Dates: May 4 and November 4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ectPr>
          <w:pgSz w:w="11900" w:h="16838" w:orient="portrait"/>
          <w:cols w:equalWidth="0" w:num="1">
            <w:col w:w="11020"/>
          </w:cols>
          <w:pgMar w:left="440" w:top="486" w:right="439" w:bottom="1440" w:gutter="0" w:footer="0" w:header="0"/>
          <w:type w:val="continuous"/>
        </w:sectPr>
      </w:pPr>
    </w:p>
    <w:bookmarkStart w:id="76" w:name="page77"/>
    <w:bookmarkEnd w:id="76"/>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WITNESS WHEREOF, the Issuer has caused this Note to be signed manually or by facsimile by its duly authorized officers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34"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TEXAS INSTRUMENTS INCORPORATED</w:t>
      </w:r>
    </w:p>
    <w:p>
      <w:pPr>
        <w:spacing w:after="0" w:line="22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Rafael R. Lizardi</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Senior Vice President and Chief Financial</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Jack I. Holmes</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 of Texas Instruments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Edgar A. Morales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Assistant Secretary</w:t>
      </w:r>
    </w:p>
    <w:p>
      <w:pPr>
        <w:sectPr>
          <w:pgSz w:w="11900" w:h="16838" w:orient="portrait"/>
          <w:cols w:equalWidth="0" w:num="1">
            <w:col w:w="11000"/>
          </w:cols>
          <w:pgMar w:left="440" w:top="490" w:right="459" w:bottom="1440" w:gutter="0" w:footer="0" w:header="0"/>
        </w:sectPr>
      </w:pPr>
    </w:p>
    <w:bookmarkStart w:id="77" w:name="page78"/>
    <w:bookmarkEnd w:id="7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This is one of the Notes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18, 2023</w:t>
      </w:r>
    </w:p>
    <w:p>
      <w:pPr>
        <w:spacing w:after="0" w:line="248" w:lineRule="exact"/>
        <w:rPr>
          <w:sz w:val="20"/>
          <w:szCs w:val="20"/>
          <w:color w:val="auto"/>
        </w:rPr>
      </w:pPr>
    </w:p>
    <w:p>
      <w:pPr>
        <w:ind w:left="6600"/>
        <w:spacing w:after="0"/>
        <w:rPr>
          <w:sz w:val="20"/>
          <w:szCs w:val="20"/>
          <w:color w:val="auto"/>
        </w:rPr>
      </w:pPr>
      <w:r>
        <w:rPr>
          <w:rFonts w:ascii="Arial" w:cs="Arial" w:eastAsia="Arial" w:hAnsi="Arial"/>
          <w:sz w:val="17"/>
          <w:szCs w:val="17"/>
          <w:b w:val="1"/>
          <w:bCs w:val="1"/>
          <w:color w:val="auto"/>
        </w:rPr>
        <w:t>U.S. BANK TRUST COMPANY, NATIONAL</w:t>
      </w:r>
    </w:p>
    <w:p>
      <w:pPr>
        <w:spacing w:after="0" w:line="39"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ASSOCIATION</w:t>
      </w:r>
      <w:r>
        <w:rPr>
          <w:rFonts w:ascii="Arial" w:cs="Arial" w:eastAsia="Arial" w:hAnsi="Arial"/>
          <w:sz w:val="18"/>
          <w:szCs w:val="18"/>
          <w:color w:val="auto"/>
        </w:rPr>
        <w:t>, as Trustee</w:t>
      </w:r>
    </w:p>
    <w:p>
      <w:pPr>
        <w:spacing w:after="0" w:line="21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Michael K. Herberger</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0140"/>
          </w:cols>
          <w:pgMar w:left="440" w:top="490" w:right="131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(REVERSE OF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5.050% Notes due 2063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Interest.</w:t>
      </w:r>
    </w:p>
    <w:p>
      <w:pPr>
        <w:spacing w:after="0" w:line="113"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color w:val="auto"/>
        </w:rPr>
        <w:t>Texas Instruments Incorporated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Note at the rate per annum described above. Cash interest on the Notes will accrue from the most recent date to which interest has been paid; or, if no interest has been paid, from May 18, 2023. Interest on this Note will be paid to but excluding the relevant Interest Payment Date. The Issuer will pay interest semi-annually in arrears on each Interest Payment Date, commencing November 18, 2023 to the person in whose name the Note is registered at the close of business on the preceding Interest Record Date. Interest will be computed on the basis of a 360-day year consisting of twelve 30-day months in a manner consistent with Rule 11620(b) of the FINRA Uniform Practice Code.</w:t>
      </w:r>
    </w:p>
    <w:p>
      <w:pPr>
        <w:spacing w:after="0" w:line="191"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Notes and on overdue installments of interest (without regard to any applicable grace periods) to the extent lawful.</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 Paying Agent.</w:t>
      </w:r>
    </w:p>
    <w:p>
      <w:pPr>
        <w:spacing w:after="0" w:line="113" w:lineRule="exact"/>
        <w:rPr>
          <w:sz w:val="20"/>
          <w:szCs w:val="20"/>
          <w:color w:val="auto"/>
        </w:rPr>
      </w:pPr>
    </w:p>
    <w:p>
      <w:pPr>
        <w:ind w:right="500" w:firstLine="440"/>
        <w:spacing w:after="0" w:line="282" w:lineRule="auto"/>
        <w:rPr>
          <w:sz w:val="20"/>
          <w:szCs w:val="20"/>
          <w:color w:val="auto"/>
        </w:rPr>
      </w:pPr>
      <w:r>
        <w:rPr>
          <w:rFonts w:ascii="Arial" w:cs="Arial" w:eastAsia="Arial" w:hAnsi="Arial"/>
          <w:sz w:val="18"/>
          <w:szCs w:val="18"/>
          <w:color w:val="auto"/>
        </w:rPr>
        <w:t>Initially, U.S. Bank Trust Company, National Association (the “</w:t>
      </w:r>
      <w:r>
        <w:rPr>
          <w:rFonts w:ascii="Arial" w:cs="Arial" w:eastAsia="Arial" w:hAnsi="Arial"/>
          <w:sz w:val="18"/>
          <w:szCs w:val="18"/>
          <w:b w:val="1"/>
          <w:bCs w:val="1"/>
          <w:color w:val="auto"/>
        </w:rPr>
        <w:t>Trustee</w:t>
      </w:r>
      <w:r>
        <w:rPr>
          <w:rFonts w:ascii="Arial" w:cs="Arial" w:eastAsia="Arial" w:hAnsi="Arial"/>
          <w:sz w:val="18"/>
          <w:szCs w:val="18"/>
          <w:color w:val="auto"/>
        </w:rPr>
        <w:t>”) will act as paying agent. The Issuer may change any paying agent without notice to the holders (the “</w:t>
      </w:r>
      <w:r>
        <w:rPr>
          <w:rFonts w:ascii="Arial" w:cs="Arial" w:eastAsia="Arial" w:hAnsi="Arial"/>
          <w:sz w:val="18"/>
          <w:szCs w:val="18"/>
          <w:b w:val="1"/>
          <w:bCs w:val="1"/>
          <w:color w:val="auto"/>
        </w:rPr>
        <w:t>Holders</w:t>
      </w:r>
      <w:r>
        <w:rPr>
          <w:rFonts w:ascii="Arial" w:cs="Arial" w:eastAsia="Arial" w:hAnsi="Arial"/>
          <w:sz w:val="18"/>
          <w:szCs w:val="18"/>
          <w:color w:val="auto"/>
        </w:rPr>
        <w: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 Indenture; Defined Terms.</w:t>
      </w:r>
    </w:p>
    <w:p>
      <w:pPr>
        <w:spacing w:after="0" w:line="113" w:lineRule="exact"/>
        <w:rPr>
          <w:sz w:val="20"/>
          <w:szCs w:val="20"/>
          <w:color w:val="auto"/>
        </w:rPr>
      </w:pPr>
    </w:p>
    <w:p>
      <w:pPr>
        <w:ind w:right="80" w:firstLine="440"/>
        <w:spacing w:after="0" w:line="289" w:lineRule="auto"/>
        <w:rPr>
          <w:sz w:val="20"/>
          <w:szCs w:val="20"/>
          <w:color w:val="auto"/>
        </w:rPr>
      </w:pPr>
      <w:r>
        <w:rPr>
          <w:rFonts w:ascii="Arial" w:cs="Arial" w:eastAsia="Arial" w:hAnsi="Arial"/>
          <w:sz w:val="17"/>
          <w:szCs w:val="17"/>
          <w:color w:val="auto"/>
        </w:rPr>
        <w:t>This Note is one of the 5.050% Notes due 2063 (the “</w:t>
      </w:r>
      <w:r>
        <w:rPr>
          <w:rFonts w:ascii="Arial" w:cs="Arial" w:eastAsia="Arial" w:hAnsi="Arial"/>
          <w:sz w:val="17"/>
          <w:szCs w:val="17"/>
          <w:b w:val="1"/>
          <w:bCs w:val="1"/>
          <w:color w:val="auto"/>
        </w:rPr>
        <w:t>Notes</w:t>
      </w:r>
      <w:r>
        <w:rPr>
          <w:rFonts w:ascii="Arial" w:cs="Arial" w:eastAsia="Arial" w:hAnsi="Arial"/>
          <w:sz w:val="17"/>
          <w:szCs w:val="17"/>
          <w:color w:val="auto"/>
        </w:rPr>
        <w:t>”) issued under an indenture dated as of May 23, 2011 (the “</w:t>
      </w:r>
      <w:r>
        <w:rPr>
          <w:rFonts w:ascii="Arial" w:cs="Arial" w:eastAsia="Arial" w:hAnsi="Arial"/>
          <w:sz w:val="17"/>
          <w:szCs w:val="17"/>
          <w:b w:val="1"/>
          <w:bCs w:val="1"/>
          <w:color w:val="auto"/>
        </w:rPr>
        <w:t>Base Indenture</w:t>
      </w:r>
      <w:r>
        <w:rPr>
          <w:rFonts w:ascii="Arial" w:cs="Arial" w:eastAsia="Arial" w:hAnsi="Arial"/>
          <w:sz w:val="17"/>
          <w:szCs w:val="17"/>
          <w:color w:val="auto"/>
        </w:rPr>
        <w:t>”) by and between the Issuer and the Trustee, and established pursuant to an Officers’ Certificate dated May 18, 2023, issued pursuant to Section 2.01 and Section 2.03 thereof (together, the “</w:t>
      </w:r>
      <w:r>
        <w:rPr>
          <w:rFonts w:ascii="Arial" w:cs="Arial" w:eastAsia="Arial" w:hAnsi="Arial"/>
          <w:sz w:val="17"/>
          <w:szCs w:val="17"/>
          <w:b w:val="1"/>
          <w:bCs w:val="1"/>
          <w:color w:val="auto"/>
        </w:rPr>
        <w:t>Indenture</w:t>
      </w:r>
      <w:r>
        <w:rPr>
          <w:rFonts w:ascii="Arial" w:cs="Arial" w:eastAsia="Arial" w:hAnsi="Arial"/>
          <w:sz w:val="17"/>
          <w:szCs w:val="17"/>
          <w:color w:val="auto"/>
        </w:rPr>
        <w:t>”). This Note is a “Security” and the Notes are “Securities” under the Indenture.</w:t>
      </w:r>
    </w:p>
    <w:p>
      <w:pPr>
        <w:spacing w:after="0" w:line="162"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on which the Indenture was qualified under the TIA; including, without limitation, the defeasance provision set forth in Section 10.01(b) of the Base Indenture; provided that Section 10.01(b)(C) of the Base Indenture is amended and restated as set forth below for purposes of this Note. Notwithstanding anything to the contrary herein, the Notes are subject to all such terms, provided that Section 10.01(b)(C) of the Base Indenture is amended and restated as set forth below for purposes of this Note, and Holders of Notes are referred to the Indenture and the TIA for a statement of such terms. To the extent the terms of the Indenture and this Note are inconsistent, the terms of the Indenture shall govern, provided that, for purposes of this Note, Section 10.01(b)(C) of the Base Indenture is amended and restated as set forth below.</w:t>
      </w:r>
    </w:p>
    <w:p>
      <w:pPr>
        <w:sectPr>
          <w:pgSz w:w="11900" w:h="16838" w:orient="portrait"/>
          <w:cols w:equalWidth="0" w:num="1">
            <w:col w:w="11000"/>
          </w:cols>
          <w:pgMar w:left="440" w:top="490" w:right="459" w:bottom="1440" w:gutter="0" w:footer="0" w:header="0"/>
        </w:sectPr>
      </w:pPr>
    </w:p>
    <w:bookmarkStart w:id="79" w:name="page80"/>
    <w:bookmarkEnd w:id="79"/>
    <w:p>
      <w:pPr>
        <w:ind w:left="440" w:right="40" w:firstLine="423"/>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 the Issuer has delivered to the Trustee an Officers’ Certificate and an opinion of independent legal counsel satisfactory to the Trustee to the effect that the Issuer has received from, or there has been published by, the Internal Revenue Service a ruling, or that since the date of issuance of the Securities of such series there has been a change in the applicable Federal income tax law, in either case to the effect that beneficial owners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and”</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 Denominations; Transfer; Exchange.</w:t>
      </w:r>
    </w:p>
    <w:p>
      <w:pPr>
        <w:spacing w:after="0" w:line="117"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The Notes are in registered form, without coupons, in denominations of $2,000 and multiples of $1,000 in excess thereof.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 except, in the case of any Security to be redeemed in part, the portion thereof not so to be redeemed.</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 Amendment; Supplement; Waiver.</w:t>
      </w:r>
    </w:p>
    <w:p>
      <w:pPr>
        <w:spacing w:after="0" w:line="11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 Redemption.</w:t>
      </w:r>
    </w:p>
    <w:p>
      <w:pPr>
        <w:spacing w:after="0" w:line="117"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Prior to the Par Call Date, the Notes will be redeemable, in whole or in part at any time, or from time to time, at the Issuer’s option, at a “make-whole premium” redemption price calculated by the Issuer equal to the greater of:</w:t>
      </w:r>
    </w:p>
    <w:p>
      <w:pPr>
        <w:sectPr>
          <w:pgSz w:w="11900" w:h="16838" w:orient="portrait"/>
          <w:cols w:equalWidth="0" w:num="1">
            <w:col w:w="11000"/>
          </w:cols>
          <w:pgMar w:left="440" w:top="490" w:right="459" w:bottom="1440" w:gutter="0" w:footer="0" w:header="0"/>
        </w:sectPr>
      </w:pPr>
    </w:p>
    <w:bookmarkStart w:id="80" w:name="page81"/>
    <w:bookmarkEnd w:id="80"/>
    <w:p>
      <w:pPr>
        <w:ind w:left="440" w:right="100" w:hanging="224"/>
        <w:spacing w:after="0" w:line="286" w:lineRule="auto"/>
        <w:tabs>
          <w:tab w:leader="none" w:pos="440" w:val="left"/>
        </w:tabs>
        <w:numPr>
          <w:ilvl w:val="0"/>
          <w:numId w:val="3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 the sum of the present values of the remaining scheduled payments of principal and interest thereon in each case discounted to the redemption date (assuming the Notes matured on the Par Call Date) on a semiannual basis (assuming a 360-day year consisting of twelve 30-day months) at the Treasury Rate (as defined below) plus 25 basis points less (b) interest accrued to the date of redemption, and</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(2)100% of the principal amount of the Notes to be redeemed,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plus, in either case, accrued and unpaid interest thereon to the redemption date.</w:t>
      </w:r>
    </w:p>
    <w:p>
      <w:pPr>
        <w:spacing w:after="0" w:line="225" w:lineRule="exact"/>
        <w:rPr>
          <w:sz w:val="20"/>
          <w:szCs w:val="20"/>
          <w:color w:val="auto"/>
        </w:rPr>
      </w:pPr>
    </w:p>
    <w:p>
      <w:pPr>
        <w:ind w:right="80" w:firstLine="440"/>
        <w:spacing w:after="0" w:line="308" w:lineRule="auto"/>
        <w:rPr>
          <w:sz w:val="20"/>
          <w:szCs w:val="20"/>
          <w:color w:val="auto"/>
        </w:rPr>
      </w:pPr>
      <w:r>
        <w:rPr>
          <w:rFonts w:ascii="Arial" w:cs="Arial" w:eastAsia="Arial" w:hAnsi="Arial"/>
          <w:sz w:val="17"/>
          <w:szCs w:val="17"/>
          <w:color w:val="auto"/>
        </w:rPr>
        <w:t>On or after the Par Call Date, the Issuer may redeem the Notes, in whole or in part, at any time and from time to time, at a redemption price equal to 100% of the principal amount of the Notes being redeemed plus accrued and unpaid interest thereon to the redemption date.</w:t>
      </w:r>
    </w:p>
    <w:p>
      <w:pPr>
        <w:spacing w:after="0" w:line="146"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 Call Date</w:t>
      </w:r>
      <w:r>
        <w:rPr>
          <w:rFonts w:ascii="Arial" w:cs="Arial" w:eastAsia="Arial" w:hAnsi="Arial"/>
          <w:sz w:val="18"/>
          <w:szCs w:val="18"/>
          <w:color w:val="auto"/>
        </w:rPr>
        <w:t>” means November 18, 2062 (the date that is six months prior to the maturity date of the Notes).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Treasury Rate</w:t>
      </w:r>
      <w:r>
        <w:rPr>
          <w:rFonts w:ascii="Arial" w:cs="Arial" w:eastAsia="Arial" w:hAnsi="Arial"/>
          <w:sz w:val="16"/>
          <w:szCs w:val="16"/>
          <w:color w:val="auto"/>
        </w:rPr>
        <w:t>” means, with respect to any redemption date, the yield determined by the Issuer in accordance with the following two paragraphs.</w:t>
      </w:r>
    </w:p>
    <w:p>
      <w:pPr>
        <w:spacing w:after="0" w:line="252" w:lineRule="exact"/>
        <w:rPr>
          <w:sz w:val="20"/>
          <w:szCs w:val="20"/>
          <w:color w:val="auto"/>
        </w:rPr>
      </w:pPr>
    </w:p>
    <w:p>
      <w:pPr>
        <w:ind w:right="40" w:firstLine="440"/>
        <w:spacing w:after="0" w:line="286" w:lineRule="auto"/>
        <w:rPr>
          <w:sz w:val="20"/>
          <w:szCs w:val="20"/>
          <w:color w:val="auto"/>
        </w:rPr>
      </w:pPr>
      <w:r>
        <w:rPr>
          <w:rFonts w:ascii="Arial" w:cs="Arial" w:eastAsia="Arial" w:hAnsi="Arial"/>
          <w:sz w:val="16"/>
          <w:szCs w:val="16"/>
          <w:color w:val="auto"/>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Arial" w:cs="Arial" w:eastAsia="Arial" w:hAnsi="Arial"/>
          <w:sz w:val="16"/>
          <w:szCs w:val="16"/>
          <w:b w:val="1"/>
          <w:bCs w:val="1"/>
          <w:color w:val="auto"/>
        </w:rPr>
        <w:t>H.15</w:t>
      </w:r>
      <w:r>
        <w:rPr>
          <w:rFonts w:ascii="Arial" w:cs="Arial" w:eastAsia="Arial" w:hAnsi="Arial"/>
          <w:sz w:val="16"/>
          <w:szCs w:val="16"/>
          <w:color w:val="auto"/>
        </w:rPr>
        <w:t>”) under the caption “U.S. government securities—Treasury constant maturities—Nominal” (or any successor caption or heading) (“</w:t>
      </w:r>
      <w:r>
        <w:rPr>
          <w:rFonts w:ascii="Arial" w:cs="Arial" w:eastAsia="Arial" w:hAnsi="Arial"/>
          <w:sz w:val="16"/>
          <w:szCs w:val="16"/>
          <w:b w:val="1"/>
          <w:bCs w:val="1"/>
          <w:color w:val="auto"/>
        </w:rPr>
        <w:t>H.15 TCM</w:t>
      </w:r>
      <w:r>
        <w:rPr>
          <w:rFonts w:ascii="Arial" w:cs="Arial" w:eastAsia="Arial" w:hAnsi="Arial"/>
          <w:sz w:val="16"/>
          <w:szCs w:val="16"/>
          <w:color w:val="auto"/>
        </w:rPr>
        <w:t>”). In determining the Treasury Rate, the Issuer shall select, as applicable: (1) the yield for the Treasury constant maturity on H.15 exactly equal to the period from the redemption date to the Par Call Date (the “</w:t>
      </w:r>
      <w:r>
        <w:rPr>
          <w:rFonts w:ascii="Arial" w:cs="Arial" w:eastAsia="Arial" w:hAnsi="Arial"/>
          <w:sz w:val="16"/>
          <w:szCs w:val="16"/>
          <w:b w:val="1"/>
          <w:bCs w:val="1"/>
          <w:color w:val="auto"/>
        </w:rPr>
        <w:t>Remaining Life</w:t>
      </w:r>
      <w:r>
        <w:rPr>
          <w:rFonts w:ascii="Arial" w:cs="Arial" w:eastAsia="Arial" w:hAnsi="Arial"/>
          <w:sz w:val="16"/>
          <w:szCs w:val="16"/>
          <w:color w:val="auto"/>
        </w:rPr>
        <w:t>”);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ectPr>
          <w:pgSz w:w="11900" w:h="16838" w:orient="portrait"/>
          <w:cols w:equalWidth="0" w:num="1">
            <w:col w:w="11000"/>
          </w:cols>
          <w:pgMar w:left="440" w:top="490" w:right="459" w:bottom="1440" w:gutter="0" w:footer="0" w:header="0"/>
        </w:sectPr>
      </w:pPr>
    </w:p>
    <w:bookmarkStart w:id="81" w:name="page82"/>
    <w:bookmarkEnd w:id="81"/>
    <w:p>
      <w:pPr>
        <w:ind w:right="4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Issuer’s actions and determinations in determining the redemption price shall be conclusive and binding for all purposes, absent manifest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error.</w:t>
      </w:r>
    </w:p>
    <w:p>
      <w:pPr>
        <w:spacing w:after="0" w:line="21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Notice of any redemption will be mailed or electronically delivered (or otherwise transmitted in accordance with the Depositary’s procedures) at least 10 days but not more than 60 days before the redemption date to each Holder of the Notes to be redeemed.</w:t>
      </w:r>
    </w:p>
    <w:p>
      <w:pPr>
        <w:spacing w:after="0" w:line="170"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In the case of a partial redemption, selection of the Notes for redemption will be made pro rata, by lot or by such other method as the Trustee in its sole discretion deems appropriate and fair. No Note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192"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Unless the Issuer defaults in payment of the redemption price, on and after the redemption date, interest will cease to accrue on the Notes or portions thereof called for redemption.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 Defaults and Remedies.</w:t>
      </w:r>
    </w:p>
    <w:p>
      <w:pPr>
        <w:spacing w:after="0" w:line="117"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the outstanding Notes, shall by written notice, require the Issuer to repay immediately the entire principal amount of the Outstanding Notes, together with all accrued and unpaid interest and</w:t>
      </w:r>
    </w:p>
    <w:p>
      <w:pPr>
        <w:sectPr>
          <w:pgSz w:w="11900" w:h="16838" w:orient="portrait"/>
          <w:cols w:equalWidth="0" w:num="1">
            <w:col w:w="10980"/>
          </w:cols>
          <w:pgMar w:left="440" w:top="490" w:right="479" w:bottom="1440" w:gutter="0" w:footer="0" w:header="0"/>
        </w:sectPr>
      </w:pPr>
    </w:p>
    <w:bookmarkStart w:id="82" w:name="page83"/>
    <w:bookmarkEnd w:id="82"/>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premium, if any. If a bankruptcy Event of Default with respect to the Issuer occurs and is continuing, then the entire principal amount of the Outstanding Notes will automatically become due immediately and payable without any declaration or other act on the part of the Trustee or any Holder. Holders of Notes may not enforce the Indenture or the Notes except as provided in the Indenture. The Trustee is not obligated to enforce the Indenture or the Notes unless it has received indemnity as it reasonably requires. The Indenture permits, subject to certain limitations therein provided, Holders of a majority in aggregate principal amount of the Notes then outstanding to direct the Trustee in its exercise of any trust or power. The Trustee may withhold from Holders of Notes notice of certain continuing defaults or Events of Default if it determines that withholding notice is in their interest.</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 Authentication.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Note shall not be valid until the Trustee manually signs the certificate of authentication on this Note.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 Abbreviations and Defined Terms.</w:t>
      </w:r>
    </w:p>
    <w:p>
      <w:pPr>
        <w:spacing w:after="0" w:line="117"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 CUSIP Numbers.</w:t>
      </w:r>
    </w:p>
    <w:p>
      <w:pPr>
        <w:spacing w:after="0" w:line="117" w:lineRule="exact"/>
        <w:rPr>
          <w:sz w:val="20"/>
          <w:szCs w:val="20"/>
          <w:color w:val="auto"/>
        </w:rPr>
      </w:pPr>
    </w:p>
    <w:p>
      <w:pPr>
        <w:jc w:val="both"/>
        <w:ind w:right="480" w:firstLine="440"/>
        <w:spacing w:after="0" w:line="286" w:lineRule="auto"/>
        <w:rPr>
          <w:sz w:val="20"/>
          <w:szCs w:val="20"/>
          <w:color w:val="auto"/>
        </w:rPr>
      </w:pPr>
      <w:r>
        <w:rPr>
          <w:rFonts w:ascii="Arial" w:cs="Arial" w:eastAsia="Arial" w:hAnsi="Arial"/>
          <w:sz w:val="17"/>
          <w:szCs w:val="17"/>
          <w:color w:val="auto"/>
        </w:rPr>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 Governing Law.</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laws of the State of New York shall govern the Indenture and this Note thereof.</w:t>
      </w:r>
    </w:p>
    <w:p>
      <w:pPr>
        <w:sectPr>
          <w:pgSz w:w="11900" w:h="16838" w:orient="portrait"/>
          <w:cols w:equalWidth="0" w:num="1">
            <w:col w:w="10980"/>
          </w:cols>
          <w:pgMar w:left="440" w:top="490" w:right="479" w:bottom="1440" w:gutter="0" w:footer="0" w:header="0"/>
        </w:sectPr>
      </w:pPr>
    </w:p>
    <w:bookmarkStart w:id="83" w:name="page84"/>
    <w:bookmarkEnd w:id="83"/>
    <w:p>
      <w:pPr>
        <w:jc w:val="center"/>
        <w:ind w:right="-1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(Print or type assignee’s name, address and zip code)</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(Insert assignee’s soc. sec. or tax I.D. No.)</w:t>
      </w:r>
    </w:p>
    <w:p>
      <w:pPr>
        <w:spacing w:after="0" w:line="225"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color w:val="auto"/>
        </w:rPr>
        <w:t>and irrevocably appoint</w:t>
      </w:r>
      <w:r>
        <w:rPr>
          <w:sz w:val="20"/>
          <w:szCs w:val="20"/>
          <w:color w:val="auto"/>
        </w:rPr>
        <w:tab/>
      </w:r>
      <w:r>
        <w:rPr>
          <w:rFonts w:ascii="Arial" w:cs="Arial" w:eastAsia="Arial" w:hAnsi="Arial"/>
          <w:sz w:val="16"/>
          <w:szCs w:val="16"/>
          <w:color w:val="auto"/>
        </w:rPr>
        <w:t>agent to transfer this Note on the books of the Issuer.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 Your Signature: 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4120515</wp:posOffset>
            </wp:positionH>
            <wp:positionV relativeFrom="paragraph">
              <wp:posOffset>306070</wp:posOffset>
            </wp:positionV>
            <wp:extent cx="287210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7210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6995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tabs>
          <w:tab w:leader="none" w:pos="6480" w:val="left"/>
        </w:tabs>
        <w:rPr>
          <w:sz w:val="20"/>
          <w:szCs w:val="20"/>
          <w:color w:val="auto"/>
        </w:rPr>
      </w:pPr>
      <w:r>
        <w:rPr>
          <w:rFonts w:ascii="Arial" w:cs="Arial" w:eastAsia="Arial" w:hAnsi="Arial"/>
          <w:sz w:val="18"/>
          <w:szCs w:val="18"/>
          <w:color w:val="auto"/>
        </w:rPr>
        <w:t>Signature must be guaranteed</w:t>
      </w:r>
      <w:r>
        <w:rPr>
          <w:sz w:val="20"/>
          <w:szCs w:val="20"/>
          <w:color w:val="auto"/>
        </w:rPr>
        <w:tab/>
      </w:r>
      <w:r>
        <w:rPr>
          <w:rFonts w:ascii="Arial" w:cs="Arial" w:eastAsia="Arial" w:hAnsi="Arial"/>
          <w:sz w:val="15"/>
          <w:szCs w:val="15"/>
          <w:color w:val="auto"/>
        </w:rPr>
        <w:t>Signature</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8"/>
          <w:szCs w:val="18"/>
          <w:b w:val="1"/>
          <w:bCs w:val="1"/>
          <w:color w:val="auto"/>
        </w:rPr>
        <w:t>STAMP</w:t>
      </w:r>
      <w:r>
        <w:rPr>
          <w:rFonts w:ascii="Arial" w:cs="Arial" w:eastAsia="Arial" w:hAnsi="Arial"/>
          <w:sz w:val="18"/>
          <w:szCs w:val="18"/>
          <w:color w:val="auto"/>
        </w:rPr>
        <w:t>”) or such other “signature guarantee program” as may be determined by the Registrar in addition to, or in substitution for, STAMP, all in accordance with the United States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179070</wp:posOffset>
            </wp:positionV>
            <wp:extent cx="6995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800"/>
          </w:cols>
          <w:pgMar w:left="440" w:top="490" w:right="65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SCHEDULE OF EXCHANGES OF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exchanges of a part of this Global Note for Physical Notes or a part of another Global Note have been made: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Amount of decrease in</w:t>
            </w:r>
          </w:p>
        </w:tc>
        <w:tc>
          <w:tcPr>
            <w:tcW w:w="100" w:type="dxa"/>
            <w:vAlign w:val="bottom"/>
          </w:tcPr>
          <w:p>
            <w:pPr>
              <w:spacing w:after="0"/>
              <w:rPr>
                <w:sz w:val="14"/>
                <w:szCs w:val="14"/>
                <w:color w:val="auto"/>
              </w:rPr>
            </w:pPr>
          </w:p>
        </w:tc>
        <w:tc>
          <w:tcPr>
            <w:tcW w:w="2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Amount of increase in</w:t>
            </w:r>
          </w:p>
        </w:tc>
        <w:tc>
          <w:tcPr>
            <w:tcW w:w="10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3"/>
              </w:rPr>
              <w:t>Principal amount of</w:t>
            </w:r>
          </w:p>
        </w:tc>
        <w:tc>
          <w:tcPr>
            <w:tcW w:w="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this Global Note</w:t>
            </w:r>
          </w:p>
        </w:tc>
        <w:tc>
          <w:tcPr>
            <w:tcW w:w="100" w:type="dxa"/>
            <w:vAlign w:val="bottom"/>
          </w:tcPr>
          <w:p>
            <w:pPr>
              <w:spacing w:after="0"/>
              <w:rPr>
                <w:sz w:val="12"/>
                <w:szCs w:val="12"/>
                <w:color w:val="auto"/>
              </w:rPr>
            </w:pPr>
          </w:p>
        </w:tc>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Signature of authorized</w:t>
            </w:r>
          </w:p>
        </w:tc>
        <w:tc>
          <w:tcPr>
            <w:tcW w:w="0" w:type="dxa"/>
            <w:vAlign w:val="bottom"/>
          </w:tcPr>
          <w:p>
            <w:pPr>
              <w:spacing w:after="0"/>
              <w:rPr>
                <w:sz w:val="1"/>
                <w:szCs w:val="1"/>
                <w:color w:val="auto"/>
              </w:rPr>
            </w:pPr>
          </w:p>
        </w:tc>
      </w:tr>
      <w:tr>
        <w:trPr>
          <w:trHeight w:val="148"/>
        </w:trPr>
        <w:tc>
          <w:tcPr>
            <w:tcW w:w="230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Date of Exchange</w:t>
            </w:r>
          </w:p>
        </w:tc>
        <w:tc>
          <w:tcPr>
            <w:tcW w:w="12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principal amount of this</w:t>
            </w:r>
          </w:p>
        </w:tc>
        <w:tc>
          <w:tcPr>
            <w:tcW w:w="10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 amount of this</w:t>
            </w:r>
          </w:p>
        </w:tc>
        <w:tc>
          <w:tcPr>
            <w:tcW w:w="10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following such decrease</w:t>
            </w:r>
          </w:p>
        </w:tc>
        <w:tc>
          <w:tcPr>
            <w:tcW w:w="100" w:type="dxa"/>
            <w:vAlign w:val="bottom"/>
          </w:tcPr>
          <w:p>
            <w:pPr>
              <w:spacing w:after="0"/>
              <w:rPr>
                <w:sz w:val="12"/>
                <w:szCs w:val="12"/>
                <w:color w:val="auto"/>
              </w:rPr>
            </w:pPr>
          </w:p>
        </w:tc>
        <w:tc>
          <w:tcPr>
            <w:tcW w:w="2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3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Global Note</w:t>
            </w:r>
          </w:p>
        </w:tc>
        <w:tc>
          <w:tcPr>
            <w:tcW w:w="10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Global Note</w:t>
            </w:r>
          </w:p>
        </w:tc>
        <w:tc>
          <w:tcPr>
            <w:tcW w:w="10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(or increase)</w:t>
            </w:r>
          </w:p>
        </w:tc>
        <w:tc>
          <w:tcPr>
            <w:tcW w:w="100" w:type="dxa"/>
            <w:vAlign w:val="bottom"/>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officer of Trustee</w:t>
            </w:r>
          </w:p>
        </w:tc>
        <w:tc>
          <w:tcPr>
            <w:tcW w:w="0" w:type="dxa"/>
            <w:vAlign w:val="bottom"/>
          </w:tcPr>
          <w:p>
            <w:pPr>
              <w:spacing w:after="0"/>
              <w:rPr>
                <w:sz w:val="1"/>
                <w:szCs w:val="1"/>
                <w:color w:val="auto"/>
              </w:rPr>
            </w:pPr>
          </w:p>
        </w:tc>
      </w:tr>
    </w:tbl>
    <w:p>
      <w:pPr>
        <w:sectPr>
          <w:pgSz w:w="11900" w:h="16838" w:orient="portrait"/>
          <w:cols w:equalWidth="0" w:num="1">
            <w:col w:w="11020"/>
          </w:cols>
          <w:pgMar w:left="440" w:top="490" w:right="4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5.1 and 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105535" cy="2825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05535"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 xml:space="preserve">Davis Polk &amp; Wardwell </w:t>
      </w:r>
      <w:r>
        <w:rPr>
          <w:rFonts w:ascii="Arial" w:cs="Arial" w:eastAsia="Arial" w:hAnsi="Arial"/>
          <w:sz w:val="14"/>
          <w:szCs w:val="14"/>
          <w:color w:val="auto"/>
        </w:rPr>
        <w:t>LLP</w:t>
      </w:r>
    </w:p>
    <w:p>
      <w:pPr>
        <w:spacing w:after="0" w:line="2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1600 El Camino Real</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davispolk.com</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May 18,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400"/>
        <w:spacing w:after="0" w:line="293" w:lineRule="auto"/>
        <w:rPr>
          <w:sz w:val="20"/>
          <w:szCs w:val="20"/>
          <w:color w:val="auto"/>
        </w:rPr>
      </w:pPr>
      <w:r>
        <w:rPr>
          <w:rFonts w:ascii="Arial" w:cs="Arial" w:eastAsia="Arial" w:hAnsi="Arial"/>
          <w:sz w:val="16"/>
          <w:szCs w:val="16"/>
          <w:color w:val="auto"/>
        </w:rPr>
        <w:t>We have acted as special counsel for Texas Instruments Incorporated,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Company’s offering of $200,000,000 aggregate principal amount of 4.600% Notes due 2028 (the “</w:t>
      </w:r>
      <w:r>
        <w:rPr>
          <w:rFonts w:ascii="Arial" w:cs="Arial" w:eastAsia="Arial" w:hAnsi="Arial"/>
          <w:sz w:val="16"/>
          <w:szCs w:val="16"/>
          <w:b w:val="1"/>
          <w:bCs w:val="1"/>
          <w:color w:val="auto"/>
        </w:rPr>
        <w:t>2028 Notes</w:t>
      </w:r>
      <w:r>
        <w:rPr>
          <w:rFonts w:ascii="Arial" w:cs="Arial" w:eastAsia="Arial" w:hAnsi="Arial"/>
          <w:sz w:val="16"/>
          <w:szCs w:val="16"/>
          <w:color w:val="auto"/>
        </w:rPr>
        <w:t>”), $200,000,000 aggregate principal amount of</w:t>
      </w:r>
    </w:p>
    <w:p>
      <w:pPr>
        <w:spacing w:after="0" w:line="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4.900% Notes due 2033 (the “</w:t>
      </w:r>
      <w:r>
        <w:rPr>
          <w:rFonts w:ascii="Arial" w:cs="Arial" w:eastAsia="Arial" w:hAnsi="Arial"/>
          <w:sz w:val="18"/>
          <w:szCs w:val="18"/>
          <w:b w:val="1"/>
          <w:bCs w:val="1"/>
          <w:color w:val="auto"/>
        </w:rPr>
        <w:t>2033 Notes</w:t>
      </w:r>
      <w:r>
        <w:rPr>
          <w:rFonts w:ascii="Arial" w:cs="Arial" w:eastAsia="Arial" w:hAnsi="Arial"/>
          <w:sz w:val="18"/>
          <w:szCs w:val="18"/>
          <w:color w:val="auto"/>
        </w:rPr>
        <w:t>”) and $1,200,000,000 aggregate principal amount of 5.050% Notes due 2063 (the “</w:t>
      </w:r>
      <w:r>
        <w:rPr>
          <w:rFonts w:ascii="Arial" w:cs="Arial" w:eastAsia="Arial" w:hAnsi="Arial"/>
          <w:sz w:val="18"/>
          <w:szCs w:val="18"/>
          <w:b w:val="1"/>
          <w:bCs w:val="1"/>
          <w:color w:val="auto"/>
        </w:rPr>
        <w:t>2063 Notes</w:t>
      </w:r>
      <w:r>
        <w:rPr>
          <w:rFonts w:ascii="Arial" w:cs="Arial" w:eastAsia="Arial" w:hAnsi="Arial"/>
          <w:sz w:val="18"/>
          <w:szCs w:val="18"/>
          <w:color w:val="auto"/>
        </w:rPr>
        <w:t>” and, together with the 2028 Notes and the 2033 Notes, the “</w:t>
      </w:r>
      <w:r>
        <w:rPr>
          <w:rFonts w:ascii="Arial" w:cs="Arial" w:eastAsia="Arial" w:hAnsi="Arial"/>
          <w:sz w:val="18"/>
          <w:szCs w:val="18"/>
          <w:b w:val="1"/>
          <w:bCs w:val="1"/>
          <w:color w:val="auto"/>
        </w:rPr>
        <w:t>Notes</w:t>
      </w:r>
      <w:r>
        <w:rPr>
          <w:rFonts w:ascii="Arial" w:cs="Arial" w:eastAsia="Arial" w:hAnsi="Arial"/>
          <w:sz w:val="18"/>
          <w:szCs w:val="18"/>
          <w:color w:val="auto"/>
        </w:rPr>
        <w:t>”) in an underwritten public offering pursuant to an underwriting agreement dated May 11, 2023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among the Company and J.P. Morgan Securities LLC, Morgan Stanley &amp; Co. LLC and U.S. Bancorp Investments, Inc. as underwriters (the “</w:t>
      </w:r>
      <w:r>
        <w:rPr>
          <w:rFonts w:ascii="Arial" w:cs="Arial" w:eastAsia="Arial" w:hAnsi="Arial"/>
          <w:sz w:val="18"/>
          <w:szCs w:val="18"/>
          <w:b w:val="1"/>
          <w:bCs w:val="1"/>
          <w:color w:val="auto"/>
        </w:rPr>
        <w:t>Underwriters</w:t>
      </w:r>
      <w:r>
        <w:rPr>
          <w:rFonts w:ascii="Arial" w:cs="Arial" w:eastAsia="Arial" w:hAnsi="Arial"/>
          <w:sz w:val="18"/>
          <w:szCs w:val="18"/>
          <w:color w:val="auto"/>
        </w:rPr>
        <w:t>”).</w:t>
      </w:r>
    </w:p>
    <w:p>
      <w:pPr>
        <w:spacing w:after="0" w:line="18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Notes are to be issued pursuant to an Indenture dated as of May 23, 2011 (the “</w:t>
      </w:r>
      <w:r>
        <w:rPr>
          <w:rFonts w:ascii="Arial" w:cs="Arial" w:eastAsia="Arial" w:hAnsi="Arial"/>
          <w:sz w:val="17"/>
          <w:szCs w:val="17"/>
          <w:b w:val="1"/>
          <w:bCs w:val="1"/>
          <w:color w:val="auto"/>
        </w:rPr>
        <w:t>Indenture</w:t>
      </w:r>
      <w:r>
        <w:rPr>
          <w:rFonts w:ascii="Arial" w:cs="Arial" w:eastAsia="Arial" w:hAnsi="Arial"/>
          <w:sz w:val="17"/>
          <w:szCs w:val="17"/>
          <w:color w:val="auto"/>
        </w:rPr>
        <w:t>”) by and between the Company and U.S. Bank Trust Company, National Association, as successor in interest to U.S. Bank National Association, as Trustee, and an Officers’ Certificate to be issued pursuant thereto on or about May 11, 2023. The 2028 Notes and the 2033 Notes are to be a further issuance of, and form a single series with, the existing 4.600% Notes due 2028 issued by the Company on November 18, 2022 and the existing 4.900% Notes due 2033 issued by the Company on March 14, 2023, respectively. The 2063 Notes are to be a new issuance. The Company has filed with the Securities and Exchange Commission a Registration Statement on Form S-3 (File No. 333-262523,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for the purpose of registering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the offer and sale of certain securities, including the Notes.</w:t>
      </w:r>
    </w:p>
    <w:p>
      <w:pPr>
        <w:spacing w:after="0" w:line="1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ectPr>
          <w:pgSz w:w="11900" w:h="16838" w:orient="portrait"/>
          <w:cols w:equalWidth="0" w:num="1">
            <w:col w:w="11020"/>
          </w:cols>
          <w:pgMar w:left="440" w:top="121" w:right="4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Texas Instruments Incorporated</w:t>
            </w:r>
          </w:p>
        </w:tc>
        <w:tc>
          <w:tcPr>
            <w:tcW w:w="3900" w:type="dxa"/>
            <w:vAlign w:val="bottom"/>
          </w:tcPr>
          <w:p>
            <w:pPr>
              <w:jc w:val="right"/>
              <w:ind w:right="2030"/>
              <w:spacing w:after="0"/>
              <w:rPr>
                <w:sz w:val="20"/>
                <w:szCs w:val="20"/>
                <w:color w:val="auto"/>
              </w:rPr>
            </w:pPr>
            <w:r>
              <w:rPr>
                <w:rFonts w:ascii="Arial" w:cs="Arial" w:eastAsia="Arial" w:hAnsi="Arial"/>
                <w:sz w:val="18"/>
                <w:szCs w:val="18"/>
                <w:color w:val="auto"/>
              </w:rPr>
              <w:t>2</w:t>
            </w:r>
          </w:p>
        </w:tc>
        <w:tc>
          <w:tcPr>
            <w:tcW w:w="3140" w:type="dxa"/>
            <w:vAlign w:val="bottom"/>
          </w:tcPr>
          <w:p>
            <w:pPr>
              <w:ind w:left="2120"/>
              <w:spacing w:after="0"/>
              <w:rPr>
                <w:sz w:val="20"/>
                <w:szCs w:val="20"/>
                <w:color w:val="auto"/>
              </w:rPr>
            </w:pPr>
            <w:r>
              <w:rPr>
                <w:rFonts w:ascii="Arial" w:cs="Arial" w:eastAsia="Arial" w:hAnsi="Arial"/>
                <w:sz w:val="18"/>
                <w:szCs w:val="18"/>
                <w:color w:val="auto"/>
                <w:w w:val="91"/>
              </w:rPr>
              <w:t>May 18, 2023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ind w:right="100"/>
        <w:spacing w:after="0" w:line="272" w:lineRule="auto"/>
        <w:rPr>
          <w:sz w:val="20"/>
          <w:szCs w:val="20"/>
          <w:color w:val="auto"/>
        </w:rPr>
      </w:pPr>
      <w:r>
        <w:rPr>
          <w:rFonts w:ascii="Arial" w:cs="Arial" w:eastAsia="Arial" w:hAnsi="Arial"/>
          <w:sz w:val="17"/>
          <w:szCs w:val="17"/>
          <w:color w:val="auto"/>
        </w:rPr>
        <w:t>Based on the foregoing, and subject to the additional assumptions and qualifications set forth below, we advise you that, in our opinion, the Notes have been duly authorized in accordance with the Indenture, and, when executed, authenticated and issued in accordance with the provisions of the Indenture and delivered to and paid for by the Underwriters in accordance with the terms of the Underwriting Agreement, such Notes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provided that we express no opinion as to the validity, legally binding effect or enforceability of any provision that permits holders to collect any portion of stated principal amount upon acceleration of the Notes to the extent determined to constitute unearned interest.</w:t>
      </w:r>
    </w:p>
    <w:p>
      <w:pPr>
        <w:spacing w:after="0" w:line="17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connection with the opinion expressed above, we have assumed that at or prior to the time of the delivery of the Notes, the Indenture and the Notes (the “</w:t>
      </w:r>
      <w:r>
        <w:rPr>
          <w:rFonts w:ascii="Arial" w:cs="Arial" w:eastAsia="Arial" w:hAnsi="Arial"/>
          <w:sz w:val="16"/>
          <w:szCs w:val="16"/>
          <w:b w:val="1"/>
          <w:bCs w:val="1"/>
          <w:color w:val="auto"/>
        </w:rPr>
        <w:t>Documents</w:t>
      </w:r>
      <w:r>
        <w:rPr>
          <w:rFonts w:ascii="Arial" w:cs="Arial" w:eastAsia="Arial" w:hAnsi="Arial"/>
          <w:sz w:val="16"/>
          <w:szCs w:val="16"/>
          <w:color w:val="auto"/>
        </w:rPr>
        <w:t>”) are valid, binding and enforceable agreements of each party thereto (other than as expressly covered above in respect of the Company). We have also assumed that the execution, delivery and performance by each party to each Document to which it is a party (a) are within its corporate powers, (b) do not contravene, or constitute a default under, the certificate of incorporation or bylaws or other constitutive documents of such party,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such party, provided that we make no such assumption to the extent that we have specifically opined as to such matters with respect to the Company.</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members of the Bars of the States of New York and California and the foregoing opinion is limited to the laws of the State of New York and the General Corporation Law of the State of Delaware, except that we express no opinion as to any law, rule or regulation that is applicable to the Company, the Documents or such transactions solely because such law, rule or regulation is part of a regulatory regime applicable to any party to any of the Documents or any affiliates due to the specific assets or business of such party or such affiliate.</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hereby consent to the filing of this opinion as an exhibit to a report on Form 8-K to be filed by the Company on the date hereof and its incorporation by reference in the Registration Statement and further consent to the reference to our name under the caption “Validity of Securities” in the base prospectus and supplement thereto, which are a part of the Registration Statement. In giving this consent, we do not admit that we are in the category of persons whose consent is required under Section 7 of the Securities Act.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sectPr>
      <w:pgSz w:w="11900" w:h="16838" w:orient="portrait"/>
      <w:cols w:equalWidth="0" w:num="1">
        <w:col w:w="11020"/>
      </w:cols>
      <w:pgMar w:left="440" w:top="49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1)"/>
      <w:numFmt w:val="lowerRoman"/>
      <w:start w:val="2"/>
    </w:lvl>
  </w:abstractNum>
  <w:abstractNum w:abstractNumId="2">
    <w:nsid w:val="7C83E458"/>
    <w:multiLevelType w:val="hybridMultilevel"/>
    <w:lvl w:ilvl="0">
      <w:lvlJc w:val="left"/>
      <w:lvlText w:val="(%1)"/>
      <w:numFmt w:val="lowerLetter"/>
      <w:start w:val="2"/>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lowerLetter"/>
      <w:start w:val="1"/>
    </w:lvl>
  </w:abstractNum>
  <w:abstractNum w:abstractNumId="5">
    <w:nsid w:val="436C612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
    <w:nsid w:val="628C895D"/>
    <w:multiLevelType w:val="hybridMultilevel"/>
    <w:lvl w:ilvl="0">
      <w:lvlJc w:val="left"/>
      <w:lvlText w:val="(%1)"/>
      <w:numFmt w:val="lowerRoman"/>
      <w:start w:val="6"/>
    </w:lvl>
    <w:lvl w:ilvl="1">
      <w:lvlJc w:val="left"/>
      <w:lvlText w:val="(%2)"/>
      <w:numFmt w:val="upperLetter"/>
      <w:start w:val="1"/>
    </w:lvl>
  </w:abstractNum>
  <w:abstractNum w:abstractNumId="7">
    <w:nsid w:val="333AB10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8">
    <w:nsid w:val="721DA317"/>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9">
    <w:nsid w:val="2443A858"/>
    <w:multiLevelType w:val="hybridMultilevel"/>
    <w:lvl w:ilvl="0">
      <w:lvlJc w:val="left"/>
      <w:lvlText w:val="%1"/>
      <w:numFmt w:val="lowerRoman"/>
      <w:start w:val="1"/>
    </w:lvl>
    <w:lvl w:ilvl="1">
      <w:lvlJc w:val="left"/>
      <w:lvlText w:val="(%2)"/>
      <w:numFmt w:val="upperLetter"/>
      <w:start w:val="3"/>
    </w:lvl>
  </w:abstractNum>
  <w:abstractNum w:abstractNumId="10">
    <w:nsid w:val="2D1D5AE9"/>
    <w:multiLevelType w:val="hybridMultilevel"/>
    <w:lvl w:ilvl="0">
      <w:lvlJc w:val="left"/>
      <w:lvlText w:val="(%1)"/>
      <w:numFmt w:val="lowerRoman"/>
      <w:start w:val="3"/>
    </w:lvl>
    <w:lvl w:ilvl="1">
      <w:lvlJc w:val="left"/>
      <w:lvlText w:val="(%2)"/>
      <w:numFmt w:val="upperLetter"/>
      <w:start w:val="1"/>
    </w:lvl>
  </w:abstractNum>
  <w:abstractNum w:abstractNumId="11">
    <w:nsid w:val="6763845E"/>
    <w:multiLevelType w:val="hybridMultilevel"/>
    <w:lvl w:ilvl="0">
      <w:lvlJc w:val="left"/>
      <w:lvlText w:val="(%1)"/>
      <w:numFmt w:val="lowerRoman"/>
      <w:start w:val="8"/>
    </w:lvl>
    <w:lvl w:ilvl="1">
      <w:lvlJc w:val="left"/>
      <w:lvlText w:val="(%2)"/>
      <w:numFmt w:val="upperLetter"/>
      <w:start w:val="1"/>
    </w:lvl>
  </w:abstractNum>
  <w:abstractNum w:abstractNumId="12">
    <w:nsid w:val="75A2A8D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3">
    <w:nsid w:val="8EDBDAB"/>
    <w:multiLevelType w:val="hybridMultilevel"/>
    <w:lvl w:ilvl="0">
      <w:lvlJc w:val="left"/>
      <w:lvlText w:val="%1"/>
      <w:numFmt w:val="lowerLetter"/>
      <w:start w:val="1"/>
    </w:lvl>
    <w:lvl w:ilvl="1">
      <w:lvlJc w:val="left"/>
      <w:lvlText w:val="(%2)"/>
      <w:numFmt w:val="lowerRoman"/>
      <w:start w:val="13"/>
    </w:lvl>
    <w:lvl w:ilvl="2">
      <w:lvlJc w:val="left"/>
      <w:lvlText w:val="%3"/>
      <w:numFmt w:val="upperLetter"/>
      <w:start w:val="1"/>
    </w:lvl>
  </w:abstractNum>
  <w:abstractNum w:abstractNumId="14">
    <w:nsid w:val="79838CB2"/>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5">
    <w:nsid w:val="4353D0CD"/>
    <w:multiLevelType w:val="hybridMultilevel"/>
    <w:lvl w:ilvl="0">
      <w:lvlJc w:val="left"/>
      <w:lvlText w:val="(%1)"/>
      <w:numFmt w:val="lowerLetter"/>
      <w:start w:val="5"/>
    </w:lvl>
  </w:abstractNum>
  <w:abstractNum w:abstractNumId="16">
    <w:nsid w:val="B03E0C6"/>
    <w:multiLevelType w:val="hybridMultilevel"/>
    <w:lvl w:ilvl="0">
      <w:lvlJc w:val="left"/>
      <w:lvlText w:val="(%1)"/>
      <w:numFmt w:val="lowerLetter"/>
      <w:start w:val="6"/>
    </w:lvl>
  </w:abstractNum>
  <w:abstractNum w:abstractNumId="17">
    <w:nsid w:val="189A769B"/>
    <w:multiLevelType w:val="hybridMultilevel"/>
    <w:lvl w:ilvl="0">
      <w:lvlJc w:val="left"/>
      <w:lvlText w:val="(%1)"/>
      <w:numFmt w:val="lowerLetter"/>
      <w:start w:val="1"/>
    </w:lvl>
  </w:abstractNum>
  <w:abstractNum w:abstractNumId="18">
    <w:nsid w:val="54E49EB4"/>
    <w:multiLevelType w:val="hybridMultilevel"/>
    <w:lvl w:ilvl="0">
      <w:lvlJc w:val="left"/>
      <w:lvlText w:val="(%1)"/>
      <w:numFmt w:val="lowerLetter"/>
      <w:start w:val="5"/>
    </w:lvl>
  </w:abstractNum>
  <w:abstractNum w:abstractNumId="19">
    <w:nsid w:val="71F32454"/>
    <w:multiLevelType w:val="hybridMultilevel"/>
    <w:lvl w:ilvl="0">
      <w:lvlJc w:val="left"/>
      <w:lvlText w:val="(%1)"/>
      <w:numFmt w:val="lowerLetter"/>
      <w:start w:val="9"/>
    </w:lvl>
  </w:abstractNum>
  <w:abstractNum w:abstractNumId="20">
    <w:nsid w:val="2CA88611"/>
    <w:multiLevelType w:val="hybridMultilevel"/>
    <w:lvl w:ilvl="0">
      <w:lvlJc w:val="left"/>
      <w:lvlText w:val="%1"/>
      <w:numFmt w:val="lowerLetter"/>
      <w:start w:val="1"/>
    </w:lvl>
    <w:lvl w:ilvl="1">
      <w:lvlJc w:val="left"/>
      <w:lvlText w:val="(%2)"/>
      <w:numFmt w:val="lowerLetter"/>
      <w:start w:val="13"/>
    </w:lvl>
  </w:abstractNum>
  <w:abstractNum w:abstractNumId="21">
    <w:nsid w:val="836C40E"/>
    <w:multiLevelType w:val="hybridMultilevel"/>
    <w:lvl w:ilvl="0">
      <w:lvlJc w:val="left"/>
      <w:lvlText w:val="(%1)"/>
      <w:numFmt w:val="lowerLetter"/>
      <w:start w:val="22"/>
    </w:lvl>
    <w:lvl w:ilvl="1">
      <w:lvlJc w:val="left"/>
      <w:lvlText w:val="%2"/>
      <w:numFmt w:val="lowerLetter"/>
      <w:start w:val="1"/>
    </w:lvl>
  </w:abstractNum>
  <w:abstractNum w:abstractNumId="22">
    <w:nsid w:val="2901D82"/>
    <w:multiLevelType w:val="hybridMultilevel"/>
    <w:lvl w:ilvl="0">
      <w:lvlJc w:val="left"/>
      <w:lvlText w:val="(%1)"/>
      <w:numFmt w:val="lowerLetter"/>
      <w:start w:val="1"/>
    </w:lvl>
  </w:abstractNum>
  <w:abstractNum w:abstractNumId="23">
    <w:nsid w:val="3A95F874"/>
    <w:multiLevelType w:val="hybridMultilevel"/>
    <w:lvl w:ilvl="0">
      <w:lvlJc w:val="left"/>
      <w:lvlText w:val="(%1)"/>
      <w:numFmt w:val="lowerLetter"/>
      <w:start w:val="3"/>
    </w:lvl>
  </w:abstractNum>
  <w:abstractNum w:abstractNumId="24">
    <w:nsid w:val="8138641"/>
    <w:multiLevelType w:val="hybridMultilevel"/>
    <w:lvl w:ilvl="0">
      <w:lvlJc w:val="left"/>
      <w:lvlText w:val="%1"/>
      <w:numFmt w:val="lowerLetter"/>
      <w:start w:val="1"/>
    </w:lvl>
    <w:lvl w:ilvl="1">
      <w:lvlJc w:val="left"/>
      <w:lvlText w:val="(%2)"/>
      <w:numFmt w:val="lowerLetter"/>
      <w:start w:val="8"/>
    </w:lvl>
  </w:abstractNum>
  <w:abstractNum w:abstractNumId="25">
    <w:nsid w:val="1E7FF521"/>
    <w:multiLevelType w:val="hybridMultilevel"/>
    <w:lvl w:ilvl="0">
      <w:lvlJc w:val="left"/>
      <w:lvlText w:val="(%1)"/>
      <w:numFmt w:val="lowerLetter"/>
      <w:start w:val="35"/>
    </w:lvl>
    <w:lvl w:ilvl="1">
      <w:lvlJc w:val="left"/>
      <w:lvlText w:val="(%2)"/>
      <w:numFmt w:val="lowerLetter"/>
      <w:start w:val="9"/>
    </w:lvl>
  </w:abstractNum>
  <w:abstractNum w:abstractNumId="26">
    <w:nsid w:val="7C3DBD3D"/>
    <w:multiLevelType w:val="hybridMultilevel"/>
    <w:lvl w:ilvl="0">
      <w:lvlJc w:val="left"/>
      <w:lvlText w:val="(%1)"/>
      <w:numFmt w:val="lowerLetter"/>
      <w:start w:val="14"/>
    </w:lvl>
  </w:abstractNum>
  <w:abstractNum w:abstractNumId="27">
    <w:nsid w:val="737B8DDC"/>
    <w:multiLevelType w:val="hybridMultilevel"/>
    <w:lvl w:ilvl="0">
      <w:lvlJc w:val="left"/>
      <w:lvlText w:val="(%1)"/>
      <w:numFmt w:val="lowerLetter"/>
      <w:start w:val="1"/>
    </w:lvl>
  </w:abstractNum>
  <w:abstractNum w:abstractNumId="28">
    <w:nsid w:val="6CEAF087"/>
    <w:multiLevelType w:val="hybridMultilevel"/>
    <w:lvl w:ilvl="0">
      <w:lvlJc w:val="left"/>
      <w:lvlText w:val="%1"/>
      <w:numFmt w:val="lowerLetter"/>
      <w:start w:val="1"/>
    </w:lvl>
    <w:lvl w:ilvl="1">
      <w:lvlJc w:val="left"/>
      <w:lvlText w:val="(%2)"/>
      <w:numFmt w:val="lowerLetter"/>
      <w:start w:val="1"/>
    </w:lvl>
  </w:abstractNum>
  <w:abstractNum w:abstractNumId="29">
    <w:nsid w:val="22221A70"/>
    <w:multiLevelType w:val="hybridMultilevel"/>
    <w:lvl w:ilvl="0">
      <w:lvlJc w:val="left"/>
      <w:lvlText w:val="(%1)"/>
      <w:numFmt w:val="lowerLetter"/>
      <w:start w:val="35"/>
    </w:lvl>
    <w:lvl w:ilvl="1">
      <w:lvlJc w:val="left"/>
      <w:lvlText w:val="%2"/>
      <w:numFmt w:val="lowerLetter"/>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1"/>
    </w:lvl>
  </w:abstractNum>
  <w:abstractNum w:abstractNumId="32">
    <w:nsid w:val="614FD4A1"/>
    <w:multiLevelType w:val="hybridMultilevel"/>
    <w:lvl w:ilvl="0">
      <w:lvlJc w:val="left"/>
      <w:lvlText w:val="(%1)"/>
      <w:numFmt w:val="decimal"/>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2023-05-18T15:38:58Z</dcterms:created>
  <dcterms:modified xsi:type="dcterms:W3CDTF">2023-05-18T15:38:58Z</dcterms:modified>
</cp:coreProperties>
</file>