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420" w:type="dxa"/>
            <w:vAlign w:val="bottom"/>
          </w:tcPr>
          <w:p>
            <w:pPr>
              <w:jc w:val="center"/>
              <w:ind w:right="739"/>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right"/>
              <w:ind w:right="1259"/>
              <w:spacing w:after="0"/>
              <w:rPr>
                <w:sz w:val="20"/>
                <w:szCs w:val="20"/>
                <w:color w:val="auto"/>
              </w:rPr>
            </w:pPr>
            <w:r>
              <w:rPr>
                <w:rFonts w:ascii="Arial" w:cs="Arial" w:eastAsia="Arial" w:hAnsi="Arial"/>
                <w:sz w:val="18"/>
                <w:szCs w:val="18"/>
                <w:b w:val="1"/>
                <w:bCs w:val="1"/>
                <w:color w:val="auto"/>
              </w:rPr>
              <w:t>001-03761</w:t>
            </w:r>
          </w:p>
        </w:tc>
        <w:tc>
          <w:tcPr>
            <w:tcW w:w="308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3420" w:type="dxa"/>
            <w:vAlign w:val="bottom"/>
          </w:tcPr>
          <w:p>
            <w:pPr>
              <w:ind w:left="540"/>
              <w:spacing w:after="0"/>
              <w:rPr>
                <w:sz w:val="20"/>
                <w:szCs w:val="20"/>
                <w:color w:val="auto"/>
              </w:rPr>
            </w:pPr>
            <w:r>
              <w:rPr>
                <w:rFonts w:ascii="Arial" w:cs="Arial" w:eastAsia="Arial" w:hAnsi="Arial"/>
                <w:sz w:val="14"/>
                <w:szCs w:val="14"/>
                <w:b w:val="1"/>
                <w:bCs w:val="1"/>
                <w:color w:val="auto"/>
              </w:rPr>
              <w:t>(State of incorporation)</w:t>
            </w:r>
          </w:p>
        </w:tc>
        <w:tc>
          <w:tcPr>
            <w:tcW w:w="33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(Commission File Number)</w:t>
            </w:r>
          </w:p>
        </w:tc>
        <w:tc>
          <w:tcPr>
            <w:tcW w:w="3080" w:type="dxa"/>
            <w:vAlign w:val="bottom"/>
          </w:tcPr>
          <w:p>
            <w:pPr>
              <w:jc w:val="center"/>
              <w:ind w:left="79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1"/>
        </w:trPr>
        <w:tc>
          <w:tcPr>
            <w:tcW w:w="3420" w:type="dxa"/>
            <w:vAlign w:val="bottom"/>
          </w:tcPr>
          <w:p>
            <w:pPr>
              <w:jc w:val="center"/>
              <w:ind w:right="719"/>
              <w:spacing w:after="0"/>
              <w:rPr>
                <w:sz w:val="20"/>
                <w:szCs w:val="20"/>
                <w:color w:val="auto"/>
              </w:rPr>
            </w:pPr>
            <w:r>
              <w:rPr>
                <w:rFonts w:ascii="Arial" w:cs="Arial" w:eastAsia="Arial" w:hAnsi="Arial"/>
                <w:sz w:val="18"/>
                <w:szCs w:val="18"/>
                <w:b w:val="1"/>
                <w:bCs w:val="1"/>
                <w:color w:val="auto"/>
                <w:w w:val="90"/>
              </w:rPr>
              <w:t>12500 TI Boulevard, Dallas, Texas</w:t>
            </w:r>
          </w:p>
        </w:tc>
        <w:tc>
          <w:tcPr>
            <w:tcW w:w="3380" w:type="dxa"/>
            <w:vAlign w:val="bottom"/>
          </w:tcPr>
          <w:p>
            <w:pPr>
              <w:spacing w:after="0"/>
              <w:rPr>
                <w:sz w:val="24"/>
                <w:szCs w:val="24"/>
                <w:color w:val="auto"/>
              </w:rPr>
            </w:pPr>
          </w:p>
        </w:tc>
        <w:tc>
          <w:tcPr>
            <w:tcW w:w="3080" w:type="dxa"/>
            <w:vAlign w:val="bottom"/>
          </w:tcPr>
          <w:p>
            <w:pPr>
              <w:jc w:val="right"/>
              <w:ind w:right="779"/>
              <w:spacing w:after="0"/>
              <w:rPr>
                <w:sz w:val="20"/>
                <w:szCs w:val="20"/>
                <w:color w:val="auto"/>
              </w:rPr>
            </w:pPr>
            <w:r>
              <w:rPr>
                <w:rFonts w:ascii="Arial" w:cs="Arial" w:eastAsia="Arial" w:hAnsi="Arial"/>
                <w:sz w:val="18"/>
                <w:szCs w:val="18"/>
                <w:b w:val="1"/>
                <w:bCs w:val="1"/>
                <w:color w:val="auto"/>
              </w:rPr>
              <w:t>75243</w:t>
            </w:r>
          </w:p>
        </w:tc>
      </w:tr>
      <w:tr>
        <w:trPr>
          <w:trHeight w:val="186"/>
        </w:trPr>
        <w:tc>
          <w:tcPr>
            <w:tcW w:w="3420" w:type="dxa"/>
            <w:vAlign w:val="bottom"/>
          </w:tcPr>
          <w:p>
            <w:pPr>
              <w:jc w:val="center"/>
              <w:ind w:right="7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spacing w:after="0"/>
              <w:rPr>
                <w:sz w:val="16"/>
                <w:szCs w:val="16"/>
                <w:color w:val="auto"/>
              </w:rPr>
            </w:pPr>
          </w:p>
        </w:tc>
        <w:tc>
          <w:tcPr>
            <w:tcW w:w="3080" w:type="dxa"/>
            <w:vAlign w:val="bottom"/>
          </w:tcPr>
          <w:p>
            <w:pPr>
              <w:jc w:val="center"/>
              <w:ind w:left="819"/>
              <w:spacing w:after="0"/>
              <w:rPr>
                <w:sz w:val="20"/>
                <w:szCs w:val="20"/>
                <w:color w:val="auto"/>
              </w:rPr>
            </w:pPr>
            <w:r>
              <w:rPr>
                <w:rFonts w:ascii="Arial" w:cs="Arial" w:eastAsia="Arial" w:hAnsi="Arial"/>
                <w:sz w:val="14"/>
                <w:szCs w:val="14"/>
                <w:b w:val="1"/>
                <w:bCs w:val="1"/>
                <w:color w:val="auto"/>
                <w:w w:val="92"/>
              </w:rPr>
              <w:t>(Zip code)</w:t>
            </w:r>
          </w:p>
        </w:tc>
      </w:tr>
    </w:tbl>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Jeff McLaughlin, 214-479-3773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868045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9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2018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Form SD is available on our web site at www.ti.com/conflictminerals. We are not incorporating by reference the contents of our web site into this Form SD.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2018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3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1.01 –</w:t>
      </w:r>
      <w:r>
        <w:rPr>
          <w:sz w:val="20"/>
          <w:szCs w:val="20"/>
          <w:color w:val="auto"/>
        </w:rPr>
        <w:tab/>
      </w:r>
      <w:r>
        <w:rPr>
          <w:rFonts w:ascii="Arial" w:cs="Arial" w:eastAsia="Arial" w:hAnsi="Arial"/>
          <w:sz w:val="16"/>
          <w:szCs w:val="16"/>
          <w:u w:val="single" w:color="auto"/>
          <w:color w:val="0000EE"/>
        </w:rPr>
        <w:t>Conflict Minerals Report as required by Items 1.01 and 1.02 of this Form.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TEXAS INSTRUMENTS 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2019</w:t>
      </w:r>
    </w:p>
    <w:p>
      <w:pPr>
        <w:spacing w:after="0" w:line="23"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240" w:top="35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2018</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www.ti.com/conflictminerals.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154"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of Due Diligence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2018 (collectively, “CMs”). We designed the CM Process with the intent to conform in all material respects with the OECD Due Diligence Guidance for Responsible Supply Chains of Minerals from Conflict-Affected and High-Risk Areas (Second Edition). The design of the CM Process included the following:</w:t>
      </w:r>
    </w:p>
    <w:p>
      <w:pPr>
        <w:spacing w:after="0" w:line="80" w:lineRule="exact"/>
        <w:rPr>
          <w:sz w:val="20"/>
          <w:szCs w:val="20"/>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conflict minerals policy;</w:t>
      </w:r>
    </w:p>
    <w:p>
      <w:pPr>
        <w:spacing w:after="0" w:line="117" w:lineRule="exact"/>
        <w:rPr>
          <w:rFonts w:ascii="Arial" w:cs="Arial" w:eastAsia="Arial" w:hAnsi="Arial"/>
          <w:sz w:val="18"/>
          <w:szCs w:val="18"/>
          <w:color w:val="auto"/>
        </w:rPr>
      </w:pPr>
    </w:p>
    <w:p>
      <w:pPr>
        <w:jc w:val="both"/>
        <w:ind w:left="760" w:right="20" w:hanging="374"/>
        <w:spacing w:after="0" w:line="286" w:lineRule="auto"/>
        <w:tabs>
          <w:tab w:leader="none" w:pos="7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 organizational structure and processes intended to ensure that our direct suppliers of materials that contain CMs and third-party manufacturers of our products that contain CMs (collectively, “Suppliers”) are made aware of TI’s policy on CMs and that information received by TI that is relevant to supply-chain due diligence reaches TI employees who have knowledge of the SEC disclosure requirements;</w:t>
      </w:r>
    </w:p>
    <w:p>
      <w:pPr>
        <w:spacing w:after="0" w:line="57" w:lineRule="exact"/>
        <w:rPr>
          <w:rFonts w:ascii="Arial" w:cs="Arial" w:eastAsia="Arial" w:hAnsi="Arial"/>
          <w:sz w:val="17"/>
          <w:szCs w:val="17"/>
          <w:color w:val="auto"/>
        </w:rPr>
      </w:pPr>
    </w:p>
    <w:p>
      <w:pPr>
        <w:ind w:left="760" w:right="80" w:hanging="374"/>
        <w:spacing w:after="0" w:line="259"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process, which uses a reporting tool developed by the Responsible Minerals Initiative (“RMI”) and data gathered through the Responsible Minerals Assurance Process (“RMAP”) (as further described below), to achieve control and transparency over our CM supply chain and identify the risk that our products may contain CMs directly or indirectly financing or benefiting armed groups in the Democratic Republic of the Congo or any adjoining country (each a “Covered Country”);</w:t>
      </w:r>
    </w:p>
    <w:p>
      <w:pPr>
        <w:spacing w:after="0" w:line="78"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assessment and management of risks identified through the process described above;</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mechanism for Suppliers and others to communicate to TI their concerns with respect to our CM Process;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reliance on the RMAP to validate supply chain due diligence;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reporting of the results of our due diligence.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    Reliance on Third-Party Data</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ability to determine the origin and chain of custody of CMs, and whether they directly or indirectly finance or benefit armed groups in any Covered Country (the “Conflict Status”), is limited. Our supply chain for CMs is complex. In many cases, we are multiple steps removed from the smelter or the mine, and we depend on information from Suppliers that themselves have incomplete information about the origin of the CMs incorporated in the products they supply to us.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gain insight into the country of origin, chain of custody and Conflict Status of the CMs in our supply chain, we relied primarily on the findings of the RMAP. The RMAP is a voluntary program in which an independent third party evaluates smelters’ and refiners’ procurement and inventory practices and determines whether the smelter or refiner (“Smelter”) has demonstrated that all the materials it processed originated from conflict-free sources. The RMAP is overseen by the RMI, which was established by members of the Responsible Business Alliance (“RBA”) and the Global e-Sustainability Initiative. TI is a member of the RBA and RMI.</w:t>
      </w:r>
    </w:p>
    <w:p>
      <w:pPr>
        <w:spacing w:after="0" w:line="188"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Diligence Measures Taken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took to exercise due diligence on the source and chain of custody of our CMs are as follows:</w:t>
      </w:r>
    </w:p>
    <w:p>
      <w:pPr>
        <w:spacing w:after="0" w:line="117"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communicating our CM policy to Suppliers;</w:t>
      </w:r>
    </w:p>
    <w:p>
      <w:pPr>
        <w:spacing w:after="0" w:line="117" w:lineRule="exact"/>
        <w:rPr>
          <w:rFonts w:ascii="Arial" w:cs="Arial" w:eastAsia="Arial" w:hAnsi="Arial"/>
          <w:sz w:val="18"/>
          <w:szCs w:val="18"/>
          <w:color w:val="auto"/>
        </w:rPr>
      </w:pPr>
    </w:p>
    <w:p>
      <w:pPr>
        <w:ind w:left="760" w:right="14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directing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73"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analyzing Suppliers’ Conflict Minerals Reporting Template responses for completeness and internal consistency, and following up with Suppliers in an effort to obtain more information and ensure accuracy of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76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comparing the information received from Suppliers with the data made available by the RMAP concerning the country of origin and Conflict Status of CMs processed or refined by Smelters; and</w:t>
      </w:r>
    </w:p>
    <w:p>
      <w:pPr>
        <w:spacing w:after="0" w:line="62" w:lineRule="exact"/>
        <w:rPr>
          <w:rFonts w:ascii="Arial" w:cs="Arial" w:eastAsia="Arial" w:hAnsi="Arial"/>
          <w:sz w:val="18"/>
          <w:szCs w:val="18"/>
          <w:color w:val="auto"/>
        </w:rPr>
      </w:pPr>
    </w:p>
    <w:p>
      <w:pPr>
        <w:ind w:left="760" w:right="80" w:hanging="374"/>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reviewing other source materials for Smelters that are not compliant with the RMI (these Smelters may supply CMs to us for products other than ICs)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IV.</w:t>
        <w:tab/>
        <w:t>Our Findings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We have determined that all of our integrated circuits (“ICs”) </w:t>
      </w:r>
      <w:r>
        <w:rPr>
          <w:rFonts w:ascii="Arial" w:cs="Arial" w:eastAsia="Arial" w:hAnsi="Arial"/>
          <w:sz w:val="15"/>
          <w:szCs w:val="15"/>
          <w:color w:val="auto"/>
        </w:rPr>
        <w:t>1</w:t>
      </w:r>
      <w:r>
        <w:rPr>
          <w:rFonts w:ascii="Arial" w:cs="Arial" w:eastAsia="Arial" w:hAnsi="Arial"/>
          <w:sz w:val="18"/>
          <w:szCs w:val="18"/>
          <w:color w:val="auto"/>
        </w:rPr>
        <w:t xml:space="preserve"> were conflict-free. Our determination is based on the finding that all the Smelters identified to us by our Suppliers as being potentially in the supply chain for these products in 2018 supplied CMs exclusively from conflict-free sources. ICs accounted for approximately 91 percent of TI revenue in 2018.</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2018, we continued to make progress in our due diligence efforts with regard to Smelters that are not compliant with the RMI (these Smelters may supply CMs to us for products other than ICs). While we primarily relied on information from our first-tier suppliers, in some cases we contacted second-tier suppliers for more complete information. That information, combined with the information available through the RMAP, provided us with greater insight into the Conflict Status of CMs identified as potentially in our supply chain.</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the Smelters identified for 2018, we have determined that the CMs potentially supplied to us by 88 percent of the Smelters were conflict-free, as compared with 81 percent for 2017. Another 1 percent of the Smelters identified for 2018 have committed to participate in a third-party audit of their Conflict</w:t>
      </w:r>
    </w:p>
    <w:p>
      <w:pPr>
        <w:ind w:right="440"/>
        <w:spacing w:after="0" w:line="261" w:lineRule="auto"/>
        <w:rPr>
          <w:sz w:val="20"/>
          <w:szCs w:val="20"/>
          <w:color w:val="auto"/>
        </w:rPr>
      </w:pPr>
      <w:r>
        <w:rPr>
          <w:rFonts w:ascii="Arial" w:cs="Arial" w:eastAsia="Arial" w:hAnsi="Arial"/>
          <w:sz w:val="18"/>
          <w:szCs w:val="18"/>
          <w:color w:val="auto"/>
        </w:rPr>
        <w:t>Status. In no instance did we find CMs in our supply chain to be from a source that, to our knowledge, was directly or indirectly financing or benefiting armed conflict in a Covered Country.</w:t>
      </w:r>
    </w:p>
    <w:p>
      <w:pPr>
        <w:spacing w:after="0" w:line="18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do not have complete information about the CMs in our entire supply chain. For 2018, approximately 76 percent of Suppliers identified Smelters in their supply chains on a company-wide, division or product-line basis, without specifying which Smelters were relevant to products they supplied to</w:t>
      </w:r>
    </w:p>
    <w:p>
      <w:pPr>
        <w:spacing w:after="0"/>
        <w:rPr>
          <w:sz w:val="20"/>
          <w:szCs w:val="20"/>
          <w:color w:val="auto"/>
        </w:rPr>
      </w:pPr>
      <w:r>
        <w:rPr>
          <w:rFonts w:ascii="Arial" w:cs="Arial" w:eastAsia="Arial" w:hAnsi="Arial"/>
          <w:sz w:val="17"/>
          <w:szCs w:val="17"/>
          <w:color w:val="auto"/>
        </w:rPr>
        <w:t>TI. (Accordingly, we refer in this Conflict Minerals Report to Smelters as being “potentially” in our supply chain and as CMs “potentially” supplied to</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TI.) Industry efforts to collect and verify CM origin information remain incomplete. For Smelters that have committed to participate in a third-party audit of their Conflict Status, that status is currently undeterminable because the audits are not complete. The results of our due diligence, which are summarized in the charts below, reflect these limitations.</w:t>
      </w:r>
    </w:p>
    <w:p>
      <w:pPr>
        <w:spacing w:after="0" w:line="200" w:lineRule="exact"/>
        <w:rPr>
          <w:sz w:val="20"/>
          <w:szCs w:val="20"/>
          <w:color w:val="auto"/>
        </w:rPr>
      </w:pPr>
    </w:p>
    <w:p>
      <w:pPr>
        <w:spacing w:after="0" w:line="328" w:lineRule="exact"/>
        <w:rPr>
          <w:sz w:val="20"/>
          <w:szCs w:val="20"/>
          <w:color w:val="auto"/>
        </w:rPr>
      </w:pPr>
    </w:p>
    <w:p>
      <w:pPr>
        <w:ind w:left="140" w:right="300" w:hanging="132"/>
        <w:spacing w:after="0" w:line="342" w:lineRule="auto"/>
        <w:tabs>
          <w:tab w:leader="none" w:pos="140" w:val="left"/>
        </w:tabs>
        <w:numPr>
          <w:ilvl w:val="0"/>
          <w:numId w:val="7"/>
        </w:numPr>
        <w:rPr>
          <w:rFonts w:ascii="Arial" w:cs="Arial" w:eastAsia="Arial" w:hAnsi="Arial"/>
          <w:sz w:val="14"/>
          <w:szCs w:val="14"/>
          <w:color w:val="auto"/>
        </w:rPr>
      </w:pPr>
      <w:r>
        <w:rPr>
          <w:rFonts w:ascii="Arial" w:cs="Arial" w:eastAsia="Arial" w:hAnsi="Arial"/>
          <w:sz w:val="16"/>
          <w:szCs w:val="16"/>
          <w:color w:val="auto"/>
        </w:rPr>
        <w:t>“Integrated circuits” refers to finished semiconductor products that contain chips manufactured by or for TI and packaging subcomponents such as mold compounds, bond wires and lead frames. It excludes DLP® products, semiconductor modules and all other products manufactured by or for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 w:name="page6"/>
    <w:bookmarkEnd w:id="5"/>
    <w:p>
      <w:pPr>
        <w:jc w:val="center"/>
        <w:ind w:right="840"/>
        <w:spacing w:after="0"/>
        <w:rPr>
          <w:sz w:val="20"/>
          <w:szCs w:val="20"/>
          <w:color w:val="auto"/>
        </w:rPr>
      </w:pPr>
      <w:r>
        <w:rPr>
          <w:rFonts w:ascii="Arial" w:cs="Arial" w:eastAsia="Arial" w:hAnsi="Arial"/>
          <w:sz w:val="22"/>
          <w:szCs w:val="22"/>
          <w:b w:val="1"/>
          <w:bCs w:val="1"/>
          <w:color w:val="auto"/>
        </w:rPr>
        <w:t>Smelter Status – Overview</w:t>
      </w:r>
    </w:p>
    <w:p>
      <w:pPr>
        <w:spacing w:after="0" w:line="190" w:lineRule="exact"/>
        <w:rPr>
          <w:sz w:val="20"/>
          <w:szCs w:val="20"/>
          <w:color w:val="auto"/>
        </w:rPr>
      </w:pPr>
    </w:p>
    <w:p>
      <w:pPr>
        <w:jc w:val="center"/>
        <w:ind w:right="840"/>
        <w:spacing w:after="0"/>
        <w:rPr>
          <w:sz w:val="20"/>
          <w:szCs w:val="20"/>
          <w:color w:val="auto"/>
        </w:rPr>
      </w:pPr>
      <w:r>
        <w:rPr>
          <w:rFonts w:ascii="Arial" w:cs="Arial" w:eastAsia="Arial" w:hAnsi="Arial"/>
          <w:sz w:val="20"/>
          <w:szCs w:val="20"/>
          <w:u w:val="single" w:color="auto"/>
          <w:color w:val="auto"/>
        </w:rPr>
        <w:t>IC Supply Chain</w:t>
      </w:r>
    </w:p>
    <w:p>
      <w:pPr>
        <w:spacing w:after="0" w:line="228" w:lineRule="exact"/>
        <w:rPr>
          <w:sz w:val="20"/>
          <w:szCs w:val="20"/>
          <w:color w:val="auto"/>
        </w:rPr>
      </w:pPr>
    </w:p>
    <w:p>
      <w:pPr>
        <w:ind w:left="1440"/>
        <w:spacing w:after="0"/>
        <w:tabs>
          <w:tab w:leader="none" w:pos="7120" w:val="left"/>
        </w:tabs>
        <w:rPr>
          <w:sz w:val="20"/>
          <w:szCs w:val="20"/>
          <w:color w:val="auto"/>
        </w:rPr>
      </w:pPr>
      <w:r>
        <w:rPr>
          <w:rFonts w:ascii="Arial" w:cs="Arial" w:eastAsia="Arial" w:hAnsi="Arial"/>
          <w:sz w:val="16"/>
          <w:szCs w:val="16"/>
          <w:b w:val="1"/>
          <w:bCs w:val="1"/>
          <w:u w:val="single" w:color="auto"/>
          <w:color w:val="auto"/>
        </w:rPr>
        <w:t>2017</w:t>
      </w:r>
      <w:r>
        <w:rPr>
          <w:sz w:val="20"/>
          <w:szCs w:val="20"/>
          <w:color w:val="auto"/>
        </w:rPr>
        <w:tab/>
      </w:r>
      <w:r>
        <w:rPr>
          <w:rFonts w:ascii="Arial" w:cs="Arial" w:eastAsia="Arial" w:hAnsi="Arial"/>
          <w:sz w:val="16"/>
          <w:szCs w:val="16"/>
          <w:b w:val="1"/>
          <w:bCs w:val="1"/>
          <w:u w:val="single" w:color="auto"/>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169545</wp:posOffset>
            </wp:positionV>
            <wp:extent cx="6551930" cy="1637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1930" cy="1637665"/>
                    </a:xfrm>
                    <a:prstGeom prst="rect">
                      <a:avLst/>
                    </a:prstGeom>
                    <a:noFill/>
                  </pic:spPr>
                </pic:pic>
              </a:graphicData>
            </a:graphic>
          </wp:anchor>
        </w:drawing>
      </w:r>
    </w:p>
    <w:p>
      <w:pPr>
        <w:sectPr>
          <w:pgSz w:w="11900" w:h="16838" w:orient="portrait"/>
          <w:cols w:equalWidth="0" w:num="1">
            <w:col w:w="9860"/>
          </w:cols>
          <w:pgMar w:left="1440" w:top="51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40"/>
        <w:spacing w:after="0"/>
        <w:rPr>
          <w:sz w:val="20"/>
          <w:szCs w:val="20"/>
          <w:color w:val="auto"/>
        </w:rPr>
      </w:pPr>
      <w:r>
        <w:rPr>
          <w:rFonts w:ascii="Arial" w:cs="Arial" w:eastAsia="Arial" w:hAnsi="Arial"/>
          <w:sz w:val="16"/>
          <w:szCs w:val="16"/>
          <w:b w:val="1"/>
          <w:bCs w:val="1"/>
          <w:color w:val="auto"/>
        </w:rPr>
        <w:t>Total = 212 Smelters potentially in</w:t>
      </w:r>
    </w:p>
    <w:p>
      <w:pPr>
        <w:spacing w:after="0" w:line="50" w:lineRule="exact"/>
        <w:rPr>
          <w:sz w:val="20"/>
          <w:szCs w:val="20"/>
          <w:color w:val="auto"/>
        </w:rPr>
      </w:pPr>
    </w:p>
    <w:p>
      <w:pPr>
        <w:jc w:val="center"/>
        <w:ind w:right="2040"/>
        <w:spacing w:after="0"/>
        <w:rPr>
          <w:sz w:val="20"/>
          <w:szCs w:val="20"/>
          <w:color w:val="auto"/>
        </w:rPr>
      </w:pPr>
      <w:r>
        <w:rPr>
          <w:rFonts w:ascii="Arial" w:cs="Arial" w:eastAsia="Arial" w:hAnsi="Arial"/>
          <w:sz w:val="18"/>
          <w:szCs w:val="18"/>
          <w:b w:val="1"/>
          <w:bCs w:val="1"/>
          <w:color w:val="auto"/>
        </w:rPr>
        <w:t>the supply chain for 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Total = 246 Smelters potentially in</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supply chain for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142875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3860"/>
          </w:cols>
          <w:pgMar w:left="1440" w:top="517" w:right="599" w:bottom="1440" w:gutter="0" w:footer="0" w:header="0"/>
          <w:type w:val="continuous"/>
        </w:sect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5700" w:type="dxa"/>
            <w:vAlign w:val="bottom"/>
            <w:gridSpan w:val="4"/>
          </w:tcPr>
          <w:p>
            <w:pPr>
              <w:jc w:val="center"/>
              <w:ind w:right="170"/>
              <w:spacing w:after="0"/>
              <w:rPr>
                <w:sz w:val="20"/>
                <w:szCs w:val="20"/>
                <w:color w:val="auto"/>
              </w:rPr>
            </w:pPr>
            <w:r>
              <w:rPr>
                <w:rFonts w:ascii="Arial" w:cs="Arial" w:eastAsia="Arial" w:hAnsi="Arial"/>
                <w:sz w:val="20"/>
                <w:szCs w:val="20"/>
                <w:color w:val="auto"/>
                <w:w w:val="91"/>
              </w:rPr>
              <w:t>Overall Supply Chain</w:t>
            </w:r>
          </w:p>
        </w:tc>
      </w:tr>
      <w:tr>
        <w:trPr>
          <w:trHeight w:val="206"/>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20"/>
                <w:szCs w:val="20"/>
                <w:color w:val="auto"/>
                <w:w w:val="93"/>
              </w:rPr>
              <w:t>(including ICs)</w:t>
            </w:r>
          </w:p>
        </w:tc>
        <w:tc>
          <w:tcPr>
            <w:tcW w:w="2380" w:type="dxa"/>
            <w:vAlign w:val="bottom"/>
            <w:gridSpan w:val="2"/>
          </w:tcPr>
          <w:p>
            <w:pPr>
              <w:spacing w:after="0"/>
              <w:rPr>
                <w:sz w:val="17"/>
                <w:szCs w:val="17"/>
                <w:color w:val="auto"/>
              </w:rPr>
            </w:pPr>
          </w:p>
        </w:tc>
      </w:tr>
      <w:tr>
        <w:trPr>
          <w:trHeight w:val="412"/>
        </w:trPr>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2017</w:t>
            </w:r>
          </w:p>
        </w:tc>
        <w:tc>
          <w:tcPr>
            <w:tcW w:w="5340" w:type="dxa"/>
            <w:vAlign w:val="bottom"/>
            <w:gridSpan w:val="3"/>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17145</wp:posOffset>
            </wp:positionV>
            <wp:extent cx="6474460" cy="1981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4460" cy="1981200"/>
                    </a:xfrm>
                    <a:prstGeom prst="rect">
                      <a:avLst/>
                    </a:prstGeom>
                    <a:noFill/>
                  </pic:spPr>
                </pic:pic>
              </a:graphicData>
            </a:graphic>
          </wp:anchor>
        </w:drawing>
      </w:r>
    </w:p>
    <w:p>
      <w:pPr>
        <w:sectPr>
          <w:pgSz w:w="11900" w:h="16838" w:orient="portrait"/>
          <w:cols w:equalWidth="0" w:num="1">
            <w:col w:w="9860"/>
          </w:cols>
          <w:pgMar w:left="1440" w:top="517"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40"/>
        <w:spacing w:after="0"/>
        <w:rPr>
          <w:sz w:val="20"/>
          <w:szCs w:val="20"/>
          <w:color w:val="auto"/>
        </w:rPr>
      </w:pPr>
      <w:r>
        <w:rPr>
          <w:rFonts w:ascii="Arial" w:cs="Arial" w:eastAsia="Arial" w:hAnsi="Arial"/>
          <w:sz w:val="16"/>
          <w:szCs w:val="16"/>
          <w:b w:val="1"/>
          <w:bCs w:val="1"/>
          <w:color w:val="auto"/>
        </w:rPr>
        <w:t>Total = 311 Smelters potentially</w:t>
      </w:r>
    </w:p>
    <w:p>
      <w:pPr>
        <w:spacing w:after="0" w:line="50" w:lineRule="exact"/>
        <w:rPr>
          <w:sz w:val="20"/>
          <w:szCs w:val="20"/>
          <w:color w:val="auto"/>
        </w:rPr>
      </w:pPr>
    </w:p>
    <w:p>
      <w:pPr>
        <w:jc w:val="center"/>
        <w:ind w:right="2140"/>
        <w:spacing w:after="0"/>
        <w:rPr>
          <w:sz w:val="20"/>
          <w:szCs w:val="20"/>
          <w:color w:val="auto"/>
        </w:rPr>
      </w:pPr>
      <w:r>
        <w:rPr>
          <w:rFonts w:ascii="Arial" w:cs="Arial" w:eastAsia="Arial" w:hAnsi="Arial"/>
          <w:sz w:val="18"/>
          <w:szCs w:val="18"/>
          <w:b w:val="1"/>
          <w:bCs w:val="1"/>
          <w:color w:val="auto"/>
        </w:rPr>
        <w:t>in the supply chain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20"/>
        <w:spacing w:after="0"/>
        <w:rPr>
          <w:sz w:val="20"/>
          <w:szCs w:val="20"/>
          <w:color w:val="auto"/>
        </w:rPr>
      </w:pPr>
      <w:r>
        <w:rPr>
          <w:rFonts w:ascii="Arial" w:cs="Arial" w:eastAsia="Arial" w:hAnsi="Arial"/>
          <w:sz w:val="16"/>
          <w:szCs w:val="16"/>
          <w:b w:val="1"/>
          <w:bCs w:val="1"/>
          <w:color w:val="auto"/>
        </w:rPr>
        <w:t>Total = 284 Smelters potentially</w:t>
      </w:r>
    </w:p>
    <w:p>
      <w:pPr>
        <w:spacing w:after="0" w:line="50"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in the supply chain</w:t>
      </w:r>
    </w:p>
    <w:p>
      <w:pPr>
        <w:spacing w:after="0" w:line="200" w:lineRule="exact"/>
        <w:rPr>
          <w:sz w:val="20"/>
          <w:szCs w:val="20"/>
          <w:color w:val="auto"/>
        </w:rPr>
      </w:pPr>
    </w:p>
    <w:p>
      <w:pPr>
        <w:sectPr>
          <w:pgSz w:w="11900" w:h="16838" w:orient="portrait"/>
          <w:cols w:equalWidth="0" w:num="2">
            <w:col w:w="5380" w:space="720"/>
            <w:col w:w="3760"/>
          </w:cols>
          <w:pgMar w:left="1440" w:top="517" w:right="599" w:bottom="1440" w:gutter="0" w:footer="0" w:header="0"/>
          <w:type w:val="continuous"/>
        </w:sectPr>
      </w:pPr>
    </w:p>
    <w:p>
      <w:pPr>
        <w:spacing w:after="0" w:line="24"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 xml:space="preserve">Smelters for which we determined, based on an independent third-party audit, the conflict minerals potentially supplied to TI were </w:t>
      </w:r>
      <w:r>
        <w:rPr>
          <w:rFonts w:ascii="Arial" w:cs="Arial" w:eastAsia="Arial" w:hAnsi="Arial"/>
          <w:sz w:val="18"/>
          <w:szCs w:val="18"/>
          <w:u w:val="single" w:color="auto"/>
          <w:color w:val="auto"/>
        </w:rPr>
        <w:t>conflict-free</w:t>
      </w:r>
    </w:p>
    <w:p>
      <w:pPr>
        <w:spacing w:after="0" w:line="76"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 xml:space="preserve">Smelters for which we determined the origin of the minerals potentially supplied to us was </w:t>
      </w:r>
      <w:r>
        <w:rPr>
          <w:rFonts w:ascii="Arial" w:cs="Arial" w:eastAsia="Arial" w:hAnsi="Arial"/>
          <w:sz w:val="18"/>
          <w:szCs w:val="18"/>
          <w:u w:val="single" w:color="auto"/>
          <w:color w:val="auto"/>
        </w:rPr>
        <w:t>undeterminable</w:t>
      </w:r>
      <w:r>
        <w:rPr>
          <w:rFonts w:ascii="Arial" w:cs="Arial" w:eastAsia="Arial" w:hAnsi="Arial"/>
          <w:sz w:val="18"/>
          <w:szCs w:val="18"/>
          <w:color w:val="auto"/>
        </w:rPr>
        <w:t xml:space="preserve"> – these Smelters </w:t>
      </w:r>
      <w:r>
        <w:rPr>
          <w:rFonts w:ascii="Arial" w:cs="Arial" w:eastAsia="Arial" w:hAnsi="Arial"/>
          <w:sz w:val="18"/>
          <w:szCs w:val="18"/>
          <w:u w:val="single" w:color="auto"/>
          <w:color w:val="auto"/>
        </w:rPr>
        <w:t>have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committed to participate in a third-party audit of their Conflict Status</w:t>
      </w:r>
    </w:p>
    <w:p>
      <w:pPr>
        <w:spacing w:after="0" w:line="7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Smelters for which we determined the origin of the minerals potentially supplied to us was </w:t>
      </w:r>
      <w:r>
        <w:rPr>
          <w:rFonts w:ascii="Arial" w:cs="Arial" w:eastAsia="Arial" w:hAnsi="Arial"/>
          <w:sz w:val="18"/>
          <w:szCs w:val="18"/>
          <w:u w:val="single" w:color="auto"/>
          <w:color w:val="auto"/>
        </w:rPr>
        <w:t>undeterminable</w:t>
      </w:r>
      <w:r>
        <w:rPr>
          <w:rFonts w:ascii="Arial" w:cs="Arial" w:eastAsia="Arial" w:hAnsi="Arial"/>
          <w:sz w:val="18"/>
          <w:szCs w:val="18"/>
          <w:color w:val="auto"/>
        </w:rPr>
        <w:t xml:space="preserve"> –these Smelters </w:t>
      </w:r>
      <w:r>
        <w:rPr>
          <w:rFonts w:ascii="Arial" w:cs="Arial" w:eastAsia="Arial" w:hAnsi="Arial"/>
          <w:sz w:val="18"/>
          <w:szCs w:val="18"/>
          <w:u w:val="single" w:color="auto"/>
          <w:color w:val="auto"/>
        </w:rPr>
        <w:t>have not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committed to participate in a third-party audit of their Conflict Status</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165100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860"/>
          </w:cols>
          <w:pgMar w:left="1440" w:top="517" w:right="599" w:bottom="1440" w:gutter="0" w:footer="0" w:header="0"/>
          <w:type w:val="continuous"/>
        </w:sectPr>
      </w:pPr>
    </w:p>
    <w:bookmarkStart w:id="6" w:name="page7"/>
    <w:bookmarkEnd w:id="6"/>
    <w:p>
      <w:pPr>
        <w:jc w:val="center"/>
        <w:ind w:right="-139"/>
        <w:spacing w:after="0"/>
        <w:rPr>
          <w:sz w:val="20"/>
          <w:szCs w:val="20"/>
          <w:color w:val="auto"/>
        </w:rPr>
      </w:pPr>
      <w:r>
        <w:rPr>
          <w:rFonts w:ascii="Arial" w:cs="Arial" w:eastAsia="Arial" w:hAnsi="Arial"/>
          <w:sz w:val="22"/>
          <w:szCs w:val="22"/>
          <w:b w:val="1"/>
          <w:bCs w:val="1"/>
          <w:color w:val="auto"/>
        </w:rPr>
        <w:t>Smelter Status – By CM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For an explanation of the color codes, see the notes in the Smelter Status – Overview charts directly above.</w:t>
      </w: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Smelters identified by our Suppliers as potentially in our supply chain are listed in Appendix A hereto. Our efforts to determine the mine or location of origin of the CMs consisted of the due diligence measures described above.</w:t>
      </w:r>
    </w:p>
    <w:p>
      <w:pPr>
        <w:spacing w:after="0" w:line="170"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Scope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2018, our products were divided into two reportable segments as described in our annual report on Form 10-K for the year ended December 31, 2018: Analog (consisting of Power, Signal Chain, and High Volume product lines) and Embedded Processing (consisting of Connected Microcontrollers and Processors product lines). We report the results of our remaining business activities in Other. Other includes operating segments that do not meet the quantitative thresholds for individually reportable segments and cannot be aggregated with other operating segments (Other includes DLP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w:t>
        <w:tab/>
        <w:t>Risk-Mitigation Efforts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Since the period covered by this Conflict Minerals Report, we have taken, or will take, the following steps to mitigate the risk that our CMs directly or indirectly finance or benefit armed groups in the Covered Countries, including to improve our due diligence:</w:t>
      </w:r>
    </w:p>
    <w:p>
      <w:pPr>
        <w:spacing w:after="0" w:line="62" w:lineRule="exact"/>
        <w:rPr>
          <w:sz w:val="20"/>
          <w:szCs w:val="20"/>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emphasize to Suppliers our expectation that they respond fully and promptly to our information requests;</w:t>
      </w:r>
    </w:p>
    <w:p>
      <w:pPr>
        <w:spacing w:after="0" w:line="117" w:lineRule="exact"/>
        <w:rPr>
          <w:rFonts w:ascii="Arial" w:cs="Arial" w:eastAsia="Arial" w:hAnsi="Arial"/>
          <w:sz w:val="18"/>
          <w:szCs w:val="18"/>
          <w:color w:val="auto"/>
        </w:rPr>
      </w:pPr>
    </w:p>
    <w:p>
      <w:pPr>
        <w:ind w:left="760" w:right="360" w:hanging="374"/>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instruct Suppliers to advise us if they determine that any person or entity in their supply chain is directly or indirectly financing or benefiting armed groups in the Covered Countries;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2" w:right="359" w:bottom="1440" w:gutter="0" w:footer="0" w:header="0"/>
        </w:sectPr>
      </w:pPr>
    </w:p>
    <w:bookmarkStart w:id="7" w:name="page8"/>
    <w:bookmarkEnd w:id="7"/>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encourage Suppliers to direct all Smelters in their supply chains to participate in the RMAP or a similar third-party audit program; and</w:t>
      </w:r>
    </w:p>
    <w:p>
      <w:pPr>
        <w:spacing w:after="0" w:line="117"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contact various Smelters directly for information if their operating status changed, their RMI status changed, or they have refused to participate in a RMI audit.</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Independent Private Sector Audit</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obtained an independent private sector audit of this Conflict Minerals Report. The report by Crowe LLP is set forth as Appendix B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[Intentionally blank]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Included in this Appendix A are Smelters that were identified to us by our Suppliers as potentially in our supply chain for 2018. As explained in this Conflict Minerals Report, the presence of a Smelter on the lists in this Appendix A does not mean that TI products necessarily contained CMs processed by that Smelter.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Table 1</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RMAP compliant Smelters: 250</w:t>
            </w:r>
          </w:p>
        </w:tc>
        <w:tc>
          <w:tcPr>
            <w:tcW w:w="2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 Smelters</w:t>
            </w:r>
          </w:p>
        </w:tc>
        <w:tc>
          <w:tcPr>
            <w:tcW w:w="2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39</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 Smelters</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71</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 Smelters</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 Smelters</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r>
      <w:tr>
        <w:trPr>
          <w:trHeight w:val="210"/>
        </w:trPr>
        <w:tc>
          <w:tcPr>
            <w:tcW w:w="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Table 2</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undeterminable Smelters: 34</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 Smelters</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 Smelters</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 Smelters</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 Smelters</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Table 1</w:t>
      </w:r>
      <w:r>
        <w:rPr>
          <w:rFonts w:ascii="Arial" w:cs="Arial" w:eastAsia="Arial" w:hAnsi="Arial"/>
          <w:sz w:val="18"/>
          <w:szCs w:val="18"/>
          <w:color w:val="auto"/>
        </w:rPr>
        <w: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Listed below are the 250 Smelters identified to us by our Suppliers as potentially in our supply chain for 2018 that the RMAP has reported as compliant with its audit protocols. On that basis, we have determined that the CMs supplied by these Smelters were conflict-free. The location information is as reported by the RMAP as of February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*Smelters that potentially supply the CMs for our ICs.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680" w:type="dxa"/>
            <w:vAlign w:val="bottom"/>
            <w:tcBorders>
              <w:top w:val="single" w:sz="8" w:color="auto"/>
              <w:left w:val="single" w:sz="8" w:color="auto"/>
              <w:bottom w:val="single" w:sz="8" w:color="C6D9F1"/>
              <w:right w:val="single" w:sz="8" w:color="auto"/>
            </w:tcBorders>
            <w:shd w:val="clear" w:color="auto" w:fill="C6D9F1"/>
          </w:tcPr>
          <w:p>
            <w:pPr>
              <w:spacing w:after="0"/>
              <w:rPr>
                <w:sz w:val="24"/>
                <w:szCs w:val="24"/>
                <w:color w:val="auto"/>
              </w:rPr>
            </w:pPr>
          </w:p>
        </w:tc>
        <w:tc>
          <w:tcPr>
            <w:tcW w:w="4860" w:type="dxa"/>
            <w:vAlign w:val="bottom"/>
            <w:tcBorders>
              <w:top w:val="single" w:sz="8" w:color="auto"/>
              <w:bottom w:val="single" w:sz="8" w:color="C6D9F1"/>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Smelter</w:t>
            </w:r>
          </w:p>
        </w:tc>
        <w:tc>
          <w:tcPr>
            <w:tcW w:w="1640" w:type="dxa"/>
            <w:vAlign w:val="bottom"/>
            <w:tcBorders>
              <w:top w:val="single" w:sz="8" w:color="auto"/>
              <w:bottom w:val="single" w:sz="8" w:color="C6D9F1"/>
              <w:right w:val="single" w:sz="8" w:color="auto"/>
            </w:tcBorders>
            <w:shd w:val="clear" w:color="auto" w:fill="C6D9F1"/>
          </w:tcPr>
          <w:p>
            <w:pPr>
              <w:spacing w:after="0"/>
              <w:rPr>
                <w:sz w:val="24"/>
                <w:szCs w:val="24"/>
                <w:color w:val="auto"/>
              </w:rPr>
            </w:pPr>
          </w:p>
        </w:tc>
        <w:tc>
          <w:tcPr>
            <w:tcW w:w="1300" w:type="dxa"/>
            <w:vAlign w:val="bottom"/>
            <w:tcBorders>
              <w:top w:val="single" w:sz="8" w:color="auto"/>
              <w:bottom w:val="single" w:sz="8" w:color="C6D9F1"/>
              <w:right w:val="single" w:sz="8" w:color="auto"/>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Metal</w:t>
            </w:r>
          </w:p>
        </w:tc>
        <w:tc>
          <w:tcPr>
            <w:tcW w:w="2940" w:type="dxa"/>
            <w:vAlign w:val="bottom"/>
            <w:tcBorders>
              <w:top w:val="single" w:sz="8" w:color="auto"/>
              <w:bottom w:val="single" w:sz="8" w:color="C6D9F1"/>
              <w:right w:val="single" w:sz="8" w:color="auto"/>
            </w:tcBorders>
            <w:shd w:val="clear" w:color="auto" w:fill="C6D9F1"/>
          </w:tcPr>
          <w:p>
            <w:pPr>
              <w:ind w:left="60"/>
              <w:spacing w:after="0"/>
              <w:rPr>
                <w:sz w:val="20"/>
                <w:szCs w:val="20"/>
                <w:color w:val="auto"/>
              </w:rPr>
            </w:pPr>
            <w:r>
              <w:rPr>
                <w:rFonts w:ascii="Arial" w:cs="Arial" w:eastAsia="Arial" w:hAnsi="Arial"/>
                <w:sz w:val="18"/>
                <w:szCs w:val="18"/>
                <w:b w:val="1"/>
                <w:bCs w:val="1"/>
                <w:color w:val="auto"/>
              </w:rPr>
              <w:t>Country Location</w:t>
            </w:r>
          </w:p>
        </w:tc>
        <w:tc>
          <w:tcPr>
            <w:tcW w:w="20" w:type="dxa"/>
            <w:vAlign w:val="bottom"/>
          </w:tcPr>
          <w:p>
            <w:pPr>
              <w:spacing w:after="0"/>
              <w:rPr>
                <w:sz w:val="24"/>
                <w:szCs w:val="24"/>
                <w:color w:val="auto"/>
              </w:rPr>
            </w:pPr>
          </w:p>
        </w:tc>
      </w:tr>
      <w:tr>
        <w:trPr>
          <w:trHeight w:val="264"/>
        </w:trPr>
        <w:tc>
          <w:tcPr>
            <w:tcW w:w="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A.L.M.T. TUNGSTEN Corp.*</w:t>
            </w:r>
          </w:p>
        </w:tc>
        <w:tc>
          <w:tcPr>
            <w:tcW w:w="1640" w:type="dxa"/>
            <w:vAlign w:val="bottom"/>
            <w:tcBorders>
              <w:top w:val="single" w:sz="8" w:color="auto"/>
              <w:right w:val="single" w:sz="8" w:color="auto"/>
            </w:tcBorders>
          </w:tcPr>
          <w:p>
            <w:pPr>
              <w:spacing w:after="0"/>
              <w:rPr>
                <w:sz w:val="22"/>
                <w:szCs w:val="22"/>
                <w:color w:val="auto"/>
              </w:rPr>
            </w:pP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4860" w:type="dxa"/>
            <w:vAlign w:val="bottom"/>
          </w:tcPr>
          <w:p>
            <w:pPr>
              <w:spacing w:after="0"/>
              <w:rPr>
                <w:sz w:val="20"/>
                <w:szCs w:val="20"/>
                <w:color w:val="auto"/>
              </w:rPr>
            </w:pPr>
            <w:r>
              <w:rPr>
                <w:rFonts w:ascii="Arial" w:cs="Arial" w:eastAsia="Arial" w:hAnsi="Arial"/>
                <w:sz w:val="18"/>
                <w:szCs w:val="18"/>
                <w:color w:val="auto"/>
              </w:rPr>
              <w:t>ACL Metais Eireli*</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4860" w:type="dxa"/>
            <w:vAlign w:val="bottom"/>
          </w:tcPr>
          <w:p>
            <w:pPr>
              <w:spacing w:after="0"/>
              <w:rPr>
                <w:sz w:val="20"/>
                <w:szCs w:val="20"/>
                <w:color w:val="auto"/>
              </w:rPr>
            </w:pPr>
            <w:r>
              <w:rPr>
                <w:rFonts w:ascii="Arial" w:cs="Arial" w:eastAsia="Arial" w:hAnsi="Arial"/>
                <w:sz w:val="18"/>
                <w:szCs w:val="18"/>
                <w:color w:val="auto"/>
              </w:rPr>
              <w:t>Chenzhou Diamond Tungsten Products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4860" w:type="dxa"/>
            <w:vAlign w:val="bottom"/>
          </w:tcPr>
          <w:p>
            <w:pPr>
              <w:spacing w:after="0"/>
              <w:rPr>
                <w:sz w:val="20"/>
                <w:szCs w:val="20"/>
                <w:color w:val="auto"/>
              </w:rPr>
            </w:pPr>
            <w:r>
              <w:rPr>
                <w:rFonts w:ascii="Arial" w:cs="Arial" w:eastAsia="Arial" w:hAnsi="Arial"/>
                <w:sz w:val="18"/>
                <w:szCs w:val="18"/>
                <w:color w:val="auto"/>
              </w:rPr>
              <w:t>Chongyi Zhangyuan Tungsten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4860" w:type="dxa"/>
            <w:vAlign w:val="bottom"/>
          </w:tcPr>
          <w:p>
            <w:pPr>
              <w:spacing w:after="0"/>
              <w:rPr>
                <w:sz w:val="20"/>
                <w:szCs w:val="20"/>
                <w:color w:val="auto"/>
              </w:rPr>
            </w:pPr>
            <w:r>
              <w:rPr>
                <w:rFonts w:ascii="Arial" w:cs="Arial" w:eastAsia="Arial" w:hAnsi="Arial"/>
                <w:sz w:val="18"/>
                <w:szCs w:val="18"/>
                <w:color w:val="auto"/>
              </w:rPr>
              <w:t>Fujian Jinxin Tungsten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4860" w:type="dxa"/>
            <w:vAlign w:val="bottom"/>
          </w:tcPr>
          <w:p>
            <w:pPr>
              <w:spacing w:after="0"/>
              <w:rPr>
                <w:sz w:val="20"/>
                <w:szCs w:val="20"/>
                <w:color w:val="auto"/>
              </w:rPr>
            </w:pPr>
            <w:r>
              <w:rPr>
                <w:rFonts w:ascii="Arial" w:cs="Arial" w:eastAsia="Arial" w:hAnsi="Arial"/>
                <w:sz w:val="18"/>
                <w:szCs w:val="18"/>
                <w:color w:val="auto"/>
              </w:rPr>
              <w:t>Ganzhou Haichuang Tungsten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4860" w:type="dxa"/>
            <w:vAlign w:val="bottom"/>
          </w:tcPr>
          <w:p>
            <w:pPr>
              <w:spacing w:after="0"/>
              <w:rPr>
                <w:sz w:val="20"/>
                <w:szCs w:val="20"/>
                <w:color w:val="auto"/>
              </w:rPr>
            </w:pPr>
            <w:r>
              <w:rPr>
                <w:rFonts w:ascii="Arial" w:cs="Arial" w:eastAsia="Arial" w:hAnsi="Arial"/>
                <w:sz w:val="18"/>
                <w:szCs w:val="18"/>
                <w:color w:val="auto"/>
              </w:rPr>
              <w:t>Ganzhou Huaxing Tungsten Products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4860" w:type="dxa"/>
            <w:vAlign w:val="bottom"/>
          </w:tcPr>
          <w:p>
            <w:pPr>
              <w:spacing w:after="0"/>
              <w:rPr>
                <w:sz w:val="20"/>
                <w:szCs w:val="20"/>
                <w:color w:val="auto"/>
              </w:rPr>
            </w:pPr>
            <w:r>
              <w:rPr>
                <w:rFonts w:ascii="Arial" w:cs="Arial" w:eastAsia="Arial" w:hAnsi="Arial"/>
                <w:sz w:val="18"/>
                <w:szCs w:val="18"/>
                <w:color w:val="auto"/>
              </w:rPr>
              <w:t>Ganzhou Jiangwu Ferrotungsten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4860" w:type="dxa"/>
            <w:vAlign w:val="bottom"/>
          </w:tcPr>
          <w:p>
            <w:pPr>
              <w:spacing w:after="0"/>
              <w:rPr>
                <w:sz w:val="20"/>
                <w:szCs w:val="20"/>
                <w:color w:val="auto"/>
              </w:rPr>
            </w:pPr>
            <w:r>
              <w:rPr>
                <w:rFonts w:ascii="Arial" w:cs="Arial" w:eastAsia="Arial" w:hAnsi="Arial"/>
                <w:sz w:val="18"/>
                <w:szCs w:val="18"/>
                <w:color w:val="auto"/>
              </w:rPr>
              <w:t>Ganzhou Seadragon W &amp; Mo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4860" w:type="dxa"/>
            <w:vAlign w:val="bottom"/>
          </w:tcPr>
          <w:p>
            <w:pPr>
              <w:spacing w:after="0"/>
              <w:rPr>
                <w:sz w:val="20"/>
                <w:szCs w:val="20"/>
                <w:color w:val="auto"/>
              </w:rPr>
            </w:pPr>
            <w:r>
              <w:rPr>
                <w:rFonts w:ascii="Arial" w:cs="Arial" w:eastAsia="Arial" w:hAnsi="Arial"/>
                <w:sz w:val="18"/>
                <w:szCs w:val="18"/>
                <w:color w:val="auto"/>
              </w:rPr>
              <w:t>Global Tungsten &amp; Powders Corp.*</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4860" w:type="dxa"/>
            <w:vAlign w:val="bottom"/>
          </w:tcPr>
          <w:p>
            <w:pPr>
              <w:spacing w:after="0"/>
              <w:rPr>
                <w:sz w:val="20"/>
                <w:szCs w:val="20"/>
                <w:color w:val="auto"/>
              </w:rPr>
            </w:pPr>
            <w:r>
              <w:rPr>
                <w:rFonts w:ascii="Arial" w:cs="Arial" w:eastAsia="Arial" w:hAnsi="Arial"/>
                <w:sz w:val="18"/>
                <w:szCs w:val="18"/>
                <w:color w:val="auto"/>
              </w:rPr>
              <w:t>Guangdong Xianglu Tungsten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4860" w:type="dxa"/>
            <w:vAlign w:val="bottom"/>
          </w:tcPr>
          <w:p>
            <w:pPr>
              <w:spacing w:after="0"/>
              <w:rPr>
                <w:sz w:val="20"/>
                <w:szCs w:val="20"/>
                <w:color w:val="auto"/>
              </w:rPr>
            </w:pPr>
            <w:r>
              <w:rPr>
                <w:rFonts w:ascii="Arial" w:cs="Arial" w:eastAsia="Arial" w:hAnsi="Arial"/>
                <w:sz w:val="18"/>
                <w:szCs w:val="18"/>
                <w:color w:val="auto"/>
              </w:rPr>
              <w:t>H.C. Starck Smelting GmbH &amp; Co. KG*</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4860" w:type="dxa"/>
            <w:vAlign w:val="bottom"/>
          </w:tcPr>
          <w:p>
            <w:pPr>
              <w:spacing w:after="0"/>
              <w:rPr>
                <w:sz w:val="20"/>
                <w:szCs w:val="20"/>
                <w:color w:val="auto"/>
              </w:rPr>
            </w:pPr>
            <w:r>
              <w:rPr>
                <w:rFonts w:ascii="Arial" w:cs="Arial" w:eastAsia="Arial" w:hAnsi="Arial"/>
                <w:sz w:val="18"/>
                <w:szCs w:val="18"/>
                <w:color w:val="auto"/>
              </w:rPr>
              <w:t>H.C. Starck Tungsten GmbH*</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4860" w:type="dxa"/>
            <w:vAlign w:val="bottom"/>
          </w:tcPr>
          <w:p>
            <w:pPr>
              <w:spacing w:after="0"/>
              <w:rPr>
                <w:sz w:val="20"/>
                <w:szCs w:val="20"/>
                <w:color w:val="auto"/>
              </w:rPr>
            </w:pPr>
            <w:r>
              <w:rPr>
                <w:rFonts w:ascii="Arial" w:cs="Arial" w:eastAsia="Arial" w:hAnsi="Arial"/>
                <w:sz w:val="18"/>
                <w:szCs w:val="18"/>
                <w:color w:val="auto"/>
              </w:rPr>
              <w:t>Hunan Chenzhou Mining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4860" w:type="dxa"/>
            <w:vAlign w:val="bottom"/>
          </w:tcPr>
          <w:p>
            <w:pPr>
              <w:spacing w:after="0"/>
              <w:rPr>
                <w:sz w:val="20"/>
                <w:szCs w:val="20"/>
                <w:color w:val="auto"/>
              </w:rPr>
            </w:pPr>
            <w:r>
              <w:rPr>
                <w:rFonts w:ascii="Arial" w:cs="Arial" w:eastAsia="Arial" w:hAnsi="Arial"/>
                <w:sz w:val="18"/>
                <w:szCs w:val="18"/>
                <w:color w:val="auto"/>
              </w:rPr>
              <w:t>Hunan Chuangda Vanadium Tungsten Co., Ltd. Wuji*</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4860" w:type="dxa"/>
            <w:vAlign w:val="bottom"/>
          </w:tcPr>
          <w:p>
            <w:pPr>
              <w:spacing w:after="0"/>
              <w:rPr>
                <w:sz w:val="20"/>
                <w:szCs w:val="20"/>
                <w:color w:val="auto"/>
              </w:rPr>
            </w:pPr>
            <w:r>
              <w:rPr>
                <w:rFonts w:ascii="Arial" w:cs="Arial" w:eastAsia="Arial" w:hAnsi="Arial"/>
                <w:sz w:val="18"/>
                <w:szCs w:val="18"/>
                <w:color w:val="auto"/>
              </w:rPr>
              <w:t>Hunan Chunchang Nonferrous Metals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w:t>
            </w:r>
          </w:p>
        </w:tc>
        <w:tc>
          <w:tcPr>
            <w:tcW w:w="4860" w:type="dxa"/>
            <w:vAlign w:val="bottom"/>
          </w:tcPr>
          <w:p>
            <w:pPr>
              <w:spacing w:after="0"/>
              <w:rPr>
                <w:sz w:val="20"/>
                <w:szCs w:val="20"/>
                <w:color w:val="auto"/>
              </w:rPr>
            </w:pPr>
            <w:r>
              <w:rPr>
                <w:rFonts w:ascii="Arial" w:cs="Arial" w:eastAsia="Arial" w:hAnsi="Arial"/>
                <w:sz w:val="18"/>
                <w:szCs w:val="18"/>
                <w:color w:val="auto"/>
              </w:rPr>
              <w:t>Hydrometallurg, JSC*</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18.</w:t>
            </w:r>
          </w:p>
        </w:tc>
        <w:tc>
          <w:tcPr>
            <w:tcW w:w="4860" w:type="dxa"/>
            <w:vAlign w:val="bottom"/>
          </w:tcPr>
          <w:p>
            <w:pPr>
              <w:spacing w:after="0"/>
              <w:rPr>
                <w:sz w:val="20"/>
                <w:szCs w:val="20"/>
                <w:color w:val="auto"/>
              </w:rPr>
            </w:pPr>
            <w:r>
              <w:rPr>
                <w:rFonts w:ascii="Arial" w:cs="Arial" w:eastAsia="Arial" w:hAnsi="Arial"/>
                <w:sz w:val="18"/>
                <w:szCs w:val="18"/>
                <w:color w:val="auto"/>
              </w:rPr>
              <w:t>Japan New Metals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19.</w:t>
            </w:r>
          </w:p>
        </w:tc>
        <w:tc>
          <w:tcPr>
            <w:tcW w:w="4860" w:type="dxa"/>
            <w:vAlign w:val="bottom"/>
          </w:tcPr>
          <w:p>
            <w:pPr>
              <w:spacing w:after="0"/>
              <w:rPr>
                <w:sz w:val="20"/>
                <w:szCs w:val="20"/>
                <w:color w:val="auto"/>
              </w:rPr>
            </w:pPr>
            <w:r>
              <w:rPr>
                <w:rFonts w:ascii="Arial" w:cs="Arial" w:eastAsia="Arial" w:hAnsi="Arial"/>
                <w:sz w:val="18"/>
                <w:szCs w:val="18"/>
                <w:color w:val="auto"/>
              </w:rPr>
              <w:t>Jiangwu H.C. Starck Tungsten Products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w:t>
            </w:r>
          </w:p>
        </w:tc>
        <w:tc>
          <w:tcPr>
            <w:tcW w:w="4860" w:type="dxa"/>
            <w:vAlign w:val="bottom"/>
          </w:tcPr>
          <w:p>
            <w:pPr>
              <w:spacing w:after="0"/>
              <w:rPr>
                <w:sz w:val="20"/>
                <w:szCs w:val="20"/>
                <w:color w:val="auto"/>
              </w:rPr>
            </w:pPr>
            <w:r>
              <w:rPr>
                <w:rFonts w:ascii="Arial" w:cs="Arial" w:eastAsia="Arial" w:hAnsi="Arial"/>
                <w:sz w:val="18"/>
                <w:szCs w:val="18"/>
                <w:color w:val="auto"/>
              </w:rPr>
              <w:t>Jiangxi Gan Bei Tungsten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4860" w:type="dxa"/>
            <w:vAlign w:val="bottom"/>
          </w:tcPr>
          <w:p>
            <w:pPr>
              <w:spacing w:after="0"/>
              <w:rPr>
                <w:sz w:val="20"/>
                <w:szCs w:val="20"/>
                <w:color w:val="auto"/>
              </w:rPr>
            </w:pPr>
            <w:r>
              <w:rPr>
                <w:rFonts w:ascii="Arial" w:cs="Arial" w:eastAsia="Arial" w:hAnsi="Arial"/>
                <w:sz w:val="18"/>
                <w:szCs w:val="18"/>
                <w:color w:val="auto"/>
                <w:w w:val="95"/>
              </w:rPr>
              <w:t>Jiangxi Tonggu Non-ferrous Metallurgical &amp; Chemical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22.</w:t>
            </w:r>
          </w:p>
        </w:tc>
        <w:tc>
          <w:tcPr>
            <w:tcW w:w="4860" w:type="dxa"/>
            <w:vAlign w:val="bottom"/>
          </w:tcPr>
          <w:p>
            <w:pPr>
              <w:spacing w:after="0"/>
              <w:rPr>
                <w:sz w:val="20"/>
                <w:szCs w:val="20"/>
                <w:color w:val="auto"/>
              </w:rPr>
            </w:pPr>
            <w:r>
              <w:rPr>
                <w:rFonts w:ascii="Arial" w:cs="Arial" w:eastAsia="Arial" w:hAnsi="Arial"/>
                <w:sz w:val="18"/>
                <w:szCs w:val="18"/>
                <w:color w:val="auto"/>
              </w:rPr>
              <w:t>Jiangxi Xinsheng Tungsten Industry Co., Ltd.*</w:t>
            </w:r>
          </w:p>
        </w:tc>
        <w:tc>
          <w:tcPr>
            <w:tcW w:w="16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26"/>
        </w:trPr>
        <w:tc>
          <w:tcPr>
            <w:tcW w:w="6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40" w:type="dxa"/>
            <w:vAlign w:val="bottom"/>
          </w:tcPr>
          <w:p>
            <w:pPr>
              <w:jc w:val="right"/>
              <w:ind w:right="1330"/>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80" w:type="dxa"/>
            <w:vAlign w:val="bottom"/>
            <w:tcBorders>
              <w:bottom w:val="single" w:sz="8" w:color="9A9A9A"/>
            </w:tcBorders>
          </w:tcPr>
          <w:p>
            <w:pPr>
              <w:spacing w:after="0"/>
              <w:rPr>
                <w:sz w:val="22"/>
                <w:szCs w:val="22"/>
                <w:color w:val="auto"/>
              </w:rPr>
            </w:pPr>
          </w:p>
        </w:tc>
        <w:tc>
          <w:tcPr>
            <w:tcW w:w="4860" w:type="dxa"/>
            <w:vAlign w:val="bottom"/>
            <w:tcBorders>
              <w:bottom w:val="single" w:sz="8" w:color="9A9A9A"/>
            </w:tcBorders>
          </w:tcPr>
          <w:p>
            <w:pPr>
              <w:spacing w:after="0"/>
              <w:rPr>
                <w:sz w:val="22"/>
                <w:szCs w:val="22"/>
                <w:color w:val="auto"/>
              </w:rPr>
            </w:pPr>
          </w:p>
        </w:tc>
        <w:tc>
          <w:tcPr>
            <w:tcW w:w="164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4"/>
        </w:trPr>
        <w:tc>
          <w:tcPr>
            <w:tcW w:w="680" w:type="dxa"/>
            <w:vAlign w:val="bottom"/>
            <w:tcBorders>
              <w:top w:val="single" w:sz="8" w:color="auto"/>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Jiangxi Yaosheng Tungsten Co., Ltd.*</w:t>
            </w:r>
          </w:p>
        </w:tc>
        <w:tc>
          <w:tcPr>
            <w:tcW w:w="156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24.</w:t>
            </w:r>
          </w:p>
        </w:tc>
        <w:tc>
          <w:tcPr>
            <w:tcW w:w="4940" w:type="dxa"/>
            <w:vAlign w:val="bottom"/>
          </w:tcPr>
          <w:p>
            <w:pPr>
              <w:spacing w:after="0"/>
              <w:rPr>
                <w:sz w:val="20"/>
                <w:szCs w:val="20"/>
                <w:color w:val="auto"/>
              </w:rPr>
            </w:pPr>
            <w:r>
              <w:rPr>
                <w:rFonts w:ascii="Arial" w:cs="Arial" w:eastAsia="Arial" w:hAnsi="Arial"/>
                <w:sz w:val="18"/>
                <w:szCs w:val="18"/>
                <w:color w:val="auto"/>
              </w:rPr>
              <w:t>Kennametal Fallon*</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4940" w:type="dxa"/>
            <w:vAlign w:val="bottom"/>
          </w:tcPr>
          <w:p>
            <w:pPr>
              <w:spacing w:after="0"/>
              <w:rPr>
                <w:sz w:val="20"/>
                <w:szCs w:val="20"/>
                <w:color w:val="auto"/>
              </w:rPr>
            </w:pPr>
            <w:r>
              <w:rPr>
                <w:rFonts w:ascii="Arial" w:cs="Arial" w:eastAsia="Arial" w:hAnsi="Arial"/>
                <w:sz w:val="18"/>
                <w:szCs w:val="18"/>
                <w:color w:val="auto"/>
              </w:rPr>
              <w:t>Kennametal Huntsville*</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26.</w:t>
            </w:r>
          </w:p>
        </w:tc>
        <w:tc>
          <w:tcPr>
            <w:tcW w:w="4940" w:type="dxa"/>
            <w:vAlign w:val="bottom"/>
          </w:tcPr>
          <w:p>
            <w:pPr>
              <w:spacing w:after="0"/>
              <w:rPr>
                <w:sz w:val="20"/>
                <w:szCs w:val="20"/>
                <w:color w:val="auto"/>
              </w:rPr>
            </w:pPr>
            <w:r>
              <w:rPr>
                <w:rFonts w:ascii="Arial" w:cs="Arial" w:eastAsia="Arial" w:hAnsi="Arial"/>
                <w:sz w:val="18"/>
                <w:szCs w:val="18"/>
                <w:color w:val="auto"/>
              </w:rPr>
              <w:t>Malipo Haiyu Tungsten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c>
          <w:tcPr>
            <w:tcW w:w="4940" w:type="dxa"/>
            <w:vAlign w:val="bottom"/>
          </w:tcPr>
          <w:p>
            <w:pPr>
              <w:spacing w:after="0"/>
              <w:rPr>
                <w:sz w:val="20"/>
                <w:szCs w:val="20"/>
                <w:color w:val="auto"/>
              </w:rPr>
            </w:pPr>
            <w:r>
              <w:rPr>
                <w:rFonts w:ascii="Arial" w:cs="Arial" w:eastAsia="Arial" w:hAnsi="Arial"/>
                <w:sz w:val="18"/>
                <w:szCs w:val="18"/>
                <w:color w:val="auto"/>
              </w:rPr>
              <w:t>Masan Tungsten Chemical LLC (MTC)*</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VIETNAM</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4940" w:type="dxa"/>
            <w:vAlign w:val="bottom"/>
          </w:tcPr>
          <w:p>
            <w:pPr>
              <w:spacing w:after="0"/>
              <w:rPr>
                <w:sz w:val="20"/>
                <w:szCs w:val="20"/>
                <w:color w:val="auto"/>
              </w:rPr>
            </w:pPr>
            <w:r>
              <w:rPr>
                <w:rFonts w:ascii="Arial" w:cs="Arial" w:eastAsia="Arial" w:hAnsi="Arial"/>
                <w:sz w:val="18"/>
                <w:szCs w:val="18"/>
                <w:color w:val="auto"/>
              </w:rPr>
              <w:t>Moliren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4940" w:type="dxa"/>
            <w:vAlign w:val="bottom"/>
          </w:tcPr>
          <w:p>
            <w:pPr>
              <w:spacing w:after="0"/>
              <w:rPr>
                <w:sz w:val="20"/>
                <w:szCs w:val="20"/>
                <w:color w:val="auto"/>
              </w:rPr>
            </w:pPr>
            <w:r>
              <w:rPr>
                <w:rFonts w:ascii="Arial" w:cs="Arial" w:eastAsia="Arial" w:hAnsi="Arial"/>
                <w:sz w:val="18"/>
                <w:szCs w:val="18"/>
                <w:color w:val="auto"/>
              </w:rPr>
              <w:t>Niagara Refining LLC*</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4940" w:type="dxa"/>
            <w:vAlign w:val="bottom"/>
          </w:tcPr>
          <w:p>
            <w:pPr>
              <w:spacing w:after="0"/>
              <w:rPr>
                <w:sz w:val="20"/>
                <w:szCs w:val="20"/>
                <w:color w:val="auto"/>
              </w:rPr>
            </w:pPr>
            <w:r>
              <w:rPr>
                <w:rFonts w:ascii="Arial" w:cs="Arial" w:eastAsia="Arial" w:hAnsi="Arial"/>
                <w:sz w:val="18"/>
                <w:szCs w:val="18"/>
                <w:color w:val="auto"/>
              </w:rPr>
              <w:t>Philippine Chuangxin Industrial Co., Inc.*</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4940" w:type="dxa"/>
            <w:vAlign w:val="bottom"/>
          </w:tcPr>
          <w:p>
            <w:pPr>
              <w:spacing w:after="0"/>
              <w:rPr>
                <w:sz w:val="20"/>
                <w:szCs w:val="20"/>
                <w:color w:val="auto"/>
              </w:rPr>
            </w:pPr>
            <w:r>
              <w:rPr>
                <w:rFonts w:ascii="Arial" w:cs="Arial" w:eastAsia="Arial" w:hAnsi="Arial"/>
                <w:sz w:val="18"/>
                <w:szCs w:val="18"/>
                <w:color w:val="auto"/>
                <w:w w:val="93"/>
              </w:rPr>
              <w:t>South-East Nonferrous Metal Company Limited of Hengyang City*</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c>
          <w:tcPr>
            <w:tcW w:w="4940" w:type="dxa"/>
            <w:vAlign w:val="bottom"/>
          </w:tcPr>
          <w:p>
            <w:pPr>
              <w:spacing w:after="0"/>
              <w:rPr>
                <w:sz w:val="20"/>
                <w:szCs w:val="20"/>
                <w:color w:val="auto"/>
              </w:rPr>
            </w:pPr>
            <w:r>
              <w:rPr>
                <w:rFonts w:ascii="Arial" w:cs="Arial" w:eastAsia="Arial" w:hAnsi="Arial"/>
                <w:sz w:val="18"/>
                <w:szCs w:val="18"/>
                <w:color w:val="auto"/>
              </w:rPr>
              <w:t>Tejing (Vietnam) Tungsten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VIETNAM</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c>
          <w:tcPr>
            <w:tcW w:w="4940" w:type="dxa"/>
            <w:vAlign w:val="bottom"/>
          </w:tcPr>
          <w:p>
            <w:pPr>
              <w:spacing w:after="0"/>
              <w:rPr>
                <w:sz w:val="20"/>
                <w:szCs w:val="20"/>
                <w:color w:val="auto"/>
              </w:rPr>
            </w:pPr>
            <w:r>
              <w:rPr>
                <w:rFonts w:ascii="Arial" w:cs="Arial" w:eastAsia="Arial" w:hAnsi="Arial"/>
                <w:sz w:val="18"/>
                <w:szCs w:val="18"/>
                <w:color w:val="auto"/>
              </w:rPr>
              <w:t>Unecha Refractory metals plant*</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34.</w:t>
            </w:r>
          </w:p>
        </w:tc>
        <w:tc>
          <w:tcPr>
            <w:tcW w:w="4940" w:type="dxa"/>
            <w:vAlign w:val="bottom"/>
          </w:tcPr>
          <w:p>
            <w:pPr>
              <w:spacing w:after="0"/>
              <w:rPr>
                <w:sz w:val="20"/>
                <w:szCs w:val="20"/>
                <w:color w:val="auto"/>
              </w:rPr>
            </w:pPr>
            <w:r>
              <w:rPr>
                <w:rFonts w:ascii="Arial" w:cs="Arial" w:eastAsia="Arial" w:hAnsi="Arial"/>
                <w:sz w:val="18"/>
                <w:szCs w:val="18"/>
                <w:color w:val="auto"/>
              </w:rPr>
              <w:t>Wolfram Bergbau und Hütten AG*</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4940" w:type="dxa"/>
            <w:vAlign w:val="bottom"/>
          </w:tcPr>
          <w:p>
            <w:pPr>
              <w:spacing w:after="0"/>
              <w:rPr>
                <w:sz w:val="20"/>
                <w:szCs w:val="20"/>
                <w:color w:val="auto"/>
              </w:rPr>
            </w:pPr>
            <w:r>
              <w:rPr>
                <w:rFonts w:ascii="Arial" w:cs="Arial" w:eastAsia="Arial" w:hAnsi="Arial"/>
                <w:sz w:val="18"/>
                <w:szCs w:val="18"/>
                <w:color w:val="auto"/>
              </w:rPr>
              <w:t>Woltech Korea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36.</w:t>
            </w:r>
          </w:p>
        </w:tc>
        <w:tc>
          <w:tcPr>
            <w:tcW w:w="4940" w:type="dxa"/>
            <w:vAlign w:val="bottom"/>
          </w:tcPr>
          <w:p>
            <w:pPr>
              <w:spacing w:after="0"/>
              <w:rPr>
                <w:sz w:val="20"/>
                <w:szCs w:val="20"/>
                <w:color w:val="auto"/>
              </w:rPr>
            </w:pPr>
            <w:r>
              <w:rPr>
                <w:rFonts w:ascii="Arial" w:cs="Arial" w:eastAsia="Arial" w:hAnsi="Arial"/>
                <w:sz w:val="18"/>
                <w:szCs w:val="18"/>
                <w:color w:val="auto"/>
              </w:rPr>
              <w:t>Xiamen Tungsten (H.C.)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37.</w:t>
            </w:r>
          </w:p>
        </w:tc>
        <w:tc>
          <w:tcPr>
            <w:tcW w:w="4940" w:type="dxa"/>
            <w:vAlign w:val="bottom"/>
          </w:tcPr>
          <w:p>
            <w:pPr>
              <w:spacing w:after="0"/>
              <w:rPr>
                <w:sz w:val="20"/>
                <w:szCs w:val="20"/>
                <w:color w:val="auto"/>
              </w:rPr>
            </w:pPr>
            <w:r>
              <w:rPr>
                <w:rFonts w:ascii="Arial" w:cs="Arial" w:eastAsia="Arial" w:hAnsi="Arial"/>
                <w:sz w:val="18"/>
                <w:szCs w:val="18"/>
                <w:color w:val="auto"/>
              </w:rPr>
              <w:t>Xiamen Tungsten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38.</w:t>
            </w:r>
          </w:p>
        </w:tc>
        <w:tc>
          <w:tcPr>
            <w:tcW w:w="4940" w:type="dxa"/>
            <w:vAlign w:val="bottom"/>
          </w:tcPr>
          <w:p>
            <w:pPr>
              <w:spacing w:after="0"/>
              <w:rPr>
                <w:sz w:val="20"/>
                <w:szCs w:val="20"/>
                <w:color w:val="auto"/>
              </w:rPr>
            </w:pPr>
            <w:r>
              <w:rPr>
                <w:rFonts w:ascii="Arial" w:cs="Arial" w:eastAsia="Arial" w:hAnsi="Arial"/>
                <w:sz w:val="18"/>
                <w:szCs w:val="18"/>
                <w:color w:val="auto"/>
                <w:w w:val="95"/>
              </w:rPr>
              <w:t>Xinfeng Huarui Tungsten &amp; Molybdenum New Material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c>
          <w:tcPr>
            <w:tcW w:w="4940" w:type="dxa"/>
            <w:vAlign w:val="bottom"/>
          </w:tcPr>
          <w:p>
            <w:pPr>
              <w:spacing w:after="0"/>
              <w:rPr>
                <w:sz w:val="20"/>
                <w:szCs w:val="20"/>
                <w:color w:val="auto"/>
              </w:rPr>
            </w:pPr>
            <w:r>
              <w:rPr>
                <w:rFonts w:ascii="Arial" w:cs="Arial" w:eastAsia="Arial" w:hAnsi="Arial"/>
                <w:sz w:val="18"/>
                <w:szCs w:val="18"/>
                <w:color w:val="auto"/>
              </w:rPr>
              <w:t>Xinhai Rendan Shaoguan Tungsten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c>
          <w:tcPr>
            <w:tcW w:w="4940" w:type="dxa"/>
            <w:vAlign w:val="bottom"/>
          </w:tcPr>
          <w:p>
            <w:pPr>
              <w:spacing w:after="0"/>
              <w:rPr>
                <w:sz w:val="20"/>
                <w:szCs w:val="20"/>
                <w:color w:val="auto"/>
              </w:rPr>
            </w:pPr>
            <w:r>
              <w:rPr>
                <w:rFonts w:ascii="Arial" w:cs="Arial" w:eastAsia="Arial" w:hAnsi="Arial"/>
                <w:sz w:val="18"/>
                <w:szCs w:val="18"/>
                <w:color w:val="auto"/>
              </w:rPr>
              <w:t>Alpha*</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c>
          <w:tcPr>
            <w:tcW w:w="4940" w:type="dxa"/>
            <w:vAlign w:val="bottom"/>
          </w:tcPr>
          <w:p>
            <w:pPr>
              <w:spacing w:after="0"/>
              <w:rPr>
                <w:sz w:val="20"/>
                <w:szCs w:val="20"/>
                <w:color w:val="auto"/>
              </w:rPr>
            </w:pPr>
            <w:r>
              <w:rPr>
                <w:rFonts w:ascii="Arial" w:cs="Arial" w:eastAsia="Arial" w:hAnsi="Arial"/>
                <w:sz w:val="18"/>
                <w:szCs w:val="18"/>
                <w:color w:val="auto"/>
              </w:rPr>
              <w:t>Chenzhou Yunxiang Mining and Metallurgy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4940" w:type="dxa"/>
            <w:vAlign w:val="bottom"/>
          </w:tcPr>
          <w:p>
            <w:pPr>
              <w:spacing w:after="0"/>
              <w:rPr>
                <w:sz w:val="20"/>
                <w:szCs w:val="20"/>
                <w:color w:val="auto"/>
              </w:rPr>
            </w:pPr>
            <w:r>
              <w:rPr>
                <w:rFonts w:ascii="Arial" w:cs="Arial" w:eastAsia="Arial" w:hAnsi="Arial"/>
                <w:sz w:val="18"/>
                <w:szCs w:val="18"/>
                <w:color w:val="auto"/>
              </w:rPr>
              <w:t>Chifeng Dajingzi Tin Industry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43.</w:t>
            </w:r>
          </w:p>
        </w:tc>
        <w:tc>
          <w:tcPr>
            <w:tcW w:w="4940" w:type="dxa"/>
            <w:vAlign w:val="bottom"/>
          </w:tcPr>
          <w:p>
            <w:pPr>
              <w:spacing w:after="0"/>
              <w:rPr>
                <w:sz w:val="20"/>
                <w:szCs w:val="20"/>
                <w:color w:val="auto"/>
              </w:rPr>
            </w:pPr>
            <w:r>
              <w:rPr>
                <w:rFonts w:ascii="Arial" w:cs="Arial" w:eastAsia="Arial" w:hAnsi="Arial"/>
                <w:sz w:val="18"/>
                <w:szCs w:val="18"/>
                <w:color w:val="auto"/>
              </w:rPr>
              <w:t>China Tin Group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44.</w:t>
            </w:r>
          </w:p>
        </w:tc>
        <w:tc>
          <w:tcPr>
            <w:tcW w:w="4940" w:type="dxa"/>
            <w:vAlign w:val="bottom"/>
          </w:tcPr>
          <w:p>
            <w:pPr>
              <w:spacing w:after="0"/>
              <w:rPr>
                <w:sz w:val="20"/>
                <w:szCs w:val="20"/>
                <w:color w:val="auto"/>
              </w:rPr>
            </w:pPr>
            <w:r>
              <w:rPr>
                <w:rFonts w:ascii="Arial" w:cs="Arial" w:eastAsia="Arial" w:hAnsi="Arial"/>
                <w:sz w:val="18"/>
                <w:szCs w:val="18"/>
                <w:color w:val="auto"/>
              </w:rPr>
              <w:t>CV Ayi Jaya*</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45.</w:t>
            </w:r>
          </w:p>
        </w:tc>
        <w:tc>
          <w:tcPr>
            <w:tcW w:w="4940" w:type="dxa"/>
            <w:vAlign w:val="bottom"/>
          </w:tcPr>
          <w:p>
            <w:pPr>
              <w:spacing w:after="0"/>
              <w:rPr>
                <w:sz w:val="20"/>
                <w:szCs w:val="20"/>
                <w:color w:val="auto"/>
              </w:rPr>
            </w:pPr>
            <w:r>
              <w:rPr>
                <w:rFonts w:ascii="Arial" w:cs="Arial" w:eastAsia="Arial" w:hAnsi="Arial"/>
                <w:sz w:val="18"/>
                <w:szCs w:val="18"/>
                <w:color w:val="auto"/>
              </w:rPr>
              <w:t>CV Dua Sekawan*</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46.</w:t>
            </w:r>
          </w:p>
        </w:tc>
        <w:tc>
          <w:tcPr>
            <w:tcW w:w="4940" w:type="dxa"/>
            <w:vAlign w:val="bottom"/>
          </w:tcPr>
          <w:p>
            <w:pPr>
              <w:spacing w:after="0"/>
              <w:rPr>
                <w:sz w:val="20"/>
                <w:szCs w:val="20"/>
                <w:color w:val="auto"/>
              </w:rPr>
            </w:pPr>
            <w:r>
              <w:rPr>
                <w:rFonts w:ascii="Arial" w:cs="Arial" w:eastAsia="Arial" w:hAnsi="Arial"/>
                <w:sz w:val="18"/>
                <w:szCs w:val="18"/>
                <w:color w:val="auto"/>
              </w:rPr>
              <w:t>CV Gita Pesona*</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47.</w:t>
            </w:r>
          </w:p>
        </w:tc>
        <w:tc>
          <w:tcPr>
            <w:tcW w:w="4940" w:type="dxa"/>
            <w:vAlign w:val="bottom"/>
          </w:tcPr>
          <w:p>
            <w:pPr>
              <w:spacing w:after="0"/>
              <w:rPr>
                <w:sz w:val="20"/>
                <w:szCs w:val="20"/>
                <w:color w:val="auto"/>
              </w:rPr>
            </w:pPr>
            <w:r>
              <w:rPr>
                <w:rFonts w:ascii="Arial" w:cs="Arial" w:eastAsia="Arial" w:hAnsi="Arial"/>
                <w:sz w:val="18"/>
                <w:szCs w:val="18"/>
                <w:color w:val="auto"/>
              </w:rPr>
              <w:t>CV United Smelting*</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4940" w:type="dxa"/>
            <w:vAlign w:val="bottom"/>
          </w:tcPr>
          <w:p>
            <w:pPr>
              <w:spacing w:after="0"/>
              <w:rPr>
                <w:sz w:val="20"/>
                <w:szCs w:val="20"/>
                <w:color w:val="auto"/>
              </w:rPr>
            </w:pPr>
            <w:r>
              <w:rPr>
                <w:rFonts w:ascii="Arial" w:cs="Arial" w:eastAsia="Arial" w:hAnsi="Arial"/>
                <w:sz w:val="18"/>
                <w:szCs w:val="18"/>
                <w:color w:val="auto"/>
              </w:rPr>
              <w:t>CV Venus Inti Perkasa*</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4940" w:type="dxa"/>
            <w:vAlign w:val="bottom"/>
          </w:tcPr>
          <w:p>
            <w:pPr>
              <w:spacing w:after="0"/>
              <w:rPr>
                <w:sz w:val="20"/>
                <w:szCs w:val="20"/>
                <w:color w:val="auto"/>
              </w:rPr>
            </w:pPr>
            <w:r>
              <w:rPr>
                <w:rFonts w:ascii="Arial" w:cs="Arial" w:eastAsia="Arial" w:hAnsi="Arial"/>
                <w:sz w:val="18"/>
                <w:szCs w:val="18"/>
                <w:color w:val="auto"/>
              </w:rPr>
              <w:t>Dowa*</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c>
          <w:tcPr>
            <w:tcW w:w="4940" w:type="dxa"/>
            <w:vAlign w:val="bottom"/>
          </w:tcPr>
          <w:p>
            <w:pPr>
              <w:spacing w:after="0"/>
              <w:rPr>
                <w:sz w:val="20"/>
                <w:szCs w:val="20"/>
                <w:color w:val="auto"/>
              </w:rPr>
            </w:pPr>
            <w:r>
              <w:rPr>
                <w:rFonts w:ascii="Arial" w:cs="Arial" w:eastAsia="Arial" w:hAnsi="Arial"/>
                <w:sz w:val="18"/>
                <w:szCs w:val="18"/>
                <w:color w:val="auto"/>
              </w:rPr>
              <w:t>EM Vinto*</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BOLIVIA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51.</w:t>
            </w:r>
          </w:p>
        </w:tc>
        <w:tc>
          <w:tcPr>
            <w:tcW w:w="4940" w:type="dxa"/>
            <w:vAlign w:val="bottom"/>
          </w:tcPr>
          <w:p>
            <w:pPr>
              <w:spacing w:after="0"/>
              <w:rPr>
                <w:sz w:val="20"/>
                <w:szCs w:val="20"/>
                <w:color w:val="auto"/>
              </w:rPr>
            </w:pPr>
            <w:r>
              <w:rPr>
                <w:rFonts w:ascii="Arial" w:cs="Arial" w:eastAsia="Arial" w:hAnsi="Arial"/>
                <w:sz w:val="18"/>
                <w:szCs w:val="18"/>
                <w:color w:val="auto"/>
              </w:rPr>
              <w:t>Fenix Metals*</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POLAND</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52.</w:t>
            </w:r>
          </w:p>
        </w:tc>
        <w:tc>
          <w:tcPr>
            <w:tcW w:w="4940" w:type="dxa"/>
            <w:vAlign w:val="bottom"/>
          </w:tcPr>
          <w:p>
            <w:pPr>
              <w:spacing w:after="0"/>
              <w:rPr>
                <w:sz w:val="20"/>
                <w:szCs w:val="20"/>
                <w:color w:val="auto"/>
              </w:rPr>
            </w:pPr>
            <w:r>
              <w:rPr>
                <w:rFonts w:ascii="Arial" w:cs="Arial" w:eastAsia="Arial" w:hAnsi="Arial"/>
                <w:sz w:val="18"/>
                <w:szCs w:val="18"/>
                <w:color w:val="auto"/>
              </w:rPr>
              <w:t>Gejiu Fengming Metallurgy Chemical Plant*</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53.</w:t>
            </w:r>
          </w:p>
        </w:tc>
        <w:tc>
          <w:tcPr>
            <w:tcW w:w="4940" w:type="dxa"/>
            <w:vAlign w:val="bottom"/>
          </w:tcPr>
          <w:p>
            <w:pPr>
              <w:spacing w:after="0"/>
              <w:rPr>
                <w:sz w:val="20"/>
                <w:szCs w:val="20"/>
                <w:color w:val="auto"/>
              </w:rPr>
            </w:pPr>
            <w:r>
              <w:rPr>
                <w:rFonts w:ascii="Arial" w:cs="Arial" w:eastAsia="Arial" w:hAnsi="Arial"/>
                <w:sz w:val="18"/>
                <w:szCs w:val="18"/>
                <w:color w:val="auto"/>
              </w:rPr>
              <w:t>Gejiu Jinye Mineral Company*</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54.</w:t>
            </w:r>
          </w:p>
        </w:tc>
        <w:tc>
          <w:tcPr>
            <w:tcW w:w="4940" w:type="dxa"/>
            <w:vAlign w:val="bottom"/>
          </w:tcPr>
          <w:p>
            <w:pPr>
              <w:spacing w:after="0"/>
              <w:rPr>
                <w:sz w:val="20"/>
                <w:szCs w:val="20"/>
                <w:color w:val="auto"/>
              </w:rPr>
            </w:pPr>
            <w:r>
              <w:rPr>
                <w:rFonts w:ascii="Arial" w:cs="Arial" w:eastAsia="Arial" w:hAnsi="Arial"/>
                <w:sz w:val="18"/>
                <w:szCs w:val="18"/>
                <w:color w:val="auto"/>
              </w:rPr>
              <w:t>Gejiu Kai Meng Industry and Trade LLC*</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55.</w:t>
            </w:r>
          </w:p>
        </w:tc>
        <w:tc>
          <w:tcPr>
            <w:tcW w:w="4940" w:type="dxa"/>
            <w:vAlign w:val="bottom"/>
          </w:tcPr>
          <w:p>
            <w:pPr>
              <w:spacing w:after="0"/>
              <w:rPr>
                <w:sz w:val="20"/>
                <w:szCs w:val="20"/>
                <w:color w:val="auto"/>
              </w:rPr>
            </w:pPr>
            <w:r>
              <w:rPr>
                <w:rFonts w:ascii="Arial" w:cs="Arial" w:eastAsia="Arial" w:hAnsi="Arial"/>
                <w:sz w:val="18"/>
                <w:szCs w:val="18"/>
                <w:color w:val="auto"/>
              </w:rPr>
              <w:t>Gejiu Non-Ferrous Metal Processing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56.</w:t>
            </w:r>
          </w:p>
        </w:tc>
        <w:tc>
          <w:tcPr>
            <w:tcW w:w="4940" w:type="dxa"/>
            <w:vAlign w:val="bottom"/>
          </w:tcPr>
          <w:p>
            <w:pPr>
              <w:spacing w:after="0"/>
              <w:rPr>
                <w:sz w:val="20"/>
                <w:szCs w:val="20"/>
                <w:color w:val="auto"/>
              </w:rPr>
            </w:pPr>
            <w:r>
              <w:rPr>
                <w:rFonts w:ascii="Arial" w:cs="Arial" w:eastAsia="Arial" w:hAnsi="Arial"/>
                <w:sz w:val="18"/>
                <w:szCs w:val="18"/>
                <w:color w:val="auto"/>
              </w:rPr>
              <w:t>Gejiu Yunxin Nonferrous Electrolysis Co., Ltd. *</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57.</w:t>
            </w:r>
          </w:p>
        </w:tc>
        <w:tc>
          <w:tcPr>
            <w:tcW w:w="4940" w:type="dxa"/>
            <w:vAlign w:val="bottom"/>
          </w:tcPr>
          <w:p>
            <w:pPr>
              <w:spacing w:after="0"/>
              <w:rPr>
                <w:sz w:val="20"/>
                <w:szCs w:val="20"/>
                <w:color w:val="auto"/>
              </w:rPr>
            </w:pPr>
            <w:r>
              <w:rPr>
                <w:rFonts w:ascii="Arial" w:cs="Arial" w:eastAsia="Arial" w:hAnsi="Arial"/>
                <w:sz w:val="18"/>
                <w:szCs w:val="18"/>
                <w:color w:val="auto"/>
              </w:rPr>
              <w:t>Guangdong Hanhe Non-Ferrous Metal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4940" w:type="dxa"/>
            <w:vAlign w:val="bottom"/>
          </w:tcPr>
          <w:p>
            <w:pPr>
              <w:spacing w:after="0"/>
              <w:rPr>
                <w:sz w:val="20"/>
                <w:szCs w:val="20"/>
                <w:color w:val="auto"/>
              </w:rPr>
            </w:pPr>
            <w:r>
              <w:rPr>
                <w:rFonts w:ascii="Arial" w:cs="Arial" w:eastAsia="Arial" w:hAnsi="Arial"/>
                <w:sz w:val="18"/>
                <w:szCs w:val="18"/>
                <w:color w:val="auto"/>
              </w:rPr>
              <w:t>Guanyang Guida Nonferrous Metal Smelting Plant*</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59.</w:t>
            </w:r>
          </w:p>
        </w:tc>
        <w:tc>
          <w:tcPr>
            <w:tcW w:w="4940" w:type="dxa"/>
            <w:vAlign w:val="bottom"/>
          </w:tcPr>
          <w:p>
            <w:pPr>
              <w:spacing w:after="0"/>
              <w:rPr>
                <w:sz w:val="20"/>
                <w:szCs w:val="20"/>
                <w:color w:val="auto"/>
              </w:rPr>
            </w:pPr>
            <w:r>
              <w:rPr>
                <w:rFonts w:ascii="Arial" w:cs="Arial" w:eastAsia="Arial" w:hAnsi="Arial"/>
                <w:sz w:val="18"/>
                <w:szCs w:val="18"/>
                <w:color w:val="auto"/>
              </w:rPr>
              <w:t>HuiChang Hill Tin Industry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60.</w:t>
            </w:r>
          </w:p>
        </w:tc>
        <w:tc>
          <w:tcPr>
            <w:tcW w:w="4940" w:type="dxa"/>
            <w:vAlign w:val="bottom"/>
          </w:tcPr>
          <w:p>
            <w:pPr>
              <w:spacing w:after="0"/>
              <w:rPr>
                <w:sz w:val="20"/>
                <w:szCs w:val="20"/>
                <w:color w:val="auto"/>
              </w:rPr>
            </w:pPr>
            <w:r>
              <w:rPr>
                <w:rFonts w:ascii="Arial" w:cs="Arial" w:eastAsia="Arial" w:hAnsi="Arial"/>
                <w:sz w:val="18"/>
                <w:szCs w:val="18"/>
                <w:color w:val="auto"/>
              </w:rPr>
              <w:t>Huichang Jinshunda Tin Co., Ltd.*</w:t>
            </w:r>
          </w:p>
        </w:tc>
        <w:tc>
          <w:tcPr>
            <w:tcW w:w="15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26"/>
        </w:trPr>
        <w:tc>
          <w:tcPr>
            <w:tcW w:w="6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60" w:type="dxa"/>
            <w:vAlign w:val="bottom"/>
          </w:tcPr>
          <w:p>
            <w:pPr>
              <w:jc w:val="right"/>
              <w:ind w:right="1330"/>
              <w:spacing w:after="0"/>
              <w:rPr>
                <w:sz w:val="20"/>
                <w:szCs w:val="20"/>
                <w:color w:val="auto"/>
              </w:rPr>
            </w:pPr>
            <w:r>
              <w:rPr>
                <w:rFonts w:ascii="Arial" w:cs="Arial" w:eastAsia="Arial" w:hAnsi="Arial"/>
                <w:sz w:val="18"/>
                <w:szCs w:val="18"/>
                <w:color w:val="auto"/>
              </w:rPr>
              <w:t>7</w:t>
            </w:r>
          </w:p>
        </w:tc>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80" w:type="dxa"/>
            <w:vAlign w:val="bottom"/>
            <w:tcBorders>
              <w:bottom w:val="single" w:sz="8" w:color="9A9A9A"/>
            </w:tcBorders>
          </w:tcPr>
          <w:p>
            <w:pPr>
              <w:spacing w:after="0"/>
              <w:rPr>
                <w:sz w:val="22"/>
                <w:szCs w:val="22"/>
                <w:color w:val="auto"/>
              </w:rPr>
            </w:pPr>
          </w:p>
        </w:tc>
        <w:tc>
          <w:tcPr>
            <w:tcW w:w="494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84"/>
        </w:trPr>
        <w:tc>
          <w:tcPr>
            <w:tcW w:w="680" w:type="dxa"/>
            <w:vAlign w:val="bottom"/>
            <w:tcBorders>
              <w:top w:val="single" w:sz="8" w:color="auto"/>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61.</w:t>
            </w: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Jiangxi New Nasan Technology Ltd.*</w:t>
            </w:r>
          </w:p>
        </w:tc>
        <w:tc>
          <w:tcPr>
            <w:tcW w:w="246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c>
          <w:tcPr>
            <w:tcW w:w="4040" w:type="dxa"/>
            <w:vAlign w:val="bottom"/>
          </w:tcPr>
          <w:p>
            <w:pPr>
              <w:spacing w:after="0"/>
              <w:rPr>
                <w:sz w:val="20"/>
                <w:szCs w:val="20"/>
                <w:color w:val="auto"/>
              </w:rPr>
            </w:pPr>
            <w:r>
              <w:rPr>
                <w:rFonts w:ascii="Arial" w:cs="Arial" w:eastAsia="Arial" w:hAnsi="Arial"/>
                <w:sz w:val="18"/>
                <w:szCs w:val="18"/>
                <w:color w:val="auto"/>
              </w:rPr>
              <w:t>Magnu's Minerais Metais e Ligas Ltda.*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63.</w:t>
            </w:r>
          </w:p>
        </w:tc>
        <w:tc>
          <w:tcPr>
            <w:tcW w:w="4040" w:type="dxa"/>
            <w:vAlign w:val="bottom"/>
          </w:tcPr>
          <w:p>
            <w:pPr>
              <w:spacing w:after="0"/>
              <w:rPr>
                <w:sz w:val="20"/>
                <w:szCs w:val="20"/>
                <w:color w:val="auto"/>
              </w:rPr>
            </w:pPr>
            <w:r>
              <w:rPr>
                <w:rFonts w:ascii="Arial" w:cs="Arial" w:eastAsia="Arial" w:hAnsi="Arial"/>
                <w:sz w:val="18"/>
                <w:szCs w:val="18"/>
                <w:color w:val="auto"/>
              </w:rPr>
              <w:t>Malaysia Smelting Corporation (MSC)*</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64.</w:t>
            </w:r>
          </w:p>
        </w:tc>
        <w:tc>
          <w:tcPr>
            <w:tcW w:w="4040" w:type="dxa"/>
            <w:vAlign w:val="bottom"/>
          </w:tcPr>
          <w:p>
            <w:pPr>
              <w:spacing w:after="0"/>
              <w:rPr>
                <w:sz w:val="20"/>
                <w:szCs w:val="20"/>
                <w:color w:val="auto"/>
              </w:rPr>
            </w:pPr>
            <w:r>
              <w:rPr>
                <w:rFonts w:ascii="Arial" w:cs="Arial" w:eastAsia="Arial" w:hAnsi="Arial"/>
                <w:sz w:val="18"/>
                <w:szCs w:val="18"/>
                <w:color w:val="auto"/>
              </w:rPr>
              <w:t>Melt Metais e Ligas S.A.*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65.</w:t>
            </w:r>
          </w:p>
        </w:tc>
        <w:tc>
          <w:tcPr>
            <w:tcW w:w="4040" w:type="dxa"/>
            <w:vAlign w:val="bottom"/>
          </w:tcPr>
          <w:p>
            <w:pPr>
              <w:spacing w:after="0"/>
              <w:rPr>
                <w:sz w:val="20"/>
                <w:szCs w:val="20"/>
                <w:color w:val="auto"/>
              </w:rPr>
            </w:pPr>
            <w:r>
              <w:rPr>
                <w:rFonts w:ascii="Arial" w:cs="Arial" w:eastAsia="Arial" w:hAnsi="Arial"/>
                <w:sz w:val="18"/>
                <w:szCs w:val="18"/>
                <w:color w:val="auto"/>
              </w:rPr>
              <w:t>Metallic Resources, Inc.*</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66.</w:t>
            </w:r>
          </w:p>
        </w:tc>
        <w:tc>
          <w:tcPr>
            <w:tcW w:w="4040" w:type="dxa"/>
            <w:vAlign w:val="bottom"/>
          </w:tcPr>
          <w:p>
            <w:pPr>
              <w:spacing w:after="0"/>
              <w:rPr>
                <w:sz w:val="20"/>
                <w:szCs w:val="20"/>
                <w:color w:val="auto"/>
              </w:rPr>
            </w:pPr>
            <w:r>
              <w:rPr>
                <w:rFonts w:ascii="Arial" w:cs="Arial" w:eastAsia="Arial" w:hAnsi="Arial"/>
                <w:sz w:val="18"/>
                <w:szCs w:val="18"/>
                <w:color w:val="auto"/>
              </w:rPr>
              <w:t>Metallo Belgium N.V. *</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4040" w:type="dxa"/>
            <w:vAlign w:val="bottom"/>
          </w:tcPr>
          <w:p>
            <w:pPr>
              <w:spacing w:after="0"/>
              <w:rPr>
                <w:sz w:val="20"/>
                <w:szCs w:val="20"/>
                <w:color w:val="auto"/>
              </w:rPr>
            </w:pPr>
            <w:r>
              <w:rPr>
                <w:rFonts w:ascii="Arial" w:cs="Arial" w:eastAsia="Arial" w:hAnsi="Arial"/>
                <w:sz w:val="18"/>
                <w:szCs w:val="18"/>
                <w:color w:val="auto"/>
              </w:rPr>
              <w:t>Metallo Spain S.L.U. *</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68.</w:t>
            </w:r>
          </w:p>
        </w:tc>
        <w:tc>
          <w:tcPr>
            <w:tcW w:w="4040" w:type="dxa"/>
            <w:vAlign w:val="bottom"/>
          </w:tcPr>
          <w:p>
            <w:pPr>
              <w:spacing w:after="0"/>
              <w:rPr>
                <w:sz w:val="20"/>
                <w:szCs w:val="20"/>
                <w:color w:val="auto"/>
              </w:rPr>
            </w:pPr>
            <w:r>
              <w:rPr>
                <w:rFonts w:ascii="Arial" w:cs="Arial" w:eastAsia="Arial" w:hAnsi="Arial"/>
                <w:sz w:val="18"/>
                <w:szCs w:val="18"/>
                <w:color w:val="auto"/>
              </w:rPr>
              <w:t>Mineração Taboca S.A.*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69.</w:t>
            </w:r>
          </w:p>
        </w:tc>
        <w:tc>
          <w:tcPr>
            <w:tcW w:w="4040" w:type="dxa"/>
            <w:vAlign w:val="bottom"/>
          </w:tcPr>
          <w:p>
            <w:pPr>
              <w:spacing w:after="0"/>
              <w:rPr>
                <w:sz w:val="20"/>
                <w:szCs w:val="20"/>
                <w:color w:val="auto"/>
              </w:rPr>
            </w:pPr>
            <w:r>
              <w:rPr>
                <w:rFonts w:ascii="Arial" w:cs="Arial" w:eastAsia="Arial" w:hAnsi="Arial"/>
                <w:sz w:val="18"/>
                <w:szCs w:val="18"/>
                <w:color w:val="auto"/>
              </w:rPr>
              <w:t>Minsur*</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4040" w:type="dxa"/>
            <w:vAlign w:val="bottom"/>
          </w:tcPr>
          <w:p>
            <w:pPr>
              <w:spacing w:after="0"/>
              <w:rPr>
                <w:sz w:val="20"/>
                <w:szCs w:val="20"/>
                <w:color w:val="auto"/>
              </w:rPr>
            </w:pPr>
            <w:r>
              <w:rPr>
                <w:rFonts w:ascii="Arial" w:cs="Arial" w:eastAsia="Arial" w:hAnsi="Arial"/>
                <w:sz w:val="18"/>
                <w:szCs w:val="18"/>
                <w:color w:val="auto"/>
              </w:rPr>
              <w:t>Mitsubishi Materials Corporation*</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71.</w:t>
            </w:r>
          </w:p>
        </w:tc>
        <w:tc>
          <w:tcPr>
            <w:tcW w:w="4040" w:type="dxa"/>
            <w:vAlign w:val="bottom"/>
          </w:tcPr>
          <w:p>
            <w:pPr>
              <w:spacing w:after="0"/>
              <w:rPr>
                <w:sz w:val="20"/>
                <w:szCs w:val="20"/>
                <w:color w:val="auto"/>
              </w:rPr>
            </w:pPr>
            <w:r>
              <w:rPr>
                <w:rFonts w:ascii="Arial" w:cs="Arial" w:eastAsia="Arial" w:hAnsi="Arial"/>
                <w:sz w:val="18"/>
                <w:szCs w:val="18"/>
                <w:color w:val="auto"/>
              </w:rPr>
              <w:t>Modeltec Sdn Bhd*</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72.</w:t>
            </w:r>
          </w:p>
        </w:tc>
        <w:tc>
          <w:tcPr>
            <w:tcW w:w="4040" w:type="dxa"/>
            <w:vAlign w:val="bottom"/>
          </w:tcPr>
          <w:p>
            <w:pPr>
              <w:spacing w:after="0"/>
              <w:rPr>
                <w:sz w:val="20"/>
                <w:szCs w:val="20"/>
                <w:color w:val="auto"/>
              </w:rPr>
            </w:pPr>
            <w:r>
              <w:rPr>
                <w:rFonts w:ascii="Arial" w:cs="Arial" w:eastAsia="Arial" w:hAnsi="Arial"/>
                <w:sz w:val="18"/>
                <w:szCs w:val="18"/>
                <w:color w:val="auto"/>
              </w:rPr>
              <w:t>O.M. Manufacturing Philippines, Inc.*</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73.</w:t>
            </w:r>
          </w:p>
        </w:tc>
        <w:tc>
          <w:tcPr>
            <w:tcW w:w="4040" w:type="dxa"/>
            <w:vAlign w:val="bottom"/>
          </w:tcPr>
          <w:p>
            <w:pPr>
              <w:spacing w:after="0"/>
              <w:rPr>
                <w:sz w:val="20"/>
                <w:szCs w:val="20"/>
                <w:color w:val="auto"/>
              </w:rPr>
            </w:pPr>
            <w:r>
              <w:rPr>
                <w:rFonts w:ascii="Arial" w:cs="Arial" w:eastAsia="Arial" w:hAnsi="Arial"/>
                <w:sz w:val="18"/>
                <w:szCs w:val="18"/>
                <w:color w:val="auto"/>
              </w:rPr>
              <w:t>O.M. Manufacturing (Thailand) Co., Ltd.*</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74.</w:t>
            </w:r>
          </w:p>
        </w:tc>
        <w:tc>
          <w:tcPr>
            <w:tcW w:w="4040" w:type="dxa"/>
            <w:vAlign w:val="bottom"/>
          </w:tcPr>
          <w:p>
            <w:pPr>
              <w:spacing w:after="0"/>
              <w:rPr>
                <w:sz w:val="20"/>
                <w:szCs w:val="20"/>
                <w:color w:val="auto"/>
              </w:rPr>
            </w:pPr>
            <w:r>
              <w:rPr>
                <w:rFonts w:ascii="Arial" w:cs="Arial" w:eastAsia="Arial" w:hAnsi="Arial"/>
                <w:sz w:val="18"/>
                <w:szCs w:val="18"/>
                <w:color w:val="auto"/>
              </w:rPr>
              <w:t>Operaciones Metalurgical S.A.*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BOLIVIA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75.</w:t>
            </w:r>
          </w:p>
        </w:tc>
        <w:tc>
          <w:tcPr>
            <w:tcW w:w="4040" w:type="dxa"/>
            <w:vAlign w:val="bottom"/>
          </w:tcPr>
          <w:p>
            <w:pPr>
              <w:spacing w:after="0"/>
              <w:rPr>
                <w:sz w:val="20"/>
                <w:szCs w:val="20"/>
                <w:color w:val="auto"/>
              </w:rPr>
            </w:pPr>
            <w:r>
              <w:rPr>
                <w:rFonts w:ascii="Arial" w:cs="Arial" w:eastAsia="Arial" w:hAnsi="Arial"/>
                <w:sz w:val="18"/>
                <w:szCs w:val="18"/>
                <w:color w:val="auto"/>
              </w:rPr>
              <w:t>PT Aries Kencana Sejahtera*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76.</w:t>
            </w:r>
          </w:p>
        </w:tc>
        <w:tc>
          <w:tcPr>
            <w:tcW w:w="4040" w:type="dxa"/>
            <w:vAlign w:val="bottom"/>
          </w:tcPr>
          <w:p>
            <w:pPr>
              <w:spacing w:after="0"/>
              <w:rPr>
                <w:sz w:val="20"/>
                <w:szCs w:val="20"/>
                <w:color w:val="auto"/>
              </w:rPr>
            </w:pPr>
            <w:r>
              <w:rPr>
                <w:rFonts w:ascii="Arial" w:cs="Arial" w:eastAsia="Arial" w:hAnsi="Arial"/>
                <w:sz w:val="18"/>
                <w:szCs w:val="18"/>
                <w:color w:val="auto"/>
              </w:rPr>
              <w:t>PT Artha Cipta Langgeng*</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77.</w:t>
            </w:r>
          </w:p>
        </w:tc>
        <w:tc>
          <w:tcPr>
            <w:tcW w:w="4040" w:type="dxa"/>
            <w:vAlign w:val="bottom"/>
          </w:tcPr>
          <w:p>
            <w:pPr>
              <w:spacing w:after="0"/>
              <w:rPr>
                <w:sz w:val="20"/>
                <w:szCs w:val="20"/>
                <w:color w:val="auto"/>
              </w:rPr>
            </w:pPr>
            <w:r>
              <w:rPr>
                <w:rFonts w:ascii="Arial" w:cs="Arial" w:eastAsia="Arial" w:hAnsi="Arial"/>
                <w:sz w:val="18"/>
                <w:szCs w:val="18"/>
                <w:color w:val="auto"/>
              </w:rPr>
              <w:t>PT ATD Makmur Mandiri Jaya*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78.</w:t>
            </w:r>
          </w:p>
        </w:tc>
        <w:tc>
          <w:tcPr>
            <w:tcW w:w="4040" w:type="dxa"/>
            <w:vAlign w:val="bottom"/>
          </w:tcPr>
          <w:p>
            <w:pPr>
              <w:spacing w:after="0"/>
              <w:rPr>
                <w:sz w:val="20"/>
                <w:szCs w:val="20"/>
                <w:color w:val="auto"/>
              </w:rPr>
            </w:pPr>
            <w:r>
              <w:rPr>
                <w:rFonts w:ascii="Arial" w:cs="Arial" w:eastAsia="Arial" w:hAnsi="Arial"/>
                <w:sz w:val="18"/>
                <w:szCs w:val="18"/>
                <w:color w:val="auto"/>
              </w:rPr>
              <w:t>PT Babel Inti Perkasa*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79.</w:t>
            </w:r>
          </w:p>
        </w:tc>
        <w:tc>
          <w:tcPr>
            <w:tcW w:w="4040" w:type="dxa"/>
            <w:vAlign w:val="bottom"/>
          </w:tcPr>
          <w:p>
            <w:pPr>
              <w:spacing w:after="0"/>
              <w:rPr>
                <w:sz w:val="20"/>
                <w:szCs w:val="20"/>
                <w:color w:val="auto"/>
              </w:rPr>
            </w:pPr>
            <w:r>
              <w:rPr>
                <w:rFonts w:ascii="Arial" w:cs="Arial" w:eastAsia="Arial" w:hAnsi="Arial"/>
                <w:sz w:val="18"/>
                <w:szCs w:val="18"/>
                <w:color w:val="auto"/>
              </w:rPr>
              <w:t>PT Bangka Prima Tin*</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80.</w:t>
            </w:r>
          </w:p>
        </w:tc>
        <w:tc>
          <w:tcPr>
            <w:tcW w:w="4040" w:type="dxa"/>
            <w:vAlign w:val="bottom"/>
          </w:tcPr>
          <w:p>
            <w:pPr>
              <w:spacing w:after="0"/>
              <w:rPr>
                <w:sz w:val="20"/>
                <w:szCs w:val="20"/>
                <w:color w:val="auto"/>
              </w:rPr>
            </w:pPr>
            <w:r>
              <w:rPr>
                <w:rFonts w:ascii="Arial" w:cs="Arial" w:eastAsia="Arial" w:hAnsi="Arial"/>
                <w:sz w:val="18"/>
                <w:szCs w:val="18"/>
                <w:color w:val="auto"/>
              </w:rPr>
              <w:t>PT Bangka Serumpun*</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81.</w:t>
            </w:r>
          </w:p>
        </w:tc>
        <w:tc>
          <w:tcPr>
            <w:tcW w:w="4040" w:type="dxa"/>
            <w:vAlign w:val="bottom"/>
          </w:tcPr>
          <w:p>
            <w:pPr>
              <w:spacing w:after="0"/>
              <w:rPr>
                <w:sz w:val="20"/>
                <w:szCs w:val="20"/>
                <w:color w:val="auto"/>
              </w:rPr>
            </w:pPr>
            <w:r>
              <w:rPr>
                <w:rFonts w:ascii="Arial" w:cs="Arial" w:eastAsia="Arial" w:hAnsi="Arial"/>
                <w:sz w:val="18"/>
                <w:szCs w:val="18"/>
                <w:color w:val="auto"/>
              </w:rPr>
              <w:t>PT Bangka Tin Industry*</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82.</w:t>
            </w:r>
          </w:p>
        </w:tc>
        <w:tc>
          <w:tcPr>
            <w:tcW w:w="4040" w:type="dxa"/>
            <w:vAlign w:val="bottom"/>
          </w:tcPr>
          <w:p>
            <w:pPr>
              <w:spacing w:after="0"/>
              <w:rPr>
                <w:sz w:val="20"/>
                <w:szCs w:val="20"/>
                <w:color w:val="auto"/>
              </w:rPr>
            </w:pPr>
            <w:r>
              <w:rPr>
                <w:rFonts w:ascii="Arial" w:cs="Arial" w:eastAsia="Arial" w:hAnsi="Arial"/>
                <w:sz w:val="18"/>
                <w:szCs w:val="18"/>
                <w:color w:val="auto"/>
              </w:rPr>
              <w:t>PT Belitung Industri Sejahtera*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83.</w:t>
            </w:r>
          </w:p>
        </w:tc>
        <w:tc>
          <w:tcPr>
            <w:tcW w:w="4040" w:type="dxa"/>
            <w:vAlign w:val="bottom"/>
          </w:tcPr>
          <w:p>
            <w:pPr>
              <w:spacing w:after="0"/>
              <w:rPr>
                <w:sz w:val="20"/>
                <w:szCs w:val="20"/>
                <w:color w:val="auto"/>
              </w:rPr>
            </w:pPr>
            <w:r>
              <w:rPr>
                <w:rFonts w:ascii="Arial" w:cs="Arial" w:eastAsia="Arial" w:hAnsi="Arial"/>
                <w:sz w:val="18"/>
                <w:szCs w:val="18"/>
                <w:color w:val="auto"/>
              </w:rPr>
              <w:t>PT Bukit Timah*</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84.</w:t>
            </w:r>
          </w:p>
        </w:tc>
        <w:tc>
          <w:tcPr>
            <w:tcW w:w="4040" w:type="dxa"/>
            <w:vAlign w:val="bottom"/>
          </w:tcPr>
          <w:p>
            <w:pPr>
              <w:spacing w:after="0"/>
              <w:rPr>
                <w:sz w:val="20"/>
                <w:szCs w:val="20"/>
                <w:color w:val="auto"/>
              </w:rPr>
            </w:pPr>
            <w:r>
              <w:rPr>
                <w:rFonts w:ascii="Arial" w:cs="Arial" w:eastAsia="Arial" w:hAnsi="Arial"/>
                <w:sz w:val="18"/>
                <w:szCs w:val="18"/>
                <w:color w:val="auto"/>
              </w:rPr>
              <w:t>PT DS Jaya Abadi*</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85.</w:t>
            </w:r>
          </w:p>
        </w:tc>
        <w:tc>
          <w:tcPr>
            <w:tcW w:w="4040" w:type="dxa"/>
            <w:vAlign w:val="bottom"/>
          </w:tcPr>
          <w:p>
            <w:pPr>
              <w:spacing w:after="0"/>
              <w:rPr>
                <w:sz w:val="20"/>
                <w:szCs w:val="20"/>
                <w:color w:val="auto"/>
              </w:rPr>
            </w:pPr>
            <w:r>
              <w:rPr>
                <w:rFonts w:ascii="Arial" w:cs="Arial" w:eastAsia="Arial" w:hAnsi="Arial"/>
                <w:sz w:val="18"/>
                <w:szCs w:val="18"/>
                <w:color w:val="auto"/>
              </w:rPr>
              <w:t>PT Inti Stania Prima*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86.</w:t>
            </w:r>
          </w:p>
        </w:tc>
        <w:tc>
          <w:tcPr>
            <w:tcW w:w="4040" w:type="dxa"/>
            <w:vAlign w:val="bottom"/>
          </w:tcPr>
          <w:p>
            <w:pPr>
              <w:spacing w:after="0"/>
              <w:rPr>
                <w:sz w:val="20"/>
                <w:szCs w:val="20"/>
                <w:color w:val="auto"/>
              </w:rPr>
            </w:pPr>
            <w:r>
              <w:rPr>
                <w:rFonts w:ascii="Arial" w:cs="Arial" w:eastAsia="Arial" w:hAnsi="Arial"/>
                <w:sz w:val="18"/>
                <w:szCs w:val="18"/>
                <w:color w:val="auto"/>
              </w:rPr>
              <w:t>PT Karimun Mining*</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87.</w:t>
            </w:r>
          </w:p>
        </w:tc>
        <w:tc>
          <w:tcPr>
            <w:tcW w:w="4040" w:type="dxa"/>
            <w:vAlign w:val="bottom"/>
          </w:tcPr>
          <w:p>
            <w:pPr>
              <w:spacing w:after="0"/>
              <w:rPr>
                <w:sz w:val="20"/>
                <w:szCs w:val="20"/>
                <w:color w:val="auto"/>
              </w:rPr>
            </w:pPr>
            <w:r>
              <w:rPr>
                <w:rFonts w:ascii="Arial" w:cs="Arial" w:eastAsia="Arial" w:hAnsi="Arial"/>
                <w:sz w:val="18"/>
                <w:szCs w:val="18"/>
                <w:color w:val="auto"/>
              </w:rPr>
              <w:t>PT Kijang Jaya Mandiri*</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88.</w:t>
            </w:r>
          </w:p>
        </w:tc>
        <w:tc>
          <w:tcPr>
            <w:tcW w:w="4040" w:type="dxa"/>
            <w:vAlign w:val="bottom"/>
          </w:tcPr>
          <w:p>
            <w:pPr>
              <w:spacing w:after="0"/>
              <w:rPr>
                <w:sz w:val="20"/>
                <w:szCs w:val="20"/>
                <w:color w:val="auto"/>
              </w:rPr>
            </w:pPr>
            <w:r>
              <w:rPr>
                <w:rFonts w:ascii="Arial" w:cs="Arial" w:eastAsia="Arial" w:hAnsi="Arial"/>
                <w:sz w:val="18"/>
                <w:szCs w:val="18"/>
                <w:color w:val="auto"/>
              </w:rPr>
              <w:t>PT Lautan Harmonis Sejahtera *</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89.</w:t>
            </w:r>
          </w:p>
        </w:tc>
        <w:tc>
          <w:tcPr>
            <w:tcW w:w="4040" w:type="dxa"/>
            <w:vAlign w:val="bottom"/>
          </w:tcPr>
          <w:p>
            <w:pPr>
              <w:spacing w:after="0"/>
              <w:rPr>
                <w:sz w:val="20"/>
                <w:szCs w:val="20"/>
                <w:color w:val="auto"/>
              </w:rPr>
            </w:pPr>
            <w:r>
              <w:rPr>
                <w:rFonts w:ascii="Arial" w:cs="Arial" w:eastAsia="Arial" w:hAnsi="Arial"/>
                <w:sz w:val="18"/>
                <w:szCs w:val="18"/>
                <w:color w:val="auto"/>
              </w:rPr>
              <w:t>PT Menara Cipta Mulia *</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90.</w:t>
            </w:r>
          </w:p>
        </w:tc>
        <w:tc>
          <w:tcPr>
            <w:tcW w:w="4040" w:type="dxa"/>
            <w:vAlign w:val="bottom"/>
          </w:tcPr>
          <w:p>
            <w:pPr>
              <w:spacing w:after="0"/>
              <w:rPr>
                <w:sz w:val="20"/>
                <w:szCs w:val="20"/>
                <w:color w:val="auto"/>
              </w:rPr>
            </w:pPr>
            <w:r>
              <w:rPr>
                <w:rFonts w:ascii="Arial" w:cs="Arial" w:eastAsia="Arial" w:hAnsi="Arial"/>
                <w:sz w:val="18"/>
                <w:szCs w:val="18"/>
                <w:color w:val="auto"/>
              </w:rPr>
              <w:t>PT Mitra Stania Prima*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91.</w:t>
            </w:r>
          </w:p>
        </w:tc>
        <w:tc>
          <w:tcPr>
            <w:tcW w:w="4040" w:type="dxa"/>
            <w:vAlign w:val="bottom"/>
          </w:tcPr>
          <w:p>
            <w:pPr>
              <w:spacing w:after="0"/>
              <w:rPr>
                <w:sz w:val="20"/>
                <w:szCs w:val="20"/>
                <w:color w:val="auto"/>
              </w:rPr>
            </w:pPr>
            <w:r>
              <w:rPr>
                <w:rFonts w:ascii="Arial" w:cs="Arial" w:eastAsia="Arial" w:hAnsi="Arial"/>
                <w:sz w:val="18"/>
                <w:szCs w:val="18"/>
                <w:color w:val="auto"/>
              </w:rPr>
              <w:t>PT Panca Mega Persada*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92.</w:t>
            </w:r>
          </w:p>
        </w:tc>
        <w:tc>
          <w:tcPr>
            <w:tcW w:w="4040" w:type="dxa"/>
            <w:vAlign w:val="bottom"/>
          </w:tcPr>
          <w:p>
            <w:pPr>
              <w:spacing w:after="0"/>
              <w:rPr>
                <w:sz w:val="20"/>
                <w:szCs w:val="20"/>
                <w:color w:val="auto"/>
              </w:rPr>
            </w:pPr>
            <w:r>
              <w:rPr>
                <w:rFonts w:ascii="Arial" w:cs="Arial" w:eastAsia="Arial" w:hAnsi="Arial"/>
                <w:sz w:val="18"/>
                <w:szCs w:val="18"/>
                <w:color w:val="auto"/>
              </w:rPr>
              <w:t>PT Premium Tin Indonesia*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93.</w:t>
            </w:r>
          </w:p>
        </w:tc>
        <w:tc>
          <w:tcPr>
            <w:tcW w:w="4040" w:type="dxa"/>
            <w:vAlign w:val="bottom"/>
          </w:tcPr>
          <w:p>
            <w:pPr>
              <w:spacing w:after="0"/>
              <w:rPr>
                <w:sz w:val="20"/>
                <w:szCs w:val="20"/>
                <w:color w:val="auto"/>
              </w:rPr>
            </w:pPr>
            <w:r>
              <w:rPr>
                <w:rFonts w:ascii="Arial" w:cs="Arial" w:eastAsia="Arial" w:hAnsi="Arial"/>
                <w:sz w:val="18"/>
                <w:szCs w:val="18"/>
                <w:color w:val="auto"/>
              </w:rPr>
              <w:t>PT Prima Timah Utama*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94.</w:t>
            </w:r>
          </w:p>
        </w:tc>
        <w:tc>
          <w:tcPr>
            <w:tcW w:w="4040" w:type="dxa"/>
            <w:vAlign w:val="bottom"/>
          </w:tcPr>
          <w:p>
            <w:pPr>
              <w:spacing w:after="0"/>
              <w:rPr>
                <w:sz w:val="20"/>
                <w:szCs w:val="20"/>
                <w:color w:val="auto"/>
              </w:rPr>
            </w:pPr>
            <w:r>
              <w:rPr>
                <w:rFonts w:ascii="Arial" w:cs="Arial" w:eastAsia="Arial" w:hAnsi="Arial"/>
                <w:sz w:val="18"/>
                <w:szCs w:val="18"/>
                <w:color w:val="auto"/>
              </w:rPr>
              <w:t>PT Rajehan Ariq*</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95.</w:t>
            </w:r>
          </w:p>
        </w:tc>
        <w:tc>
          <w:tcPr>
            <w:tcW w:w="4040" w:type="dxa"/>
            <w:vAlign w:val="bottom"/>
          </w:tcPr>
          <w:p>
            <w:pPr>
              <w:spacing w:after="0"/>
              <w:rPr>
                <w:sz w:val="20"/>
                <w:szCs w:val="20"/>
                <w:color w:val="auto"/>
              </w:rPr>
            </w:pPr>
            <w:r>
              <w:rPr>
                <w:rFonts w:ascii="Arial" w:cs="Arial" w:eastAsia="Arial" w:hAnsi="Arial"/>
                <w:sz w:val="18"/>
                <w:szCs w:val="18"/>
                <w:color w:val="auto"/>
              </w:rPr>
              <w:t>PT Refined Bangka Tin*</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96.</w:t>
            </w:r>
          </w:p>
        </w:tc>
        <w:tc>
          <w:tcPr>
            <w:tcW w:w="4040" w:type="dxa"/>
            <w:vAlign w:val="bottom"/>
          </w:tcPr>
          <w:p>
            <w:pPr>
              <w:spacing w:after="0"/>
              <w:rPr>
                <w:sz w:val="20"/>
                <w:szCs w:val="20"/>
                <w:color w:val="auto"/>
              </w:rPr>
            </w:pPr>
            <w:r>
              <w:rPr>
                <w:rFonts w:ascii="Arial" w:cs="Arial" w:eastAsia="Arial" w:hAnsi="Arial"/>
                <w:sz w:val="18"/>
                <w:szCs w:val="18"/>
                <w:color w:val="auto"/>
              </w:rPr>
              <w:t>PT Sariwiguna Binasentosa*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97.</w:t>
            </w:r>
          </w:p>
        </w:tc>
        <w:tc>
          <w:tcPr>
            <w:tcW w:w="4040" w:type="dxa"/>
            <w:vAlign w:val="bottom"/>
          </w:tcPr>
          <w:p>
            <w:pPr>
              <w:spacing w:after="0"/>
              <w:rPr>
                <w:sz w:val="20"/>
                <w:szCs w:val="20"/>
                <w:color w:val="auto"/>
              </w:rPr>
            </w:pPr>
            <w:r>
              <w:rPr>
                <w:rFonts w:ascii="Arial" w:cs="Arial" w:eastAsia="Arial" w:hAnsi="Arial"/>
                <w:sz w:val="18"/>
                <w:szCs w:val="18"/>
                <w:color w:val="auto"/>
              </w:rPr>
              <w:t>PT Stanindo Inti Perkasa*</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98.</w:t>
            </w:r>
          </w:p>
        </w:tc>
        <w:tc>
          <w:tcPr>
            <w:tcW w:w="4040" w:type="dxa"/>
            <w:vAlign w:val="bottom"/>
          </w:tcPr>
          <w:p>
            <w:pPr>
              <w:spacing w:after="0"/>
              <w:rPr>
                <w:sz w:val="20"/>
                <w:szCs w:val="20"/>
                <w:color w:val="auto"/>
              </w:rPr>
            </w:pPr>
            <w:r>
              <w:rPr>
                <w:rFonts w:ascii="Arial" w:cs="Arial" w:eastAsia="Arial" w:hAnsi="Arial"/>
                <w:sz w:val="18"/>
                <w:szCs w:val="18"/>
                <w:color w:val="auto"/>
              </w:rPr>
              <w:t>PT Sukses Inti Makmur*</w:t>
            </w:r>
          </w:p>
        </w:tc>
        <w:tc>
          <w:tcPr>
            <w:tcW w:w="246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26"/>
        </w:trPr>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60" w:type="dxa"/>
            <w:vAlign w:val="bottom"/>
          </w:tcPr>
          <w:p>
            <w:pPr>
              <w:jc w:val="right"/>
              <w:ind w:right="1330"/>
              <w:spacing w:after="0"/>
              <w:rPr>
                <w:sz w:val="20"/>
                <w:szCs w:val="20"/>
                <w:color w:val="auto"/>
              </w:rPr>
            </w:pPr>
            <w:r>
              <w:rPr>
                <w:rFonts w:ascii="Arial" w:cs="Arial" w:eastAsia="Arial" w:hAnsi="Arial"/>
                <w:sz w:val="18"/>
                <w:szCs w:val="18"/>
                <w:color w:val="auto"/>
              </w:rPr>
              <w:t>8</w:t>
            </w:r>
          </w:p>
        </w:tc>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80" w:type="dxa"/>
            <w:vAlign w:val="bottom"/>
            <w:tcBorders>
              <w:bottom w:val="single" w:sz="8" w:color="9A9A9A"/>
            </w:tcBorders>
          </w:tcPr>
          <w:p>
            <w:pPr>
              <w:spacing w:after="0"/>
              <w:rPr>
                <w:sz w:val="22"/>
                <w:szCs w:val="22"/>
                <w:color w:val="auto"/>
              </w:rPr>
            </w:pPr>
          </w:p>
        </w:tc>
        <w:tc>
          <w:tcPr>
            <w:tcW w:w="4040" w:type="dxa"/>
            <w:vAlign w:val="bottom"/>
            <w:tcBorders>
              <w:bottom w:val="single" w:sz="8" w:color="9A9A9A"/>
            </w:tcBorders>
          </w:tcPr>
          <w:p>
            <w:pPr>
              <w:spacing w:after="0"/>
              <w:rPr>
                <w:sz w:val="22"/>
                <w:szCs w:val="22"/>
                <w:color w:val="auto"/>
              </w:rPr>
            </w:pPr>
          </w:p>
        </w:tc>
        <w:tc>
          <w:tcPr>
            <w:tcW w:w="246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84"/>
        </w:trPr>
        <w:tc>
          <w:tcPr>
            <w:tcW w:w="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99.</w:t>
            </w: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PT Sumber Jaya Indah*</w:t>
            </w:r>
          </w:p>
        </w:tc>
        <w:tc>
          <w:tcPr>
            <w:tcW w:w="204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4"/>
                <w:szCs w:val="24"/>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4480" w:type="dxa"/>
            <w:vAlign w:val="bottom"/>
          </w:tcPr>
          <w:p>
            <w:pPr>
              <w:spacing w:after="0"/>
              <w:rPr>
                <w:sz w:val="20"/>
                <w:szCs w:val="20"/>
                <w:color w:val="auto"/>
              </w:rPr>
            </w:pPr>
            <w:r>
              <w:rPr>
                <w:rFonts w:ascii="Arial" w:cs="Arial" w:eastAsia="Arial" w:hAnsi="Arial"/>
                <w:sz w:val="18"/>
                <w:szCs w:val="18"/>
                <w:color w:val="auto"/>
              </w:rPr>
              <w:t>PT Timah Tbk Kundur*</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4480" w:type="dxa"/>
            <w:vAlign w:val="bottom"/>
          </w:tcPr>
          <w:p>
            <w:pPr>
              <w:spacing w:after="0"/>
              <w:rPr>
                <w:sz w:val="20"/>
                <w:szCs w:val="20"/>
                <w:color w:val="auto"/>
              </w:rPr>
            </w:pPr>
            <w:r>
              <w:rPr>
                <w:rFonts w:ascii="Arial" w:cs="Arial" w:eastAsia="Arial" w:hAnsi="Arial"/>
                <w:sz w:val="18"/>
                <w:szCs w:val="18"/>
                <w:color w:val="auto"/>
              </w:rPr>
              <w:t>PT Timah Tbk Mentok*</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4480" w:type="dxa"/>
            <w:vAlign w:val="bottom"/>
          </w:tcPr>
          <w:p>
            <w:pPr>
              <w:spacing w:after="0"/>
              <w:rPr>
                <w:sz w:val="20"/>
                <w:szCs w:val="20"/>
                <w:color w:val="auto"/>
              </w:rPr>
            </w:pPr>
            <w:r>
              <w:rPr>
                <w:rFonts w:ascii="Arial" w:cs="Arial" w:eastAsia="Arial" w:hAnsi="Arial"/>
                <w:sz w:val="18"/>
                <w:szCs w:val="18"/>
                <w:color w:val="auto"/>
              </w:rPr>
              <w:t>PT Tinindo Inter Nusa*</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w:t>
            </w:r>
          </w:p>
        </w:tc>
        <w:tc>
          <w:tcPr>
            <w:tcW w:w="4480" w:type="dxa"/>
            <w:vAlign w:val="bottom"/>
          </w:tcPr>
          <w:p>
            <w:pPr>
              <w:spacing w:after="0"/>
              <w:rPr>
                <w:sz w:val="20"/>
                <w:szCs w:val="20"/>
                <w:color w:val="auto"/>
              </w:rPr>
            </w:pPr>
            <w:r>
              <w:rPr>
                <w:rFonts w:ascii="Arial" w:cs="Arial" w:eastAsia="Arial" w:hAnsi="Arial"/>
                <w:sz w:val="18"/>
                <w:szCs w:val="18"/>
                <w:color w:val="auto"/>
              </w:rPr>
              <w:t>PT Tommy Utama*</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104.</w:t>
            </w:r>
          </w:p>
        </w:tc>
        <w:tc>
          <w:tcPr>
            <w:tcW w:w="4480" w:type="dxa"/>
            <w:vAlign w:val="bottom"/>
          </w:tcPr>
          <w:p>
            <w:pPr>
              <w:spacing w:after="0"/>
              <w:rPr>
                <w:sz w:val="20"/>
                <w:szCs w:val="20"/>
                <w:color w:val="auto"/>
              </w:rPr>
            </w:pPr>
            <w:r>
              <w:rPr>
                <w:rFonts w:ascii="Arial" w:cs="Arial" w:eastAsia="Arial" w:hAnsi="Arial"/>
                <w:sz w:val="18"/>
                <w:szCs w:val="18"/>
                <w:color w:val="auto"/>
              </w:rPr>
              <w:t>Resind Indústria e Comércio Ltda.*</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105.</w:t>
            </w:r>
          </w:p>
        </w:tc>
        <w:tc>
          <w:tcPr>
            <w:tcW w:w="4480" w:type="dxa"/>
            <w:vAlign w:val="bottom"/>
          </w:tcPr>
          <w:p>
            <w:pPr>
              <w:spacing w:after="0"/>
              <w:rPr>
                <w:sz w:val="20"/>
                <w:szCs w:val="20"/>
                <w:color w:val="auto"/>
              </w:rPr>
            </w:pPr>
            <w:r>
              <w:rPr>
                <w:rFonts w:ascii="Arial" w:cs="Arial" w:eastAsia="Arial" w:hAnsi="Arial"/>
                <w:sz w:val="18"/>
                <w:szCs w:val="18"/>
                <w:color w:val="auto"/>
              </w:rPr>
              <w:t>Rui Da Hung*</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106.</w:t>
            </w:r>
          </w:p>
        </w:tc>
        <w:tc>
          <w:tcPr>
            <w:tcW w:w="4480" w:type="dxa"/>
            <w:vAlign w:val="bottom"/>
          </w:tcPr>
          <w:p>
            <w:pPr>
              <w:spacing w:after="0"/>
              <w:rPr>
                <w:sz w:val="20"/>
                <w:szCs w:val="20"/>
                <w:color w:val="auto"/>
              </w:rPr>
            </w:pPr>
            <w:r>
              <w:rPr>
                <w:rFonts w:ascii="Arial" w:cs="Arial" w:eastAsia="Arial" w:hAnsi="Arial"/>
                <w:sz w:val="18"/>
                <w:szCs w:val="18"/>
                <w:color w:val="auto"/>
              </w:rPr>
              <w:t>Soft Metais Ltda.*</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107.</w:t>
            </w:r>
          </w:p>
        </w:tc>
        <w:tc>
          <w:tcPr>
            <w:tcW w:w="4480" w:type="dxa"/>
            <w:vAlign w:val="bottom"/>
          </w:tcPr>
          <w:p>
            <w:pPr>
              <w:spacing w:after="0"/>
              <w:rPr>
                <w:sz w:val="20"/>
                <w:szCs w:val="20"/>
                <w:color w:val="auto"/>
              </w:rPr>
            </w:pPr>
            <w:r>
              <w:rPr>
                <w:rFonts w:ascii="Arial" w:cs="Arial" w:eastAsia="Arial" w:hAnsi="Arial"/>
                <w:sz w:val="18"/>
                <w:szCs w:val="18"/>
                <w:color w:val="auto"/>
              </w:rPr>
              <w:t>Thaisarco*</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108.</w:t>
            </w:r>
          </w:p>
        </w:tc>
        <w:tc>
          <w:tcPr>
            <w:tcW w:w="4480" w:type="dxa"/>
            <w:vAlign w:val="bottom"/>
          </w:tcPr>
          <w:p>
            <w:pPr>
              <w:spacing w:after="0"/>
              <w:rPr>
                <w:sz w:val="20"/>
                <w:szCs w:val="20"/>
                <w:color w:val="auto"/>
              </w:rPr>
            </w:pPr>
            <w:r>
              <w:rPr>
                <w:rFonts w:ascii="Arial" w:cs="Arial" w:eastAsia="Arial" w:hAnsi="Arial"/>
                <w:sz w:val="18"/>
                <w:szCs w:val="18"/>
                <w:color w:val="auto"/>
              </w:rPr>
              <w:t>White Solder Metalurgia e Mineração Ltda.*</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109.</w:t>
            </w:r>
          </w:p>
        </w:tc>
        <w:tc>
          <w:tcPr>
            <w:tcW w:w="4480" w:type="dxa"/>
            <w:vAlign w:val="bottom"/>
          </w:tcPr>
          <w:p>
            <w:pPr>
              <w:spacing w:after="0"/>
              <w:rPr>
                <w:sz w:val="20"/>
                <w:szCs w:val="20"/>
                <w:color w:val="auto"/>
              </w:rPr>
            </w:pPr>
            <w:r>
              <w:rPr>
                <w:rFonts w:ascii="Arial" w:cs="Arial" w:eastAsia="Arial" w:hAnsi="Arial"/>
                <w:sz w:val="18"/>
                <w:szCs w:val="18"/>
                <w:color w:val="auto"/>
              </w:rPr>
              <w:t>Yunnan Chengfeng Non-ferrous Metals Co., Ltd. *</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110.</w:t>
            </w:r>
          </w:p>
        </w:tc>
        <w:tc>
          <w:tcPr>
            <w:tcW w:w="4480" w:type="dxa"/>
            <w:vAlign w:val="bottom"/>
          </w:tcPr>
          <w:p>
            <w:pPr>
              <w:spacing w:after="0"/>
              <w:rPr>
                <w:sz w:val="20"/>
                <w:szCs w:val="20"/>
                <w:color w:val="auto"/>
              </w:rPr>
            </w:pPr>
            <w:r>
              <w:rPr>
                <w:rFonts w:ascii="Arial" w:cs="Arial" w:eastAsia="Arial" w:hAnsi="Arial"/>
                <w:sz w:val="18"/>
                <w:szCs w:val="18"/>
                <w:color w:val="auto"/>
              </w:rPr>
              <w:t>Yunnan Tin Company Limited*</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111.</w:t>
            </w:r>
          </w:p>
        </w:tc>
        <w:tc>
          <w:tcPr>
            <w:tcW w:w="4480" w:type="dxa"/>
            <w:vAlign w:val="bottom"/>
          </w:tcPr>
          <w:p>
            <w:pPr>
              <w:spacing w:after="0"/>
              <w:rPr>
                <w:sz w:val="20"/>
                <w:szCs w:val="20"/>
                <w:color w:val="auto"/>
              </w:rPr>
            </w:pPr>
            <w:r>
              <w:rPr>
                <w:rFonts w:ascii="Arial" w:cs="Arial" w:eastAsia="Arial" w:hAnsi="Arial"/>
                <w:sz w:val="18"/>
                <w:szCs w:val="18"/>
                <w:color w:val="auto"/>
              </w:rPr>
              <w:t>Asaka Riken Co., Ltd.*</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112.</w:t>
            </w:r>
          </w:p>
        </w:tc>
        <w:tc>
          <w:tcPr>
            <w:tcW w:w="4480" w:type="dxa"/>
            <w:vAlign w:val="bottom"/>
          </w:tcPr>
          <w:p>
            <w:pPr>
              <w:spacing w:after="0"/>
              <w:rPr>
                <w:sz w:val="20"/>
                <w:szCs w:val="20"/>
                <w:color w:val="auto"/>
              </w:rPr>
            </w:pPr>
            <w:r>
              <w:rPr>
                <w:rFonts w:ascii="Arial" w:cs="Arial" w:eastAsia="Arial" w:hAnsi="Arial"/>
                <w:sz w:val="18"/>
                <w:szCs w:val="18"/>
                <w:color w:val="auto"/>
              </w:rPr>
              <w:t>Changsha South Tantalum Niobium Co., Ltd.*</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113.</w:t>
            </w:r>
          </w:p>
        </w:tc>
        <w:tc>
          <w:tcPr>
            <w:tcW w:w="4480" w:type="dxa"/>
            <w:vAlign w:val="bottom"/>
          </w:tcPr>
          <w:p>
            <w:pPr>
              <w:spacing w:after="0"/>
              <w:rPr>
                <w:sz w:val="20"/>
                <w:szCs w:val="20"/>
                <w:color w:val="auto"/>
              </w:rPr>
            </w:pPr>
            <w:r>
              <w:rPr>
                <w:rFonts w:ascii="Arial" w:cs="Arial" w:eastAsia="Arial" w:hAnsi="Arial"/>
                <w:sz w:val="18"/>
                <w:szCs w:val="18"/>
                <w:color w:val="auto"/>
              </w:rPr>
              <w:t>D Block Metals, LLC*</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114.</w:t>
            </w:r>
          </w:p>
        </w:tc>
        <w:tc>
          <w:tcPr>
            <w:tcW w:w="4480" w:type="dxa"/>
            <w:vAlign w:val="bottom"/>
          </w:tcPr>
          <w:p>
            <w:pPr>
              <w:spacing w:after="0"/>
              <w:rPr>
                <w:sz w:val="20"/>
                <w:szCs w:val="20"/>
                <w:color w:val="auto"/>
              </w:rPr>
            </w:pPr>
            <w:r>
              <w:rPr>
                <w:rFonts w:ascii="Arial" w:cs="Arial" w:eastAsia="Arial" w:hAnsi="Arial"/>
                <w:sz w:val="18"/>
                <w:szCs w:val="18"/>
                <w:color w:val="auto"/>
              </w:rPr>
              <w:t>Exotech Inc.*</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115.</w:t>
            </w:r>
          </w:p>
        </w:tc>
        <w:tc>
          <w:tcPr>
            <w:tcW w:w="4480" w:type="dxa"/>
            <w:vAlign w:val="bottom"/>
          </w:tcPr>
          <w:p>
            <w:pPr>
              <w:spacing w:after="0"/>
              <w:rPr>
                <w:sz w:val="20"/>
                <w:szCs w:val="20"/>
                <w:color w:val="auto"/>
              </w:rPr>
            </w:pPr>
            <w:r>
              <w:rPr>
                <w:rFonts w:ascii="Arial" w:cs="Arial" w:eastAsia="Arial" w:hAnsi="Arial"/>
                <w:sz w:val="18"/>
                <w:szCs w:val="18"/>
                <w:color w:val="auto"/>
              </w:rPr>
              <w:t>F&amp;X Electro-Materials Ltd.*</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116.</w:t>
            </w:r>
          </w:p>
        </w:tc>
        <w:tc>
          <w:tcPr>
            <w:tcW w:w="4480" w:type="dxa"/>
            <w:vAlign w:val="bottom"/>
          </w:tcPr>
          <w:p>
            <w:pPr>
              <w:spacing w:after="0"/>
              <w:rPr>
                <w:sz w:val="20"/>
                <w:szCs w:val="20"/>
                <w:color w:val="auto"/>
              </w:rPr>
            </w:pPr>
            <w:r>
              <w:rPr>
                <w:rFonts w:ascii="Arial" w:cs="Arial" w:eastAsia="Arial" w:hAnsi="Arial"/>
                <w:sz w:val="18"/>
                <w:szCs w:val="18"/>
                <w:color w:val="auto"/>
              </w:rPr>
              <w:t>FIR Metals &amp; Resource Ltd. *</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117.</w:t>
            </w:r>
          </w:p>
        </w:tc>
        <w:tc>
          <w:tcPr>
            <w:tcW w:w="4480" w:type="dxa"/>
            <w:vAlign w:val="bottom"/>
          </w:tcPr>
          <w:p>
            <w:pPr>
              <w:spacing w:after="0"/>
              <w:rPr>
                <w:sz w:val="20"/>
                <w:szCs w:val="20"/>
                <w:color w:val="auto"/>
              </w:rPr>
            </w:pPr>
            <w:r>
              <w:rPr>
                <w:rFonts w:ascii="Arial" w:cs="Arial" w:eastAsia="Arial" w:hAnsi="Arial"/>
                <w:sz w:val="18"/>
                <w:szCs w:val="18"/>
                <w:color w:val="auto"/>
              </w:rPr>
              <w:t>Global Advanced Metals Aizu*</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118.</w:t>
            </w:r>
          </w:p>
        </w:tc>
        <w:tc>
          <w:tcPr>
            <w:tcW w:w="4480" w:type="dxa"/>
            <w:vAlign w:val="bottom"/>
          </w:tcPr>
          <w:p>
            <w:pPr>
              <w:spacing w:after="0"/>
              <w:rPr>
                <w:sz w:val="20"/>
                <w:szCs w:val="20"/>
                <w:color w:val="auto"/>
              </w:rPr>
            </w:pPr>
            <w:r>
              <w:rPr>
                <w:rFonts w:ascii="Arial" w:cs="Arial" w:eastAsia="Arial" w:hAnsi="Arial"/>
                <w:sz w:val="18"/>
                <w:szCs w:val="18"/>
                <w:color w:val="auto"/>
              </w:rPr>
              <w:t>Global Advanced Metals Boyertown*</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2"/>
                <w:szCs w:val="22"/>
                <w:color w:val="auto"/>
              </w:rPr>
            </w:pPr>
          </w:p>
        </w:tc>
      </w:tr>
      <w:tr>
        <w:trPr>
          <w:trHeight w:val="54"/>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119.</w:t>
            </w:r>
          </w:p>
        </w:tc>
        <w:tc>
          <w:tcPr>
            <w:tcW w:w="4480" w:type="dxa"/>
            <w:vAlign w:val="bottom"/>
          </w:tcPr>
          <w:p>
            <w:pPr>
              <w:spacing w:after="0"/>
              <w:rPr>
                <w:sz w:val="20"/>
                <w:szCs w:val="20"/>
                <w:color w:val="auto"/>
              </w:rPr>
            </w:pPr>
            <w:r>
              <w:rPr>
                <w:rFonts w:ascii="Arial" w:cs="Arial" w:eastAsia="Arial" w:hAnsi="Arial"/>
                <w:sz w:val="18"/>
                <w:szCs w:val="18"/>
                <w:color w:val="auto"/>
              </w:rPr>
              <w:t>Guandong Rising Rare Metals – EO Materials Ltd *</w:t>
            </w:r>
          </w:p>
        </w:tc>
        <w:tc>
          <w:tcPr>
            <w:tcW w:w="204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2"/>
                <w:szCs w:val="22"/>
                <w:color w:val="auto"/>
              </w:rPr>
            </w:pPr>
          </w:p>
        </w:tc>
      </w:tr>
      <w:tr>
        <w:trPr>
          <w:trHeight w:val="61"/>
        </w:trPr>
        <w:tc>
          <w:tcPr>
            <w:tcW w:w="680" w:type="dxa"/>
            <w:vAlign w:val="bottom"/>
            <w:tcBorders>
              <w:left w:val="single" w:sz="8" w:color="auto"/>
              <w:bottom w:val="single" w:sz="8" w:color="auto"/>
              <w:right w:val="single" w:sz="8" w:color="auto"/>
            </w:tcBorders>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30"/>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w:t>
            </w:r>
          </w:p>
        </w:tc>
        <w:tc>
          <w:tcPr>
            <w:tcW w:w="4480" w:type="dxa"/>
            <w:vAlign w:val="bottom"/>
          </w:tcPr>
          <w:p>
            <w:pPr>
              <w:spacing w:after="0"/>
              <w:rPr>
                <w:sz w:val="20"/>
                <w:szCs w:val="20"/>
                <w:color w:val="auto"/>
              </w:rPr>
            </w:pPr>
            <w:r>
              <w:rPr>
                <w:rFonts w:ascii="Arial" w:cs="Arial" w:eastAsia="Arial" w:hAnsi="Arial"/>
                <w:sz w:val="18"/>
                <w:szCs w:val="18"/>
                <w:color w:val="auto"/>
              </w:rPr>
              <w:t>Guangdong Zhiyuan New Material Co., Ltd.*</w:t>
            </w:r>
          </w:p>
        </w:tc>
        <w:tc>
          <w:tcPr>
            <w:tcW w:w="20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0"/>
                <w:szCs w:val="20"/>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w:t>
            </w:r>
          </w:p>
        </w:tc>
        <w:tc>
          <w:tcPr>
            <w:tcW w:w="4480" w:type="dxa"/>
            <w:vAlign w:val="bottom"/>
          </w:tcPr>
          <w:p>
            <w:pPr>
              <w:spacing w:after="0"/>
              <w:rPr>
                <w:sz w:val="20"/>
                <w:szCs w:val="20"/>
                <w:color w:val="auto"/>
              </w:rPr>
            </w:pPr>
            <w:r>
              <w:rPr>
                <w:rFonts w:ascii="Arial" w:cs="Arial" w:eastAsia="Arial" w:hAnsi="Arial"/>
                <w:sz w:val="18"/>
                <w:szCs w:val="18"/>
                <w:color w:val="auto"/>
              </w:rPr>
              <w:t>H.C. Starck Co.,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122.</w:t>
            </w:r>
          </w:p>
        </w:tc>
        <w:tc>
          <w:tcPr>
            <w:tcW w:w="4480" w:type="dxa"/>
            <w:vAlign w:val="bottom"/>
          </w:tcPr>
          <w:p>
            <w:pPr>
              <w:spacing w:after="0"/>
              <w:rPr>
                <w:sz w:val="20"/>
                <w:szCs w:val="20"/>
                <w:color w:val="auto"/>
              </w:rPr>
            </w:pPr>
            <w:r>
              <w:rPr>
                <w:rFonts w:ascii="Arial" w:cs="Arial" w:eastAsia="Arial" w:hAnsi="Arial"/>
                <w:sz w:val="18"/>
                <w:szCs w:val="18"/>
                <w:color w:val="auto"/>
              </w:rPr>
              <w:t>H.C. Starck Hermsdorf GmbH*</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123.</w:t>
            </w:r>
          </w:p>
        </w:tc>
        <w:tc>
          <w:tcPr>
            <w:tcW w:w="4480" w:type="dxa"/>
            <w:vAlign w:val="bottom"/>
          </w:tcPr>
          <w:p>
            <w:pPr>
              <w:spacing w:after="0"/>
              <w:rPr>
                <w:sz w:val="20"/>
                <w:szCs w:val="20"/>
                <w:color w:val="auto"/>
              </w:rPr>
            </w:pPr>
            <w:r>
              <w:rPr>
                <w:rFonts w:ascii="Arial" w:cs="Arial" w:eastAsia="Arial" w:hAnsi="Arial"/>
                <w:sz w:val="18"/>
                <w:szCs w:val="18"/>
                <w:color w:val="auto"/>
              </w:rPr>
              <w:t>H.C. Starck Inc.*</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124.</w:t>
            </w:r>
          </w:p>
        </w:tc>
        <w:tc>
          <w:tcPr>
            <w:tcW w:w="4480" w:type="dxa"/>
            <w:vAlign w:val="bottom"/>
          </w:tcPr>
          <w:p>
            <w:pPr>
              <w:spacing w:after="0"/>
              <w:rPr>
                <w:sz w:val="20"/>
                <w:szCs w:val="20"/>
                <w:color w:val="auto"/>
              </w:rPr>
            </w:pPr>
            <w:r>
              <w:rPr>
                <w:rFonts w:ascii="Arial" w:cs="Arial" w:eastAsia="Arial" w:hAnsi="Arial"/>
                <w:sz w:val="18"/>
                <w:szCs w:val="18"/>
                <w:color w:val="auto"/>
              </w:rPr>
              <w:t>H.C. Starck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c>
          <w:tcPr>
            <w:tcW w:w="4480" w:type="dxa"/>
            <w:vAlign w:val="bottom"/>
          </w:tcPr>
          <w:p>
            <w:pPr>
              <w:spacing w:after="0"/>
              <w:rPr>
                <w:sz w:val="20"/>
                <w:szCs w:val="20"/>
                <w:color w:val="auto"/>
              </w:rPr>
            </w:pPr>
            <w:r>
              <w:rPr>
                <w:rFonts w:ascii="Arial" w:cs="Arial" w:eastAsia="Arial" w:hAnsi="Arial"/>
                <w:sz w:val="18"/>
                <w:szCs w:val="18"/>
                <w:color w:val="auto"/>
              </w:rPr>
              <w:t>H.C. Starck Smelting GmbH &amp; Co. KG*</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126.</w:t>
            </w:r>
          </w:p>
        </w:tc>
        <w:tc>
          <w:tcPr>
            <w:tcW w:w="4480" w:type="dxa"/>
            <w:vAlign w:val="bottom"/>
          </w:tcPr>
          <w:p>
            <w:pPr>
              <w:spacing w:after="0"/>
              <w:rPr>
                <w:sz w:val="20"/>
                <w:szCs w:val="20"/>
                <w:color w:val="auto"/>
              </w:rPr>
            </w:pPr>
            <w:r>
              <w:rPr>
                <w:rFonts w:ascii="Arial" w:cs="Arial" w:eastAsia="Arial" w:hAnsi="Arial"/>
                <w:sz w:val="18"/>
                <w:szCs w:val="18"/>
                <w:color w:val="auto"/>
              </w:rPr>
              <w:t>H.C. Starck Tantalum and Niobium GmbH*</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127.</w:t>
            </w:r>
          </w:p>
        </w:tc>
        <w:tc>
          <w:tcPr>
            <w:tcW w:w="4480" w:type="dxa"/>
            <w:vAlign w:val="bottom"/>
          </w:tcPr>
          <w:p>
            <w:pPr>
              <w:spacing w:after="0"/>
              <w:rPr>
                <w:sz w:val="20"/>
                <w:szCs w:val="20"/>
                <w:color w:val="auto"/>
              </w:rPr>
            </w:pPr>
            <w:r>
              <w:rPr>
                <w:rFonts w:ascii="Arial" w:cs="Arial" w:eastAsia="Arial" w:hAnsi="Arial"/>
                <w:sz w:val="18"/>
                <w:szCs w:val="18"/>
                <w:color w:val="auto"/>
              </w:rPr>
              <w:t>Hengyang King Xing Lifeng New Materials Co.,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128.</w:t>
            </w:r>
          </w:p>
        </w:tc>
        <w:tc>
          <w:tcPr>
            <w:tcW w:w="4480" w:type="dxa"/>
            <w:vAlign w:val="bottom"/>
          </w:tcPr>
          <w:p>
            <w:pPr>
              <w:spacing w:after="0"/>
              <w:rPr>
                <w:sz w:val="20"/>
                <w:szCs w:val="20"/>
                <w:color w:val="auto"/>
              </w:rPr>
            </w:pPr>
            <w:r>
              <w:rPr>
                <w:rFonts w:ascii="Arial" w:cs="Arial" w:eastAsia="Arial" w:hAnsi="Arial"/>
                <w:sz w:val="18"/>
                <w:szCs w:val="18"/>
                <w:color w:val="auto"/>
              </w:rPr>
              <w:t>Jiangxi Dinghai Tantalum &amp; Niobium Co.,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129.</w:t>
            </w:r>
          </w:p>
        </w:tc>
        <w:tc>
          <w:tcPr>
            <w:tcW w:w="4480" w:type="dxa"/>
            <w:vAlign w:val="bottom"/>
          </w:tcPr>
          <w:p>
            <w:pPr>
              <w:spacing w:after="0"/>
              <w:rPr>
                <w:sz w:val="20"/>
                <w:szCs w:val="20"/>
                <w:color w:val="auto"/>
              </w:rPr>
            </w:pPr>
            <w:r>
              <w:rPr>
                <w:rFonts w:ascii="Arial" w:cs="Arial" w:eastAsia="Arial" w:hAnsi="Arial"/>
                <w:sz w:val="18"/>
                <w:szCs w:val="18"/>
                <w:color w:val="auto"/>
              </w:rPr>
              <w:t>Jiangxi Tuohong New Raw Material*</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130.</w:t>
            </w:r>
          </w:p>
        </w:tc>
        <w:tc>
          <w:tcPr>
            <w:tcW w:w="4480" w:type="dxa"/>
            <w:vAlign w:val="bottom"/>
          </w:tcPr>
          <w:p>
            <w:pPr>
              <w:spacing w:after="0"/>
              <w:rPr>
                <w:sz w:val="20"/>
                <w:szCs w:val="20"/>
                <w:color w:val="auto"/>
              </w:rPr>
            </w:pPr>
            <w:r>
              <w:rPr>
                <w:rFonts w:ascii="Arial" w:cs="Arial" w:eastAsia="Arial" w:hAnsi="Arial"/>
                <w:sz w:val="18"/>
                <w:szCs w:val="18"/>
                <w:color w:val="auto"/>
              </w:rPr>
              <w:t>JiuJiang Janny New Material Co.,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131.</w:t>
            </w:r>
          </w:p>
        </w:tc>
        <w:tc>
          <w:tcPr>
            <w:tcW w:w="4480" w:type="dxa"/>
            <w:vAlign w:val="bottom"/>
          </w:tcPr>
          <w:p>
            <w:pPr>
              <w:spacing w:after="0"/>
              <w:rPr>
                <w:sz w:val="20"/>
                <w:szCs w:val="20"/>
                <w:color w:val="auto"/>
              </w:rPr>
            </w:pPr>
            <w:r>
              <w:rPr>
                <w:rFonts w:ascii="Arial" w:cs="Arial" w:eastAsia="Arial" w:hAnsi="Arial"/>
                <w:sz w:val="18"/>
                <w:szCs w:val="18"/>
                <w:color w:val="auto"/>
              </w:rPr>
              <w:t>JiuJiang JinXin Nonferrous Metals Co.,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132.</w:t>
            </w:r>
          </w:p>
        </w:tc>
        <w:tc>
          <w:tcPr>
            <w:tcW w:w="4480" w:type="dxa"/>
            <w:vAlign w:val="bottom"/>
          </w:tcPr>
          <w:p>
            <w:pPr>
              <w:spacing w:after="0"/>
              <w:rPr>
                <w:sz w:val="20"/>
                <w:szCs w:val="20"/>
                <w:color w:val="auto"/>
              </w:rPr>
            </w:pPr>
            <w:r>
              <w:rPr>
                <w:rFonts w:ascii="Arial" w:cs="Arial" w:eastAsia="Arial" w:hAnsi="Arial"/>
                <w:sz w:val="18"/>
                <w:szCs w:val="18"/>
                <w:color w:val="auto"/>
              </w:rPr>
              <w:t>Jiujiang Tanbre Co., Ltd. *</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133.</w:t>
            </w:r>
          </w:p>
        </w:tc>
        <w:tc>
          <w:tcPr>
            <w:tcW w:w="4480" w:type="dxa"/>
            <w:vAlign w:val="bottom"/>
          </w:tcPr>
          <w:p>
            <w:pPr>
              <w:spacing w:after="0"/>
              <w:rPr>
                <w:sz w:val="20"/>
                <w:szCs w:val="20"/>
                <w:color w:val="auto"/>
              </w:rPr>
            </w:pPr>
            <w:r>
              <w:rPr>
                <w:rFonts w:ascii="Arial" w:cs="Arial" w:eastAsia="Arial" w:hAnsi="Arial"/>
                <w:sz w:val="18"/>
                <w:szCs w:val="18"/>
                <w:color w:val="auto"/>
              </w:rPr>
              <w:t>Jiujiang Zhongao Tantalum &amp; Niobium Co.,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134.</w:t>
            </w:r>
          </w:p>
        </w:tc>
        <w:tc>
          <w:tcPr>
            <w:tcW w:w="4480" w:type="dxa"/>
            <w:vAlign w:val="bottom"/>
          </w:tcPr>
          <w:p>
            <w:pPr>
              <w:spacing w:after="0"/>
              <w:rPr>
                <w:sz w:val="20"/>
                <w:szCs w:val="20"/>
                <w:color w:val="auto"/>
              </w:rPr>
            </w:pPr>
            <w:r>
              <w:rPr>
                <w:rFonts w:ascii="Arial" w:cs="Arial" w:eastAsia="Arial" w:hAnsi="Arial"/>
                <w:sz w:val="18"/>
                <w:szCs w:val="18"/>
                <w:color w:val="auto"/>
              </w:rPr>
              <w:t>KEMET Blue Metals*</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135.</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KEMET Blue Powder*</w:t>
            </w:r>
          </w:p>
        </w:tc>
        <w:tc>
          <w:tcPr>
            <w:tcW w:w="20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136.</w:t>
            </w:r>
          </w:p>
        </w:tc>
        <w:tc>
          <w:tcPr>
            <w:tcW w:w="4480" w:type="dxa"/>
            <w:vAlign w:val="bottom"/>
          </w:tcPr>
          <w:p>
            <w:pPr>
              <w:spacing w:after="0"/>
              <w:rPr>
                <w:sz w:val="20"/>
                <w:szCs w:val="20"/>
                <w:color w:val="auto"/>
              </w:rPr>
            </w:pPr>
            <w:r>
              <w:rPr>
                <w:rFonts w:ascii="Arial" w:cs="Arial" w:eastAsia="Arial" w:hAnsi="Arial"/>
                <w:sz w:val="18"/>
                <w:szCs w:val="18"/>
                <w:color w:val="auto"/>
              </w:rPr>
              <w:t>LSM Brasil S.A.*</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137.</w:t>
            </w:r>
          </w:p>
        </w:tc>
        <w:tc>
          <w:tcPr>
            <w:tcW w:w="4480" w:type="dxa"/>
            <w:vAlign w:val="bottom"/>
          </w:tcPr>
          <w:p>
            <w:pPr>
              <w:spacing w:after="0"/>
              <w:rPr>
                <w:sz w:val="20"/>
                <w:szCs w:val="20"/>
                <w:color w:val="auto"/>
              </w:rPr>
            </w:pPr>
            <w:r>
              <w:rPr>
                <w:rFonts w:ascii="Arial" w:cs="Arial" w:eastAsia="Arial" w:hAnsi="Arial"/>
                <w:sz w:val="18"/>
                <w:szCs w:val="18"/>
                <w:color w:val="auto"/>
              </w:rPr>
              <w:t>Metallurgical Products India Pvt., Ltd. *</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138.</w:t>
            </w:r>
          </w:p>
        </w:tc>
        <w:tc>
          <w:tcPr>
            <w:tcW w:w="4480" w:type="dxa"/>
            <w:vAlign w:val="bottom"/>
          </w:tcPr>
          <w:p>
            <w:pPr>
              <w:spacing w:after="0"/>
              <w:rPr>
                <w:sz w:val="20"/>
                <w:szCs w:val="20"/>
                <w:color w:val="auto"/>
              </w:rPr>
            </w:pPr>
            <w:r>
              <w:rPr>
                <w:rFonts w:ascii="Arial" w:cs="Arial" w:eastAsia="Arial" w:hAnsi="Arial"/>
                <w:sz w:val="18"/>
                <w:szCs w:val="18"/>
                <w:color w:val="auto"/>
              </w:rPr>
              <w:t>Mineração Taboca S.A.*</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139.</w:t>
            </w:r>
          </w:p>
        </w:tc>
        <w:tc>
          <w:tcPr>
            <w:tcW w:w="4480" w:type="dxa"/>
            <w:vAlign w:val="bottom"/>
          </w:tcPr>
          <w:p>
            <w:pPr>
              <w:spacing w:after="0"/>
              <w:rPr>
                <w:sz w:val="20"/>
                <w:szCs w:val="20"/>
                <w:color w:val="auto"/>
              </w:rPr>
            </w:pPr>
            <w:r>
              <w:rPr>
                <w:rFonts w:ascii="Arial" w:cs="Arial" w:eastAsia="Arial" w:hAnsi="Arial"/>
                <w:sz w:val="18"/>
                <w:szCs w:val="18"/>
                <w:color w:val="auto"/>
              </w:rPr>
              <w:t>Mitsui Mining and Smelting Co., Ltd.*</w:t>
            </w:r>
          </w:p>
        </w:tc>
        <w:tc>
          <w:tcPr>
            <w:tcW w:w="2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40" w:type="dxa"/>
            <w:vAlign w:val="bottom"/>
          </w:tcPr>
          <w:p>
            <w:pPr>
              <w:jc w:val="right"/>
              <w:ind w:right="1350"/>
              <w:spacing w:after="0"/>
              <w:rPr>
                <w:sz w:val="20"/>
                <w:szCs w:val="20"/>
                <w:color w:val="auto"/>
              </w:rPr>
            </w:pPr>
            <w:r>
              <w:rPr>
                <w:rFonts w:ascii="Arial" w:cs="Arial" w:eastAsia="Arial" w:hAnsi="Arial"/>
                <w:sz w:val="18"/>
                <w:szCs w:val="18"/>
                <w:color w:val="auto"/>
              </w:rPr>
              <w:t>9</w:t>
            </w:r>
          </w:p>
        </w:tc>
        <w:tc>
          <w:tcPr>
            <w:tcW w:w="1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80" w:type="dxa"/>
            <w:vAlign w:val="bottom"/>
            <w:tcBorders>
              <w:bottom w:val="single" w:sz="8" w:color="9A9A9A"/>
            </w:tcBorders>
          </w:tcPr>
          <w:p>
            <w:pPr>
              <w:spacing w:after="0"/>
              <w:rPr>
                <w:sz w:val="22"/>
                <w:szCs w:val="22"/>
                <w:color w:val="auto"/>
              </w:rPr>
            </w:pPr>
          </w:p>
        </w:tc>
        <w:tc>
          <w:tcPr>
            <w:tcW w:w="4480" w:type="dxa"/>
            <w:vAlign w:val="bottom"/>
            <w:tcBorders>
              <w:bottom w:val="single" w:sz="8" w:color="9A9A9A"/>
            </w:tcBorders>
          </w:tcPr>
          <w:p>
            <w:pPr>
              <w:spacing w:after="0"/>
              <w:rPr>
                <w:sz w:val="22"/>
                <w:szCs w:val="22"/>
                <w:color w:val="auto"/>
              </w:rPr>
            </w:pPr>
          </w:p>
        </w:tc>
        <w:tc>
          <w:tcPr>
            <w:tcW w:w="204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29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c>
          <w:tcPr>
            <w:tcW w:w="6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Ningxia Orient Tantalum Industry Co., Ltd.*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1"/>
                <w:szCs w:val="21"/>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NPM Silmet AS*</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ESTONIA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Power Resources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MACEDONIA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143.</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QuantumClean*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Resind Indústria e Comércio Ltda.*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RFH Tantalum Smeltery Co., Ltd./Yanling Juncheng Tantalum &amp; Niobium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Solikamsk Magnesium Works OAO*</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Taki Chemical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148.</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Telex Metals*</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Ulba Metallurgical Plant JSC*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150.</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XinXing HaoRong Electronic Material Co., Ltd.*</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Advanced Chemical Company*</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65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Aida Chemical Industries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153.</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 Etihad Gold Refinery DMCC*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20"/>
                <w:szCs w:val="20"/>
                <w:color w:val="auto"/>
              </w:rPr>
            </w:pPr>
          </w:p>
        </w:tc>
      </w:tr>
      <w:tr>
        <w:trPr>
          <w:trHeight w:val="230"/>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Allgemeine Gold-und Silberscheideanstalt A.G.*</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0"/>
                <w:szCs w:val="20"/>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Almalyk Mining and Metallurgical Complex (AMMC)*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UZBEKISTAN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AngloGold Ashanti Córrego do Sítio Mineração*</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Argor-Heraeus S.A.*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Asahi Pretec Corp.*</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Asahi Refining Canada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Asahi Refining USA Inc.*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Asaka Riken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 Traders and Refiners*</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Aurubis AG*</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Boliden AB*</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SWEDEN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 Hafner GmbH + Co. KG*</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CCR Refinery - Glencore Canada Corporation*</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Cendres + Metaux S.A. *</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169.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Chimet S.p.A.*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Daejin Indus Co., Ltd. *</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DODUCO Contacts and Refining GmbH *</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Dowa*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DSC (Do Sung Corporation) *</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Eco-System Recycling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Emirates Gold DMCC*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Geib Refining Corporation*</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 Refinery of Zijin Mining Group Co., Ltd. *</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HeeSung Metal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Heimerle + Meule GmbH*</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Heraeus Metals Hong Kong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Heraeus Precious Metals GmbH &amp; Co. KG*</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182.</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Inner Mongolia Qiankun Gold and Silver Refinery Share Co., Ltd.*</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Ishifuku Metal Industry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Istanbul Gold Refinery*</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TURKEY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680" w:type="dxa"/>
            <w:vAlign w:val="bottom"/>
          </w:tcPr>
          <w:p>
            <w:pPr>
              <w:spacing w:after="0"/>
              <w:rPr>
                <w:sz w:val="24"/>
                <w:szCs w:val="24"/>
                <w:color w:val="auto"/>
              </w:rPr>
            </w:pPr>
          </w:p>
        </w:tc>
        <w:tc>
          <w:tcPr>
            <w:tcW w:w="6500" w:type="dxa"/>
            <w:vAlign w:val="bottom"/>
          </w:tcPr>
          <w:p>
            <w:pPr>
              <w:ind w:left="4940"/>
              <w:spacing w:after="0"/>
              <w:rPr>
                <w:sz w:val="20"/>
                <w:szCs w:val="20"/>
                <w:color w:val="auto"/>
              </w:rPr>
            </w:pPr>
            <w:r>
              <w:rPr>
                <w:rFonts w:ascii="Arial" w:cs="Arial" w:eastAsia="Arial" w:hAnsi="Arial"/>
                <w:sz w:val="18"/>
                <w:szCs w:val="18"/>
                <w:color w:val="auto"/>
              </w:rPr>
              <w:t>10</w:t>
            </w:r>
          </w:p>
        </w:tc>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80" w:type="dxa"/>
            <w:vAlign w:val="bottom"/>
            <w:tcBorders>
              <w:bottom w:val="single" w:sz="8" w:color="9A9A9A"/>
            </w:tcBorders>
          </w:tcPr>
          <w:p>
            <w:pPr>
              <w:spacing w:after="0"/>
              <w:rPr>
                <w:sz w:val="22"/>
                <w:szCs w:val="22"/>
                <w:color w:val="auto"/>
              </w:rPr>
            </w:pPr>
          </w:p>
        </w:tc>
        <w:tc>
          <w:tcPr>
            <w:tcW w:w="650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185.</w:t>
            </w:r>
          </w:p>
        </w:tc>
        <w:tc>
          <w:tcPr>
            <w:tcW w:w="6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Italpreziosi*</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21"/>
                <w:szCs w:val="21"/>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 Mint*</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Jiangxi Copper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188.</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JSC Uralelectromed*</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JX Nippon Mining &amp; Metals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Kazzinc*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Kennecott Utah Copper LLC*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192.</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Kojima Chemicals Co., Ltd.*</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Zinc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Kyrgyzaltyn JSC*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KYRGYZSTAN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L’Orfebre S.A.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ANDORRA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LS-NIKKO Copper Inc.*</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Marsam Metals *</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Materion*</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199.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Matsuda Sangyo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Metalor Technologies (Hong Kong)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Metalor Technologies (Singapore) Pte.,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Metalor Technologies (Suzhou) Ltd. *</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Metalor Technologies S.A.*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Metalor USA Refining Corporation*</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Metalúrgica Met-Mex Peñoles S.A. De C.V.*</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Mitsubishi Materials Corporation*</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207.</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Mitsui Mining and Smelting Co., Ltd.*</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MMTC-PAMP India Pvt.,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209.</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Moscow Special Alloys Processing Plant*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Nadir Metal Rafineri San. Ve Tic. 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TURKEY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Nihon Material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Ögussa Österreichische Gold- und Silber-Scheideanstalt GmbH*</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Ohura Precious Metal Industry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OJSC "The Gulidov Krasnoyarsk Non-Ferrous Metals Plant" (OJSC Krastsvetmet)*</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OJSC Novosibirsk Refinery*</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PAMP S.A.*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Planta Recuperadora de Metales SpA*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Prioksky Plant of Non-Ferrous Metals*</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219.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PT Aneka Tambang (Persero) Tbk*</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PX Précinox S.A.*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Rand Refinery (Pty)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REMONDIS PMR B.V.</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65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Royal Canadian Mint*</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65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SAAMP*</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Safimet S.p.A.*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Samduck Precious Metals*</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SAXONIA Edelmetalle GmbH*</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SEMPSA Joyería Platería S.A.*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680" w:type="dxa"/>
            <w:vAlign w:val="bottom"/>
          </w:tcPr>
          <w:p>
            <w:pPr>
              <w:spacing w:after="0"/>
              <w:rPr>
                <w:sz w:val="24"/>
                <w:szCs w:val="24"/>
                <w:color w:val="auto"/>
              </w:rPr>
            </w:pPr>
          </w:p>
        </w:tc>
        <w:tc>
          <w:tcPr>
            <w:tcW w:w="6500" w:type="dxa"/>
            <w:vAlign w:val="bottom"/>
          </w:tcPr>
          <w:p>
            <w:pPr>
              <w:ind w:left="4940"/>
              <w:spacing w:after="0"/>
              <w:rPr>
                <w:sz w:val="20"/>
                <w:szCs w:val="20"/>
                <w:color w:val="auto"/>
              </w:rPr>
            </w:pPr>
            <w:r>
              <w:rPr>
                <w:rFonts w:ascii="Arial" w:cs="Arial" w:eastAsia="Arial" w:hAnsi="Arial"/>
                <w:sz w:val="18"/>
                <w:szCs w:val="18"/>
                <w:color w:val="auto"/>
              </w:rPr>
              <w:t>11</w:t>
            </w:r>
          </w:p>
        </w:tc>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80" w:type="dxa"/>
            <w:vAlign w:val="bottom"/>
            <w:tcBorders>
              <w:bottom w:val="single" w:sz="8" w:color="9A9A9A"/>
            </w:tcBorders>
          </w:tcPr>
          <w:p>
            <w:pPr>
              <w:spacing w:after="0"/>
              <w:rPr>
                <w:sz w:val="22"/>
                <w:szCs w:val="22"/>
                <w:color w:val="auto"/>
              </w:rPr>
            </w:pPr>
          </w:p>
        </w:tc>
        <w:tc>
          <w:tcPr>
            <w:tcW w:w="650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229.</w:t>
            </w:r>
          </w:p>
        </w:tc>
        <w:tc>
          <w:tcPr>
            <w:tcW w:w="6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Shandong Zhaojin Gold &amp; Silver Refinery Co., Ltd.*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Sichuan Tianze Precious Metals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Singway Technology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TAIWAN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232.</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SOE Shyolkovsky Factory of Secondary Precious Metals*</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233.</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Solar Applied Materials Technology Corp.*</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TAIWAN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234.</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Sumitomo Metal Mining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235.</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SungEel HiMetal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T.C.A S.p.A*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ITALY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Tanaka Kikinzoku Kogyo K.K.*</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Refinery of Shandong Gold Mining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Tokuriki Honten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Torecom*</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241.</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Umicore Brasil Ltda.*</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242.</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Umicore Precious Metals Thailand*</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THAILAND</w:t>
            </w: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243.</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Umicore S.A. Business Unit Precious Metals Refining*</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BELGIUM</w:t>
            </w:r>
          </w:p>
        </w:tc>
      </w:tr>
      <w:tr>
        <w:trPr>
          <w:trHeight w:val="21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244.</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Precious Metal Refining, Inc.*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w:t>
            </w:r>
          </w:p>
        </w:tc>
      </w:tr>
      <w:tr>
        <w:trPr>
          <w:trHeight w:val="230"/>
        </w:trPr>
        <w:tc>
          <w:tcPr>
            <w:tcW w:w="6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245.</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Valcambi 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r>
      <w:tr>
        <w:trPr>
          <w:trHeight w:val="230"/>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246.</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Western Australian Mint trading as The Perth Mint*</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247.</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WIELAND Edelmetalle GmbH*</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248.</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Yamakin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249.</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Yokohama Metal Co., Ltd.*</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250.</w:t>
            </w:r>
          </w:p>
        </w:tc>
        <w:tc>
          <w:tcPr>
            <w:tcW w:w="6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Zhongyuan Gold Smelter of Zhongjin Gold Corporation*</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Table 2</w:t>
      </w:r>
      <w:r>
        <w:rPr>
          <w:rFonts w:ascii="Arial" w:cs="Arial" w:eastAsia="Arial" w:hAnsi="Arial"/>
          <w:sz w:val="18"/>
          <w:szCs w:val="18"/>
          <w:color w:val="auto"/>
        </w:rPr>
        <w:t>:</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Listed below are the 34 Smelters identified to us by our Suppliers as potentially in our supply chain for 2018 that have processed CMs of undeterminable origin. “Active” means the Smelter has committed to participate in a third-party audit of its Conflict Status, as reported by the RMAP. The location information and “Active” status are as reported by the RMAP as of February 1, 2019.</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00" w:type="dxa"/>
            <w:vAlign w:val="bottom"/>
            <w:tcBorders>
              <w:top w:val="single" w:sz="8" w:color="auto"/>
              <w:left w:val="single" w:sz="8" w:color="auto"/>
              <w:right w:val="single" w:sz="8" w:color="auto"/>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No.</w:t>
            </w:r>
          </w:p>
        </w:tc>
        <w:tc>
          <w:tcPr>
            <w:tcW w:w="624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Smelter</w:t>
            </w:r>
          </w:p>
        </w:tc>
        <w:tc>
          <w:tcPr>
            <w:tcW w:w="112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Metal</w:t>
            </w:r>
          </w:p>
        </w:tc>
        <w:tc>
          <w:tcPr>
            <w:tcW w:w="252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Country</w:t>
            </w:r>
          </w:p>
        </w:tc>
        <w:tc>
          <w:tcPr>
            <w:tcW w:w="84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Active</w:t>
            </w:r>
          </w:p>
        </w:tc>
        <w:tc>
          <w:tcPr>
            <w:tcW w:w="20" w:type="dxa"/>
            <w:vAlign w:val="bottom"/>
          </w:tcPr>
          <w:p>
            <w:pPr>
              <w:spacing w:after="0"/>
              <w:rPr>
                <w:sz w:val="24"/>
                <w:szCs w:val="24"/>
                <w:color w:val="auto"/>
              </w:rPr>
            </w:pPr>
          </w:p>
        </w:tc>
      </w:tr>
      <w:tr>
        <w:trPr>
          <w:trHeight w:val="122"/>
        </w:trPr>
        <w:tc>
          <w:tcPr>
            <w:tcW w:w="700" w:type="dxa"/>
            <w:vAlign w:val="bottom"/>
            <w:tcBorders>
              <w:left w:val="single" w:sz="8" w:color="auto"/>
              <w:bottom w:val="single" w:sz="8" w:color="auto"/>
              <w:right w:val="single" w:sz="8" w:color="auto"/>
            </w:tcBorders>
            <w:shd w:val="clear" w:color="auto" w:fill="C6D9F1"/>
          </w:tcPr>
          <w:p>
            <w:pPr>
              <w:spacing w:after="0"/>
              <w:rPr>
                <w:sz w:val="10"/>
                <w:szCs w:val="10"/>
                <w:color w:val="auto"/>
              </w:rPr>
            </w:pPr>
          </w:p>
        </w:tc>
        <w:tc>
          <w:tcPr>
            <w:tcW w:w="6240" w:type="dxa"/>
            <w:vAlign w:val="bottom"/>
            <w:tcBorders>
              <w:bottom w:val="single" w:sz="8" w:color="auto"/>
              <w:right w:val="single" w:sz="8" w:color="auto"/>
            </w:tcBorders>
            <w:shd w:val="clear" w:color="auto" w:fill="C6D9F1"/>
          </w:tcPr>
          <w:p>
            <w:pPr>
              <w:spacing w:after="0"/>
              <w:rPr>
                <w:sz w:val="10"/>
                <w:szCs w:val="10"/>
                <w:color w:val="auto"/>
              </w:rPr>
            </w:pPr>
          </w:p>
        </w:tc>
        <w:tc>
          <w:tcPr>
            <w:tcW w:w="1120" w:type="dxa"/>
            <w:vAlign w:val="bottom"/>
            <w:tcBorders>
              <w:bottom w:val="single" w:sz="8" w:color="auto"/>
              <w:right w:val="single" w:sz="8" w:color="auto"/>
            </w:tcBorders>
            <w:shd w:val="clear" w:color="auto" w:fill="C6D9F1"/>
          </w:tcPr>
          <w:p>
            <w:pPr>
              <w:spacing w:after="0"/>
              <w:rPr>
                <w:sz w:val="10"/>
                <w:szCs w:val="10"/>
                <w:color w:val="auto"/>
              </w:rPr>
            </w:pPr>
          </w:p>
        </w:tc>
        <w:tc>
          <w:tcPr>
            <w:tcW w:w="2520" w:type="dxa"/>
            <w:vAlign w:val="bottom"/>
            <w:tcBorders>
              <w:bottom w:val="single" w:sz="8" w:color="auto"/>
              <w:right w:val="single" w:sz="8" w:color="auto"/>
            </w:tcBorders>
            <w:shd w:val="clear" w:color="auto" w:fill="C6D9F1"/>
          </w:tcPr>
          <w:p>
            <w:pPr>
              <w:spacing w:after="0"/>
              <w:rPr>
                <w:sz w:val="10"/>
                <w:szCs w:val="10"/>
                <w:color w:val="auto"/>
              </w:rPr>
            </w:pPr>
          </w:p>
        </w:tc>
        <w:tc>
          <w:tcPr>
            <w:tcW w:w="840" w:type="dxa"/>
            <w:vAlign w:val="bottom"/>
            <w:tcBorders>
              <w:bottom w:val="single" w:sz="8" w:color="auto"/>
              <w:right w:val="single" w:sz="8" w:color="auto"/>
            </w:tcBorders>
            <w:shd w:val="clear" w:color="auto" w:fill="C6D9F1"/>
          </w:tcPr>
          <w:p>
            <w:pPr>
              <w:spacing w:after="0"/>
              <w:rPr>
                <w:sz w:val="10"/>
                <w:szCs w:val="10"/>
                <w:color w:val="auto"/>
              </w:rPr>
            </w:pPr>
          </w:p>
        </w:tc>
        <w:tc>
          <w:tcPr>
            <w:tcW w:w="20" w:type="dxa"/>
            <w:vAlign w:val="bottom"/>
          </w:tcPr>
          <w:p>
            <w:pPr>
              <w:spacing w:after="0"/>
              <w:rPr>
                <w:sz w:val="10"/>
                <w:szCs w:val="10"/>
                <w:color w:val="auto"/>
              </w:rPr>
            </w:pPr>
          </w:p>
        </w:tc>
      </w:tr>
      <w:tr>
        <w:trPr>
          <w:trHeight w:val="230"/>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Minmetals Gao'an Non-ferrous Metals Co., Ltd.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Tungsten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 Vinh Joint Stock Mineral Processing Company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VIETNAM</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Electro-Mechanical Facility of the Cao Bang Minerals &amp; Metallurgy JSC</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VIETNAM</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Estanho de Rondônia S.A.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Zili Mining And Metallurgy Co., Ltd.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Nghe Tinh Non-Ferrous Metals Joint Stock Company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VIETNAM</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Tuyen Quang Non-Ferrous Metals Joint Stock Company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VIETNAM</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Atasay Kuyumculuk Sanayi Ve Ticaret A.S.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TURKEY</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Bangalore Refinery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Caridad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Chugai Mining</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Daye Non-Ferrous Metals Mining Ltd.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Great Wall Precious Metals Co., Ltd. of CBPM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Jinding Gold Limited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Guoda Safina High-Tech Environmental Refinery Co., Ltd.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Hangzhou Fuchunjiang Smelting Co., Ltd.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w:t>
            </w:r>
          </w:p>
        </w:tc>
        <w:tc>
          <w:tcPr>
            <w:tcW w:w="6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Chenzhou Mining Co., Ltd.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6240" w:type="dxa"/>
            <w:vAlign w:val="bottom"/>
          </w:tcPr>
          <w:p>
            <w:pPr>
              <w:ind w:left="492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700" w:type="dxa"/>
            <w:vAlign w:val="bottom"/>
            <w:tcBorders>
              <w:bottom w:val="single" w:sz="8" w:color="9A9A9A"/>
            </w:tcBorders>
          </w:tcPr>
          <w:p>
            <w:pPr>
              <w:spacing w:after="0"/>
              <w:rPr>
                <w:sz w:val="22"/>
                <w:szCs w:val="22"/>
                <w:color w:val="auto"/>
              </w:rPr>
            </w:pPr>
          </w:p>
        </w:tc>
        <w:tc>
          <w:tcPr>
            <w:tcW w:w="624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2520" w:type="dxa"/>
            <w:vAlign w:val="bottom"/>
            <w:tcBorders>
              <w:bottom w:val="single" w:sz="8" w:color="9A9A9A"/>
            </w:tcBorders>
          </w:tcPr>
          <w:p>
            <w:pPr>
              <w:spacing w:after="0"/>
              <w:rPr>
                <w:sz w:val="22"/>
                <w:szCs w:val="22"/>
                <w:color w:val="auto"/>
              </w:rPr>
            </w:pPr>
          </w:p>
        </w:tc>
        <w:tc>
          <w:tcPr>
            <w:tcW w:w="8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44"/>
        </w:trPr>
        <w:tc>
          <w:tcPr>
            <w:tcW w:w="700" w:type="dxa"/>
            <w:vAlign w:val="bottom"/>
            <w:tcBorders>
              <w:top w:val="single" w:sz="8" w:color="auto"/>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HwaSeong CJ CO., LTD.</w:t>
            </w:r>
          </w:p>
        </w:tc>
        <w:tc>
          <w:tcPr>
            <w:tcW w:w="172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840" w:type="dxa"/>
            <w:vAlign w:val="bottom"/>
            <w:tcBorders>
              <w:top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70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w:t>
            </w:r>
          </w:p>
        </w:tc>
        <w:tc>
          <w:tcPr>
            <w:tcW w:w="4520" w:type="dxa"/>
            <w:vAlign w:val="bottom"/>
          </w:tcPr>
          <w:p>
            <w:pPr>
              <w:spacing w:after="0"/>
              <w:rPr>
                <w:sz w:val="20"/>
                <w:szCs w:val="20"/>
                <w:color w:val="auto"/>
              </w:rPr>
            </w:pPr>
            <w:r>
              <w:rPr>
                <w:rFonts w:ascii="Arial" w:cs="Arial" w:eastAsia="Arial" w:hAnsi="Arial"/>
                <w:sz w:val="18"/>
                <w:szCs w:val="18"/>
                <w:color w:val="auto"/>
              </w:rPr>
              <w:t>JSC Ekaterinburg Non-Ferrous Metal Processing Plant</w:t>
            </w:r>
          </w:p>
        </w:tc>
        <w:tc>
          <w:tcPr>
            <w:tcW w:w="17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8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Kazakhmys Smelting LLC</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KGHM Polska Miedz Spólka Akcyjna</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POLAND</w:t>
            </w: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L’azurde Company for Jewelry</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SAUDI ARABIA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Lingbao Gold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Lingbao Jinyuan Tonghui Refinery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Luoyang Zijin Yinhui Gold Refinery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Morris and Watson</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ZEALAND</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Navoi Mining and Metallurgical Combinat</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UZBEKISTAN</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Penglai Penggang Gold Industry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Refinery of Seemine Gold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Sabin Metal Corp.</w:t>
            </w:r>
          </w:p>
        </w:tc>
        <w:tc>
          <w:tcPr>
            <w:tcW w:w="17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w:t>
            </w:r>
          </w:p>
        </w:tc>
        <w:tc>
          <w:tcPr>
            <w:tcW w:w="8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Samwon Metals Corp.</w:t>
            </w:r>
          </w:p>
        </w:tc>
        <w:tc>
          <w:tcPr>
            <w:tcW w:w="17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8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Shandong Tiancheng Biological Gold Industrial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33.</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Tongling Nonferrous Metals Group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0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Yunnan Copper Industry Co., Ltd.</w:t>
            </w:r>
          </w:p>
        </w:tc>
        <w:tc>
          <w:tcPr>
            <w:tcW w:w="17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8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720" w:type="dxa"/>
            <w:vAlign w:val="bottom"/>
          </w:tcPr>
          <w:p>
            <w:pPr>
              <w:jc w:val="right"/>
              <w:ind w:right="1050"/>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700" w:type="dxa"/>
            <w:vAlign w:val="bottom"/>
            <w:tcBorders>
              <w:bottom w:val="single" w:sz="8" w:color="9A9A9A"/>
            </w:tcBorders>
          </w:tcPr>
          <w:p>
            <w:pPr>
              <w:spacing w:after="0"/>
              <w:rPr>
                <w:sz w:val="22"/>
                <w:szCs w:val="22"/>
                <w:color w:val="auto"/>
              </w:rPr>
            </w:pPr>
          </w:p>
        </w:tc>
        <w:tc>
          <w:tcPr>
            <w:tcW w:w="4520" w:type="dxa"/>
            <w:vAlign w:val="bottom"/>
            <w:tcBorders>
              <w:bottom w:val="single" w:sz="8" w:color="9A9A9A"/>
            </w:tcBorders>
          </w:tcPr>
          <w:p>
            <w:pPr>
              <w:spacing w:after="0"/>
              <w:rPr>
                <w:sz w:val="22"/>
                <w:szCs w:val="22"/>
                <w:color w:val="auto"/>
              </w:rPr>
            </w:pPr>
          </w:p>
        </w:tc>
        <w:tc>
          <w:tcPr>
            <w:tcW w:w="172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2520" w:type="dxa"/>
            <w:vAlign w:val="bottom"/>
            <w:tcBorders>
              <w:bottom w:val="single" w:sz="8" w:color="9A9A9A"/>
            </w:tcBorders>
          </w:tcPr>
          <w:p>
            <w:pPr>
              <w:spacing w:after="0"/>
              <w:rPr>
                <w:sz w:val="22"/>
                <w:szCs w:val="22"/>
                <w:color w:val="auto"/>
              </w:rPr>
            </w:pPr>
          </w:p>
        </w:tc>
        <w:tc>
          <w:tcPr>
            <w:tcW w:w="8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color w:val="auto"/>
        </w:rPr>
        <w:t>Appendix 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Independent Private Sector Auditor Report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Crowe LLP</w:t>
      </w:r>
    </w:p>
    <w:p>
      <w:pPr>
        <w:spacing w:after="0" w:line="2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Independent Member Crowe Global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INDEPENDENT AUDITOR’S REPORT ON CONFLICT MINERALS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w:t>
      </w:r>
    </w:p>
    <w:p>
      <w:pPr>
        <w:spacing w:after="0" w:line="333" w:lineRule="exact"/>
        <w:rPr>
          <w:sz w:val="20"/>
          <w:szCs w:val="20"/>
          <w:color w:val="auto"/>
        </w:rPr>
      </w:pPr>
    </w:p>
    <w:p>
      <w:pPr>
        <w:ind w:left="760" w:hanging="374"/>
        <w:spacing w:after="0" w:line="25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design of Texas Instruments Incorporated’s (the “Company”) due diligence framework as set forth in the section titled “Design of Due Diligence” of the conflict Minerals Report for the reporting period from January 1, 2018 through December 31, 2018, is in conformity, in all material respects, with the criteria set forth in the Organization for Economics Co-Operation and Development Due Diligence Guidance for Responsible Supply Chains of Minerals from Conflict -Affected and High-Risk Areas, Second Edition 2013 (“OECD Due Diligence Guidance”), and</w:t>
      </w:r>
    </w:p>
    <w:p>
      <w:pPr>
        <w:spacing w:after="0" w:line="80" w:lineRule="exact"/>
        <w:rPr>
          <w:rFonts w:ascii="Arial" w:cs="Arial" w:eastAsia="Arial" w:hAnsi="Arial"/>
          <w:sz w:val="18"/>
          <w:szCs w:val="18"/>
          <w:color w:val="auto"/>
        </w:rPr>
      </w:pPr>
    </w:p>
    <w:p>
      <w:pPr>
        <w:ind w:left="760" w:right="120" w:hanging="374"/>
        <w:spacing w:after="0" w:line="264"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Company’s description of the due diligence measures it performed, as set forth in the section titled “Due Diligence Measures Taken” of the Conflict Minerals Report for the reporting period from January 1, 2018 through December 31, 2018, is consistent, in all material respects, with the due diligence process that the Company undertook.</w:t>
      </w:r>
    </w:p>
    <w:p>
      <w:pPr>
        <w:spacing w:after="0" w:line="14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was not conducted for the purpose of evaluating:</w:t>
      </w:r>
    </w:p>
    <w:p>
      <w:pPr>
        <w:spacing w:after="0" w:line="117" w:lineRule="exact"/>
        <w:rPr>
          <w:sz w:val="20"/>
          <w:szCs w:val="20"/>
          <w:color w:val="auto"/>
        </w:rPr>
      </w:pPr>
    </w:p>
    <w:p>
      <w:pPr>
        <w:ind w:left="760" w:right="16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consistency of the due diligence measures that the Company performed with either the design of the Company’s due diligence framework or the OECD Due Diligence Guidance;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completeness of the Company’s description of the diligence measures performed;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Suitability of the design or Operating effectiveness of the Company’s due diligence process;</w:t>
      </w:r>
    </w:p>
    <w:p>
      <w:pPr>
        <w:spacing w:after="0" w:line="117"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 third party can determine from the Conflict Minerals Report if the due diligence measures the Company performed are consistent with the OECD Due Diligence Guidance;</w:t>
      </w:r>
    </w:p>
    <w:p>
      <w:pPr>
        <w:spacing w:after="0" w:line="62"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reasonable country of origin inquiry (RCOI), including the suitability of the design of the RCOI, its operating effectiveness, or the results of;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17" w:name="page18"/>
    <w:bookmarkEnd w:id="17"/>
    <w:p>
      <w:pPr>
        <w:ind w:left="760" w:right="48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conclusions about the source or chain of custody of its conflict minerals, those products subject to due diligence, or the DRC Conflict Free status of its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do not express an opinion or any other form of assurance on the aforementioned matters or any other matters included in any section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Conflict Minerals Report other than the sections described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03" w:lineRule="exact"/>
        <w:rPr>
          <w:sz w:val="20"/>
          <w:szCs w:val="20"/>
          <w:color w:val="auto"/>
        </w:rPr>
      </w:pPr>
    </w:p>
    <w:p>
      <w:pPr>
        <w:ind w:left="760" w:right="240" w:hanging="374"/>
        <w:spacing w:after="0" w:line="26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Company’s due diligence framework for the reporting period from January 1, 2018 through December 31, 2018, as set forth in the section titled “Design of Due Diligence” of the Conflict Minerals Report is in conformity with the OECD Due Diligence Guidance, in all material respects and</w:t>
      </w:r>
    </w:p>
    <w:p>
      <w:pPr>
        <w:spacing w:after="0" w:line="73" w:lineRule="exact"/>
        <w:rPr>
          <w:rFonts w:ascii="Arial" w:cs="Arial" w:eastAsia="Arial" w:hAnsi="Arial"/>
          <w:sz w:val="18"/>
          <w:szCs w:val="18"/>
          <w:color w:val="auto"/>
        </w:rPr>
      </w:pPr>
    </w:p>
    <w:p>
      <w:pPr>
        <w:jc w:val="both"/>
        <w:ind w:left="760" w:right="260" w:hanging="374"/>
        <w:spacing w:after="0" w:line="26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description of the due diligence measures it performed, as set forth in the section titled “Due Diligence Measures Taken” of the Conflict Minerals Report for the reporting period from January 1, 2018 through December 31, 2018, is consistent with the due diligence process that the Company undertook, in all material respects.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Dallas, Texas</w:t>
            </w:r>
          </w:p>
        </w:tc>
        <w:tc>
          <w:tcPr>
            <w:tcW w:w="374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May 9, 2019</w:t>
            </w:r>
          </w:p>
        </w:tc>
        <w:tc>
          <w:tcPr>
            <w:tcW w:w="374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Crowe LLP</w:t>
            </w:r>
          </w:p>
        </w:tc>
      </w:tr>
      <w:tr>
        <w:trPr>
          <w:trHeight w:val="230"/>
        </w:trPr>
        <w:tc>
          <w:tcPr>
            <w:tcW w:w="3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Crowe LLP</w:t>
            </w:r>
          </w:p>
        </w:tc>
      </w:tr>
      <w:tr>
        <w:trPr>
          <w:trHeight w:val="850"/>
        </w:trPr>
        <w:tc>
          <w:tcPr>
            <w:tcW w:w="3300" w:type="dxa"/>
            <w:vAlign w:val="bottom"/>
          </w:tcPr>
          <w:p>
            <w:pPr>
              <w:spacing w:after="0"/>
              <w:rPr>
                <w:sz w:val="24"/>
                <w:szCs w:val="24"/>
                <w:color w:val="auto"/>
              </w:rPr>
            </w:pPr>
          </w:p>
        </w:tc>
        <w:tc>
          <w:tcPr>
            <w:tcW w:w="3740" w:type="dxa"/>
            <w:vAlign w:val="bottom"/>
          </w:tcPr>
          <w:p>
            <w:pPr>
              <w:jc w:val="right"/>
              <w:ind w:right="1150"/>
              <w:spacing w:after="0"/>
              <w:rPr>
                <w:sz w:val="20"/>
                <w:szCs w:val="20"/>
                <w:color w:val="auto"/>
              </w:rPr>
            </w:pPr>
            <w:r>
              <w:rPr>
                <w:rFonts w:ascii="Arial" w:cs="Arial" w:eastAsia="Arial" w:hAnsi="Arial"/>
                <w:sz w:val="18"/>
                <w:szCs w:val="18"/>
                <w:color w:val="auto"/>
              </w:rPr>
              <w:t>15</w:t>
            </w:r>
          </w:p>
        </w:tc>
        <w:tc>
          <w:tcPr>
            <w:tcW w:w="43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upperLetter"/>
      <w:start w:val="9"/>
    </w:lvl>
  </w:abstractNum>
  <w:abstractNum w:abstractNumId="2">
    <w:nsid w:val="12200854"/>
    <w:multiLevelType w:val="hybridMultilevel"/>
    <w:lvl w:ilvl="0">
      <w:lvlJc w:val="left"/>
      <w:lvlText w:val="%1"/>
      <w:numFmt w:val="upperLetter"/>
      <w:start w:val="1"/>
    </w:lvl>
    <w:lvl w:ilvl="1">
      <w:lvlJc w:val="left"/>
      <w:lvlText w:val="•"/>
      <w:numFmt w:val="bullet"/>
      <w:start w:val="1"/>
    </w:lvl>
  </w:abstractNum>
  <w:abstractNum w:abstractNumId="3">
    <w:nsid w:val="4DB127F8"/>
    <w:multiLevelType w:val="hybridMultilevel"/>
    <w:lvl w:ilvl="0">
      <w:lvlJc w:val="left"/>
      <w:lvlText w:val="%1."/>
      <w:numFmt w:val="upperLetter"/>
      <w:start w:val="6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upperLetter"/>
      <w:start w:val="22"/>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2019-12-02T04:36:56Z</dcterms:created>
  <dcterms:modified xsi:type="dcterms:W3CDTF">2019-12-02T04:36:56Z</dcterms:modified>
</cp:coreProperties>
</file>