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544" w:right="3840" w:hanging="5158"/>
        <w:spacing w:after="0" w:line="274" w:lineRule="auto"/>
        <w:rPr>
          <w:sz w:val="20"/>
          <w:szCs w:val="20"/>
          <w:color w:val="auto"/>
        </w:rPr>
      </w:pPr>
      <w:r>
        <w:rPr>
          <w:rFonts w:ascii="Courier New" w:cs="Courier New" w:eastAsia="Courier New" w:hAnsi="Courier New"/>
          <w:sz w:val="15"/>
          <w:szCs w:val="15"/>
          <w:color w:val="auto"/>
        </w:rPr>
        <w:t>As filed with the Securities and Exchange Commission on October 15, 1999 Registration No. 333-</w:t>
      </w:r>
    </w:p>
    <w:p>
      <w:pPr>
        <w:spacing w:after="0" w:line="1" w:lineRule="exact"/>
        <w:rPr>
          <w:sz w:val="24"/>
          <w:szCs w:val="24"/>
          <w:color w:val="auto"/>
        </w:rPr>
      </w:pPr>
    </w:p>
    <w:p>
      <w:pPr>
        <w:jc w:val="center"/>
        <w:ind w:right="3936"/>
        <w:spacing w:after="0"/>
        <w:rPr>
          <w:sz w:val="20"/>
          <w:szCs w:val="20"/>
          <w:color w:val="auto"/>
        </w:rPr>
      </w:pPr>
      <w:r>
        <w:rPr>
          <w:rFonts w:ascii="Courier New" w:cs="Courier New" w:eastAsia="Courier New" w:hAnsi="Courier New"/>
          <w:sz w:val="15"/>
          <w:szCs w:val="15"/>
          <w:color w:val="auto"/>
        </w:rPr>
        <w:t>===============================================================================</w:t>
      </w:r>
    </w:p>
    <w:p>
      <w:pPr>
        <w:spacing w:after="0" w:line="163" w:lineRule="exact"/>
        <w:rPr>
          <w:sz w:val="24"/>
          <w:szCs w:val="24"/>
          <w:color w:val="auto"/>
        </w:rPr>
      </w:pPr>
    </w:p>
    <w:p>
      <w:pPr>
        <w:jc w:val="center"/>
        <w:ind w:right="38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7" w:lineRule="exact"/>
        <w:rPr>
          <w:sz w:val="24"/>
          <w:szCs w:val="24"/>
          <w:color w:val="auto"/>
        </w:rPr>
      </w:pPr>
    </w:p>
    <w:p>
      <w:pPr>
        <w:jc w:val="center"/>
        <w:ind w:right="3836"/>
        <w:spacing w:after="0"/>
        <w:rPr>
          <w:sz w:val="20"/>
          <w:szCs w:val="20"/>
          <w:color w:val="auto"/>
        </w:rPr>
      </w:pPr>
      <w:r>
        <w:rPr>
          <w:rFonts w:ascii="Courier New" w:cs="Courier New" w:eastAsia="Courier New" w:hAnsi="Courier New"/>
          <w:sz w:val="16"/>
          <w:szCs w:val="16"/>
          <w:color w:val="auto"/>
        </w:rPr>
        <w:t>Washington, D.C. 20549</w:t>
      </w:r>
    </w:p>
    <w:p>
      <w:pPr>
        <w:spacing w:after="0" w:line="151" w:lineRule="exact"/>
        <w:rPr>
          <w:sz w:val="24"/>
          <w:szCs w:val="24"/>
          <w:color w:val="auto"/>
        </w:rPr>
      </w:pPr>
    </w:p>
    <w:p>
      <w:pPr>
        <w:ind w:left="26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3384"/>
        <w:spacing w:after="0"/>
        <w:rPr>
          <w:sz w:val="20"/>
          <w:szCs w:val="20"/>
          <w:color w:val="auto"/>
        </w:rPr>
      </w:pPr>
      <w:r>
        <w:rPr>
          <w:rFonts w:ascii="Courier New" w:cs="Courier New" w:eastAsia="Courier New" w:hAnsi="Courier New"/>
          <w:sz w:val="16"/>
          <w:szCs w:val="16"/>
          <w:color w:val="auto"/>
        </w:rPr>
        <w:t>FORM S-4</w:t>
      </w:r>
    </w:p>
    <w:p>
      <w:pPr>
        <w:spacing w:after="0" w:line="26" w:lineRule="exact"/>
        <w:rPr>
          <w:sz w:val="24"/>
          <w:szCs w:val="24"/>
          <w:color w:val="auto"/>
        </w:rPr>
      </w:pPr>
    </w:p>
    <w:p>
      <w:pPr>
        <w:ind w:left="2724"/>
        <w:spacing w:after="0"/>
        <w:rPr>
          <w:sz w:val="20"/>
          <w:szCs w:val="20"/>
          <w:color w:val="auto"/>
        </w:rPr>
      </w:pPr>
      <w:r>
        <w:rPr>
          <w:rFonts w:ascii="Courier New" w:cs="Courier New" w:eastAsia="Courier New" w:hAnsi="Courier New"/>
          <w:sz w:val="16"/>
          <w:szCs w:val="16"/>
          <w:color w:val="auto"/>
        </w:rPr>
        <w:t>REGISTRATION STATEMENT</w:t>
      </w:r>
    </w:p>
    <w:p>
      <w:pPr>
        <w:ind w:left="3464"/>
        <w:spacing w:after="0"/>
        <w:rPr>
          <w:sz w:val="20"/>
          <w:szCs w:val="20"/>
          <w:color w:val="auto"/>
        </w:rPr>
      </w:pPr>
      <w:r>
        <w:rPr>
          <w:rFonts w:ascii="Courier New" w:cs="Courier New" w:eastAsia="Courier New" w:hAnsi="Courier New"/>
          <w:sz w:val="16"/>
          <w:szCs w:val="16"/>
          <w:color w:val="auto"/>
        </w:rPr>
        <w:t>UNDER</w:t>
      </w:r>
    </w:p>
    <w:p>
      <w:pPr>
        <w:ind w:left="2524"/>
        <w:spacing w:after="0"/>
        <w:rPr>
          <w:sz w:val="20"/>
          <w:szCs w:val="20"/>
          <w:color w:val="auto"/>
        </w:rPr>
      </w:pPr>
      <w:r>
        <w:rPr>
          <w:rFonts w:ascii="Courier New" w:cs="Courier New" w:eastAsia="Courier New" w:hAnsi="Courier New"/>
          <w:sz w:val="16"/>
          <w:szCs w:val="16"/>
          <w:color w:val="auto"/>
        </w:rPr>
        <w:t>THE SECURITIES ACT OF 1933</w:t>
      </w:r>
    </w:p>
    <w:p>
      <w:pPr>
        <w:spacing w:after="0" w:line="151" w:lineRule="exact"/>
        <w:rPr>
          <w:sz w:val="24"/>
          <w:szCs w:val="24"/>
          <w:color w:val="auto"/>
        </w:rPr>
      </w:pPr>
    </w:p>
    <w:p>
      <w:pPr>
        <w:ind w:left="26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jc w:val="center"/>
        <w:ind w:right="3836"/>
        <w:spacing w:after="0"/>
        <w:rPr>
          <w:sz w:val="20"/>
          <w:szCs w:val="20"/>
          <w:color w:val="auto"/>
        </w:rPr>
      </w:pPr>
      <w:r>
        <w:rPr>
          <w:rFonts w:ascii="Courier New" w:cs="Courier New" w:eastAsia="Courier New" w:hAnsi="Courier New"/>
          <w:sz w:val="16"/>
          <w:szCs w:val="16"/>
          <w:color w:val="auto"/>
        </w:rPr>
        <w:t>TEXAS INSTRUMENTS INCORPORATED</w:t>
      </w:r>
    </w:p>
    <w:p>
      <w:pPr>
        <w:spacing w:after="0" w:line="27" w:lineRule="exact"/>
        <w:rPr>
          <w:sz w:val="24"/>
          <w:szCs w:val="24"/>
          <w:color w:val="auto"/>
        </w:rPr>
      </w:pPr>
    </w:p>
    <w:p>
      <w:pPr>
        <w:jc w:val="center"/>
        <w:ind w:right="3836"/>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331"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2860" w:type="dxa"/>
            <w:vAlign w:val="bottom"/>
          </w:tcPr>
          <w:p>
            <w:pPr>
              <w:ind w:left="940"/>
              <w:spacing w:after="0"/>
              <w:rPr>
                <w:sz w:val="20"/>
                <w:szCs w:val="20"/>
                <w:color w:val="auto"/>
              </w:rPr>
            </w:pPr>
            <w:r>
              <w:rPr>
                <w:rFonts w:ascii="Courier New" w:cs="Courier New" w:eastAsia="Courier New" w:hAnsi="Courier New"/>
                <w:sz w:val="16"/>
                <w:szCs w:val="16"/>
                <w:color w:val="auto"/>
              </w:rPr>
              <w:t>Delaware</w:t>
            </w:r>
          </w:p>
        </w:tc>
        <w:tc>
          <w:tcPr>
            <w:tcW w:w="276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3600</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75-0289970</w:t>
            </w:r>
          </w:p>
        </w:tc>
        <w:tc>
          <w:tcPr>
            <w:tcW w:w="420" w:type="dxa"/>
            <w:vAlign w:val="bottom"/>
          </w:tcPr>
          <w:p>
            <w:pPr>
              <w:spacing w:after="0"/>
              <w:rPr>
                <w:sz w:val="15"/>
                <w:szCs w:val="15"/>
                <w:color w:val="auto"/>
              </w:rPr>
            </w:pPr>
          </w:p>
        </w:tc>
      </w:tr>
      <w:tr>
        <w:trPr>
          <w:trHeight w:val="180"/>
        </w:trPr>
        <w:tc>
          <w:tcPr>
            <w:tcW w:w="2860" w:type="dxa"/>
            <w:vAlign w:val="bottom"/>
          </w:tcPr>
          <w:p>
            <w:pPr>
              <w:ind w:left="180"/>
              <w:spacing w:after="0"/>
              <w:rPr>
                <w:sz w:val="20"/>
                <w:szCs w:val="20"/>
                <w:color w:val="auto"/>
              </w:rPr>
            </w:pPr>
            <w:r>
              <w:rPr>
                <w:rFonts w:ascii="Courier New" w:cs="Courier New" w:eastAsia="Courier New" w:hAnsi="Courier New"/>
                <w:sz w:val="16"/>
                <w:szCs w:val="16"/>
                <w:color w:val="auto"/>
              </w:rPr>
              <w:t>(State or jurisdiction of</w:t>
            </w:r>
          </w:p>
        </w:tc>
        <w:tc>
          <w:tcPr>
            <w:tcW w:w="27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8"/>
              </w:rPr>
              <w:t>(Primary Standard Industrial</w:t>
            </w:r>
          </w:p>
        </w:tc>
        <w:tc>
          <w:tcPr>
            <w:tcW w:w="18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(I.R.S. Employer</w:t>
            </w:r>
          </w:p>
        </w:tc>
      </w:tr>
      <w:tr>
        <w:trPr>
          <w:trHeight w:val="264"/>
        </w:trPr>
        <w:tc>
          <w:tcPr>
            <w:tcW w:w="2860" w:type="dxa"/>
            <w:vAlign w:val="bottom"/>
          </w:tcPr>
          <w:p>
            <w:pPr>
              <w:spacing w:after="0"/>
              <w:rPr>
                <w:sz w:val="20"/>
                <w:szCs w:val="20"/>
                <w:color w:val="auto"/>
              </w:rPr>
            </w:pPr>
            <w:r>
              <w:rPr>
                <w:rFonts w:ascii="Courier New" w:cs="Courier New" w:eastAsia="Courier New" w:hAnsi="Courier New"/>
                <w:sz w:val="16"/>
                <w:szCs w:val="16"/>
                <w:color w:val="auto"/>
                <w:w w:val="98"/>
              </w:rPr>
              <w:t>incorporation or organization)</w:t>
            </w:r>
          </w:p>
        </w:tc>
        <w:tc>
          <w:tcPr>
            <w:tcW w:w="2760" w:type="dxa"/>
            <w:vAlign w:val="bottom"/>
          </w:tcPr>
          <w:p>
            <w:pPr>
              <w:jc w:val="right"/>
              <w:ind w:right="2"/>
              <w:spacing w:after="0"/>
              <w:rPr>
                <w:sz w:val="20"/>
                <w:szCs w:val="20"/>
                <w:color w:val="auto"/>
              </w:rPr>
            </w:pPr>
            <w:r>
              <w:rPr>
                <w:rFonts w:ascii="Courier New" w:cs="Courier New" w:eastAsia="Courier New" w:hAnsi="Courier New"/>
                <w:sz w:val="16"/>
                <w:szCs w:val="16"/>
                <w:color w:val="auto"/>
              </w:rPr>
              <w:t>Classification Code Number)</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Identification</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No.)</w:t>
            </w:r>
          </w:p>
        </w:tc>
      </w:tr>
    </w:tbl>
    <w:p>
      <w:pPr>
        <w:spacing w:after="0" w:line="97" w:lineRule="exact"/>
        <w:rPr>
          <w:sz w:val="24"/>
          <w:szCs w:val="24"/>
          <w:color w:val="auto"/>
        </w:rPr>
      </w:pPr>
    </w:p>
    <w:p>
      <w:pPr>
        <w:ind w:left="3564"/>
        <w:spacing w:after="0"/>
        <w:rPr>
          <w:sz w:val="20"/>
          <w:szCs w:val="20"/>
          <w:color w:val="auto"/>
        </w:rPr>
      </w:pPr>
      <w:r>
        <w:rPr>
          <w:rFonts w:ascii="Courier New" w:cs="Courier New" w:eastAsia="Courier New" w:hAnsi="Courier New"/>
          <w:sz w:val="16"/>
          <w:szCs w:val="16"/>
          <w:color w:val="auto"/>
        </w:rPr>
        <w:t>8505 Forest Lane</w:t>
      </w:r>
    </w:p>
    <w:p>
      <w:pPr>
        <w:spacing w:after="0" w:line="26" w:lineRule="exact"/>
        <w:rPr>
          <w:sz w:val="24"/>
          <w:szCs w:val="24"/>
          <w:color w:val="auto"/>
        </w:rPr>
      </w:pPr>
    </w:p>
    <w:p>
      <w:pPr>
        <w:ind w:left="3564"/>
        <w:spacing w:after="0"/>
        <w:rPr>
          <w:sz w:val="20"/>
          <w:szCs w:val="20"/>
          <w:color w:val="auto"/>
        </w:rPr>
      </w:pPr>
      <w:r>
        <w:rPr>
          <w:rFonts w:ascii="Courier New" w:cs="Courier New" w:eastAsia="Courier New" w:hAnsi="Courier New"/>
          <w:sz w:val="16"/>
          <w:szCs w:val="16"/>
          <w:color w:val="auto"/>
        </w:rPr>
        <w:t>P.O. Box 660199</w:t>
      </w:r>
    </w:p>
    <w:p>
      <w:pPr>
        <w:ind w:left="3104"/>
        <w:spacing w:after="0"/>
        <w:rPr>
          <w:sz w:val="20"/>
          <w:szCs w:val="20"/>
          <w:color w:val="auto"/>
        </w:rPr>
      </w:pPr>
      <w:r>
        <w:rPr>
          <w:rFonts w:ascii="Courier New" w:cs="Courier New" w:eastAsia="Courier New" w:hAnsi="Courier New"/>
          <w:sz w:val="16"/>
          <w:szCs w:val="16"/>
          <w:color w:val="auto"/>
        </w:rPr>
        <w:t>Dallas, Texas 75266-0199</w:t>
      </w:r>
    </w:p>
    <w:p>
      <w:pPr>
        <w:ind w:left="3564"/>
        <w:spacing w:after="0"/>
        <w:rPr>
          <w:sz w:val="20"/>
          <w:szCs w:val="20"/>
          <w:color w:val="auto"/>
        </w:rPr>
      </w:pPr>
      <w:r>
        <w:rPr>
          <w:rFonts w:ascii="Courier New" w:cs="Courier New" w:eastAsia="Courier New" w:hAnsi="Courier New"/>
          <w:sz w:val="16"/>
          <w:szCs w:val="16"/>
          <w:color w:val="auto"/>
        </w:rPr>
        <w:t>(972) 995-3773</w:t>
      </w:r>
    </w:p>
    <w:p>
      <w:pPr>
        <w:ind w:left="1224" w:right="4020" w:firstLine="563"/>
        <w:spacing w:after="0" w:line="348" w:lineRule="auto"/>
        <w:rPr>
          <w:sz w:val="20"/>
          <w:szCs w:val="20"/>
          <w:color w:val="auto"/>
        </w:rPr>
      </w:pPr>
      <w:r>
        <w:rPr>
          <w:rFonts w:ascii="Courier New" w:cs="Courier New" w:eastAsia="Courier New" w:hAnsi="Courier New"/>
          <w:sz w:val="15"/>
          <w:szCs w:val="15"/>
          <w:color w:val="auto"/>
        </w:rPr>
        <w:t>(Address, including zip code, and telephone number, including area code, of Registrant's principal executive offices)</w:t>
      </w:r>
    </w:p>
    <w:p>
      <w:pPr>
        <w:spacing w:after="0" w:line="20" w:lineRule="exact"/>
        <w:rPr>
          <w:sz w:val="24"/>
          <w:szCs w:val="24"/>
          <w:color w:val="auto"/>
        </w:rPr>
      </w:pPr>
    </w:p>
    <w:p>
      <w:pPr>
        <w:ind w:left="3384"/>
        <w:spacing w:after="0"/>
        <w:rPr>
          <w:sz w:val="20"/>
          <w:szCs w:val="20"/>
          <w:color w:val="auto"/>
        </w:rPr>
      </w:pPr>
      <w:r>
        <w:rPr>
          <w:rFonts w:ascii="Courier New" w:cs="Courier New" w:eastAsia="Courier New" w:hAnsi="Courier New"/>
          <w:sz w:val="16"/>
          <w:szCs w:val="16"/>
          <w:color w:val="auto"/>
        </w:rPr>
        <w:t>Richard J. Agnich,</w:t>
      </w:r>
    </w:p>
    <w:p>
      <w:pPr>
        <w:spacing w:after="0" w:line="26" w:lineRule="exact"/>
        <w:rPr>
          <w:sz w:val="24"/>
          <w:szCs w:val="24"/>
          <w:color w:val="auto"/>
        </w:rPr>
      </w:pPr>
    </w:p>
    <w:p>
      <w:pPr>
        <w:ind w:left="1784"/>
        <w:spacing w:after="0"/>
        <w:rPr>
          <w:sz w:val="20"/>
          <w:szCs w:val="20"/>
          <w:color w:val="auto"/>
        </w:rPr>
      </w:pPr>
      <w:r>
        <w:rPr>
          <w:rFonts w:ascii="Courier New" w:cs="Courier New" w:eastAsia="Courier New" w:hAnsi="Courier New"/>
          <w:sz w:val="16"/>
          <w:szCs w:val="16"/>
          <w:color w:val="auto"/>
        </w:rPr>
        <w:t>Senior Vice President, Secretary and General Counsel</w:t>
      </w:r>
    </w:p>
    <w:p>
      <w:pPr>
        <w:ind w:left="2824"/>
        <w:spacing w:after="0"/>
        <w:rPr>
          <w:sz w:val="20"/>
          <w:szCs w:val="20"/>
          <w:color w:val="auto"/>
        </w:rPr>
      </w:pPr>
      <w:r>
        <w:rPr>
          <w:rFonts w:ascii="Courier New" w:cs="Courier New" w:eastAsia="Courier New" w:hAnsi="Courier New"/>
          <w:sz w:val="16"/>
          <w:szCs w:val="16"/>
          <w:color w:val="auto"/>
        </w:rPr>
        <w:t>Texas Instruments Incorporated</w:t>
      </w:r>
    </w:p>
    <w:p>
      <w:pPr>
        <w:ind w:left="3464"/>
        <w:spacing w:after="0"/>
        <w:rPr>
          <w:sz w:val="20"/>
          <w:szCs w:val="20"/>
          <w:color w:val="auto"/>
        </w:rPr>
      </w:pPr>
      <w:r>
        <w:rPr>
          <w:rFonts w:ascii="Courier New" w:cs="Courier New" w:eastAsia="Courier New" w:hAnsi="Courier New"/>
          <w:sz w:val="16"/>
          <w:szCs w:val="16"/>
          <w:color w:val="auto"/>
        </w:rPr>
        <w:t>8505 Forest Lane</w:t>
      </w:r>
    </w:p>
    <w:p>
      <w:pPr>
        <w:ind w:left="3464"/>
        <w:spacing w:after="0"/>
        <w:rPr>
          <w:sz w:val="20"/>
          <w:szCs w:val="20"/>
          <w:color w:val="auto"/>
        </w:rPr>
      </w:pPr>
      <w:r>
        <w:rPr>
          <w:rFonts w:ascii="Courier New" w:cs="Courier New" w:eastAsia="Courier New" w:hAnsi="Courier New"/>
          <w:sz w:val="16"/>
          <w:szCs w:val="16"/>
          <w:color w:val="auto"/>
        </w:rPr>
        <w:t>P.O. Box 660199</w:t>
      </w:r>
    </w:p>
    <w:p>
      <w:pPr>
        <w:ind w:left="3104"/>
        <w:spacing w:after="0"/>
        <w:rPr>
          <w:sz w:val="20"/>
          <w:szCs w:val="20"/>
          <w:color w:val="auto"/>
        </w:rPr>
      </w:pPr>
      <w:r>
        <w:rPr>
          <w:rFonts w:ascii="Courier New" w:cs="Courier New" w:eastAsia="Courier New" w:hAnsi="Courier New"/>
          <w:sz w:val="16"/>
          <w:szCs w:val="16"/>
          <w:color w:val="auto"/>
        </w:rPr>
        <w:t>Dallas, Texas 75266-0199</w:t>
      </w:r>
    </w:p>
    <w:p>
      <w:pPr>
        <w:ind w:left="3564"/>
        <w:spacing w:after="0"/>
        <w:rPr>
          <w:sz w:val="20"/>
          <w:szCs w:val="20"/>
          <w:color w:val="auto"/>
        </w:rPr>
      </w:pPr>
      <w:r>
        <w:rPr>
          <w:rFonts w:ascii="Courier New" w:cs="Courier New" w:eastAsia="Courier New" w:hAnsi="Courier New"/>
          <w:sz w:val="16"/>
          <w:szCs w:val="16"/>
          <w:color w:val="auto"/>
        </w:rPr>
        <w:t>(972) 995-3773</w:t>
      </w:r>
    </w:p>
    <w:p>
      <w:pPr>
        <w:ind w:left="1504"/>
        <w:spacing w:after="0"/>
        <w:rPr>
          <w:sz w:val="20"/>
          <w:szCs w:val="20"/>
          <w:color w:val="auto"/>
        </w:rPr>
      </w:pPr>
      <w:r>
        <w:rPr>
          <w:rFonts w:ascii="Courier New" w:cs="Courier New" w:eastAsia="Courier New" w:hAnsi="Courier New"/>
          <w:sz w:val="16"/>
          <w:szCs w:val="16"/>
          <w:color w:val="auto"/>
        </w:rPr>
        <w:t>(Name, address, including zip code, and telephone number,</w:t>
      </w:r>
    </w:p>
    <w:p>
      <w:pPr>
        <w:ind w:left="2164"/>
        <w:spacing w:after="0"/>
        <w:rPr>
          <w:sz w:val="20"/>
          <w:szCs w:val="20"/>
          <w:color w:val="auto"/>
        </w:rPr>
      </w:pPr>
      <w:r>
        <w:rPr>
          <w:rFonts w:ascii="Courier New" w:cs="Courier New" w:eastAsia="Courier New" w:hAnsi="Courier New"/>
          <w:sz w:val="16"/>
          <w:szCs w:val="16"/>
          <w:color w:val="auto"/>
        </w:rPr>
        <w:t>including area code, of agent for service)</w:t>
      </w:r>
    </w:p>
    <w:p>
      <w:pPr>
        <w:spacing w:after="0" w:line="151" w:lineRule="exact"/>
        <w:rPr>
          <w:sz w:val="24"/>
          <w:szCs w:val="24"/>
          <w:color w:val="auto"/>
        </w:rPr>
      </w:pPr>
    </w:p>
    <w:p>
      <w:pPr>
        <w:ind w:left="31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2724"/>
        <w:spacing w:after="0"/>
        <w:rPr>
          <w:sz w:val="20"/>
          <w:szCs w:val="20"/>
          <w:color w:val="auto"/>
        </w:rPr>
      </w:pPr>
      <w:r>
        <w:rPr>
          <w:rFonts w:ascii="Courier New" w:cs="Courier New" w:eastAsia="Courier New" w:hAnsi="Courier New"/>
          <w:sz w:val="16"/>
          <w:szCs w:val="16"/>
          <w:color w:val="auto"/>
        </w:rPr>
        <w:t>Copies of all communications to:</w:t>
      </w:r>
    </w:p>
    <w:p>
      <w:pPr>
        <w:spacing w:after="0" w:line="179" w:lineRule="exact"/>
        <w:rPr>
          <w:sz w:val="24"/>
          <w:szCs w:val="24"/>
          <w:color w:val="auto"/>
        </w:rPr>
      </w:pPr>
    </w:p>
    <w:p>
      <w:pPr>
        <w:ind w:left="3184"/>
        <w:spacing w:after="0"/>
        <w:rPr>
          <w:sz w:val="20"/>
          <w:szCs w:val="20"/>
          <w:color w:val="auto"/>
        </w:rPr>
      </w:pPr>
      <w:r>
        <w:rPr>
          <w:rFonts w:ascii="Courier New" w:cs="Courier New" w:eastAsia="Courier New" w:hAnsi="Courier New"/>
          <w:sz w:val="16"/>
          <w:szCs w:val="16"/>
          <w:color w:val="auto"/>
        </w:rPr>
        <w:t>Bruce K. Dallas, Esq.</w:t>
      </w:r>
    </w:p>
    <w:p>
      <w:pPr>
        <w:spacing w:after="0" w:line="26" w:lineRule="exact"/>
        <w:rPr>
          <w:sz w:val="24"/>
          <w:szCs w:val="24"/>
          <w:color w:val="auto"/>
        </w:rPr>
      </w:pPr>
    </w:p>
    <w:p>
      <w:pPr>
        <w:ind w:left="3184"/>
        <w:spacing w:after="0"/>
        <w:rPr>
          <w:sz w:val="20"/>
          <w:szCs w:val="20"/>
          <w:color w:val="auto"/>
        </w:rPr>
      </w:pPr>
      <w:r>
        <w:rPr>
          <w:rFonts w:ascii="Courier New" w:cs="Courier New" w:eastAsia="Courier New" w:hAnsi="Courier New"/>
          <w:sz w:val="16"/>
          <w:szCs w:val="16"/>
          <w:color w:val="auto"/>
        </w:rPr>
        <w:t>Davis Polk &amp; Wardwell</w:t>
      </w:r>
    </w:p>
    <w:p>
      <w:pPr>
        <w:ind w:left="3184"/>
        <w:spacing w:after="0"/>
        <w:rPr>
          <w:sz w:val="20"/>
          <w:szCs w:val="20"/>
          <w:color w:val="auto"/>
        </w:rPr>
      </w:pPr>
      <w:r>
        <w:rPr>
          <w:rFonts w:ascii="Courier New" w:cs="Courier New" w:eastAsia="Courier New" w:hAnsi="Courier New"/>
          <w:sz w:val="16"/>
          <w:szCs w:val="16"/>
          <w:color w:val="auto"/>
        </w:rPr>
        <w:t>450 Lexington Avenue</w:t>
      </w:r>
    </w:p>
    <w:p>
      <w:pPr>
        <w:ind w:left="3104"/>
        <w:spacing w:after="0"/>
        <w:rPr>
          <w:sz w:val="20"/>
          <w:szCs w:val="20"/>
          <w:color w:val="auto"/>
        </w:rPr>
      </w:pPr>
      <w:r>
        <w:rPr>
          <w:rFonts w:ascii="Courier New" w:cs="Courier New" w:eastAsia="Courier New" w:hAnsi="Courier New"/>
          <w:sz w:val="16"/>
          <w:szCs w:val="16"/>
          <w:color w:val="auto"/>
        </w:rPr>
        <w:t>New York, New York 10017</w:t>
      </w:r>
    </w:p>
    <w:p>
      <w:pPr>
        <w:ind w:left="4124" w:hanging="560"/>
        <w:spacing w:after="0"/>
        <w:tabs>
          <w:tab w:leader="none" w:pos="412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450-4000</w:t>
      </w:r>
    </w:p>
    <w:p>
      <w:pPr>
        <w:spacing w:after="0" w:line="151" w:lineRule="exact"/>
        <w:rPr>
          <w:rFonts w:ascii="Courier New" w:cs="Courier New" w:eastAsia="Courier New" w:hAnsi="Courier New"/>
          <w:sz w:val="16"/>
          <w:szCs w:val="16"/>
          <w:color w:val="auto"/>
        </w:rPr>
      </w:pPr>
    </w:p>
    <w:p>
      <w:pPr>
        <w:ind w:left="3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4" w:right="3940" w:firstLine="469"/>
        <w:spacing w:after="0" w:line="348"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the effective date of this Registration Statement.</w:t>
      </w:r>
    </w:p>
    <w:p>
      <w:pPr>
        <w:spacing w:after="0" w:line="15" w:lineRule="exact"/>
        <w:rPr>
          <w:sz w:val="24"/>
          <w:szCs w:val="24"/>
          <w:color w:val="auto"/>
        </w:rPr>
      </w:pPr>
    </w:p>
    <w:p>
      <w:pPr>
        <w:ind w:left="4" w:right="3940" w:firstLine="469"/>
        <w:spacing w:after="0" w:line="293" w:lineRule="auto"/>
        <w:rPr>
          <w:sz w:val="20"/>
          <w:szCs w:val="20"/>
          <w:color w:val="auto"/>
        </w:rPr>
      </w:pPr>
      <w:r>
        <w:rPr>
          <w:rFonts w:ascii="Courier New" w:cs="Courier New" w:eastAsia="Courier New" w:hAnsi="Courier New"/>
          <w:sz w:val="16"/>
          <w:szCs w:val="16"/>
          <w:color w:val="auto"/>
        </w:rPr>
        <w:t>If the Securities being registered on this Form are being offered in connection with the formation of a holding company and there is compliance with General Instruction G, check the following box: [ ]</w:t>
      </w:r>
    </w:p>
    <w:p>
      <w:pPr>
        <w:spacing w:after="0" w:line="238" w:lineRule="exact"/>
        <w:rPr>
          <w:sz w:val="24"/>
          <w:szCs w:val="24"/>
          <w:color w:val="auto"/>
        </w:rPr>
      </w:pPr>
    </w:p>
    <w:p>
      <w:pPr>
        <w:jc w:val="center"/>
        <w:ind w:right="176"/>
        <w:spacing w:after="0"/>
        <w:rPr>
          <w:sz w:val="20"/>
          <w:szCs w:val="20"/>
          <w:color w:val="auto"/>
        </w:rPr>
      </w:pPr>
      <w:r>
        <w:rPr>
          <w:rFonts w:ascii="Courier New" w:cs="Courier New" w:eastAsia="Courier New" w:hAnsi="Courier New"/>
          <w:sz w:val="16"/>
          <w:szCs w:val="16"/>
          <w:color w:val="auto"/>
        </w:rPr>
        <w:t>CALCULATION OF REGISTRATION FEE</w:t>
      </w:r>
    </w:p>
    <w:p>
      <w:pPr>
        <w:spacing w:after="0" w:line="27" w:lineRule="exact"/>
        <w:rPr>
          <w:sz w:val="24"/>
          <w:szCs w:val="24"/>
          <w:color w:val="auto"/>
        </w:rPr>
      </w:pPr>
    </w:p>
    <w:p>
      <w:pPr>
        <w:jc w:val="center"/>
        <w:ind w:right="176"/>
        <w:spacing w:after="0"/>
        <w:rPr>
          <w:sz w:val="20"/>
          <w:szCs w:val="20"/>
          <w:color w:val="auto"/>
        </w:rPr>
      </w:pPr>
      <w:r>
        <w:rPr>
          <w:rFonts w:ascii="Courier New" w:cs="Courier New" w:eastAsia="Courier New" w:hAnsi="Courier New"/>
          <w:sz w:val="15"/>
          <w:szCs w:val="15"/>
          <w:color w:val="auto"/>
        </w:rPr>
        <w:t>=======================================================================================================================</w:t>
      </w:r>
    </w:p>
    <w:tbl>
      <w:tblPr>
        <w:tblLayout w:type="fixed"/>
        <w:tblInd w:w="1024" w:type="dxa"/>
        <w:tblCellMar>
          <w:top w:w="0" w:type="dxa"/>
          <w:left w:w="0" w:type="dxa"/>
          <w:bottom w:w="0" w:type="dxa"/>
          <w:right w:w="0" w:type="dxa"/>
        </w:tblCellMar>
      </w:tblPr>
      <w:tr>
        <w:trPr>
          <w:trHeight w:val="163"/>
        </w:trPr>
        <w:tc>
          <w:tcPr>
            <w:tcW w:w="10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40" w:type="dxa"/>
            <w:vAlign w:val="bottom"/>
          </w:tcPr>
          <w:p>
            <w:pPr>
              <w:jc w:val="right"/>
              <w:ind w:right="442"/>
              <w:spacing w:after="0" w:line="163" w:lineRule="exact"/>
              <w:rPr>
                <w:sz w:val="20"/>
                <w:szCs w:val="20"/>
                <w:color w:val="auto"/>
              </w:rPr>
            </w:pPr>
            <w:r>
              <w:rPr>
                <w:rFonts w:ascii="Courier New" w:cs="Courier New" w:eastAsia="Courier New" w:hAnsi="Courier New"/>
                <w:sz w:val="16"/>
                <w:szCs w:val="16"/>
                <w:color w:val="auto"/>
              </w:rPr>
              <w:t>Proposed</w:t>
            </w:r>
          </w:p>
        </w:tc>
        <w:tc>
          <w:tcPr>
            <w:tcW w:w="1600" w:type="dxa"/>
            <w:vAlign w:val="bottom"/>
          </w:tcPr>
          <w:p>
            <w:pPr>
              <w:ind w:left="420"/>
              <w:spacing w:after="0" w:line="163" w:lineRule="exact"/>
              <w:rPr>
                <w:sz w:val="20"/>
                <w:szCs w:val="20"/>
                <w:color w:val="auto"/>
              </w:rPr>
            </w:pPr>
            <w:r>
              <w:rPr>
                <w:rFonts w:ascii="Courier New" w:cs="Courier New" w:eastAsia="Courier New" w:hAnsi="Courier New"/>
                <w:sz w:val="16"/>
                <w:szCs w:val="16"/>
                <w:color w:val="auto"/>
              </w:rPr>
              <w:t>Proposed</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Amount</w:t>
            </w:r>
          </w:p>
        </w:tc>
        <w:tc>
          <w:tcPr>
            <w:tcW w:w="62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of</w:t>
            </w:r>
          </w:p>
        </w:tc>
        <w:tc>
          <w:tcPr>
            <w:tcW w:w="0" w:type="dxa"/>
            <w:vAlign w:val="bottom"/>
          </w:tcPr>
          <w:p>
            <w:pPr>
              <w:spacing w:after="0"/>
              <w:rPr>
                <w:sz w:val="1"/>
                <w:szCs w:val="1"/>
                <w:color w:val="auto"/>
              </w:rPr>
            </w:pPr>
          </w:p>
        </w:tc>
      </w:tr>
      <w:tr>
        <w:trPr>
          <w:trHeight w:val="180"/>
        </w:trPr>
        <w:tc>
          <w:tcPr>
            <w:tcW w:w="10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Title of</w:t>
            </w:r>
          </w:p>
        </w:tc>
        <w:tc>
          <w:tcPr>
            <w:tcW w:w="220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Each Class of</w:t>
            </w:r>
          </w:p>
        </w:tc>
        <w:tc>
          <w:tcPr>
            <w:tcW w:w="1960" w:type="dxa"/>
            <w:vAlign w:val="bottom"/>
            <w:vMerge w:val="restart"/>
          </w:tcPr>
          <w:p>
            <w:pPr>
              <w:jc w:val="center"/>
              <w:ind w:left="402"/>
              <w:spacing w:after="0"/>
              <w:rPr>
                <w:sz w:val="20"/>
                <w:szCs w:val="20"/>
                <w:color w:val="auto"/>
              </w:rPr>
            </w:pPr>
            <w:r>
              <w:rPr>
                <w:rFonts w:ascii="Courier New" w:cs="Courier New" w:eastAsia="Courier New" w:hAnsi="Courier New"/>
                <w:sz w:val="16"/>
                <w:szCs w:val="16"/>
                <w:color w:val="auto"/>
                <w:w w:val="97"/>
              </w:rPr>
              <w:t>Amount to Be</w:t>
            </w:r>
          </w:p>
        </w:tc>
        <w:tc>
          <w:tcPr>
            <w:tcW w:w="17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Maximum</w:t>
            </w:r>
          </w:p>
        </w:tc>
        <w:tc>
          <w:tcPr>
            <w:tcW w:w="1600" w:type="dxa"/>
            <w:vAlign w:val="bottom"/>
          </w:tcPr>
          <w:p>
            <w:pPr>
              <w:ind w:left="420"/>
              <w:spacing w:after="0"/>
              <w:rPr>
                <w:sz w:val="20"/>
                <w:szCs w:val="20"/>
                <w:color w:val="auto"/>
              </w:rPr>
            </w:pPr>
            <w:r>
              <w:rPr>
                <w:rFonts w:ascii="Courier New" w:cs="Courier New" w:eastAsia="Courier New" w:hAnsi="Courier New"/>
                <w:sz w:val="16"/>
                <w:szCs w:val="16"/>
                <w:color w:val="auto"/>
              </w:rPr>
              <w:t>Maximum</w:t>
            </w:r>
          </w:p>
        </w:tc>
        <w:tc>
          <w:tcPr>
            <w:tcW w:w="10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0" w:type="dxa"/>
            <w:vAlign w:val="bottom"/>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1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Aggregate Price</w:t>
            </w:r>
          </w:p>
        </w:tc>
        <w:tc>
          <w:tcPr>
            <w:tcW w:w="1600" w:type="dxa"/>
            <w:vAlign w:val="bottom"/>
          </w:tcPr>
          <w:p>
            <w:pPr>
              <w:ind w:left="340"/>
              <w:spacing w:after="0"/>
              <w:rPr>
                <w:sz w:val="20"/>
                <w:szCs w:val="20"/>
                <w:color w:val="auto"/>
              </w:rPr>
            </w:pPr>
            <w:r>
              <w:rPr>
                <w:rFonts w:ascii="Courier New" w:cs="Courier New" w:eastAsia="Courier New" w:hAnsi="Courier New"/>
                <w:sz w:val="16"/>
                <w:szCs w:val="16"/>
                <w:color w:val="auto"/>
              </w:rPr>
              <w:t>Aggregate</w:t>
            </w:r>
          </w:p>
        </w:tc>
        <w:tc>
          <w:tcPr>
            <w:tcW w:w="16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6"/>
              </w:rPr>
              <w:t>Registration Fee</w:t>
            </w:r>
          </w:p>
        </w:tc>
        <w:tc>
          <w:tcPr>
            <w:tcW w:w="0" w:type="dxa"/>
            <w:vAlign w:val="bottom"/>
          </w:tcPr>
          <w:p>
            <w:pPr>
              <w:spacing w:after="0"/>
              <w:rPr>
                <w:sz w:val="1"/>
                <w:szCs w:val="1"/>
                <w:color w:val="auto"/>
              </w:rPr>
            </w:pPr>
          </w:p>
        </w:tc>
      </w:tr>
      <w:tr>
        <w:trPr>
          <w:trHeight w:val="208"/>
        </w:trPr>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w w:val="95"/>
              </w:rPr>
              <w:t>Securities</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Being Registered</w:t>
            </w:r>
          </w:p>
        </w:tc>
        <w:tc>
          <w:tcPr>
            <w:tcW w:w="1960" w:type="dxa"/>
            <w:vAlign w:val="bottom"/>
          </w:tcPr>
          <w:p>
            <w:pPr>
              <w:jc w:val="center"/>
              <w:ind w:left="382"/>
              <w:spacing w:after="0"/>
              <w:rPr>
                <w:sz w:val="20"/>
                <w:szCs w:val="20"/>
                <w:color w:val="auto"/>
              </w:rPr>
            </w:pPr>
            <w:r>
              <w:rPr>
                <w:rFonts w:ascii="Courier New" w:cs="Courier New" w:eastAsia="Courier New" w:hAnsi="Courier New"/>
                <w:sz w:val="16"/>
                <w:szCs w:val="16"/>
                <w:color w:val="auto"/>
                <w:w w:val="97"/>
              </w:rPr>
              <w:t>Registered</w:t>
            </w:r>
          </w:p>
        </w:tc>
        <w:tc>
          <w:tcPr>
            <w:tcW w:w="17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Per Unit</w:t>
            </w:r>
          </w:p>
        </w:tc>
        <w:tc>
          <w:tcPr>
            <w:tcW w:w="1600" w:type="dxa"/>
            <w:vAlign w:val="bottom"/>
          </w:tcPr>
          <w:p>
            <w:pPr>
              <w:ind w:left="140"/>
              <w:spacing w:after="0"/>
              <w:rPr>
                <w:sz w:val="20"/>
                <w:szCs w:val="20"/>
                <w:color w:val="auto"/>
              </w:rPr>
            </w:pPr>
            <w:r>
              <w:rPr>
                <w:rFonts w:ascii="Courier New" w:cs="Courier New" w:eastAsia="Courier New" w:hAnsi="Courier New"/>
                <w:sz w:val="16"/>
                <w:szCs w:val="16"/>
                <w:color w:val="auto"/>
              </w:rPr>
              <w:t>Offering Price</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
        <w:spacing w:after="0"/>
        <w:rPr>
          <w:sz w:val="20"/>
          <w:szCs w:val="20"/>
          <w:color w:val="auto"/>
        </w:rPr>
      </w:pPr>
      <w:r>
        <w:rPr>
          <w:rFonts w:ascii="Courier New" w:cs="Courier New" w:eastAsia="Courier New" w:hAnsi="Courier New"/>
          <w:sz w:val="15"/>
          <w:szCs w:val="15"/>
          <w:color w:val="auto"/>
        </w:rPr>
        <w:t>- -----------------------------------------------------------------------------------------------------------------------</w:t>
      </w:r>
    </w:p>
    <w:p>
      <w:pPr>
        <w:spacing w:after="0" w:line="163" w:lineRule="exact"/>
        <w:rPr>
          <w:sz w:val="24"/>
          <w:szCs w:val="24"/>
          <w:color w:val="auto"/>
        </w:rPr>
      </w:pPr>
    </w:p>
    <w:tbl>
      <w:tblPr>
        <w:tblLayout w:type="fixed"/>
        <w:tblInd w:w="4" w:type="dxa"/>
        <w:tblCellMar>
          <w:top w:w="0" w:type="dxa"/>
          <w:left w:w="0" w:type="dxa"/>
          <w:bottom w:w="0" w:type="dxa"/>
          <w:right w:w="0" w:type="dxa"/>
        </w:tblCellMar>
      </w:tblPr>
      <w:tr>
        <w:trPr>
          <w:trHeight w:val="208"/>
        </w:trPr>
        <w:tc>
          <w:tcPr>
            <w:tcW w:w="4740" w:type="dxa"/>
            <w:vAlign w:val="bottom"/>
          </w:tcPr>
          <w:p>
            <w:pPr>
              <w:spacing w:after="0"/>
              <w:rPr>
                <w:sz w:val="20"/>
                <w:szCs w:val="20"/>
                <w:color w:val="auto"/>
              </w:rPr>
            </w:pPr>
            <w:r>
              <w:rPr>
                <w:rFonts w:ascii="Courier New" w:cs="Courier New" w:eastAsia="Courier New" w:hAnsi="Courier New"/>
                <w:sz w:val="16"/>
                <w:szCs w:val="16"/>
                <w:color w:val="auto"/>
              </w:rPr>
              <w:t>7% senior notes due 2004.........................</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$400,000,000</w:t>
            </w: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$400,000,000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$111,200</w:t>
            </w:r>
          </w:p>
        </w:tc>
      </w:tr>
    </w:tbl>
    <w:p>
      <w:pPr>
        <w:ind w:left="4"/>
        <w:spacing w:after="0"/>
        <w:rPr>
          <w:sz w:val="20"/>
          <w:szCs w:val="20"/>
          <w:color w:val="auto"/>
        </w:rPr>
      </w:pPr>
      <w:r>
        <w:rPr>
          <w:rFonts w:ascii="Courier New" w:cs="Courier New" w:eastAsia="Courier New" w:hAnsi="Courier New"/>
          <w:sz w:val="15"/>
          <w:szCs w:val="15"/>
          <w:color w:val="auto"/>
        </w:rPr>
        <w:t>=======================================================================================================================</w:t>
      </w:r>
    </w:p>
    <w:p>
      <w:pPr>
        <w:spacing w:after="0" w:line="10" w:lineRule="exact"/>
        <w:rPr>
          <w:sz w:val="24"/>
          <w:szCs w:val="24"/>
          <w:color w:val="auto"/>
        </w:rPr>
      </w:pPr>
    </w:p>
    <w:p>
      <w:pPr>
        <w:ind w:left="464" w:right="4020" w:hanging="464"/>
        <w:spacing w:after="0" w:line="311" w:lineRule="auto"/>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pursuant to Rule 457(f) of the rules and regulations under the Securities Act of 1933.</w:t>
      </w:r>
    </w:p>
    <w:p>
      <w:pPr>
        <w:spacing w:after="0" w:line="224" w:lineRule="exact"/>
        <w:rPr>
          <w:sz w:val="24"/>
          <w:szCs w:val="24"/>
          <w:color w:val="auto"/>
        </w:rPr>
      </w:pPr>
    </w:p>
    <w:p>
      <w:pPr>
        <w:ind w:left="464"/>
        <w:spacing w:after="0"/>
        <w:rPr>
          <w:sz w:val="20"/>
          <w:szCs w:val="20"/>
          <w:color w:val="auto"/>
        </w:rPr>
      </w:pPr>
      <w:r>
        <w:rPr>
          <w:rFonts w:ascii="Courier New" w:cs="Courier New" w:eastAsia="Courier New" w:hAnsi="Courier New"/>
          <w:sz w:val="16"/>
          <w:szCs w:val="16"/>
          <w:color w:val="auto"/>
        </w:rPr>
        <w:t>The registrant hereby amends this Registration Statement on such date or</w:t>
      </w:r>
    </w:p>
    <w:p>
      <w:pPr>
        <w:spacing w:after="0" w:line="26"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dates as may be necessary to delay its effective date until the registrant</w:t>
      </w:r>
    </w:p>
    <w:p>
      <w:pPr>
        <w:ind w:left="4"/>
        <w:spacing w:after="0"/>
        <w:rPr>
          <w:sz w:val="20"/>
          <w:szCs w:val="20"/>
          <w:color w:val="auto"/>
        </w:rPr>
      </w:pPr>
      <w:r>
        <w:rPr>
          <w:rFonts w:ascii="Courier New" w:cs="Courier New" w:eastAsia="Courier New" w:hAnsi="Courier New"/>
          <w:sz w:val="16"/>
          <w:szCs w:val="16"/>
          <w:color w:val="auto"/>
        </w:rPr>
        <w:t>shall file a further amendment which specifically states that this Registration</w:t>
      </w:r>
    </w:p>
    <w:p>
      <w:pPr>
        <w:ind w:left="4"/>
        <w:spacing w:after="0"/>
        <w:rPr>
          <w:sz w:val="20"/>
          <w:szCs w:val="20"/>
          <w:color w:val="auto"/>
        </w:rPr>
      </w:pPr>
      <w:r>
        <w:rPr>
          <w:rFonts w:ascii="Courier New" w:cs="Courier New" w:eastAsia="Courier New" w:hAnsi="Courier New"/>
          <w:sz w:val="16"/>
          <w:szCs w:val="16"/>
          <w:color w:val="auto"/>
        </w:rPr>
        <w:t>Statement shall thereafter become effective in accordance with Section 8(a) of</w:t>
      </w:r>
    </w:p>
    <w:p>
      <w:pPr>
        <w:ind w:left="4"/>
        <w:spacing w:after="0"/>
        <w:rPr>
          <w:sz w:val="20"/>
          <w:szCs w:val="20"/>
          <w:color w:val="auto"/>
        </w:rPr>
      </w:pPr>
      <w:r>
        <w:rPr>
          <w:rFonts w:ascii="Courier New" w:cs="Courier New" w:eastAsia="Courier New" w:hAnsi="Courier New"/>
          <w:sz w:val="16"/>
          <w:szCs w:val="16"/>
          <w:color w:val="auto"/>
        </w:rPr>
        <w:t>the Securities Act or until the Registration Statement shall become effective</w:t>
      </w:r>
    </w:p>
    <w:p>
      <w:pPr>
        <w:ind w:left="4"/>
        <w:spacing w:after="0"/>
        <w:rPr>
          <w:sz w:val="20"/>
          <w:szCs w:val="20"/>
          <w:color w:val="auto"/>
        </w:rPr>
      </w:pPr>
      <w:r>
        <w:rPr>
          <w:rFonts w:ascii="Courier New" w:cs="Courier New" w:eastAsia="Courier New" w:hAnsi="Courier New"/>
          <w:sz w:val="16"/>
          <w:szCs w:val="16"/>
          <w:color w:val="auto"/>
        </w:rPr>
        <w:t>on such date as the Commission, acting pursuant to said Section 8(a), may</w:t>
      </w:r>
    </w:p>
    <w:p>
      <w:pPr>
        <w:ind w:left="4"/>
        <w:spacing w:after="0"/>
        <w:rPr>
          <w:sz w:val="20"/>
          <w:szCs w:val="20"/>
          <w:color w:val="auto"/>
        </w:rPr>
      </w:pPr>
      <w:r>
        <w:rPr>
          <w:rFonts w:ascii="Courier New" w:cs="Courier New" w:eastAsia="Courier New" w:hAnsi="Courier New"/>
          <w:sz w:val="16"/>
          <w:szCs w:val="16"/>
          <w:color w:val="auto"/>
        </w:rPr>
        <w:t>determine.</w:t>
      </w:r>
    </w:p>
    <w:p>
      <w:pPr>
        <w:ind w:left="4"/>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1344"/>
          </w:cols>
          <w:pgMar w:left="236" w:top="390" w:right="319" w:bottom="883" w:gutter="0" w:footer="0" w:header="0"/>
        </w:sectPr>
      </w:pPr>
    </w:p>
    <w:bookmarkStart w:id="1" w:name="page2"/>
    <w:bookmarkEnd w:id="1"/>
    <w:p>
      <w:pPr>
        <w:ind w:right="2999"/>
        <w:spacing w:after="0" w:line="266" w:lineRule="auto"/>
        <w:rPr>
          <w:sz w:val="20"/>
          <w:szCs w:val="20"/>
          <w:color w:val="auto"/>
        </w:rPr>
      </w:pPr>
      <w:r>
        <w:rPr>
          <w:rFonts w:ascii="Courier New" w:cs="Courier New" w:eastAsia="Courier New" w:hAnsi="Courier New"/>
          <w:sz w:val="16"/>
          <w:szCs w:val="16"/>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7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Subject to Completion, dated October 15, 1999</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 1999</w:t>
      </w:r>
    </w:p>
    <w:p>
      <w:pPr>
        <w:spacing w:after="0" w:line="151"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TEXAS INSTRUMENTS INCORPORATED</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Offer to Exchange</w:t>
      </w:r>
    </w:p>
    <w:p>
      <w:pPr>
        <w:spacing w:after="0" w:line="2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$400,000,000 7% senior notes due 2004</w:t>
      </w:r>
    </w:p>
    <w:p>
      <w:pPr>
        <w:jc w:val="center"/>
        <w:ind w:right="2819"/>
        <w:spacing w:after="0"/>
        <w:rPr>
          <w:sz w:val="20"/>
          <w:szCs w:val="20"/>
          <w:color w:val="auto"/>
        </w:rPr>
      </w:pPr>
      <w:r>
        <w:rPr>
          <w:rFonts w:ascii="Courier New" w:cs="Courier New" w:eastAsia="Courier New" w:hAnsi="Courier New"/>
          <w:sz w:val="16"/>
          <w:szCs w:val="16"/>
          <w:color w:val="auto"/>
        </w:rPr>
        <w:t>for</w:t>
      </w:r>
    </w:p>
    <w:p>
      <w:pPr>
        <w:jc w:val="center"/>
        <w:ind w:right="2719"/>
        <w:spacing w:after="0"/>
        <w:rPr>
          <w:sz w:val="20"/>
          <w:szCs w:val="20"/>
          <w:color w:val="auto"/>
        </w:rPr>
      </w:pPr>
      <w:r>
        <w:rPr>
          <w:rFonts w:ascii="Courier New" w:cs="Courier New" w:eastAsia="Courier New" w:hAnsi="Courier New"/>
          <w:sz w:val="16"/>
          <w:szCs w:val="16"/>
          <w:color w:val="auto"/>
        </w:rPr>
        <w:t>$400,000,000 7% senior exchange notes due 2004</w:t>
      </w:r>
    </w:p>
    <w:p>
      <w:pPr>
        <w:spacing w:after="0" w:line="15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right="2899" w:firstLine="469"/>
        <w:spacing w:after="0" w:line="260" w:lineRule="auto"/>
        <w:rPr>
          <w:sz w:val="20"/>
          <w:szCs w:val="20"/>
          <w:color w:val="auto"/>
        </w:rPr>
      </w:pPr>
      <w:r>
        <w:rPr>
          <w:rFonts w:ascii="Courier New" w:cs="Courier New" w:eastAsia="Courier New" w:hAnsi="Courier New"/>
          <w:sz w:val="16"/>
          <w:szCs w:val="16"/>
          <w:color w:val="auto"/>
        </w:rPr>
        <w:t>We are offering to exchange up to $400,000,000 of our new 7% senior exchange notes due 2004 for up to $400,000,000 of our existing 7% senior notes due 2004. We are offering to issue the new notes to satisfy our obligations contained in the registration rights agreement entered into when the old notes were sold in transactions permitted by Rule 144A and Regulation S under the Securities Act.</w:t>
      </w:r>
    </w:p>
    <w:p>
      <w:pPr>
        <w:spacing w:after="0" w:line="84" w:lineRule="exact"/>
        <w:rPr>
          <w:sz w:val="20"/>
          <w:szCs w:val="20"/>
          <w:color w:val="auto"/>
        </w:rPr>
      </w:pPr>
    </w:p>
    <w:p>
      <w:pPr>
        <w:ind w:right="2999" w:firstLine="469"/>
        <w:spacing w:after="0" w:line="275" w:lineRule="auto"/>
        <w:rPr>
          <w:sz w:val="20"/>
          <w:szCs w:val="20"/>
          <w:color w:val="auto"/>
        </w:rPr>
      </w:pPr>
      <w:r>
        <w:rPr>
          <w:rFonts w:ascii="Courier New" w:cs="Courier New" w:eastAsia="Courier New" w:hAnsi="Courier New"/>
          <w:sz w:val="16"/>
          <w:szCs w:val="16"/>
          <w:color w:val="auto"/>
        </w:rPr>
        <w:t>The terms of the new notes are identical in all material respects to the terms of the old notes, except that the transfer restrictions, registration rights and additional interest provisions relating to the old notes do not apply to the new notes.</w:t>
      </w:r>
    </w:p>
    <w:p>
      <w:pPr>
        <w:spacing w:after="0" w:line="7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To exchange your old notes for new notes:</w:t>
      </w:r>
    </w:p>
    <w:p>
      <w:pPr>
        <w:spacing w:after="0" w:line="179" w:lineRule="exact"/>
        <w:rPr>
          <w:sz w:val="20"/>
          <w:szCs w:val="20"/>
          <w:color w:val="auto"/>
        </w:rPr>
      </w:pPr>
    </w:p>
    <w:p>
      <w:pPr>
        <w:jc w:val="both"/>
        <w:ind w:left="940" w:right="2819" w:hanging="475"/>
        <w:spacing w:after="0" w:line="293" w:lineRule="auto"/>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must complete and send the letter of transmittal that accompanies this prospectus to the exchange agent by 5:00 p.m., New York time, on o, 1999.</w:t>
      </w:r>
    </w:p>
    <w:p>
      <w:pPr>
        <w:spacing w:after="0" w:line="57" w:lineRule="exact"/>
        <w:rPr>
          <w:rFonts w:ascii="Courier New" w:cs="Courier New" w:eastAsia="Courier New" w:hAnsi="Courier New"/>
          <w:sz w:val="16"/>
          <w:szCs w:val="16"/>
          <w:color w:val="auto"/>
        </w:rPr>
      </w:pPr>
    </w:p>
    <w:p>
      <w:pPr>
        <w:ind w:left="940" w:right="2819" w:hanging="475"/>
        <w:spacing w:after="0" w:line="266" w:lineRule="auto"/>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your old notes are held in book-entry form at The Depository Trust Company, you must instruct DTC, through your signed letter of transmittal, that you wish to exchange your old notes for new notes. When the exchange offer closes, your DTC account will be changed to reflect your exchange of old notes for new notes.</w:t>
      </w:r>
    </w:p>
    <w:p>
      <w:pPr>
        <w:spacing w:after="0" w:line="77" w:lineRule="exact"/>
        <w:rPr>
          <w:rFonts w:ascii="Courier New" w:cs="Courier New" w:eastAsia="Courier New" w:hAnsi="Courier New"/>
          <w:sz w:val="16"/>
          <w:szCs w:val="16"/>
          <w:color w:val="auto"/>
        </w:rPr>
      </w:pPr>
    </w:p>
    <w:p>
      <w:pPr>
        <w:ind w:left="940" w:right="3279" w:hanging="475"/>
        <w:spacing w:after="0" w:line="293" w:lineRule="auto"/>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should read the section called "The Exchange Offer" for additional information on how to exchange your old notes for new notes.</w:t>
      </w:r>
    </w:p>
    <w:p>
      <w:pPr>
        <w:spacing w:after="0" w:line="58"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right="2819"/>
        <w:spacing w:after="0" w:line="321" w:lineRule="auto"/>
        <w:rPr>
          <w:sz w:val="20"/>
          <w:szCs w:val="20"/>
          <w:color w:val="auto"/>
        </w:rPr>
      </w:pPr>
      <w:r>
        <w:rPr>
          <w:rFonts w:ascii="Courier New" w:cs="Courier New" w:eastAsia="Courier New" w:hAnsi="Courier New"/>
          <w:sz w:val="15"/>
          <w:szCs w:val="15"/>
          <w:color w:val="auto"/>
        </w:rPr>
        <w:t>The Securities and Exchange Commission and state securities regulators have not approved or disapproved these securities, or determined if this prospectus is truthful or complete. Any representation to the contrary is a criminal offense.</w:t>
      </w:r>
    </w:p>
    <w:p>
      <w:pPr>
        <w:sectPr>
          <w:pgSz w:w="11900" w:h="16838" w:orient="portrait"/>
          <w:cols w:equalWidth="0" w:num="1">
            <w:col w:w="10219"/>
          </w:cols>
          <w:pgMar w:left="240" w:top="114" w:right="1440" w:bottom="1440" w:gutter="0" w:footer="0" w:header="0"/>
        </w:sectPr>
      </w:pPr>
    </w:p>
    <w:bookmarkStart w:id="2" w:name="page3"/>
    <w:bookmarkEnd w:id="2"/>
    <w:p>
      <w:pPr>
        <w:ind w:left="206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79" w:lineRule="exact"/>
        <w:rPr>
          <w:sz w:val="20"/>
          <w:szCs w:val="20"/>
          <w:color w:val="auto"/>
        </w:rPr>
      </w:pPr>
    </w:p>
    <w:p>
      <w:pPr>
        <w:ind w:right="2899" w:firstLine="469"/>
        <w:spacing w:after="0" w:line="266" w:lineRule="auto"/>
        <w:rPr>
          <w:sz w:val="20"/>
          <w:szCs w:val="20"/>
          <w:color w:val="auto"/>
        </w:rPr>
      </w:pPr>
      <w:r>
        <w:rPr>
          <w:rFonts w:ascii="Courier New" w:cs="Courier New" w:eastAsia="Courier New" w:hAnsi="Courier New"/>
          <w:sz w:val="15"/>
          <w:szCs w:val="15"/>
          <w:color w:val="auto"/>
        </w:rPr>
        <w:t>We are subject to the informational requirements of the Securities Exchange Act of 1934, as amended, and we file reports, proxy statements and other information with the Securities and Exchange Commission. These reports, proxy statements and other information can be inspected and copied at public reference facilities maintained by the SEC at Room 1024, Judiciary Plaza, 450 Fifth Street, N.W., Washington, D.C. 20549, as well as at the following Regional Offices of the SEC: Chicago Regional Office, 500 West Madison Street, Suite 1400, Chicago, Illinois 60661-2511 and New York Regional Office, 7 World Trade Center, New York, New York 10048. Such material can also be accessed electronically by means of the SEC's home page on the Internet at http://www.sec.gov and inspected and copied at the offices of the New York Stock Exchange, Inc., 20 Broad Street, New York, New York 10005.</w:t>
      </w:r>
    </w:p>
    <w:p>
      <w:pPr>
        <w:spacing w:after="0" w:line="85" w:lineRule="exact"/>
        <w:rPr>
          <w:sz w:val="20"/>
          <w:szCs w:val="20"/>
          <w:color w:val="auto"/>
        </w:rPr>
      </w:pPr>
    </w:p>
    <w:p>
      <w:pPr>
        <w:ind w:right="2819" w:firstLine="469"/>
        <w:spacing w:after="0" w:line="248" w:lineRule="auto"/>
        <w:rPr>
          <w:sz w:val="20"/>
          <w:szCs w:val="20"/>
          <w:color w:val="auto"/>
        </w:rPr>
      </w:pPr>
      <w:r>
        <w:rPr>
          <w:rFonts w:ascii="Courier New" w:cs="Courier New" w:eastAsia="Courier New" w:hAnsi="Courier New"/>
          <w:sz w:val="16"/>
          <w:szCs w:val="16"/>
          <w:color w:val="auto"/>
        </w:rPr>
        <w:t>We may "incorporate by reference" into this prospectus certain of the information we file with the SEC. This means that we can disclose important financial and other information to you by referring you to the publicly filed documents containing this information. All information incorporated by reference is part of this prospectus, unless that information is superseded by the information contained in this prospectus. Information we file later with the SEC that is incorporated by reference will automatically update and supersede any previous information that is part of this prospectus. We incorporate by reference the documents listed below and any future filings made with the SEC under Section 13(a), 13(c), 14, or 15(d) of the Securities Exchange Act of 1934 until we sell all of the Notes we offer with this prospectus:</w:t>
      </w:r>
    </w:p>
    <w:p>
      <w:pPr>
        <w:spacing w:after="0" w:line="97" w:lineRule="exact"/>
        <w:rPr>
          <w:sz w:val="20"/>
          <w:szCs w:val="20"/>
          <w:color w:val="auto"/>
        </w:rPr>
      </w:pPr>
    </w:p>
    <w:p>
      <w:pPr>
        <w:ind w:left="940" w:right="3099" w:hanging="475"/>
        <w:spacing w:after="0" w:line="348" w:lineRule="auto"/>
        <w:tabs>
          <w:tab w:leader="none" w:pos="9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10-K, as amended by Form 10-K/A, for the fiscal year ended December 31, 1998;</w:t>
      </w:r>
    </w:p>
    <w:p>
      <w:pPr>
        <w:spacing w:after="0" w:line="15" w:lineRule="exact"/>
        <w:rPr>
          <w:rFonts w:ascii="Courier New" w:cs="Courier New" w:eastAsia="Courier New" w:hAnsi="Courier New"/>
          <w:sz w:val="16"/>
          <w:szCs w:val="16"/>
          <w:color w:val="auto"/>
        </w:rPr>
      </w:pPr>
    </w:p>
    <w:p>
      <w:pPr>
        <w:jc w:val="both"/>
        <w:ind w:left="940" w:right="2819" w:hanging="475"/>
        <w:spacing w:after="0" w:line="293" w:lineRule="auto"/>
        <w:tabs>
          <w:tab w:leader="none" w:pos="9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Quarterly Report on Form 10-Q, as amended by Form 10-Q/A, and our Quarterly Report on Form 10-Q, for the quarters ending March 31, 1999 and June 30, 1999, respectively;</w:t>
      </w:r>
    </w:p>
    <w:p>
      <w:pPr>
        <w:spacing w:after="0" w:line="57"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Proxy Statement for our 1999 annual meeting of stockholders; and</w:t>
      </w:r>
    </w:p>
    <w:p>
      <w:pPr>
        <w:spacing w:after="0" w:line="190" w:lineRule="exact"/>
        <w:rPr>
          <w:rFonts w:ascii="Courier New" w:cs="Courier New" w:eastAsia="Courier New" w:hAnsi="Courier New"/>
          <w:sz w:val="15"/>
          <w:szCs w:val="15"/>
          <w:color w:val="auto"/>
        </w:rPr>
      </w:pPr>
    </w:p>
    <w:p>
      <w:pPr>
        <w:ind w:left="940" w:hanging="475"/>
        <w:spacing w:after="0"/>
        <w:tabs>
          <w:tab w:leader="none" w:pos="9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8-K dated May 23, 1999.</w:t>
      </w:r>
    </w:p>
    <w:p>
      <w:pPr>
        <w:spacing w:after="0" w:line="179" w:lineRule="exact"/>
        <w:rPr>
          <w:sz w:val="20"/>
          <w:szCs w:val="20"/>
          <w:color w:val="auto"/>
        </w:rPr>
      </w:pPr>
    </w:p>
    <w:p>
      <w:pPr>
        <w:ind w:right="2819" w:firstLine="469"/>
        <w:spacing w:after="0" w:line="275" w:lineRule="auto"/>
        <w:rPr>
          <w:sz w:val="20"/>
          <w:szCs w:val="20"/>
          <w:color w:val="auto"/>
        </w:rPr>
      </w:pPr>
      <w:r>
        <w:rPr>
          <w:rFonts w:ascii="Courier New" w:cs="Courier New" w:eastAsia="Courier New" w:hAnsi="Courier New"/>
          <w:sz w:val="16"/>
          <w:szCs w:val="16"/>
          <w:color w:val="auto"/>
        </w:rPr>
        <w:t>We will provide without charge to each person to whom this prospectus is delivered, upon request of such person, a copy of any or all documents that are incorporated into this prospectus by reference, other than exhibits to such documents. You should direct such request to:</w:t>
      </w:r>
    </w:p>
    <w:p>
      <w:pPr>
        <w:spacing w:after="0" w:line="7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Texas Instruments Incorporated</w:t>
      </w:r>
    </w:p>
    <w:p>
      <w:pPr>
        <w:spacing w:after="0" w:line="26"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8505 Forest Lane</w:t>
      </w:r>
    </w:p>
    <w:p>
      <w:pPr>
        <w:ind w:left="940"/>
        <w:spacing w:after="0"/>
        <w:rPr>
          <w:sz w:val="20"/>
          <w:szCs w:val="20"/>
          <w:color w:val="auto"/>
        </w:rPr>
      </w:pPr>
      <w:r>
        <w:rPr>
          <w:rFonts w:ascii="Courier New" w:cs="Courier New" w:eastAsia="Courier New" w:hAnsi="Courier New"/>
          <w:sz w:val="16"/>
          <w:szCs w:val="16"/>
          <w:color w:val="auto"/>
        </w:rPr>
        <w:t>P.O. Box 660199</w:t>
      </w:r>
    </w:p>
    <w:p>
      <w:pPr>
        <w:ind w:left="940"/>
        <w:spacing w:after="0"/>
        <w:rPr>
          <w:sz w:val="20"/>
          <w:szCs w:val="20"/>
          <w:color w:val="auto"/>
        </w:rPr>
      </w:pPr>
      <w:r>
        <w:rPr>
          <w:rFonts w:ascii="Courier New" w:cs="Courier New" w:eastAsia="Courier New" w:hAnsi="Courier New"/>
          <w:sz w:val="16"/>
          <w:szCs w:val="16"/>
          <w:color w:val="auto"/>
        </w:rPr>
        <w:t>Dallas, Texas 75266-0199</w:t>
      </w:r>
    </w:p>
    <w:p>
      <w:pPr>
        <w:ind w:left="940"/>
        <w:spacing w:after="0"/>
        <w:rPr>
          <w:sz w:val="20"/>
          <w:szCs w:val="20"/>
          <w:color w:val="auto"/>
        </w:rPr>
      </w:pPr>
      <w:r>
        <w:rPr>
          <w:rFonts w:ascii="Courier New" w:cs="Courier New" w:eastAsia="Courier New" w:hAnsi="Courier New"/>
          <w:sz w:val="16"/>
          <w:szCs w:val="16"/>
          <w:color w:val="auto"/>
        </w:rPr>
        <w:t>(972) 995-3773</w:t>
      </w:r>
    </w:p>
    <w:p>
      <w:pPr>
        <w:spacing w:after="0" w:line="200" w:lineRule="exact"/>
        <w:rPr>
          <w:sz w:val="20"/>
          <w:szCs w:val="20"/>
          <w:color w:val="auto"/>
        </w:rPr>
      </w:pPr>
    </w:p>
    <w:p>
      <w:pPr>
        <w:spacing w:after="0" w:line="31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991" w:right="1440" w:bottom="1440" w:gutter="0" w:footer="0" w:header="0"/>
        </w:sectPr>
      </w:pPr>
    </w:p>
    <w:bookmarkStart w:id="3" w:name="page4"/>
    <w:bookmarkEnd w:id="3"/>
    <w:p>
      <w:pPr>
        <w:jc w:val="center"/>
        <w:ind w:right="2739"/>
        <w:spacing w:after="0"/>
        <w:rPr>
          <w:sz w:val="20"/>
          <w:szCs w:val="20"/>
          <w:color w:val="auto"/>
        </w:rPr>
      </w:pPr>
      <w:r>
        <w:rPr>
          <w:rFonts w:ascii="Courier New" w:cs="Courier New" w:eastAsia="Courier New" w:hAnsi="Courier New"/>
          <w:sz w:val="16"/>
          <w:szCs w:val="16"/>
          <w:color w:val="auto"/>
        </w:rPr>
        <w:t>FORWARD-LOOKING STATEMENTS</w:t>
      </w:r>
    </w:p>
    <w:p>
      <w:pPr>
        <w:spacing w:after="0" w:line="179" w:lineRule="exact"/>
        <w:rPr>
          <w:sz w:val="20"/>
          <w:szCs w:val="20"/>
          <w:color w:val="auto"/>
        </w:rPr>
      </w:pPr>
    </w:p>
    <w:p>
      <w:pPr>
        <w:ind w:right="2819" w:firstLine="469"/>
        <w:spacing w:after="0" w:line="249" w:lineRule="auto"/>
        <w:rPr>
          <w:sz w:val="20"/>
          <w:szCs w:val="20"/>
          <w:color w:val="auto"/>
        </w:rPr>
      </w:pPr>
      <w:r>
        <w:rPr>
          <w:rFonts w:ascii="Courier New" w:cs="Courier New" w:eastAsia="Courier New" w:hAnsi="Courier New"/>
          <w:sz w:val="16"/>
          <w:szCs w:val="16"/>
          <w:color w:val="auto"/>
        </w:rPr>
        <w:t>This prospectus and the documents incorporated in this prospectus by reference contain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96" w:lineRule="exact"/>
        <w:rPr>
          <w:sz w:val="20"/>
          <w:szCs w:val="20"/>
          <w:color w:val="auto"/>
        </w:rPr>
      </w:pPr>
    </w:p>
    <w:p>
      <w:pPr>
        <w:ind w:right="3099" w:firstLine="469"/>
        <w:spacing w:after="0" w:line="293" w:lineRule="auto"/>
        <w:rPr>
          <w:sz w:val="20"/>
          <w:szCs w:val="20"/>
          <w:color w:val="auto"/>
        </w:rPr>
      </w:pPr>
      <w:r>
        <w:rPr>
          <w:rFonts w:ascii="Courier New" w:cs="Courier New" w:eastAsia="Courier New" w:hAnsi="Courier New"/>
          <w:sz w:val="16"/>
          <w:szCs w:val="16"/>
          <w:color w:val="auto"/>
        </w:rPr>
        <w:t>We urge you to carefully consider the following important factors that could cause actual results to differ materially from the expectations of the company or its management:</w:t>
      </w:r>
    </w:p>
    <w:p>
      <w:pPr>
        <w:spacing w:after="0" w:line="58" w:lineRule="exact"/>
        <w:rPr>
          <w:sz w:val="20"/>
          <w:szCs w:val="20"/>
          <w:color w:val="auto"/>
        </w:rPr>
      </w:pPr>
    </w:p>
    <w:p>
      <w:pPr>
        <w:ind w:left="940" w:right="3179" w:hanging="475"/>
        <w:spacing w:after="0" w:line="293" w:lineRule="auto"/>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demand for semiconductors, particularly for digital signal processors and analog chips in key markets, such as telecommunications and computers;</w:t>
      </w:r>
    </w:p>
    <w:p>
      <w:pPr>
        <w:spacing w:after="0" w:line="57" w:lineRule="exact"/>
        <w:rPr>
          <w:rFonts w:ascii="Courier New" w:cs="Courier New" w:eastAsia="Courier New" w:hAnsi="Courier New"/>
          <w:sz w:val="16"/>
          <w:szCs w:val="16"/>
          <w:color w:val="auto"/>
        </w:rPr>
      </w:pPr>
    </w:p>
    <w:p>
      <w:pPr>
        <w:ind w:left="940" w:right="2999" w:hanging="475"/>
        <w:spacing w:after="0" w:line="348" w:lineRule="auto"/>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TI's ability to develop, manufacture and market innovative products in a rapidly changing technological environment;</w:t>
      </w:r>
    </w:p>
    <w:p>
      <w:pPr>
        <w:spacing w:after="0" w:line="15" w:lineRule="exact"/>
        <w:rPr>
          <w:rFonts w:ascii="Courier New" w:cs="Courier New" w:eastAsia="Courier New" w:hAnsi="Courier New"/>
          <w:sz w:val="16"/>
          <w:szCs w:val="16"/>
          <w:color w:val="auto"/>
        </w:rPr>
      </w:pPr>
    </w:p>
    <w:p>
      <w:pPr>
        <w:ind w:left="940" w:right="3479" w:hanging="475"/>
        <w:spacing w:after="0" w:line="348" w:lineRule="auto"/>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TI's ability to compete in products and prices in an intensely competitive industry;</w:t>
      </w:r>
    </w:p>
    <w:p>
      <w:pPr>
        <w:spacing w:after="0" w:line="15" w:lineRule="exact"/>
        <w:rPr>
          <w:rFonts w:ascii="Courier New" w:cs="Courier New" w:eastAsia="Courier New" w:hAnsi="Courier New"/>
          <w:sz w:val="16"/>
          <w:szCs w:val="16"/>
          <w:color w:val="auto"/>
        </w:rPr>
      </w:pPr>
    </w:p>
    <w:p>
      <w:pPr>
        <w:ind w:left="940" w:right="2999" w:hanging="475"/>
        <w:spacing w:after="0" w:line="348" w:lineRule="auto"/>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TI's ability to maintain and enforce a strong intellectual property portfolio and obtain needed licenses from third parties;</w:t>
      </w:r>
    </w:p>
    <w:p>
      <w:pPr>
        <w:spacing w:after="0" w:line="15" w:lineRule="exact"/>
        <w:rPr>
          <w:rFonts w:ascii="Courier New" w:cs="Courier New" w:eastAsia="Courier New" w:hAnsi="Courier New"/>
          <w:sz w:val="16"/>
          <w:szCs w:val="16"/>
          <w:color w:val="auto"/>
        </w:rPr>
      </w:pPr>
    </w:p>
    <w:p>
      <w:pPr>
        <w:ind w:left="940" w:right="3099" w:hanging="475"/>
        <w:spacing w:after="0" w:line="299" w:lineRule="auto"/>
        <w:tabs>
          <w:tab w:leader="none" w:pos="9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Timely completion by customers and suppliers of their Year 2000 programs, accurate assessment of TI's Year 2000 readiness and of risks associated with its current and past products, and effective implementation of contingency plans and corrective actions;</w:t>
      </w:r>
    </w:p>
    <w:p>
      <w:pPr>
        <w:spacing w:after="0" w:line="55" w:lineRule="exact"/>
        <w:rPr>
          <w:rFonts w:ascii="Courier New" w:cs="Courier New" w:eastAsia="Courier New" w:hAnsi="Courier New"/>
          <w:sz w:val="15"/>
          <w:szCs w:val="15"/>
          <w:color w:val="auto"/>
        </w:rPr>
      </w:pPr>
    </w:p>
    <w:p>
      <w:pPr>
        <w:ind w:left="940" w:hanging="475"/>
        <w:spacing w:after="0"/>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Timely completion of announced acquisitions;</w:t>
      </w:r>
    </w:p>
    <w:p>
      <w:pPr>
        <w:spacing w:after="0" w:line="179" w:lineRule="exact"/>
        <w:rPr>
          <w:rFonts w:ascii="Courier New" w:cs="Courier New" w:eastAsia="Courier New" w:hAnsi="Courier New"/>
          <w:sz w:val="16"/>
          <w:szCs w:val="16"/>
          <w:color w:val="auto"/>
        </w:rPr>
      </w:pPr>
    </w:p>
    <w:p>
      <w:pPr>
        <w:ind w:left="940" w:right="2899" w:hanging="475"/>
        <w:spacing w:after="0" w:line="293" w:lineRule="auto"/>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Global economic, social and political conditions in the countries in which TI and its customers and suppliers operate, including fluctuations in foreign currency exchange rates;</w:t>
      </w:r>
    </w:p>
    <w:p>
      <w:pPr>
        <w:spacing w:after="0" w:line="57"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Losses or curtailments of purchases from key customers;</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TI's ability to recruit and retain skilled personnel;</w:t>
      </w:r>
    </w:p>
    <w:p>
      <w:pPr>
        <w:spacing w:after="0" w:line="179" w:lineRule="exact"/>
        <w:rPr>
          <w:rFonts w:ascii="Courier New" w:cs="Courier New" w:eastAsia="Courier New" w:hAnsi="Courier New"/>
          <w:sz w:val="16"/>
          <w:szCs w:val="16"/>
          <w:color w:val="auto"/>
        </w:rPr>
      </w:pPr>
    </w:p>
    <w:p>
      <w:pPr>
        <w:ind w:left="940" w:right="2999" w:hanging="475"/>
        <w:spacing w:after="0" w:line="348" w:lineRule="auto"/>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Availability of raw materials and critical manufacturing equipment; and</w:t>
      </w:r>
    </w:p>
    <w:p>
      <w:pPr>
        <w:spacing w:after="0" w:line="15" w:lineRule="exact"/>
        <w:rPr>
          <w:rFonts w:ascii="Courier New" w:cs="Courier New" w:eastAsia="Courier New" w:hAnsi="Courier New"/>
          <w:sz w:val="16"/>
          <w:szCs w:val="16"/>
          <w:color w:val="auto"/>
        </w:rPr>
      </w:pPr>
    </w:p>
    <w:p>
      <w:pPr>
        <w:ind w:left="940" w:right="2899" w:hanging="475"/>
        <w:spacing w:after="0" w:line="382" w:lineRule="auto"/>
        <w:tabs>
          <w:tab w:leader="none" w:pos="9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Realization of savings from announced worldwide corporate restructuring efforts and consolidation of manufacturing operations.</w:t>
      </w:r>
    </w:p>
    <w:p>
      <w:pPr>
        <w:ind w:right="2819" w:firstLine="469"/>
        <w:spacing w:after="0" w:line="260" w:lineRule="auto"/>
        <w:rPr>
          <w:sz w:val="20"/>
          <w:szCs w:val="20"/>
          <w:color w:val="auto"/>
        </w:rPr>
      </w:pPr>
      <w:r>
        <w:rPr>
          <w:rFonts w:ascii="Courier New" w:cs="Courier New" w:eastAsia="Courier New" w:hAnsi="Courier New"/>
          <w:sz w:val="16"/>
          <w:szCs w:val="16"/>
          <w:color w:val="auto"/>
        </w:rPr>
        <w:t>For a more detailed discussion of these factors, see the text under the heading "Cautionary Statements Regarding Future Operations" in Item 1 of our annual report on Form 10-K for 1998. The forward-looking statements included in this prospectus are made only as of the date of this prospectus and we undertake no obligation to publicly update the forward-looking statements to reflect subsequent events or circumstances.</w:t>
      </w:r>
    </w:p>
    <w:p>
      <w:pPr>
        <w:spacing w:after="0" w:line="26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991" w:right="1440" w:bottom="1440" w:gutter="0" w:footer="0" w:header="0"/>
        </w:sectPr>
      </w:pPr>
    </w:p>
    <w:bookmarkStart w:id="4" w:name="page5"/>
    <w:bookmarkEnd w:id="4"/>
    <w:p>
      <w:pPr>
        <w:jc w:val="center"/>
        <w:ind w:right="2719"/>
        <w:spacing w:after="0"/>
        <w:rPr>
          <w:sz w:val="20"/>
          <w:szCs w:val="20"/>
          <w:color w:val="auto"/>
        </w:rPr>
      </w:pPr>
      <w:r>
        <w:rPr>
          <w:rFonts w:ascii="Courier New" w:cs="Courier New" w:eastAsia="Courier New" w:hAnsi="Courier New"/>
          <w:sz w:val="16"/>
          <w:szCs w:val="16"/>
          <w:color w:val="auto"/>
        </w:rPr>
        <w:t>PROSPECTUS SUMMARY</w:t>
      </w:r>
    </w:p>
    <w:p>
      <w:pPr>
        <w:spacing w:after="0" w:line="179" w:lineRule="exact"/>
        <w:rPr>
          <w:sz w:val="20"/>
          <w:szCs w:val="20"/>
          <w:color w:val="auto"/>
        </w:rPr>
      </w:pPr>
    </w:p>
    <w:p>
      <w:pPr>
        <w:ind w:right="2999" w:firstLine="469"/>
        <w:spacing w:after="0" w:line="273" w:lineRule="auto"/>
        <w:rPr>
          <w:sz w:val="20"/>
          <w:szCs w:val="20"/>
          <w:color w:val="auto"/>
        </w:rPr>
      </w:pPr>
      <w:r>
        <w:rPr>
          <w:rFonts w:ascii="Courier New" w:cs="Courier New" w:eastAsia="Courier New" w:hAnsi="Courier New"/>
          <w:sz w:val="15"/>
          <w:szCs w:val="15"/>
          <w:color w:val="auto"/>
        </w:rPr>
        <w:t>The following summary contains basic information about this offering. It may not contain all the information that is important to you in making your investment decision. Therefore, you should read the entire document carefully before deciding to invest in the notes. The "Description of Notes" section of this prospectus contains more detailed information regarding the terms and conditions of the notes. Unless the context indicates otherwise, the words "company," "we," "our," "ours," "us" and "TI" refer to Texas Instruments Incorporated and its consolidated subsidiaries.</w:t>
      </w:r>
    </w:p>
    <w:p>
      <w:pPr>
        <w:spacing w:after="0" w:line="77"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The Company</w:t>
      </w:r>
    </w:p>
    <w:p>
      <w:pPr>
        <w:spacing w:after="0" w:line="179" w:lineRule="exact"/>
        <w:rPr>
          <w:sz w:val="20"/>
          <w:szCs w:val="20"/>
          <w:color w:val="auto"/>
        </w:rPr>
      </w:pPr>
    </w:p>
    <w:p>
      <w:pPr>
        <w:ind w:right="2899" w:firstLine="469"/>
        <w:spacing w:after="0" w:line="249" w:lineRule="auto"/>
        <w:rPr>
          <w:sz w:val="20"/>
          <w:szCs w:val="20"/>
          <w:color w:val="auto"/>
        </w:rPr>
      </w:pPr>
      <w:r>
        <w:rPr>
          <w:rFonts w:ascii="Courier New" w:cs="Courier New" w:eastAsia="Courier New" w:hAnsi="Courier New"/>
          <w:sz w:val="16"/>
          <w:szCs w:val="16"/>
          <w:color w:val="auto"/>
        </w:rPr>
        <w:t>TI is a global semiconductor company and the world's leading designer and supplier of digital signal processors and analog integrated circuits, the engines driving the digitization of electronics. These two types of semiconductor products work together in digital electronic devices such as digital cellular phones. Analog technology converts analog signals like sound, light, temperature and pressure into the digital language of zeros and ones, which can then be processed in real-time by a digital signal processor. Analog integrated circuits also translate digital signals back to analog. Digital signal processors and analog integrated circuits enable a wide range of new products and features for TI's more than 30,000 customers in commercial, industrial and consumer markets.</w:t>
      </w:r>
    </w:p>
    <w:p>
      <w:pPr>
        <w:spacing w:after="0" w:line="96" w:lineRule="exact"/>
        <w:rPr>
          <w:sz w:val="20"/>
          <w:szCs w:val="20"/>
          <w:color w:val="auto"/>
        </w:rPr>
      </w:pPr>
    </w:p>
    <w:p>
      <w:pPr>
        <w:ind w:right="3179" w:firstLine="469"/>
        <w:spacing w:after="0" w:line="275" w:lineRule="auto"/>
        <w:rPr>
          <w:sz w:val="20"/>
          <w:szCs w:val="20"/>
          <w:color w:val="auto"/>
        </w:rPr>
      </w:pPr>
      <w:r>
        <w:rPr>
          <w:rFonts w:ascii="Courier New" w:cs="Courier New" w:eastAsia="Courier New" w:hAnsi="Courier New"/>
          <w:sz w:val="16"/>
          <w:szCs w:val="16"/>
          <w:color w:val="auto"/>
        </w:rPr>
        <w:t>TI also is a world leader in the design and manufacturing of other semiconductor products. Those products include standard logic, application-specific integrated circuits, reduced instruction-set computing microprocessors, and microcontrollers.</w:t>
      </w:r>
    </w:p>
    <w:p>
      <w:pPr>
        <w:spacing w:after="0" w:line="71" w:lineRule="exact"/>
        <w:rPr>
          <w:sz w:val="20"/>
          <w:szCs w:val="20"/>
          <w:color w:val="auto"/>
        </w:rPr>
      </w:pPr>
    </w:p>
    <w:p>
      <w:pPr>
        <w:ind w:right="2819" w:firstLine="469"/>
        <w:spacing w:after="0" w:line="251" w:lineRule="auto"/>
        <w:rPr>
          <w:sz w:val="20"/>
          <w:szCs w:val="20"/>
          <w:color w:val="auto"/>
        </w:rPr>
      </w:pPr>
      <w:r>
        <w:rPr>
          <w:rFonts w:ascii="Courier New" w:cs="Courier New" w:eastAsia="Courier New" w:hAnsi="Courier New"/>
          <w:sz w:val="16"/>
          <w:szCs w:val="16"/>
          <w:color w:val="auto"/>
        </w:rPr>
        <w:t>The semiconductor business comprised 80% of TI's 1998 revenues when the divested memory business is excluded. TI's semiconductor products are used in a diverse range of electronic systems, including digital cell phones, computers, printers, hard disk drives, modems, networking equipment, digital cameras and video recorders, motor controls, autos, and home appliances. Products are sold primarily to original-equipment manufacturers and through distributors. TI's semiconductor patent portfolio has been established as an ongoing contributor to semiconductor revenues. Revenues generated from sales to TI's top three semiconductor customers accounted for approximately 24% of total semiconductor revenues in 1998.</w:t>
      </w:r>
    </w:p>
    <w:p>
      <w:pPr>
        <w:spacing w:after="0" w:line="89"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6"/>
          <w:szCs w:val="16"/>
          <w:color w:val="auto"/>
        </w:rPr>
        <w:t>In addition to semiconductors, TI has two other principal segments. The largest, representing 12% of TI's 1998 revenues when the memory business is excluded, is Materials &amp; Controls (M&amp;C). This business sells electrical and electronic controls, electronic connectors, sensors, radio-frequency identification systems and clad metals into commercial and industrial markets. Revenues generated from sales to TI's top three M&amp;C customers accounted for approximately 15% of total M&amp;C revenues in 1998.</w:t>
      </w:r>
    </w:p>
    <w:p>
      <w:pPr>
        <w:spacing w:after="0" w:line="84" w:lineRule="exact"/>
        <w:rPr>
          <w:sz w:val="20"/>
          <w:szCs w:val="20"/>
          <w:color w:val="auto"/>
        </w:rPr>
      </w:pPr>
    </w:p>
    <w:p>
      <w:pPr>
        <w:ind w:right="2819" w:firstLine="469"/>
        <w:spacing w:after="0" w:line="266" w:lineRule="auto"/>
        <w:rPr>
          <w:sz w:val="20"/>
          <w:szCs w:val="20"/>
          <w:color w:val="auto"/>
        </w:rPr>
      </w:pPr>
      <w:r>
        <w:rPr>
          <w:rFonts w:ascii="Courier New" w:cs="Courier New" w:eastAsia="Courier New" w:hAnsi="Courier New"/>
          <w:sz w:val="16"/>
          <w:szCs w:val="16"/>
          <w:color w:val="auto"/>
        </w:rPr>
        <w:t>Educational &amp; Productivity Solutions (E&amp;PS) represents 6% of TI's 1998 revenues when the memory business is excluded, and is a leading supplier of educational and graphing calculators. Revenues generated from sales to TI's top three E&amp;PS customers accounted for approximately 26% of total E&amp;PS revenues in 1998.</w:t>
      </w:r>
    </w:p>
    <w:p>
      <w:pPr>
        <w:spacing w:after="0" w:line="78" w:lineRule="exact"/>
        <w:rPr>
          <w:sz w:val="20"/>
          <w:szCs w:val="20"/>
          <w:color w:val="auto"/>
        </w:rPr>
      </w:pPr>
    </w:p>
    <w:p>
      <w:pPr>
        <w:ind w:right="3099" w:firstLine="469"/>
        <w:spacing w:after="0" w:line="293" w:lineRule="auto"/>
        <w:rPr>
          <w:sz w:val="20"/>
          <w:szCs w:val="20"/>
          <w:color w:val="auto"/>
        </w:rPr>
      </w:pPr>
      <w:r>
        <w:rPr>
          <w:rFonts w:ascii="Courier New" w:cs="Courier New" w:eastAsia="Courier New" w:hAnsi="Courier New"/>
          <w:sz w:val="16"/>
          <w:szCs w:val="16"/>
          <w:color w:val="auto"/>
        </w:rPr>
        <w:t>In addition, TI continues to invest in digital imaging, an emerging business that produces micro-mirror-based devices that enable brightness and clarity in large-screen video displays.</w:t>
      </w:r>
    </w:p>
    <w:p>
      <w:pPr>
        <w:spacing w:after="0" w:line="23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991" w:right="1440" w:bottom="1440" w:gutter="0" w:footer="0" w:header="0"/>
        </w:sectPr>
      </w:pPr>
    </w:p>
    <w:bookmarkStart w:id="5" w:name="page6"/>
    <w:bookmarkEnd w:id="5"/>
    <w:p>
      <w:pPr>
        <w:jc w:val="center"/>
        <w:ind w:right="3476"/>
        <w:spacing w:after="0"/>
        <w:rPr>
          <w:sz w:val="20"/>
          <w:szCs w:val="20"/>
          <w:color w:val="auto"/>
        </w:rPr>
      </w:pPr>
      <w:r>
        <w:rPr>
          <w:rFonts w:ascii="Courier New" w:cs="Courier New" w:eastAsia="Courier New" w:hAnsi="Courier New"/>
          <w:sz w:val="16"/>
          <w:szCs w:val="16"/>
          <w:color w:val="auto"/>
        </w:rPr>
        <w:t>Summary Consolidated Financial Data</w:t>
      </w:r>
    </w:p>
    <w:p>
      <w:pPr>
        <w:spacing w:after="0" w:line="179" w:lineRule="exact"/>
        <w:rPr>
          <w:sz w:val="20"/>
          <w:szCs w:val="20"/>
          <w:color w:val="auto"/>
        </w:rPr>
      </w:pPr>
    </w:p>
    <w:p>
      <w:pPr>
        <w:ind w:left="4" w:right="3380" w:firstLine="469"/>
        <w:spacing w:after="0" w:line="257" w:lineRule="auto"/>
        <w:rPr>
          <w:sz w:val="20"/>
          <w:szCs w:val="20"/>
          <w:color w:val="auto"/>
        </w:rPr>
      </w:pPr>
      <w:r>
        <w:rPr>
          <w:rFonts w:ascii="Courier New" w:cs="Courier New" w:eastAsia="Courier New" w:hAnsi="Courier New"/>
          <w:sz w:val="16"/>
          <w:szCs w:val="16"/>
          <w:color w:val="auto"/>
        </w:rPr>
        <w:t>The following summary consolidated financial data is derived from our audited consolidated financial statements, except for the financial data for the six months ended June 30 that is derived from our unaudited consolidated financial statements. You should read the financial data presented below in conjunction with the consolidated financial statements, accompanying notes and management's discussion and analysis of results of operations and financial condition of TI, which are incorporated by reference into this prospectus.</w:t>
      </w:r>
    </w:p>
    <w:p>
      <w:pPr>
        <w:spacing w:after="0" w:line="264"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 Millions</w:t>
            </w:r>
          </w:p>
        </w:tc>
        <w:tc>
          <w:tcPr>
            <w:tcW w:w="2500" w:type="dxa"/>
            <w:vAlign w:val="bottom"/>
            <w:gridSpan w:val="5"/>
          </w:tcPr>
          <w:p>
            <w:pPr>
              <w:ind w:left="60"/>
              <w:spacing w:after="0"/>
              <w:rPr>
                <w:sz w:val="20"/>
                <w:szCs w:val="20"/>
                <w:color w:val="auto"/>
              </w:rPr>
            </w:pPr>
            <w:r>
              <w:rPr>
                <w:rFonts w:ascii="Courier New" w:cs="Courier New" w:eastAsia="Courier New" w:hAnsi="Courier New"/>
                <w:sz w:val="16"/>
                <w:szCs w:val="16"/>
                <w:color w:val="auto"/>
                <w:w w:val="96"/>
              </w:rPr>
              <w:t>of Dollars, Except Ratios)</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As of or For the</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As</w:t>
            </w:r>
          </w:p>
        </w:tc>
        <w:tc>
          <w:tcPr>
            <w:tcW w:w="12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of or For the</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Six Months</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60" w:type="dxa"/>
            <w:vAlign w:val="bottom"/>
            <w:gridSpan w:val="5"/>
          </w:tcPr>
          <w:p>
            <w:pPr>
              <w:jc w:val="right"/>
              <w:ind w:right="582"/>
              <w:spacing w:after="0"/>
              <w:rPr>
                <w:sz w:val="20"/>
                <w:szCs w:val="20"/>
                <w:color w:val="auto"/>
              </w:rPr>
            </w:pPr>
            <w:r>
              <w:rPr>
                <w:rFonts w:ascii="Courier New" w:cs="Courier New" w:eastAsia="Courier New" w:hAnsi="Courier New"/>
                <w:sz w:val="16"/>
                <w:szCs w:val="16"/>
                <w:color w:val="auto"/>
              </w:rPr>
              <w:t>Year Ended December 31</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Ended June 30</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Courier New" w:cs="Courier New" w:eastAsia="Courier New" w:hAnsi="Courier New"/>
                <w:sz w:val="1"/>
                <w:szCs w:val="1"/>
                <w:color w:val="auto"/>
                <w:w w:val="50"/>
              </w:rPr>
              <w:t>-----------------------------------------------------</w:t>
            </w:r>
          </w:p>
        </w:tc>
        <w:tc>
          <w:tcPr>
            <w:tcW w:w="66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w w:val="93"/>
              </w:rPr>
              <w:t>1994</w:t>
            </w:r>
          </w:p>
        </w:tc>
        <w:tc>
          <w:tcPr>
            <w:tcW w:w="240" w:type="dxa"/>
            <w:vAlign w:val="bottom"/>
          </w:tcPr>
          <w:p>
            <w:pPr>
              <w:spacing w:after="0"/>
              <w:rPr>
                <w:sz w:val="15"/>
                <w:szCs w:val="15"/>
                <w:color w:val="auto"/>
              </w:rPr>
            </w:pPr>
          </w:p>
        </w:tc>
        <w:tc>
          <w:tcPr>
            <w:tcW w:w="74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1995</w:t>
            </w:r>
          </w:p>
        </w:tc>
        <w:tc>
          <w:tcPr>
            <w:tcW w:w="300" w:type="dxa"/>
            <w:vAlign w:val="bottom"/>
          </w:tcPr>
          <w:p>
            <w:pPr>
              <w:spacing w:after="0"/>
              <w:rPr>
                <w:sz w:val="15"/>
                <w:szCs w:val="15"/>
                <w:color w:val="auto"/>
              </w:rPr>
            </w:pPr>
          </w:p>
        </w:tc>
        <w:tc>
          <w:tcPr>
            <w:tcW w:w="98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80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5"/>
                <w:szCs w:val="15"/>
                <w:color w:val="auto"/>
              </w:rPr>
            </w:pPr>
          </w:p>
        </w:tc>
        <w:tc>
          <w:tcPr>
            <w:tcW w:w="84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w w:val="93"/>
              </w:rPr>
              <w:t>1998</w:t>
            </w:r>
          </w:p>
        </w:tc>
        <w:tc>
          <w:tcPr>
            <w:tcW w:w="21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1998</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1999(1)</w:t>
            </w: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2"/>
                <w:szCs w:val="22"/>
                <w:color w:val="auto"/>
              </w:rPr>
            </w:pP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6"/>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77"/>
        </w:trPr>
        <w:tc>
          <w:tcPr>
            <w:tcW w:w="3560" w:type="dxa"/>
            <w:vAlign w:val="bottom"/>
          </w:tcPr>
          <w:p>
            <w:pPr>
              <w:spacing w:after="0"/>
              <w:rPr>
                <w:sz w:val="20"/>
                <w:szCs w:val="20"/>
                <w:color w:val="auto"/>
              </w:rPr>
            </w:pPr>
            <w:r>
              <w:rPr>
                <w:rFonts w:ascii="Courier New" w:cs="Courier New" w:eastAsia="Courier New" w:hAnsi="Courier New"/>
                <w:sz w:val="16"/>
                <w:szCs w:val="16"/>
                <w:color w:val="auto"/>
              </w:rPr>
              <w:t>Operating Data:</w:t>
            </w:r>
          </w:p>
        </w:tc>
        <w:tc>
          <w:tcPr>
            <w:tcW w:w="180" w:type="dxa"/>
            <w:vAlign w:val="bottom"/>
            <w:vMerge w:val="restart"/>
          </w:tcPr>
          <w:p>
            <w:pPr>
              <w:spacing w:after="0"/>
              <w:rPr>
                <w:sz w:val="20"/>
                <w:szCs w:val="20"/>
                <w:color w:val="auto"/>
              </w:rPr>
            </w:pPr>
            <w:r>
              <w:rPr>
                <w:rFonts w:ascii="Courier New" w:cs="Courier New" w:eastAsia="Courier New" w:hAnsi="Courier New"/>
                <w:sz w:val="16"/>
                <w:szCs w:val="16"/>
                <w:color w:val="auto"/>
              </w:rPr>
              <w:t>$</w:t>
            </w:r>
          </w:p>
        </w:tc>
        <w:tc>
          <w:tcPr>
            <w:tcW w:w="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8,608</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11,409</w:t>
            </w:r>
          </w:p>
        </w:tc>
        <w:tc>
          <w:tcPr>
            <w:tcW w:w="300" w:type="dxa"/>
            <w:vAlign w:val="bottom"/>
            <w:vMerge w:val="restart"/>
          </w:tcPr>
          <w:p>
            <w:pPr>
              <w:ind w:left="160"/>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9,940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6"/>
              </w:rPr>
              <w:t>$</w:t>
            </w: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9,750</w:t>
            </w:r>
          </w:p>
        </w:tc>
        <w:tc>
          <w:tcPr>
            <w:tcW w:w="2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8,460</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4,353</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4,385</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7"/>
              </w:rPr>
              <w:t>Net revenues..........................</w:t>
            </w:r>
          </w:p>
        </w:tc>
        <w:tc>
          <w:tcPr>
            <w:tcW w:w="1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7"/>
              </w:rPr>
              <w:t>Operating costs and expenses..........</w:t>
            </w:r>
          </w:p>
        </w:tc>
        <w:tc>
          <w:tcPr>
            <w:tcW w:w="18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7,682</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9,970</w:t>
            </w:r>
          </w:p>
        </w:tc>
        <w:tc>
          <w:tcPr>
            <w:tcW w:w="300" w:type="dxa"/>
            <w:vAlign w:val="bottom"/>
          </w:tcPr>
          <w:p>
            <w:pPr>
              <w:spacing w:after="0"/>
              <w:rPr>
                <w:sz w:val="15"/>
                <w:szCs w:val="15"/>
                <w:color w:val="auto"/>
              </w:rPr>
            </w:pP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9,966</w:t>
            </w:r>
          </w:p>
        </w:tc>
        <w:tc>
          <w:tcPr>
            <w:tcW w:w="1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9,135</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8,061</w:t>
            </w:r>
          </w:p>
        </w:tc>
        <w:tc>
          <w:tcPr>
            <w:tcW w:w="32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4,413</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3,632</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7"/>
              </w:rPr>
              <w:t>Profit (loss) from operations.........</w:t>
            </w:r>
          </w:p>
        </w:tc>
        <w:tc>
          <w:tcPr>
            <w:tcW w:w="18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926</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1,439</w:t>
            </w:r>
          </w:p>
        </w:tc>
        <w:tc>
          <w:tcPr>
            <w:tcW w:w="3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w:t>
            </w:r>
          </w:p>
        </w:tc>
        <w:tc>
          <w:tcPr>
            <w:tcW w:w="1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615</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399</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753</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7"/>
              </w:rPr>
              <w:t>Other income (expense) net............</w:t>
            </w:r>
          </w:p>
        </w:tc>
        <w:tc>
          <w:tcPr>
            <w:tcW w:w="18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6</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79</w:t>
            </w:r>
          </w:p>
        </w:tc>
        <w:tc>
          <w:tcPr>
            <w:tcW w:w="300" w:type="dxa"/>
            <w:vAlign w:val="bottom"/>
          </w:tcPr>
          <w:p>
            <w:pPr>
              <w:spacing w:after="0"/>
              <w:rPr>
                <w:sz w:val="15"/>
                <w:szCs w:val="15"/>
                <w:color w:val="auto"/>
              </w:rPr>
            </w:pP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76</w:t>
            </w:r>
          </w:p>
        </w:tc>
        <w:tc>
          <w:tcPr>
            <w:tcW w:w="1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192</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293</w:t>
            </w:r>
          </w:p>
        </w:tc>
        <w:tc>
          <w:tcPr>
            <w:tcW w:w="32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193</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143</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7"/>
              </w:rPr>
              <w:t>Interest on loans.....................</w:t>
            </w:r>
          </w:p>
        </w:tc>
        <w:tc>
          <w:tcPr>
            <w:tcW w:w="18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45</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300" w:type="dxa"/>
            <w:vAlign w:val="bottom"/>
          </w:tcPr>
          <w:p>
            <w:pPr>
              <w:spacing w:after="0"/>
              <w:rPr>
                <w:sz w:val="15"/>
                <w:szCs w:val="15"/>
                <w:color w:val="auto"/>
              </w:rPr>
            </w:pP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73</w:t>
            </w:r>
          </w:p>
        </w:tc>
        <w:tc>
          <w:tcPr>
            <w:tcW w:w="1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94</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75</w:t>
            </w:r>
          </w:p>
        </w:tc>
        <w:tc>
          <w:tcPr>
            <w:tcW w:w="32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280"/>
              <w:spacing w:after="0"/>
              <w:rPr>
                <w:sz w:val="20"/>
                <w:szCs w:val="20"/>
                <w:color w:val="auto"/>
              </w:rPr>
            </w:pPr>
            <w:r>
              <w:rPr>
                <w:rFonts w:ascii="Courier New" w:cs="Courier New" w:eastAsia="Courier New" w:hAnsi="Courier New"/>
                <w:sz w:val="16"/>
                <w:szCs w:val="16"/>
                <w:color w:val="auto"/>
              </w:rPr>
              <w:t>operations before extraordinary</w:t>
            </w:r>
          </w:p>
        </w:tc>
        <w:tc>
          <w:tcPr>
            <w:tcW w:w="180" w:type="dxa"/>
            <w:vAlign w:val="bottom"/>
            <w:vMerge w:val="restart"/>
          </w:tcPr>
          <w:p>
            <w:pPr>
              <w:spacing w:after="0"/>
              <w:rPr>
                <w:sz w:val="20"/>
                <w:szCs w:val="20"/>
                <w:color w:val="auto"/>
              </w:rPr>
            </w:pPr>
            <w:r>
              <w:rPr>
                <w:rFonts w:ascii="Courier New" w:cs="Courier New" w:eastAsia="Courier New" w:hAnsi="Courier New"/>
                <w:sz w:val="16"/>
                <w:szCs w:val="16"/>
                <w:color w:val="auto"/>
              </w:rPr>
              <w:t>$</w:t>
            </w:r>
          </w:p>
        </w:tc>
        <w:tc>
          <w:tcPr>
            <w:tcW w:w="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592</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996</w:t>
            </w:r>
          </w:p>
        </w:tc>
        <w:tc>
          <w:tcPr>
            <w:tcW w:w="30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(46)</w:t>
            </w:r>
          </w:p>
        </w:tc>
        <w:tc>
          <w:tcPr>
            <w:tcW w:w="14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6"/>
              </w:rPr>
              <w:t>$</w:t>
            </w: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302</w:t>
            </w:r>
          </w:p>
        </w:tc>
        <w:tc>
          <w:tcPr>
            <w:tcW w:w="2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407</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96</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859</w:t>
            </w:r>
          </w:p>
        </w:tc>
        <w:tc>
          <w:tcPr>
            <w:tcW w:w="0" w:type="dxa"/>
            <w:vAlign w:val="bottom"/>
          </w:tcPr>
          <w:p>
            <w:pPr>
              <w:spacing w:after="0"/>
              <w:rPr>
                <w:sz w:val="1"/>
                <w:szCs w:val="1"/>
                <w:color w:val="auto"/>
              </w:rPr>
            </w:pPr>
          </w:p>
        </w:tc>
      </w:tr>
      <w:tr>
        <w:trPr>
          <w:trHeight w:val="180"/>
        </w:trPr>
        <w:tc>
          <w:tcPr>
            <w:tcW w:w="3560" w:type="dxa"/>
            <w:vAlign w:val="bottom"/>
          </w:tcPr>
          <w:p>
            <w:pPr>
              <w:ind w:left="280"/>
              <w:spacing w:after="0"/>
              <w:rPr>
                <w:sz w:val="20"/>
                <w:szCs w:val="20"/>
                <w:color w:val="auto"/>
              </w:rPr>
            </w:pPr>
            <w:r>
              <w:rPr>
                <w:rFonts w:ascii="Courier New" w:cs="Courier New" w:eastAsia="Courier New" w:hAnsi="Courier New"/>
                <w:sz w:val="16"/>
                <w:szCs w:val="16"/>
                <w:color w:val="auto"/>
                <w:w w:val="97"/>
              </w:rPr>
              <w:t>item...............................</w:t>
            </w:r>
          </w:p>
        </w:tc>
        <w:tc>
          <w:tcPr>
            <w:tcW w:w="1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0"/>
                <w:szCs w:val="20"/>
                <w:color w:val="auto"/>
              </w:rPr>
            </w:pPr>
            <w:r>
              <w:rPr>
                <w:rFonts w:ascii="Courier New" w:cs="Courier New" w:eastAsia="Courier New" w:hAnsi="Courier New"/>
                <w:sz w:val="16"/>
                <w:szCs w:val="16"/>
                <w:color w:val="auto"/>
                <w:w w:val="97"/>
              </w:rPr>
              <w:t>Net income............................</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691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1,088</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63</w:t>
            </w:r>
          </w:p>
        </w:tc>
        <w:tc>
          <w:tcPr>
            <w:tcW w:w="14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1,805</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407</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63</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567</w:t>
            </w:r>
          </w:p>
        </w:tc>
        <w:tc>
          <w:tcPr>
            <w:tcW w:w="0" w:type="dxa"/>
            <w:vAlign w:val="bottom"/>
          </w:tcPr>
          <w:p>
            <w:pPr>
              <w:spacing w:after="0"/>
              <w:rPr>
                <w:sz w:val="1"/>
                <w:szCs w:val="1"/>
                <w:color w:val="auto"/>
              </w:rPr>
            </w:pPr>
          </w:p>
        </w:tc>
      </w:tr>
      <w:tr>
        <w:trPr>
          <w:trHeight w:val="277"/>
        </w:trPr>
        <w:tc>
          <w:tcPr>
            <w:tcW w:w="356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80" w:type="dxa"/>
            <w:vAlign w:val="bottom"/>
            <w:vMerge w:val="restart"/>
          </w:tcPr>
          <w:p>
            <w:pPr>
              <w:spacing w:after="0"/>
              <w:rPr>
                <w:sz w:val="20"/>
                <w:szCs w:val="20"/>
                <w:color w:val="auto"/>
              </w:rPr>
            </w:pPr>
            <w:r>
              <w:rPr>
                <w:rFonts w:ascii="Courier New" w:cs="Courier New" w:eastAsia="Courier New" w:hAnsi="Courier New"/>
                <w:sz w:val="16"/>
                <w:szCs w:val="16"/>
                <w:color w:val="auto"/>
              </w:rPr>
              <w:t>$</w:t>
            </w:r>
          </w:p>
        </w:tc>
        <w:tc>
          <w:tcPr>
            <w:tcW w:w="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1,965</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2,566</w:t>
            </w:r>
          </w:p>
        </w:tc>
        <w:tc>
          <w:tcPr>
            <w:tcW w:w="30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1,968</w:t>
            </w:r>
          </w:p>
        </w:tc>
        <w:tc>
          <w:tcPr>
            <w:tcW w:w="14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6"/>
              </w:rPr>
              <w:t>$</w:t>
            </w: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3,607</w:t>
            </w:r>
          </w:p>
        </w:tc>
        <w:tc>
          <w:tcPr>
            <w:tcW w:w="2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2,650</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3,345</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2,743</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7"/>
              </w:rPr>
              <w:t>Working capital.......................</w:t>
            </w:r>
          </w:p>
        </w:tc>
        <w:tc>
          <w:tcPr>
            <w:tcW w:w="1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7"/>
              </w:rPr>
              <w:t>Property, plant and equipment (net)...</w:t>
            </w:r>
          </w:p>
        </w:tc>
        <w:tc>
          <w:tcPr>
            <w:tcW w:w="18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2,277</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2,894</w:t>
            </w:r>
          </w:p>
        </w:tc>
        <w:tc>
          <w:tcPr>
            <w:tcW w:w="300" w:type="dxa"/>
            <w:vAlign w:val="bottom"/>
          </w:tcPr>
          <w:p>
            <w:pPr>
              <w:spacing w:after="0"/>
              <w:rPr>
                <w:sz w:val="15"/>
                <w:szCs w:val="15"/>
                <w:color w:val="auto"/>
              </w:rPr>
            </w:pP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4,162</w:t>
            </w:r>
          </w:p>
        </w:tc>
        <w:tc>
          <w:tcPr>
            <w:tcW w:w="1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4,180</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3,373</w:t>
            </w:r>
          </w:p>
        </w:tc>
        <w:tc>
          <w:tcPr>
            <w:tcW w:w="32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4,281</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3,407</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7"/>
              </w:rPr>
              <w:t>Total assets..........................</w:t>
            </w:r>
          </w:p>
        </w:tc>
        <w:tc>
          <w:tcPr>
            <w:tcW w:w="18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6,468</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8,748</w:t>
            </w:r>
          </w:p>
        </w:tc>
        <w:tc>
          <w:tcPr>
            <w:tcW w:w="300" w:type="dxa"/>
            <w:vAlign w:val="bottom"/>
          </w:tcPr>
          <w:p>
            <w:pPr>
              <w:spacing w:after="0"/>
              <w:rPr>
                <w:sz w:val="15"/>
                <w:szCs w:val="15"/>
                <w:color w:val="auto"/>
              </w:rPr>
            </w:pP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9,360</w:t>
            </w:r>
          </w:p>
        </w:tc>
        <w:tc>
          <w:tcPr>
            <w:tcW w:w="1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10,849</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11,250</w:t>
            </w:r>
          </w:p>
        </w:tc>
        <w:tc>
          <w:tcPr>
            <w:tcW w:w="32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10,264</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11,047</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7"/>
              </w:rPr>
              <w:t>Long-term debt........................</w:t>
            </w:r>
          </w:p>
        </w:tc>
        <w:tc>
          <w:tcPr>
            <w:tcW w:w="18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808</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804</w:t>
            </w:r>
          </w:p>
        </w:tc>
        <w:tc>
          <w:tcPr>
            <w:tcW w:w="300" w:type="dxa"/>
            <w:vAlign w:val="bottom"/>
          </w:tcPr>
          <w:p>
            <w:pPr>
              <w:spacing w:after="0"/>
              <w:rPr>
                <w:sz w:val="15"/>
                <w:szCs w:val="15"/>
                <w:color w:val="auto"/>
              </w:rPr>
            </w:pP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1,697</w:t>
            </w:r>
          </w:p>
        </w:tc>
        <w:tc>
          <w:tcPr>
            <w:tcW w:w="1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1,286</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1,027</w:t>
            </w:r>
          </w:p>
        </w:tc>
        <w:tc>
          <w:tcPr>
            <w:tcW w:w="32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1,230</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960</w:t>
            </w: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0"/>
                <w:szCs w:val="20"/>
                <w:color w:val="auto"/>
              </w:rPr>
            </w:pPr>
            <w:r>
              <w:rPr>
                <w:rFonts w:ascii="Courier New" w:cs="Courier New" w:eastAsia="Courier New" w:hAnsi="Courier New"/>
                <w:sz w:val="16"/>
                <w:szCs w:val="16"/>
                <w:color w:val="auto"/>
                <w:w w:val="97"/>
              </w:rPr>
              <w:t>Stockholders' equity..................</w:t>
            </w:r>
          </w:p>
        </w:tc>
        <w:tc>
          <w:tcPr>
            <w:tcW w:w="180" w:type="dxa"/>
            <w:vAlign w:val="bottom"/>
          </w:tcPr>
          <w:p>
            <w:pPr>
              <w:spacing w:after="0"/>
              <w:rPr>
                <w:sz w:val="22"/>
                <w:szCs w:val="22"/>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3,039</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4,095</w:t>
            </w:r>
          </w:p>
        </w:tc>
        <w:tc>
          <w:tcPr>
            <w:tcW w:w="300" w:type="dxa"/>
            <w:vAlign w:val="bottom"/>
          </w:tcPr>
          <w:p>
            <w:pPr>
              <w:spacing w:after="0"/>
              <w:rPr>
                <w:sz w:val="22"/>
                <w:szCs w:val="22"/>
                <w:color w:val="auto"/>
              </w:rPr>
            </w:pP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4,097</w:t>
            </w:r>
          </w:p>
        </w:tc>
        <w:tc>
          <w:tcPr>
            <w:tcW w:w="140" w:type="dxa"/>
            <w:vAlign w:val="bottom"/>
          </w:tcPr>
          <w:p>
            <w:pPr>
              <w:spacing w:after="0"/>
              <w:rPr>
                <w:sz w:val="22"/>
                <w:szCs w:val="22"/>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5,914</w:t>
            </w:r>
          </w:p>
        </w:tc>
        <w:tc>
          <w:tcPr>
            <w:tcW w:w="280" w:type="dxa"/>
            <w:vAlign w:val="bottom"/>
          </w:tcPr>
          <w:p>
            <w:pPr>
              <w:spacing w:after="0"/>
              <w:rPr>
                <w:sz w:val="22"/>
                <w:szCs w:val="22"/>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6,527</w:t>
            </w:r>
          </w:p>
        </w:tc>
        <w:tc>
          <w:tcPr>
            <w:tcW w:w="320" w:type="dxa"/>
            <w:vAlign w:val="bottom"/>
          </w:tcPr>
          <w:p>
            <w:pPr>
              <w:spacing w:after="0"/>
              <w:rPr>
                <w:sz w:val="22"/>
                <w:szCs w:val="22"/>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5,968</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6,721</w:t>
            </w:r>
          </w:p>
        </w:tc>
        <w:tc>
          <w:tcPr>
            <w:tcW w:w="0" w:type="dxa"/>
            <w:vAlign w:val="bottom"/>
          </w:tcPr>
          <w:p>
            <w:pPr>
              <w:spacing w:after="0"/>
              <w:rPr>
                <w:sz w:val="1"/>
                <w:szCs w:val="1"/>
                <w:color w:val="auto"/>
              </w:rPr>
            </w:pPr>
          </w:p>
        </w:tc>
      </w:tr>
      <w:tr>
        <w:trPr>
          <w:trHeight w:val="277"/>
        </w:trPr>
        <w:tc>
          <w:tcPr>
            <w:tcW w:w="356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180" w:type="dxa"/>
            <w:vAlign w:val="bottom"/>
            <w:vMerge w:val="restart"/>
          </w:tcPr>
          <w:p>
            <w:pPr>
              <w:spacing w:after="0"/>
              <w:rPr>
                <w:sz w:val="20"/>
                <w:szCs w:val="20"/>
                <w:color w:val="auto"/>
              </w:rPr>
            </w:pPr>
            <w:r>
              <w:rPr>
                <w:rFonts w:ascii="Courier New" w:cs="Courier New" w:eastAsia="Courier New" w:hAnsi="Courier New"/>
                <w:sz w:val="16"/>
                <w:szCs w:val="16"/>
                <w:color w:val="auto"/>
              </w:rPr>
              <w:t>$</w:t>
            </w:r>
          </w:p>
        </w:tc>
        <w:tc>
          <w:tcPr>
            <w:tcW w:w="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580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681</w:t>
            </w:r>
          </w:p>
        </w:tc>
        <w:tc>
          <w:tcPr>
            <w:tcW w:w="30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904</w:t>
            </w:r>
          </w:p>
        </w:tc>
        <w:tc>
          <w:tcPr>
            <w:tcW w:w="14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6"/>
              </w:rPr>
              <w:t>$</w:t>
            </w: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1,109</w:t>
            </w:r>
          </w:p>
        </w:tc>
        <w:tc>
          <w:tcPr>
            <w:tcW w:w="2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1,169</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583</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461</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7"/>
              </w:rPr>
              <w:t>Depreciation..........................</w:t>
            </w:r>
          </w:p>
        </w:tc>
        <w:tc>
          <w:tcPr>
            <w:tcW w:w="1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7"/>
              </w:rPr>
              <w:t>Capital expenditures..................</w:t>
            </w:r>
          </w:p>
        </w:tc>
        <w:tc>
          <w:tcPr>
            <w:tcW w:w="18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1,020</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1,351</w:t>
            </w:r>
          </w:p>
        </w:tc>
        <w:tc>
          <w:tcPr>
            <w:tcW w:w="300" w:type="dxa"/>
            <w:vAlign w:val="bottom"/>
          </w:tcPr>
          <w:p>
            <w:pPr>
              <w:spacing w:after="0"/>
              <w:rPr>
                <w:sz w:val="15"/>
                <w:szCs w:val="15"/>
                <w:color w:val="auto"/>
              </w:rPr>
            </w:pP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2,063</w:t>
            </w:r>
          </w:p>
        </w:tc>
        <w:tc>
          <w:tcPr>
            <w:tcW w:w="1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1,238</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1,031</w:t>
            </w:r>
          </w:p>
        </w:tc>
        <w:tc>
          <w:tcPr>
            <w:tcW w:w="32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698</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505</w:t>
            </w: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0"/>
                <w:szCs w:val="20"/>
                <w:color w:val="auto"/>
              </w:rPr>
            </w:pPr>
            <w:r>
              <w:rPr>
                <w:rFonts w:ascii="Courier New" w:cs="Courier New" w:eastAsia="Courier New" w:hAnsi="Courier New"/>
                <w:sz w:val="16"/>
                <w:szCs w:val="16"/>
                <w:color w:val="auto"/>
                <w:w w:val="97"/>
              </w:rPr>
              <w:t>Ratio of earnings to fixed charges(2).</w:t>
            </w:r>
          </w:p>
        </w:tc>
        <w:tc>
          <w:tcPr>
            <w:tcW w:w="180" w:type="dxa"/>
            <w:vAlign w:val="bottom"/>
          </w:tcPr>
          <w:p>
            <w:pPr>
              <w:spacing w:after="0"/>
              <w:rPr>
                <w:sz w:val="22"/>
                <w:szCs w:val="22"/>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10.0</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14.3</w:t>
            </w:r>
          </w:p>
        </w:tc>
        <w:tc>
          <w:tcPr>
            <w:tcW w:w="30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w:t>
            </w:r>
          </w:p>
        </w:tc>
        <w:tc>
          <w:tcPr>
            <w:tcW w:w="140" w:type="dxa"/>
            <w:vAlign w:val="bottom"/>
          </w:tcPr>
          <w:p>
            <w:pPr>
              <w:spacing w:after="0"/>
              <w:rPr>
                <w:sz w:val="22"/>
                <w:szCs w:val="22"/>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5.5</w:t>
            </w:r>
          </w:p>
        </w:tc>
        <w:tc>
          <w:tcPr>
            <w:tcW w:w="280" w:type="dxa"/>
            <w:vAlign w:val="bottom"/>
          </w:tcPr>
          <w:p>
            <w:pPr>
              <w:spacing w:after="0"/>
              <w:rPr>
                <w:sz w:val="22"/>
                <w:szCs w:val="22"/>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w:t>
            </w:r>
          </w:p>
        </w:tc>
        <w:tc>
          <w:tcPr>
            <w:tcW w:w="320" w:type="dxa"/>
            <w:vAlign w:val="bottom"/>
          </w:tcPr>
          <w:p>
            <w:pPr>
              <w:spacing w:after="0"/>
              <w:rPr>
                <w:sz w:val="22"/>
                <w:szCs w:val="22"/>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15.6</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27" w:lineRule="exact"/>
        <w:rPr>
          <w:sz w:val="20"/>
          <w:szCs w:val="20"/>
          <w:color w:val="auto"/>
        </w:rPr>
      </w:pPr>
    </w:p>
    <w:p>
      <w:pPr>
        <w:ind w:left="464" w:right="3560" w:hanging="464"/>
        <w:spacing w:after="0" w:line="246" w:lineRule="auto"/>
        <w:tabs>
          <w:tab w:leader="none" w:pos="4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first quarter of 1999, the company announced a consolidation of semiconductor manufacturing operations in Japan to improve manufacturing efficiencies and reduce costs. The consolidation is expected to be completed by the end of the year 2000. The action resulted in a pretax charge of $14 million in the first quarter, of which $13 million was for severance for the elimination of 153 jobs in Hatogaya, Japan and $1 million for other related costs. At June 30, 1999, the pay-out of the severance cost obligation had not yet begun. Of the $14 million charge, $11 million was included in cost of revenues and $3 million in marketing, general and administrative expense.</w:t>
      </w:r>
    </w:p>
    <w:p>
      <w:pPr>
        <w:spacing w:after="0" w:line="98" w:lineRule="exact"/>
        <w:rPr>
          <w:rFonts w:ascii="Courier New" w:cs="Courier New" w:eastAsia="Courier New" w:hAnsi="Courier New"/>
          <w:sz w:val="16"/>
          <w:szCs w:val="16"/>
          <w:color w:val="auto"/>
        </w:rPr>
      </w:pPr>
    </w:p>
    <w:p>
      <w:pPr>
        <w:ind w:left="464" w:right="3480" w:hanging="464"/>
        <w:spacing w:after="0" w:line="281" w:lineRule="auto"/>
        <w:tabs>
          <w:tab w:leader="none" w:pos="46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computing the ratio of earnings to fixed charges, "earnings" consist of income (loss) before provision for income taxes, interest expense, amortization of capitalized interest and that portion of rental and lease expense which is representative of interest; and "fixed charges" consist of interest incurred (expensed and capitalized) and that portion of rental and lease expense which is representative of interest.</w:t>
      </w:r>
    </w:p>
    <w:p>
      <w:pPr>
        <w:spacing w:after="0" w:line="68" w:lineRule="exact"/>
        <w:rPr>
          <w:rFonts w:ascii="Courier New" w:cs="Courier New" w:eastAsia="Courier New" w:hAnsi="Courier New"/>
          <w:sz w:val="15"/>
          <w:szCs w:val="15"/>
          <w:color w:val="auto"/>
        </w:rPr>
      </w:pPr>
    </w:p>
    <w:p>
      <w:pPr>
        <w:ind w:left="464" w:right="3660" w:hanging="464"/>
        <w:spacing w:after="0" w:line="348" w:lineRule="auto"/>
        <w:tabs>
          <w:tab w:leader="none" w:pos="4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for 1996 is not meaningful because the coverage deficiency was $43 million.</w:t>
      </w:r>
    </w:p>
    <w:p>
      <w:pPr>
        <w:spacing w:after="0" w:line="196"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884"/>
          </w:cols>
          <w:pgMar w:left="236" w:top="991" w:right="7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64"/>
        </w:trPr>
        <w:tc>
          <w:tcPr>
            <w:tcW w:w="290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Courier New" w:cs="Courier New" w:eastAsia="Courier New" w:hAnsi="Courier New"/>
                <w:sz w:val="16"/>
                <w:szCs w:val="16"/>
                <w:color w:val="auto"/>
                <w:w w:val="97"/>
              </w:rPr>
              <w:t>The Exchange Offer</w:t>
            </w:r>
          </w:p>
        </w:tc>
        <w:tc>
          <w:tcPr>
            <w:tcW w:w="5520" w:type="dxa"/>
            <w:vAlign w:val="bottom"/>
          </w:tcPr>
          <w:p>
            <w:pPr>
              <w:spacing w:after="0"/>
              <w:rPr>
                <w:sz w:val="22"/>
                <w:szCs w:val="22"/>
                <w:color w:val="auto"/>
              </w:rPr>
            </w:pPr>
          </w:p>
        </w:tc>
      </w:tr>
      <w:tr>
        <w:trPr>
          <w:trHeight w:val="638"/>
        </w:trPr>
        <w:tc>
          <w:tcPr>
            <w:tcW w:w="2900" w:type="dxa"/>
            <w:vAlign w:val="bottom"/>
          </w:tcPr>
          <w:p>
            <w:pPr>
              <w:spacing w:after="0"/>
              <w:rPr>
                <w:sz w:val="20"/>
                <w:szCs w:val="20"/>
                <w:color w:val="auto"/>
              </w:rPr>
            </w:pPr>
            <w:r>
              <w:rPr>
                <w:rFonts w:ascii="Courier New" w:cs="Courier New" w:eastAsia="Courier New" w:hAnsi="Courier New"/>
                <w:sz w:val="16"/>
                <w:szCs w:val="16"/>
                <w:color w:val="auto"/>
                <w:w w:val="76"/>
              </w:rPr>
              <w:t>Exchange Notes.........................</w:t>
            </w: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$400,000,000 in principal amount of 7% senior exchange</w:t>
            </w:r>
          </w:p>
        </w:tc>
      </w:tr>
      <w:tr>
        <w:trPr>
          <w:trHeight w:val="264"/>
        </w:trPr>
        <w:tc>
          <w:tcPr>
            <w:tcW w:w="2900" w:type="dxa"/>
            <w:vAlign w:val="bottom"/>
          </w:tcPr>
          <w:p>
            <w:pPr>
              <w:spacing w:after="0"/>
              <w:rPr>
                <w:sz w:val="22"/>
                <w:szCs w:val="22"/>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notes due 2004.</w:t>
            </w:r>
          </w:p>
        </w:tc>
      </w:tr>
      <w:tr>
        <w:trPr>
          <w:trHeight w:val="277"/>
        </w:trPr>
        <w:tc>
          <w:tcPr>
            <w:tcW w:w="2900" w:type="dxa"/>
            <w:vAlign w:val="bottom"/>
          </w:tcPr>
          <w:p>
            <w:pPr>
              <w:spacing w:after="0"/>
              <w:rPr>
                <w:sz w:val="20"/>
                <w:szCs w:val="20"/>
                <w:color w:val="auto"/>
              </w:rPr>
            </w:pPr>
            <w:r>
              <w:rPr>
                <w:rFonts w:ascii="Courier New" w:cs="Courier New" w:eastAsia="Courier New" w:hAnsi="Courier New"/>
                <w:sz w:val="16"/>
                <w:szCs w:val="16"/>
                <w:color w:val="auto"/>
                <w:w w:val="76"/>
              </w:rPr>
              <w:t>The Exchange Offer.....................</w:t>
            </w: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We are offering to issue the exchange notes in exchange for</w:t>
            </w:r>
          </w:p>
        </w:tc>
      </w:tr>
      <w:tr>
        <w:trPr>
          <w:trHeight w:val="180"/>
        </w:trPr>
        <w:tc>
          <w:tcPr>
            <w:tcW w:w="2900" w:type="dxa"/>
            <w:vAlign w:val="bottom"/>
          </w:tcPr>
          <w:p>
            <w:pPr>
              <w:spacing w:after="0"/>
              <w:rPr>
                <w:sz w:val="15"/>
                <w:szCs w:val="15"/>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a like principal amount of outstanding 7% senior notes due</w:t>
            </w:r>
          </w:p>
        </w:tc>
      </w:tr>
      <w:tr>
        <w:trPr>
          <w:trHeight w:val="180"/>
        </w:trPr>
        <w:tc>
          <w:tcPr>
            <w:tcW w:w="2900" w:type="dxa"/>
            <w:vAlign w:val="bottom"/>
          </w:tcPr>
          <w:p>
            <w:pPr>
              <w:spacing w:after="0"/>
              <w:rPr>
                <w:sz w:val="15"/>
                <w:szCs w:val="15"/>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2004, issued by TI on August 17, 1999. We are offering to</w:t>
            </w:r>
          </w:p>
        </w:tc>
      </w:tr>
      <w:tr>
        <w:trPr>
          <w:trHeight w:val="180"/>
        </w:trPr>
        <w:tc>
          <w:tcPr>
            <w:tcW w:w="2900" w:type="dxa"/>
            <w:vAlign w:val="bottom"/>
          </w:tcPr>
          <w:p>
            <w:pPr>
              <w:spacing w:after="0"/>
              <w:rPr>
                <w:sz w:val="15"/>
                <w:szCs w:val="15"/>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issue the exchange notes to satisfy our obligations contained</w:t>
            </w:r>
          </w:p>
        </w:tc>
      </w:tr>
      <w:tr>
        <w:trPr>
          <w:trHeight w:val="180"/>
        </w:trPr>
        <w:tc>
          <w:tcPr>
            <w:tcW w:w="2900" w:type="dxa"/>
            <w:vAlign w:val="bottom"/>
          </w:tcPr>
          <w:p>
            <w:pPr>
              <w:spacing w:after="0"/>
              <w:rPr>
                <w:sz w:val="15"/>
                <w:szCs w:val="15"/>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in the registration rights agreement entered into when the</w:t>
            </w:r>
          </w:p>
        </w:tc>
      </w:tr>
      <w:tr>
        <w:trPr>
          <w:trHeight w:val="180"/>
        </w:trPr>
        <w:tc>
          <w:tcPr>
            <w:tcW w:w="2900" w:type="dxa"/>
            <w:vAlign w:val="bottom"/>
          </w:tcPr>
          <w:p>
            <w:pPr>
              <w:spacing w:after="0"/>
              <w:rPr>
                <w:sz w:val="15"/>
                <w:szCs w:val="15"/>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old notes were sold in transactions pursuant to Rule 144A</w:t>
            </w:r>
          </w:p>
        </w:tc>
      </w:tr>
      <w:tr>
        <w:trPr>
          <w:trHeight w:val="180"/>
        </w:trPr>
        <w:tc>
          <w:tcPr>
            <w:tcW w:w="2900" w:type="dxa"/>
            <w:vAlign w:val="bottom"/>
          </w:tcPr>
          <w:p>
            <w:pPr>
              <w:spacing w:after="0"/>
              <w:rPr>
                <w:sz w:val="15"/>
                <w:szCs w:val="15"/>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and Regulation S under the Securities Act and therefore</w:t>
            </w:r>
          </w:p>
        </w:tc>
      </w:tr>
      <w:tr>
        <w:trPr>
          <w:trHeight w:val="180"/>
        </w:trPr>
        <w:tc>
          <w:tcPr>
            <w:tcW w:w="2900" w:type="dxa"/>
            <w:vAlign w:val="bottom"/>
          </w:tcPr>
          <w:p>
            <w:pPr>
              <w:spacing w:after="0"/>
              <w:rPr>
                <w:sz w:val="15"/>
                <w:szCs w:val="15"/>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subject to transfer restrictions that will not apply to the</w:t>
            </w:r>
          </w:p>
        </w:tc>
      </w:tr>
      <w:tr>
        <w:trPr>
          <w:trHeight w:val="264"/>
        </w:trPr>
        <w:tc>
          <w:tcPr>
            <w:tcW w:w="2900" w:type="dxa"/>
            <w:vAlign w:val="bottom"/>
          </w:tcPr>
          <w:p>
            <w:pPr>
              <w:spacing w:after="0"/>
              <w:rPr>
                <w:sz w:val="22"/>
                <w:szCs w:val="22"/>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exchange notes.</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w w:val="76"/>
              </w:rPr>
              <w:t>Maturity Date..........................</w:t>
            </w: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August 15, 2004.</w:t>
            </w:r>
          </w:p>
        </w:tc>
      </w:tr>
      <w:tr>
        <w:trPr>
          <w:trHeight w:val="277"/>
        </w:trPr>
        <w:tc>
          <w:tcPr>
            <w:tcW w:w="2900" w:type="dxa"/>
            <w:vAlign w:val="bottom"/>
          </w:tcPr>
          <w:p>
            <w:pPr>
              <w:spacing w:after="0"/>
              <w:rPr>
                <w:sz w:val="20"/>
                <w:szCs w:val="20"/>
                <w:color w:val="auto"/>
              </w:rPr>
            </w:pPr>
            <w:r>
              <w:rPr>
                <w:rFonts w:ascii="Courier New" w:cs="Courier New" w:eastAsia="Courier New" w:hAnsi="Courier New"/>
                <w:sz w:val="16"/>
                <w:szCs w:val="16"/>
                <w:color w:val="auto"/>
                <w:w w:val="76"/>
              </w:rPr>
              <w:t>Interest Payment Dates.................</w:t>
            </w: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February 15 and August 15, beginning on February 15,</w:t>
            </w:r>
          </w:p>
        </w:tc>
      </w:tr>
      <w:tr>
        <w:trPr>
          <w:trHeight w:val="264"/>
        </w:trPr>
        <w:tc>
          <w:tcPr>
            <w:tcW w:w="2900" w:type="dxa"/>
            <w:vAlign w:val="bottom"/>
          </w:tcPr>
          <w:p>
            <w:pPr>
              <w:spacing w:after="0"/>
              <w:rPr>
                <w:sz w:val="22"/>
                <w:szCs w:val="22"/>
                <w:color w:val="auto"/>
              </w:rPr>
            </w:pPr>
          </w:p>
        </w:tc>
        <w:tc>
          <w:tcPr>
            <w:tcW w:w="1700" w:type="dxa"/>
            <w:vAlign w:val="bottom"/>
          </w:tcPr>
          <w:p>
            <w:pPr>
              <w:ind w:left="1220"/>
              <w:spacing w:after="0"/>
              <w:rPr>
                <w:sz w:val="20"/>
                <w:szCs w:val="20"/>
                <w:color w:val="auto"/>
              </w:rPr>
            </w:pPr>
            <w:r>
              <w:rPr>
                <w:rFonts w:ascii="Courier New" w:cs="Courier New" w:eastAsia="Courier New" w:hAnsi="Courier New"/>
                <w:sz w:val="16"/>
                <w:szCs w:val="16"/>
                <w:color w:val="auto"/>
                <w:w w:val="95"/>
              </w:rPr>
              <w:t>2000.</w:t>
            </w:r>
          </w:p>
        </w:tc>
        <w:tc>
          <w:tcPr>
            <w:tcW w:w="5520" w:type="dxa"/>
            <w:vAlign w:val="bottom"/>
          </w:tcPr>
          <w:p>
            <w:pPr>
              <w:spacing w:after="0"/>
              <w:rPr>
                <w:sz w:val="22"/>
                <w:szCs w:val="22"/>
                <w:color w:val="auto"/>
              </w:rPr>
            </w:pPr>
          </w:p>
        </w:tc>
      </w:tr>
      <w:tr>
        <w:trPr>
          <w:trHeight w:val="277"/>
        </w:trPr>
        <w:tc>
          <w:tcPr>
            <w:tcW w:w="2900" w:type="dxa"/>
            <w:vAlign w:val="bottom"/>
          </w:tcPr>
          <w:p>
            <w:pPr>
              <w:spacing w:after="0"/>
              <w:rPr>
                <w:sz w:val="20"/>
                <w:szCs w:val="20"/>
                <w:color w:val="auto"/>
              </w:rPr>
            </w:pPr>
            <w:r>
              <w:rPr>
                <w:rFonts w:ascii="Courier New" w:cs="Courier New" w:eastAsia="Courier New" w:hAnsi="Courier New"/>
                <w:sz w:val="16"/>
                <w:szCs w:val="16"/>
                <w:color w:val="auto"/>
                <w:w w:val="76"/>
              </w:rPr>
              <w:t>Ranking................................</w:t>
            </w: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The exchange notes are unsecured senior obligations of TI</w:t>
            </w:r>
          </w:p>
        </w:tc>
      </w:tr>
      <w:tr>
        <w:trPr>
          <w:trHeight w:val="180"/>
        </w:trPr>
        <w:tc>
          <w:tcPr>
            <w:tcW w:w="2900" w:type="dxa"/>
            <w:vAlign w:val="bottom"/>
          </w:tcPr>
          <w:p>
            <w:pPr>
              <w:spacing w:after="0"/>
              <w:rPr>
                <w:sz w:val="15"/>
                <w:szCs w:val="15"/>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and will rank pari passu with all other unsecured senior</w:t>
            </w:r>
          </w:p>
        </w:tc>
      </w:tr>
      <w:tr>
        <w:trPr>
          <w:trHeight w:val="264"/>
        </w:trPr>
        <w:tc>
          <w:tcPr>
            <w:tcW w:w="2900" w:type="dxa"/>
            <w:vAlign w:val="bottom"/>
          </w:tcPr>
          <w:p>
            <w:pPr>
              <w:spacing w:after="0"/>
              <w:rPr>
                <w:sz w:val="22"/>
                <w:szCs w:val="22"/>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indebtedness of TI.</w:t>
            </w:r>
          </w:p>
        </w:tc>
      </w:tr>
      <w:tr>
        <w:trPr>
          <w:trHeight w:val="277"/>
        </w:trPr>
        <w:tc>
          <w:tcPr>
            <w:tcW w:w="2900" w:type="dxa"/>
            <w:vAlign w:val="bottom"/>
          </w:tcPr>
          <w:p>
            <w:pPr>
              <w:spacing w:after="0"/>
              <w:rPr>
                <w:sz w:val="20"/>
                <w:szCs w:val="20"/>
                <w:color w:val="auto"/>
              </w:rPr>
            </w:pPr>
            <w:r>
              <w:rPr>
                <w:rFonts w:ascii="Courier New" w:cs="Courier New" w:eastAsia="Courier New" w:hAnsi="Courier New"/>
                <w:sz w:val="16"/>
                <w:szCs w:val="16"/>
                <w:color w:val="auto"/>
                <w:w w:val="76"/>
              </w:rPr>
              <w:t>Optional Redemption....................</w:t>
            </w: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We may redeem some or all of the exchange notes at any</w:t>
            </w:r>
          </w:p>
        </w:tc>
      </w:tr>
      <w:tr>
        <w:trPr>
          <w:trHeight w:val="180"/>
        </w:trPr>
        <w:tc>
          <w:tcPr>
            <w:tcW w:w="2900" w:type="dxa"/>
            <w:vAlign w:val="bottom"/>
          </w:tcPr>
          <w:p>
            <w:pPr>
              <w:spacing w:after="0"/>
              <w:rPr>
                <w:sz w:val="15"/>
                <w:szCs w:val="15"/>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time at the redemption price described in the "Description</w:t>
            </w:r>
          </w:p>
        </w:tc>
      </w:tr>
      <w:tr>
        <w:trPr>
          <w:trHeight w:val="180"/>
        </w:trPr>
        <w:tc>
          <w:tcPr>
            <w:tcW w:w="2900" w:type="dxa"/>
            <w:vAlign w:val="bottom"/>
          </w:tcPr>
          <w:p>
            <w:pPr>
              <w:spacing w:after="0"/>
              <w:rPr>
                <w:sz w:val="15"/>
                <w:szCs w:val="15"/>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of Exchange Notes" section under the heading "--Optional</w:t>
            </w:r>
          </w:p>
        </w:tc>
      </w:tr>
      <w:tr>
        <w:trPr>
          <w:trHeight w:val="180"/>
        </w:trPr>
        <w:tc>
          <w:tcPr>
            <w:tcW w:w="2900" w:type="dxa"/>
            <w:vAlign w:val="bottom"/>
          </w:tcPr>
          <w:p>
            <w:pPr>
              <w:spacing w:after="0"/>
              <w:rPr>
                <w:sz w:val="15"/>
                <w:szCs w:val="15"/>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Redemption," plus accrued interest to the date of</w:t>
            </w:r>
          </w:p>
        </w:tc>
      </w:tr>
      <w:tr>
        <w:trPr>
          <w:trHeight w:val="264"/>
        </w:trPr>
        <w:tc>
          <w:tcPr>
            <w:tcW w:w="2900" w:type="dxa"/>
            <w:vAlign w:val="bottom"/>
          </w:tcPr>
          <w:p>
            <w:pPr>
              <w:spacing w:after="0"/>
              <w:rPr>
                <w:sz w:val="22"/>
                <w:szCs w:val="22"/>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redemption.</w:t>
            </w:r>
          </w:p>
        </w:tc>
      </w:tr>
      <w:tr>
        <w:trPr>
          <w:trHeight w:val="277"/>
        </w:trPr>
        <w:tc>
          <w:tcPr>
            <w:tcW w:w="2900" w:type="dxa"/>
            <w:vAlign w:val="bottom"/>
          </w:tcPr>
          <w:p>
            <w:pPr>
              <w:spacing w:after="0"/>
              <w:rPr>
                <w:sz w:val="20"/>
                <w:szCs w:val="20"/>
                <w:color w:val="auto"/>
              </w:rPr>
            </w:pPr>
            <w:r>
              <w:rPr>
                <w:rFonts w:ascii="Courier New" w:cs="Courier New" w:eastAsia="Courier New" w:hAnsi="Courier New"/>
                <w:sz w:val="16"/>
                <w:szCs w:val="16"/>
                <w:color w:val="auto"/>
                <w:w w:val="76"/>
              </w:rPr>
              <w:t>Certain Covenants......................</w:t>
            </w: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The indenture governing the exchange notes will contain</w:t>
            </w:r>
          </w:p>
        </w:tc>
      </w:tr>
      <w:tr>
        <w:trPr>
          <w:trHeight w:val="180"/>
        </w:trPr>
        <w:tc>
          <w:tcPr>
            <w:tcW w:w="2900" w:type="dxa"/>
            <w:vAlign w:val="bottom"/>
          </w:tcPr>
          <w:p>
            <w:pPr>
              <w:spacing w:after="0"/>
              <w:rPr>
                <w:sz w:val="15"/>
                <w:szCs w:val="15"/>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covenants that limit our ability and our subsidiaries' ability</w:t>
            </w:r>
          </w:p>
        </w:tc>
      </w:tr>
      <w:tr>
        <w:trPr>
          <w:trHeight w:val="264"/>
        </w:trPr>
        <w:tc>
          <w:tcPr>
            <w:tcW w:w="2900" w:type="dxa"/>
            <w:vAlign w:val="bottom"/>
          </w:tcPr>
          <w:p>
            <w:pPr>
              <w:spacing w:after="0"/>
              <w:rPr>
                <w:sz w:val="22"/>
                <w:szCs w:val="22"/>
                <w:color w:val="auto"/>
              </w:rPr>
            </w:pPr>
          </w:p>
        </w:tc>
        <w:tc>
          <w:tcPr>
            <w:tcW w:w="1700" w:type="dxa"/>
            <w:vAlign w:val="bottom"/>
          </w:tcPr>
          <w:p>
            <w:pPr>
              <w:ind w:left="1220"/>
              <w:spacing w:after="0"/>
              <w:rPr>
                <w:sz w:val="20"/>
                <w:szCs w:val="20"/>
                <w:color w:val="auto"/>
              </w:rPr>
            </w:pPr>
            <w:r>
              <w:rPr>
                <w:rFonts w:ascii="Courier New" w:cs="Courier New" w:eastAsia="Courier New" w:hAnsi="Courier New"/>
                <w:sz w:val="16"/>
                <w:szCs w:val="16"/>
                <w:color w:val="auto"/>
              </w:rPr>
              <w:t>to:</w:t>
            </w:r>
          </w:p>
        </w:tc>
        <w:tc>
          <w:tcPr>
            <w:tcW w:w="5520" w:type="dxa"/>
            <w:vAlign w:val="bottom"/>
          </w:tcPr>
          <w:p>
            <w:pPr>
              <w:spacing w:after="0"/>
              <w:rPr>
                <w:sz w:val="22"/>
                <w:szCs w:val="22"/>
                <w:color w:val="auto"/>
              </w:rPr>
            </w:pPr>
          </w:p>
        </w:tc>
      </w:tr>
      <w:tr>
        <w:trPr>
          <w:trHeight w:val="361"/>
        </w:trPr>
        <w:tc>
          <w:tcPr>
            <w:tcW w:w="2900" w:type="dxa"/>
            <w:vAlign w:val="bottom"/>
          </w:tcPr>
          <w:p>
            <w:pPr>
              <w:spacing w:after="0"/>
              <w:rPr>
                <w:sz w:val="24"/>
                <w:szCs w:val="24"/>
                <w:color w:val="auto"/>
              </w:rPr>
            </w:pPr>
          </w:p>
        </w:tc>
        <w:tc>
          <w:tcPr>
            <w:tcW w:w="1700" w:type="dxa"/>
            <w:vAlign w:val="bottom"/>
          </w:tcPr>
          <w:p>
            <w:pPr>
              <w:ind w:left="1220"/>
              <w:spacing w:after="0"/>
              <w:rPr>
                <w:sz w:val="20"/>
                <w:szCs w:val="20"/>
                <w:color w:val="auto"/>
              </w:rPr>
            </w:pPr>
            <w:r>
              <w:rPr>
                <w:rFonts w:ascii="Courier New" w:cs="Courier New" w:eastAsia="Courier New" w:hAnsi="Courier New"/>
                <w:sz w:val="16"/>
                <w:szCs w:val="16"/>
                <w:color w:val="auto"/>
              </w:rPr>
              <w:t>o</w:t>
            </w:r>
          </w:p>
        </w:tc>
        <w:tc>
          <w:tcPr>
            <w:tcW w:w="5520" w:type="dxa"/>
            <w:vAlign w:val="bottom"/>
          </w:tcPr>
          <w:p>
            <w:pPr>
              <w:spacing w:after="0"/>
              <w:rPr>
                <w:sz w:val="20"/>
                <w:szCs w:val="20"/>
                <w:color w:val="auto"/>
              </w:rPr>
            </w:pPr>
            <w:r>
              <w:rPr>
                <w:rFonts w:ascii="Courier New" w:cs="Courier New" w:eastAsia="Courier New" w:hAnsi="Courier New"/>
                <w:sz w:val="16"/>
                <w:szCs w:val="16"/>
                <w:color w:val="auto"/>
              </w:rPr>
              <w:t>enter into certain sale and lease-back transactions;</w:t>
            </w:r>
          </w:p>
        </w:tc>
      </w:tr>
      <w:tr>
        <w:trPr>
          <w:trHeight w:val="361"/>
        </w:trPr>
        <w:tc>
          <w:tcPr>
            <w:tcW w:w="2900" w:type="dxa"/>
            <w:vAlign w:val="bottom"/>
          </w:tcPr>
          <w:p>
            <w:pPr>
              <w:spacing w:after="0"/>
              <w:rPr>
                <w:sz w:val="24"/>
                <w:szCs w:val="24"/>
                <w:color w:val="auto"/>
              </w:rPr>
            </w:pPr>
          </w:p>
        </w:tc>
        <w:tc>
          <w:tcPr>
            <w:tcW w:w="1700" w:type="dxa"/>
            <w:vAlign w:val="bottom"/>
          </w:tcPr>
          <w:p>
            <w:pPr>
              <w:ind w:left="1220"/>
              <w:spacing w:after="0"/>
              <w:rPr>
                <w:sz w:val="20"/>
                <w:szCs w:val="20"/>
                <w:color w:val="auto"/>
              </w:rPr>
            </w:pPr>
            <w:r>
              <w:rPr>
                <w:rFonts w:ascii="Courier New" w:cs="Courier New" w:eastAsia="Courier New" w:hAnsi="Courier New"/>
                <w:sz w:val="16"/>
                <w:szCs w:val="16"/>
                <w:color w:val="auto"/>
              </w:rPr>
              <w:t>o</w:t>
            </w:r>
          </w:p>
        </w:tc>
        <w:tc>
          <w:tcPr>
            <w:tcW w:w="5520" w:type="dxa"/>
            <w:vAlign w:val="bottom"/>
          </w:tcPr>
          <w:p>
            <w:pPr>
              <w:spacing w:after="0"/>
              <w:rPr>
                <w:sz w:val="20"/>
                <w:szCs w:val="20"/>
                <w:color w:val="auto"/>
              </w:rPr>
            </w:pPr>
            <w:r>
              <w:rPr>
                <w:rFonts w:ascii="Courier New" w:cs="Courier New" w:eastAsia="Courier New" w:hAnsi="Courier New"/>
                <w:sz w:val="16"/>
                <w:szCs w:val="16"/>
                <w:color w:val="auto"/>
              </w:rPr>
              <w:t>incur liens on our assets to secure debt;</w:t>
            </w:r>
          </w:p>
        </w:tc>
      </w:tr>
      <w:tr>
        <w:trPr>
          <w:trHeight w:val="361"/>
        </w:trPr>
        <w:tc>
          <w:tcPr>
            <w:tcW w:w="2900" w:type="dxa"/>
            <w:vAlign w:val="bottom"/>
          </w:tcPr>
          <w:p>
            <w:pPr>
              <w:spacing w:after="0"/>
              <w:rPr>
                <w:sz w:val="24"/>
                <w:szCs w:val="24"/>
                <w:color w:val="auto"/>
              </w:rPr>
            </w:pPr>
          </w:p>
        </w:tc>
        <w:tc>
          <w:tcPr>
            <w:tcW w:w="1700" w:type="dxa"/>
            <w:vAlign w:val="bottom"/>
          </w:tcPr>
          <w:p>
            <w:pPr>
              <w:ind w:left="1220"/>
              <w:spacing w:after="0"/>
              <w:rPr>
                <w:sz w:val="20"/>
                <w:szCs w:val="20"/>
                <w:color w:val="auto"/>
              </w:rPr>
            </w:pPr>
            <w:r>
              <w:rPr>
                <w:rFonts w:ascii="Courier New" w:cs="Courier New" w:eastAsia="Courier New" w:hAnsi="Courier New"/>
                <w:sz w:val="16"/>
                <w:szCs w:val="16"/>
                <w:color w:val="auto"/>
              </w:rPr>
              <w:t>o</w:t>
            </w:r>
          </w:p>
        </w:tc>
        <w:tc>
          <w:tcPr>
            <w:tcW w:w="5520" w:type="dxa"/>
            <w:vAlign w:val="bottom"/>
          </w:tcPr>
          <w:p>
            <w:pPr>
              <w:spacing w:after="0"/>
              <w:rPr>
                <w:sz w:val="20"/>
                <w:szCs w:val="20"/>
                <w:color w:val="auto"/>
              </w:rPr>
            </w:pPr>
            <w:r>
              <w:rPr>
                <w:rFonts w:ascii="Courier New" w:cs="Courier New" w:eastAsia="Courier New" w:hAnsi="Courier New"/>
                <w:sz w:val="16"/>
                <w:szCs w:val="16"/>
                <w:color w:val="auto"/>
              </w:rPr>
              <w:t>merge or consolidate with another company; and</w:t>
            </w:r>
          </w:p>
        </w:tc>
      </w:tr>
      <w:tr>
        <w:trPr>
          <w:trHeight w:val="361"/>
        </w:trPr>
        <w:tc>
          <w:tcPr>
            <w:tcW w:w="2900" w:type="dxa"/>
            <w:vAlign w:val="bottom"/>
          </w:tcPr>
          <w:p>
            <w:pPr>
              <w:spacing w:after="0"/>
              <w:rPr>
                <w:sz w:val="24"/>
                <w:szCs w:val="24"/>
                <w:color w:val="auto"/>
              </w:rPr>
            </w:pPr>
          </w:p>
        </w:tc>
        <w:tc>
          <w:tcPr>
            <w:tcW w:w="1700" w:type="dxa"/>
            <w:vAlign w:val="bottom"/>
          </w:tcPr>
          <w:p>
            <w:pPr>
              <w:ind w:left="1220"/>
              <w:spacing w:after="0"/>
              <w:rPr>
                <w:sz w:val="20"/>
                <w:szCs w:val="20"/>
                <w:color w:val="auto"/>
              </w:rPr>
            </w:pPr>
            <w:r>
              <w:rPr>
                <w:rFonts w:ascii="Courier New" w:cs="Courier New" w:eastAsia="Courier New" w:hAnsi="Courier New"/>
                <w:sz w:val="16"/>
                <w:szCs w:val="16"/>
                <w:color w:val="auto"/>
              </w:rPr>
              <w:t>o</w:t>
            </w:r>
          </w:p>
        </w:tc>
        <w:tc>
          <w:tcPr>
            <w:tcW w:w="5520" w:type="dxa"/>
            <w:vAlign w:val="bottom"/>
          </w:tcPr>
          <w:p>
            <w:pPr>
              <w:spacing w:after="0"/>
              <w:rPr>
                <w:sz w:val="20"/>
                <w:szCs w:val="20"/>
                <w:color w:val="auto"/>
              </w:rPr>
            </w:pPr>
            <w:r>
              <w:rPr>
                <w:rFonts w:ascii="Courier New" w:cs="Courier New" w:eastAsia="Courier New" w:hAnsi="Courier New"/>
                <w:sz w:val="16"/>
                <w:szCs w:val="16"/>
                <w:color w:val="auto"/>
              </w:rPr>
              <w:t>transfer or sell substantially all of our assets.</w:t>
            </w:r>
          </w:p>
        </w:tc>
      </w:tr>
      <w:tr>
        <w:trPr>
          <w:trHeight w:val="277"/>
        </w:trPr>
        <w:tc>
          <w:tcPr>
            <w:tcW w:w="2900" w:type="dxa"/>
            <w:vAlign w:val="bottom"/>
          </w:tcPr>
          <w:p>
            <w:pPr>
              <w:spacing w:after="0"/>
              <w:rPr>
                <w:sz w:val="24"/>
                <w:szCs w:val="24"/>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w w:val="97"/>
              </w:rPr>
              <w:t>For more details, see the section under the heading "Description</w:t>
            </w:r>
          </w:p>
        </w:tc>
      </w:tr>
      <w:tr>
        <w:trPr>
          <w:trHeight w:val="264"/>
        </w:trPr>
        <w:tc>
          <w:tcPr>
            <w:tcW w:w="2900" w:type="dxa"/>
            <w:vAlign w:val="bottom"/>
          </w:tcPr>
          <w:p>
            <w:pPr>
              <w:spacing w:after="0"/>
              <w:rPr>
                <w:sz w:val="22"/>
                <w:szCs w:val="22"/>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of Exchange Notes" in this prospectus.</w:t>
            </w:r>
          </w:p>
        </w:tc>
      </w:tr>
      <w:tr>
        <w:trPr>
          <w:trHeight w:val="277"/>
        </w:trPr>
        <w:tc>
          <w:tcPr>
            <w:tcW w:w="2900" w:type="dxa"/>
            <w:vAlign w:val="bottom"/>
          </w:tcPr>
          <w:p>
            <w:pPr>
              <w:spacing w:after="0"/>
              <w:rPr>
                <w:sz w:val="20"/>
                <w:szCs w:val="20"/>
                <w:color w:val="auto"/>
              </w:rPr>
            </w:pPr>
            <w:r>
              <w:rPr>
                <w:rFonts w:ascii="Courier New" w:cs="Courier New" w:eastAsia="Courier New" w:hAnsi="Courier New"/>
                <w:sz w:val="16"/>
                <w:szCs w:val="16"/>
                <w:color w:val="auto"/>
                <w:w w:val="76"/>
              </w:rPr>
              <w:t>Use of Proceeds........................</w:t>
            </w: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We will not receive any proceeds from the issuance of the</w:t>
            </w:r>
          </w:p>
        </w:tc>
      </w:tr>
      <w:tr>
        <w:trPr>
          <w:trHeight w:val="264"/>
        </w:trPr>
        <w:tc>
          <w:tcPr>
            <w:tcW w:w="2900" w:type="dxa"/>
            <w:vAlign w:val="bottom"/>
          </w:tcPr>
          <w:p>
            <w:pPr>
              <w:spacing w:after="0"/>
              <w:rPr>
                <w:sz w:val="22"/>
                <w:szCs w:val="22"/>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exchange notes.</w:t>
            </w:r>
          </w:p>
        </w:tc>
      </w:tr>
      <w:tr>
        <w:trPr>
          <w:trHeight w:val="277"/>
        </w:trPr>
        <w:tc>
          <w:tcPr>
            <w:tcW w:w="2900" w:type="dxa"/>
            <w:vAlign w:val="bottom"/>
          </w:tcPr>
          <w:p>
            <w:pPr>
              <w:spacing w:after="0"/>
              <w:rPr>
                <w:sz w:val="20"/>
                <w:szCs w:val="20"/>
                <w:color w:val="auto"/>
              </w:rPr>
            </w:pPr>
            <w:r>
              <w:rPr>
                <w:rFonts w:ascii="Courier New" w:cs="Courier New" w:eastAsia="Courier New" w:hAnsi="Courier New"/>
                <w:sz w:val="16"/>
                <w:szCs w:val="16"/>
                <w:color w:val="auto"/>
                <w:w w:val="76"/>
              </w:rPr>
              <w:t>Denomination of Exchange Notes.........</w:t>
            </w: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The exchange notes will be issued only in registered form</w:t>
            </w:r>
          </w:p>
        </w:tc>
      </w:tr>
      <w:tr>
        <w:trPr>
          <w:trHeight w:val="180"/>
        </w:trPr>
        <w:tc>
          <w:tcPr>
            <w:tcW w:w="2900" w:type="dxa"/>
            <w:vAlign w:val="bottom"/>
          </w:tcPr>
          <w:p>
            <w:pPr>
              <w:spacing w:after="0"/>
              <w:rPr>
                <w:sz w:val="15"/>
                <w:szCs w:val="15"/>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without coupons, in denominations of $1,000 and multiples</w:t>
            </w:r>
          </w:p>
        </w:tc>
      </w:tr>
      <w:tr>
        <w:trPr>
          <w:trHeight w:val="264"/>
        </w:trPr>
        <w:tc>
          <w:tcPr>
            <w:tcW w:w="2900" w:type="dxa"/>
            <w:vAlign w:val="bottom"/>
          </w:tcPr>
          <w:p>
            <w:pPr>
              <w:spacing w:after="0"/>
              <w:rPr>
                <w:sz w:val="22"/>
                <w:szCs w:val="22"/>
                <w:color w:val="auto"/>
              </w:rPr>
            </w:pPr>
          </w:p>
        </w:tc>
        <w:tc>
          <w:tcPr>
            <w:tcW w:w="722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of $1,000, except that exchange notes in certificate form</w:t>
            </w:r>
          </w:p>
        </w:tc>
      </w:tr>
      <w:tr>
        <w:trPr>
          <w:trHeight w:val="541"/>
        </w:trPr>
        <w:tc>
          <w:tcPr>
            <w:tcW w:w="2900" w:type="dxa"/>
            <w:vAlign w:val="bottom"/>
          </w:tcPr>
          <w:p>
            <w:pPr>
              <w:spacing w:after="0"/>
              <w:rPr>
                <w:sz w:val="24"/>
                <w:szCs w:val="24"/>
                <w:color w:val="auto"/>
              </w:rPr>
            </w:pPr>
          </w:p>
        </w:tc>
        <w:tc>
          <w:tcPr>
            <w:tcW w:w="1700" w:type="dxa"/>
            <w:vAlign w:val="bottom"/>
          </w:tcPr>
          <w:p>
            <w:pPr>
              <w:ind w:left="1120"/>
              <w:spacing w:after="0"/>
              <w:rPr>
                <w:sz w:val="20"/>
                <w:szCs w:val="20"/>
                <w:color w:val="auto"/>
              </w:rPr>
            </w:pPr>
            <w:r>
              <w:rPr>
                <w:rFonts w:ascii="Courier New" w:cs="Courier New" w:eastAsia="Courier New" w:hAnsi="Courier New"/>
                <w:sz w:val="16"/>
                <w:szCs w:val="16"/>
                <w:color w:val="auto"/>
              </w:rPr>
              <w:t>6</w:t>
            </w:r>
          </w:p>
        </w:tc>
        <w:tc>
          <w:tcPr>
            <w:tcW w:w="5520" w:type="dxa"/>
            <w:vAlign w:val="bottom"/>
          </w:tcPr>
          <w:p>
            <w:pPr>
              <w:spacing w:after="0"/>
              <w:rPr>
                <w:sz w:val="24"/>
                <w:szCs w:val="24"/>
                <w:color w:val="auto"/>
              </w:rPr>
            </w:pPr>
          </w:p>
        </w:tc>
      </w:tr>
    </w:tbl>
    <w:p>
      <w:pPr>
        <w:sectPr>
          <w:pgSz w:w="11900" w:h="16838" w:orient="portrait"/>
          <w:cols w:equalWidth="0" w:num="1">
            <w:col w:w="10219"/>
          </w:cols>
          <w:pgMar w:left="240" w:top="991" w:right="1440" w:bottom="1440" w:gutter="0" w:footer="0" w:header="0"/>
        </w:sectPr>
      </w:pPr>
    </w:p>
    <w:bookmarkStart w:id="7" w:name="page8"/>
    <w:bookmarkEnd w:id="7"/>
    <w:p>
      <w:pPr>
        <w:ind w:left="4120"/>
        <w:spacing w:after="0"/>
        <w:rPr>
          <w:sz w:val="20"/>
          <w:szCs w:val="20"/>
          <w:color w:val="auto"/>
        </w:rPr>
      </w:pPr>
      <w:r>
        <w:rPr>
          <w:rFonts w:ascii="Courier New" w:cs="Courier New" w:eastAsia="Courier New" w:hAnsi="Courier New"/>
          <w:sz w:val="15"/>
          <w:szCs w:val="15"/>
          <w:color w:val="auto"/>
        </w:rPr>
        <w:t>will be in denominations of $250,000 and multiples of</w:t>
      </w:r>
    </w:p>
    <w:p>
      <w:pPr>
        <w:spacing w:after="0" w:line="3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$1,000 in excess of $250,000.</w:t>
      </w:r>
    </w:p>
    <w:p>
      <w:pPr>
        <w:sectPr>
          <w:pgSz w:w="11900" w:h="16838" w:orient="portrait"/>
          <w:cols w:equalWidth="0" w:num="1">
            <w:col w:w="10219"/>
          </w:cols>
          <w:pgMar w:left="240" w:top="991" w:right="1440" w:bottom="1440" w:gutter="0" w:footer="0" w:header="0"/>
        </w:sectPr>
      </w:pP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Tenders, Expiration Date, Withdrawal...</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exchange offer will expire at 5:00 p.m. New York City</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 on o, 1999, unless it is extended. If you decide to</w:t>
      </w:r>
    </w:p>
    <w:p>
      <w:pPr>
        <w:spacing w:after="0"/>
        <w:rPr>
          <w:sz w:val="20"/>
          <w:szCs w:val="20"/>
          <w:color w:val="auto"/>
        </w:rPr>
      </w:pPr>
      <w:r>
        <w:rPr>
          <w:rFonts w:ascii="Courier New" w:cs="Courier New" w:eastAsia="Courier New" w:hAnsi="Courier New"/>
          <w:sz w:val="16"/>
          <w:szCs w:val="16"/>
          <w:color w:val="auto"/>
        </w:rPr>
        <w:t>exchange your old notes for exchange notes, you must</w:t>
      </w:r>
    </w:p>
    <w:p>
      <w:pPr>
        <w:spacing w:after="0"/>
        <w:rPr>
          <w:sz w:val="20"/>
          <w:szCs w:val="20"/>
          <w:color w:val="auto"/>
        </w:rPr>
      </w:pPr>
      <w:r>
        <w:rPr>
          <w:rFonts w:ascii="Courier New" w:cs="Courier New" w:eastAsia="Courier New" w:hAnsi="Courier New"/>
          <w:sz w:val="16"/>
          <w:szCs w:val="16"/>
          <w:color w:val="auto"/>
        </w:rPr>
        <w:t>acknowledge that you are not engaging in, and do not</w:t>
      </w:r>
    </w:p>
    <w:p>
      <w:pPr>
        <w:spacing w:after="0"/>
        <w:rPr>
          <w:sz w:val="20"/>
          <w:szCs w:val="20"/>
          <w:color w:val="auto"/>
        </w:rPr>
      </w:pPr>
      <w:r>
        <w:rPr>
          <w:rFonts w:ascii="Courier New" w:cs="Courier New" w:eastAsia="Courier New" w:hAnsi="Courier New"/>
          <w:sz w:val="15"/>
          <w:szCs w:val="15"/>
          <w:color w:val="auto"/>
        </w:rPr>
        <w:t>intend to engage in, a distribution of the exchange notes. If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decide to tender your old notes pursuant to the</w:t>
      </w:r>
    </w:p>
    <w:p>
      <w:pPr>
        <w:spacing w:after="0"/>
        <w:rPr>
          <w:sz w:val="20"/>
          <w:szCs w:val="20"/>
          <w:color w:val="auto"/>
        </w:rPr>
      </w:pPr>
      <w:r>
        <w:rPr>
          <w:rFonts w:ascii="Courier New" w:cs="Courier New" w:eastAsia="Courier New" w:hAnsi="Courier New"/>
          <w:sz w:val="16"/>
          <w:szCs w:val="16"/>
          <w:color w:val="auto"/>
        </w:rPr>
        <w:t>exchange offer, you may withdraw them at any time prior</w:t>
      </w:r>
    </w:p>
    <w:p>
      <w:pPr>
        <w:spacing w:after="0"/>
        <w:rPr>
          <w:sz w:val="20"/>
          <w:szCs w:val="20"/>
          <w:color w:val="auto"/>
        </w:rPr>
      </w:pPr>
      <w:r>
        <w:rPr>
          <w:rFonts w:ascii="Courier New" w:cs="Courier New" w:eastAsia="Courier New" w:hAnsi="Courier New"/>
          <w:sz w:val="16"/>
          <w:szCs w:val="16"/>
          <w:color w:val="auto"/>
        </w:rPr>
        <w:t>to o, 1999. If we decide for any reason not to accept any</w:t>
      </w:r>
    </w:p>
    <w:p>
      <w:pPr>
        <w:spacing w:after="0"/>
        <w:rPr>
          <w:sz w:val="20"/>
          <w:szCs w:val="20"/>
          <w:color w:val="auto"/>
        </w:rPr>
      </w:pPr>
      <w:r>
        <w:rPr>
          <w:rFonts w:ascii="Courier New" w:cs="Courier New" w:eastAsia="Courier New" w:hAnsi="Courier New"/>
          <w:sz w:val="16"/>
          <w:szCs w:val="16"/>
          <w:color w:val="auto"/>
        </w:rPr>
        <w:t>old notes for exchange, your old notes will be returned to</w:t>
      </w:r>
    </w:p>
    <w:p>
      <w:pPr>
        <w:spacing w:after="0"/>
        <w:rPr>
          <w:sz w:val="20"/>
          <w:szCs w:val="20"/>
          <w:color w:val="auto"/>
        </w:rPr>
      </w:pPr>
      <w:r>
        <w:rPr>
          <w:rFonts w:ascii="Courier New" w:cs="Courier New" w:eastAsia="Courier New" w:hAnsi="Courier New"/>
          <w:sz w:val="16"/>
          <w:szCs w:val="16"/>
          <w:color w:val="auto"/>
        </w:rPr>
        <w:t>you without expense promptly after the exchange offer</w:t>
      </w:r>
    </w:p>
    <w:p>
      <w:pPr>
        <w:spacing w:after="0"/>
        <w:rPr>
          <w:sz w:val="20"/>
          <w:szCs w:val="20"/>
          <w:color w:val="auto"/>
        </w:rPr>
      </w:pPr>
      <w:r>
        <w:rPr>
          <w:rFonts w:ascii="Courier New" w:cs="Courier New" w:eastAsia="Courier New" w:hAnsi="Courier New"/>
          <w:sz w:val="16"/>
          <w:szCs w:val="16"/>
          <w:color w:val="auto"/>
        </w:rPr>
        <w:t>expires.</w:t>
      </w:r>
    </w:p>
    <w:p>
      <w:pPr>
        <w:spacing w:after="0" w:line="151" w:lineRule="exact"/>
        <w:rPr>
          <w:sz w:val="20"/>
          <w:szCs w:val="20"/>
          <w:color w:val="auto"/>
        </w:rPr>
      </w:pPr>
    </w:p>
    <w:p>
      <w:pPr>
        <w:sectPr>
          <w:pgSz w:w="11900" w:h="16838" w:orient="portrait"/>
          <w:cols w:equalWidth="0" w:num="2">
            <w:col w:w="3660" w:space="460"/>
            <w:col w:w="6099"/>
          </w:cols>
          <w:pgMar w:left="240" w:top="9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Federal Income Tax Consequences........</w:t>
      </w:r>
    </w:p>
    <w:p>
      <w:pPr>
        <w:spacing w:after="0" w:line="20" w:lineRule="exact"/>
        <w:rPr>
          <w:sz w:val="20"/>
          <w:szCs w:val="20"/>
          <w:color w:val="auto"/>
        </w:rPr>
      </w:pPr>
      <w:r>
        <w:rPr>
          <w:sz w:val="20"/>
          <w:szCs w:val="20"/>
          <w:color w:val="auto"/>
        </w:rPr>
        <w:br w:type="column"/>
      </w:r>
    </w:p>
    <w:p>
      <w:pPr>
        <w:ind w:right="659"/>
        <w:spacing w:after="0" w:line="299" w:lineRule="auto"/>
        <w:rPr>
          <w:sz w:val="20"/>
          <w:szCs w:val="20"/>
          <w:color w:val="auto"/>
        </w:rPr>
      </w:pPr>
      <w:r>
        <w:rPr>
          <w:rFonts w:ascii="Courier New" w:cs="Courier New" w:eastAsia="Courier New" w:hAnsi="Courier New"/>
          <w:sz w:val="15"/>
          <w:szCs w:val="15"/>
          <w:color w:val="auto"/>
        </w:rPr>
        <w:t>Your exchange of old notes for exchange notes pursuant to the exchange offer will not result in any income, gain or loss to you for federal income tax purposes. See "Material United States Tax Consequences of the Exchange Offer."</w:t>
      </w:r>
    </w:p>
    <w:p>
      <w:pPr>
        <w:spacing w:after="0" w:line="55" w:lineRule="exact"/>
        <w:rPr>
          <w:sz w:val="20"/>
          <w:szCs w:val="20"/>
          <w:color w:val="auto"/>
        </w:rPr>
      </w:pPr>
    </w:p>
    <w:p>
      <w:pPr>
        <w:sectPr>
          <w:pgSz w:w="11900" w:h="16838" w:orient="portrait"/>
          <w:cols w:equalWidth="0" w:num="2">
            <w:col w:w="3660" w:space="460"/>
            <w:col w:w="6099"/>
          </w:cols>
          <w:pgMar w:left="240" w:top="9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Exchange Agent.........................</w:t>
      </w:r>
    </w:p>
    <w:p>
      <w:pPr>
        <w:spacing w:after="0" w:line="20" w:lineRule="exact"/>
        <w:rPr>
          <w:sz w:val="20"/>
          <w:szCs w:val="20"/>
          <w:color w:val="auto"/>
        </w:rPr>
      </w:pPr>
      <w:r>
        <w:rPr>
          <w:sz w:val="20"/>
          <w:szCs w:val="20"/>
          <w:color w:val="auto"/>
        </w:rPr>
        <w:br w:type="column"/>
      </w:r>
    </w:p>
    <w:p>
      <w:pPr>
        <w:jc w:val="center"/>
        <w:ind w:right="459"/>
        <w:spacing w:after="0"/>
        <w:rPr>
          <w:sz w:val="20"/>
          <w:szCs w:val="20"/>
          <w:color w:val="auto"/>
        </w:rPr>
      </w:pPr>
      <w:r>
        <w:rPr>
          <w:rFonts w:ascii="Courier New" w:cs="Courier New" w:eastAsia="Courier New" w:hAnsi="Courier New"/>
          <w:sz w:val="15"/>
          <w:szCs w:val="15"/>
          <w:color w:val="auto"/>
        </w:rPr>
        <w:t>Citibank, N.A. is the exchange agent for the exchange offer.</w:t>
      </w:r>
    </w:p>
    <w:p>
      <w:pPr>
        <w:spacing w:after="0" w:line="191" w:lineRule="exact"/>
        <w:rPr>
          <w:sz w:val="20"/>
          <w:szCs w:val="20"/>
          <w:color w:val="auto"/>
        </w:rPr>
      </w:pPr>
    </w:p>
    <w:p>
      <w:pPr>
        <w:sectPr>
          <w:pgSz w:w="11900" w:h="16838" w:orient="portrait"/>
          <w:cols w:equalWidth="0" w:num="2">
            <w:col w:w="3660" w:space="460"/>
            <w:col w:w="6099"/>
          </w:cols>
          <w:pgMar w:left="240" w:top="9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Failure to Tender Your Old Notes.......</w:t>
      </w:r>
    </w:p>
    <w:p>
      <w:pPr>
        <w:spacing w:after="0" w:line="20" w:lineRule="exact"/>
        <w:rPr>
          <w:sz w:val="20"/>
          <w:szCs w:val="20"/>
          <w:color w:val="auto"/>
        </w:rPr>
      </w:pPr>
      <w:r>
        <w:rPr>
          <w:sz w:val="20"/>
          <w:szCs w:val="20"/>
          <w:color w:val="auto"/>
        </w:rPr>
        <w:br w:type="column"/>
      </w:r>
    </w:p>
    <w:p>
      <w:pPr>
        <w:ind w:right="559"/>
        <w:spacing w:after="0" w:line="299" w:lineRule="auto"/>
        <w:rPr>
          <w:sz w:val="20"/>
          <w:szCs w:val="20"/>
          <w:color w:val="auto"/>
        </w:rPr>
      </w:pPr>
      <w:r>
        <w:rPr>
          <w:rFonts w:ascii="Courier New" w:cs="Courier New" w:eastAsia="Courier New" w:hAnsi="Courier New"/>
          <w:sz w:val="15"/>
          <w:szCs w:val="15"/>
          <w:color w:val="auto"/>
        </w:rPr>
        <w:t>If you fail to tender your old notes in the exchange offer, you will not have any further rights under the registration rights agreement, including any right to require us to register your old notes or to pay your liquidated damages.</w:t>
      </w:r>
    </w:p>
    <w:p>
      <w:pPr>
        <w:spacing w:after="0" w:line="200" w:lineRule="exact"/>
        <w:rPr>
          <w:sz w:val="20"/>
          <w:szCs w:val="20"/>
          <w:color w:val="auto"/>
        </w:rPr>
      </w:pPr>
    </w:p>
    <w:p>
      <w:pPr>
        <w:sectPr>
          <w:pgSz w:w="11900" w:h="16838" w:orient="portrait"/>
          <w:cols w:equalWidth="0" w:num="2">
            <w:col w:w="3660" w:space="460"/>
            <w:col w:w="6099"/>
          </w:cols>
          <w:pgMar w:left="240" w:top="991" w:right="1440" w:bottom="1440" w:gutter="0" w:footer="0" w:header="0"/>
          <w:type w:val="continuous"/>
        </w:sectPr>
      </w:pPr>
    </w:p>
    <w:p>
      <w:pPr>
        <w:spacing w:after="0" w:line="396" w:lineRule="exact"/>
        <w:rPr>
          <w:sz w:val="20"/>
          <w:szCs w:val="20"/>
          <w:color w:val="auto"/>
        </w:rPr>
      </w:pPr>
    </w:p>
    <w:p>
      <w:pPr>
        <w:ind w:left="366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991" w:right="1440" w:bottom="1440" w:gutter="0" w:footer="0" w:header="0"/>
          <w:type w:val="continuous"/>
        </w:sectPr>
      </w:pPr>
    </w:p>
    <w:bookmarkStart w:id="8" w:name="page9"/>
    <w:bookmarkEnd w:id="8"/>
    <w:p>
      <w:pPr>
        <w:jc w:val="center"/>
        <w:ind w:right="2819"/>
        <w:spacing w:after="0"/>
        <w:rPr>
          <w:sz w:val="20"/>
          <w:szCs w:val="20"/>
          <w:color w:val="auto"/>
        </w:rPr>
      </w:pPr>
      <w:r>
        <w:rPr>
          <w:rFonts w:ascii="Courier New" w:cs="Courier New" w:eastAsia="Courier New" w:hAnsi="Courier New"/>
          <w:sz w:val="16"/>
          <w:szCs w:val="16"/>
          <w:color w:val="auto"/>
        </w:rPr>
        <w:t>DESCRIPTION OF EXCHANGE NOTES</w:t>
      </w:r>
    </w:p>
    <w:p>
      <w:pPr>
        <w:spacing w:after="0" w:line="179"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6"/>
          <w:szCs w:val="16"/>
          <w:color w:val="auto"/>
        </w:rPr>
        <w:t>The old notes were, and the exchange notes will be, issued under an indenture dated as of July 15, 1996 between us and Citibank, N.A., as trustee. The following summary of certain provisions of the indenture does not purport to be complete and is qualified in its entirety by reference to the indenture. The numerical references below are to provisions of the indenture. Whenever a defined term is indicated but not defined in this section, the relevant definition is contained in the indenture.</w:t>
      </w:r>
    </w:p>
    <w:p>
      <w:pPr>
        <w:spacing w:after="0" w:line="84" w:lineRule="exact"/>
        <w:rPr>
          <w:sz w:val="20"/>
          <w:szCs w:val="20"/>
          <w:color w:val="auto"/>
        </w:rPr>
      </w:pPr>
    </w:p>
    <w:p>
      <w:pPr>
        <w:ind w:right="2999" w:firstLine="469"/>
        <w:spacing w:after="0" w:line="293" w:lineRule="auto"/>
        <w:rPr>
          <w:sz w:val="20"/>
          <w:szCs w:val="20"/>
          <w:color w:val="auto"/>
        </w:rPr>
      </w:pPr>
      <w:r>
        <w:rPr>
          <w:rFonts w:ascii="Courier New" w:cs="Courier New" w:eastAsia="Courier New" w:hAnsi="Courier New"/>
          <w:sz w:val="16"/>
          <w:szCs w:val="16"/>
          <w:color w:val="auto"/>
        </w:rPr>
        <w:t>In this section, "we", "our," "us" and "TI" mean Texas Instruments Incorporated excluding, unless the context otherwise requires or as otherwise expressly stated, our subsidiaries.</w:t>
      </w:r>
    </w:p>
    <w:p>
      <w:pPr>
        <w:spacing w:after="0" w:line="58" w:lineRule="exact"/>
        <w:rPr>
          <w:sz w:val="20"/>
          <w:szCs w:val="20"/>
          <w:color w:val="auto"/>
        </w:rPr>
      </w:pPr>
    </w:p>
    <w:p>
      <w:pPr>
        <w:ind w:right="2819" w:firstLine="469"/>
        <w:spacing w:after="0" w:line="275" w:lineRule="auto"/>
        <w:rPr>
          <w:sz w:val="20"/>
          <w:szCs w:val="20"/>
          <w:color w:val="auto"/>
        </w:rPr>
      </w:pPr>
      <w:r>
        <w:rPr>
          <w:rFonts w:ascii="Courier New" w:cs="Courier New" w:eastAsia="Courier New" w:hAnsi="Courier New"/>
          <w:sz w:val="16"/>
          <w:szCs w:val="16"/>
          <w:color w:val="auto"/>
        </w:rPr>
        <w:t>The terms of the exchange notes are identical in all material respects to the terms of the old notes, except that the transfer restrictions, registration rights and additional interest provisions relating to the old notes do not apply to the exchange notes.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exchange notes</w:t>
      </w:r>
    </w:p>
    <w:p>
      <w:pPr>
        <w:spacing w:after="0" w:line="179" w:lineRule="exact"/>
        <w:rPr>
          <w:sz w:val="20"/>
          <w:szCs w:val="20"/>
          <w:color w:val="auto"/>
        </w:rPr>
      </w:pPr>
    </w:p>
    <w:p>
      <w:pPr>
        <w:ind w:left="940" w:hanging="475"/>
        <w:spacing w:after="0"/>
        <w:tabs>
          <w:tab w:leader="none" w:pos="9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limited to $400,000,000 aggregate principal amount;</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mature on August 15, 2004; and</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bear interest at a rate of 7% per annum.</w:t>
      </w:r>
    </w:p>
    <w:p>
      <w:pPr>
        <w:spacing w:after="0" w:line="179"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6"/>
          <w:szCs w:val="16"/>
          <w:color w:val="auto"/>
        </w:rPr>
        <w:t>The exchange notes will bear interest from August 20, 1999, payable on February 15, and August 15, of each year, commencing February 15, 2000, to the persons in whose names the exchange notes are registered at the close of business on the preceding February 1, and August 1. Unless other arrangements are made, interest payments will be paid by checks mailed to record holders at their registered addresses. All payments of principal and interest will be payable in U.S. dollars.</w:t>
      </w:r>
    </w:p>
    <w:p>
      <w:pPr>
        <w:spacing w:after="0" w:line="84" w:lineRule="exact"/>
        <w:rPr>
          <w:sz w:val="20"/>
          <w:szCs w:val="20"/>
          <w:color w:val="auto"/>
        </w:rPr>
      </w:pPr>
    </w:p>
    <w:p>
      <w:pPr>
        <w:ind w:right="2819" w:firstLine="469"/>
        <w:spacing w:after="0" w:line="252" w:lineRule="auto"/>
        <w:rPr>
          <w:sz w:val="20"/>
          <w:szCs w:val="20"/>
          <w:color w:val="auto"/>
        </w:rPr>
      </w:pPr>
      <w:r>
        <w:rPr>
          <w:rFonts w:ascii="Courier New" w:cs="Courier New" w:eastAsia="Courier New" w:hAnsi="Courier New"/>
          <w:sz w:val="16"/>
          <w:szCs w:val="16"/>
          <w:color w:val="auto"/>
        </w:rPr>
        <w:t>The exchange notes will be unsecured and will rank on a parity with any of our other unsecured and unsubordinated obligations. Thus, we will not issue any unsecured indebtedness that is senior to the exchange notes. As of June 30, 1999, we had no long-term indebtedness outstanding that was secured by any of our assets. If, however, we issue indebtedness secured by any of our assets, such secured indebtedness generally will be senior, with respect to such assets, to the exchange notes offered hereby. The indenture does not contain any covenants or provisions that may afford holders of the exchange notes protection in the event of a highly leveraged transaction.</w:t>
      </w:r>
    </w:p>
    <w:p>
      <w:pPr>
        <w:spacing w:after="0" w:line="91" w:lineRule="exact"/>
        <w:rPr>
          <w:sz w:val="20"/>
          <w:szCs w:val="20"/>
          <w:color w:val="auto"/>
        </w:rPr>
      </w:pPr>
    </w:p>
    <w:p>
      <w:pPr>
        <w:ind w:right="3179" w:firstLine="469"/>
        <w:spacing w:after="0" w:line="293" w:lineRule="auto"/>
        <w:rPr>
          <w:sz w:val="20"/>
          <w:szCs w:val="20"/>
          <w:color w:val="auto"/>
        </w:rPr>
      </w:pPr>
      <w:r>
        <w:rPr>
          <w:rFonts w:ascii="Courier New" w:cs="Courier New" w:eastAsia="Courier New" w:hAnsi="Courier New"/>
          <w:sz w:val="16"/>
          <w:szCs w:val="16"/>
          <w:color w:val="auto"/>
        </w:rPr>
        <w:t>The exchange notes are redeemable prior to maturity as set forth below under "--Optional Redemption." The exchange notes are not subject to any sinking funds provisions.</w:t>
      </w:r>
    </w:p>
    <w:p>
      <w:pPr>
        <w:spacing w:after="0" w:line="58" w:lineRule="exact"/>
        <w:rPr>
          <w:sz w:val="20"/>
          <w:szCs w:val="20"/>
          <w:color w:val="auto"/>
        </w:rPr>
      </w:pPr>
    </w:p>
    <w:p>
      <w:pPr>
        <w:ind w:right="3279" w:firstLine="469"/>
        <w:spacing w:after="0" w:line="275" w:lineRule="auto"/>
        <w:rPr>
          <w:sz w:val="20"/>
          <w:szCs w:val="20"/>
          <w:color w:val="auto"/>
        </w:rPr>
      </w:pPr>
      <w:r>
        <w:rPr>
          <w:rFonts w:ascii="Courier New" w:cs="Courier New" w:eastAsia="Courier New" w:hAnsi="Courier New"/>
          <w:sz w:val="16"/>
          <w:szCs w:val="16"/>
          <w:color w:val="auto"/>
        </w:rPr>
        <w:t>The indenture does not limit the amount of debentures, notes or other evidence of indebtedness that may be issued under the indenture. In this section, we refer to securities issued under the indenture as "debt securities".</w:t>
      </w:r>
    </w:p>
    <w:p>
      <w:pPr>
        <w:spacing w:after="0" w:line="7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exchange notes will be issued only in registered form without coupons,</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denominations of $1,000 and multiples of $1,000, except that exchange notes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certificate form will be in denominations of $250,000 and multiples of</w:t>
      </w:r>
    </w:p>
    <w:p>
      <w:pPr>
        <w:spacing w:after="0"/>
        <w:rPr>
          <w:sz w:val="20"/>
          <w:szCs w:val="20"/>
          <w:color w:val="auto"/>
        </w:rPr>
      </w:pPr>
      <w:r>
        <w:rPr>
          <w:rFonts w:ascii="Courier New" w:cs="Courier New" w:eastAsia="Courier New" w:hAnsi="Courier New"/>
          <w:sz w:val="16"/>
          <w:szCs w:val="16"/>
          <w:color w:val="auto"/>
        </w:rPr>
        <w:t>$1,000 in excess of $250,000. We will not impose any service charge for any</w:t>
      </w:r>
    </w:p>
    <w:p>
      <w:pPr>
        <w:spacing w:after="0"/>
        <w:rPr>
          <w:sz w:val="20"/>
          <w:szCs w:val="20"/>
          <w:color w:val="auto"/>
        </w:rPr>
      </w:pPr>
      <w:r>
        <w:rPr>
          <w:rFonts w:ascii="Courier New" w:cs="Courier New" w:eastAsia="Courier New" w:hAnsi="Courier New"/>
          <w:sz w:val="16"/>
          <w:szCs w:val="16"/>
          <w:color w:val="auto"/>
        </w:rPr>
        <w:t>registration of transfer or any exchange of the old notes, but we may require</w:t>
      </w:r>
    </w:p>
    <w:p>
      <w:pPr>
        <w:spacing w:after="0"/>
        <w:rPr>
          <w:sz w:val="20"/>
          <w:szCs w:val="20"/>
          <w:color w:val="auto"/>
        </w:rPr>
      </w:pPr>
      <w:r>
        <w:rPr>
          <w:rFonts w:ascii="Courier New" w:cs="Courier New" w:eastAsia="Courier New" w:hAnsi="Courier New"/>
          <w:sz w:val="16"/>
          <w:szCs w:val="16"/>
          <w:color w:val="auto"/>
        </w:rPr>
        <w:t>payment of a sum sufficient to cover any related transfer tax or similar</w:t>
      </w:r>
    </w:p>
    <w:p>
      <w:pPr>
        <w:spacing w:after="0"/>
        <w:rPr>
          <w:sz w:val="20"/>
          <w:szCs w:val="20"/>
          <w:color w:val="auto"/>
        </w:rPr>
      </w:pPr>
      <w:r>
        <w:rPr>
          <w:rFonts w:ascii="Courier New" w:cs="Courier New" w:eastAsia="Courier New" w:hAnsi="Courier New"/>
          <w:sz w:val="16"/>
          <w:szCs w:val="16"/>
          <w:color w:val="auto"/>
        </w:rPr>
        <w:t>governmental charge.</w:t>
      </w:r>
    </w:p>
    <w:p>
      <w:pPr>
        <w:spacing w:after="0" w:line="33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99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Optional Redemption</w:t>
      </w:r>
    </w:p>
    <w:p>
      <w:pPr>
        <w:spacing w:after="0" w:line="179" w:lineRule="exact"/>
        <w:rPr>
          <w:sz w:val="20"/>
          <w:szCs w:val="20"/>
          <w:color w:val="auto"/>
        </w:rPr>
      </w:pPr>
    </w:p>
    <w:p>
      <w:pPr>
        <w:ind w:right="2999" w:firstLine="469"/>
        <w:spacing w:after="0" w:line="348" w:lineRule="auto"/>
        <w:rPr>
          <w:sz w:val="20"/>
          <w:szCs w:val="20"/>
          <w:color w:val="auto"/>
        </w:rPr>
      </w:pPr>
      <w:r>
        <w:rPr>
          <w:rFonts w:ascii="Courier New" w:cs="Courier New" w:eastAsia="Courier New" w:hAnsi="Courier New"/>
          <w:sz w:val="16"/>
          <w:szCs w:val="16"/>
          <w:color w:val="auto"/>
        </w:rPr>
        <w:t>At our option, we may redeem the exchange notes, in whole or in part, at any time, at a redemption price equal to the greater of:</w:t>
      </w:r>
    </w:p>
    <w:p>
      <w:pPr>
        <w:spacing w:after="0" w:line="15" w:lineRule="exact"/>
        <w:rPr>
          <w:sz w:val="20"/>
          <w:szCs w:val="20"/>
          <w:color w:val="auto"/>
        </w:rPr>
      </w:pPr>
    </w:p>
    <w:p>
      <w:pPr>
        <w:ind w:left="940" w:right="2899" w:hanging="475"/>
        <w:spacing w:after="0" w:line="348" w:lineRule="auto"/>
        <w:tabs>
          <w:tab w:leader="none" w:pos="9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of the principal amount of the exchange notes then outstanding; or</w:t>
      </w:r>
    </w:p>
    <w:p>
      <w:pPr>
        <w:spacing w:after="0" w:line="15" w:lineRule="exact"/>
        <w:rPr>
          <w:rFonts w:ascii="Courier New" w:cs="Courier New" w:eastAsia="Courier New" w:hAnsi="Courier New"/>
          <w:sz w:val="16"/>
          <w:szCs w:val="16"/>
          <w:color w:val="auto"/>
        </w:rPr>
      </w:pPr>
    </w:p>
    <w:p>
      <w:pPr>
        <w:ind w:left="940" w:right="2819" w:hanging="475"/>
        <w:spacing w:after="0" w:line="260" w:lineRule="auto"/>
        <w:tabs>
          <w:tab w:leader="none" w:pos="9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the present values of the remaining scheduled payments of principal and interest thereon (not including any portion of such payments of interest accrued to the date of redemption) discounted to the redemption date on a semiannual basis (assuming a 360-day year consisting of twelve 30-day months) at the adjusted treasury rate, plus 15 basis points;</w:t>
      </w:r>
    </w:p>
    <w:p>
      <w:pPr>
        <w:spacing w:after="0" w:line="84" w:lineRule="exact"/>
        <w:rPr>
          <w:sz w:val="20"/>
          <w:szCs w:val="20"/>
          <w:color w:val="auto"/>
        </w:rPr>
      </w:pPr>
    </w:p>
    <w:p>
      <w:pPr>
        <w:ind w:left="460" w:right="2819"/>
        <w:spacing w:after="0" w:line="348" w:lineRule="auto"/>
        <w:rPr>
          <w:sz w:val="20"/>
          <w:szCs w:val="20"/>
          <w:color w:val="auto"/>
        </w:rPr>
      </w:pPr>
      <w:r>
        <w:rPr>
          <w:rFonts w:ascii="Courier New" w:cs="Courier New" w:eastAsia="Courier New" w:hAnsi="Courier New"/>
          <w:sz w:val="16"/>
          <w:szCs w:val="16"/>
          <w:color w:val="auto"/>
        </w:rPr>
        <w:t>plus, in either of the above cases, accrued and unpaid interest thereon to the date of redemption.</w:t>
      </w:r>
    </w:p>
    <w:p>
      <w:pPr>
        <w:spacing w:after="0" w:line="1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"Adjusted treasury rate" means, with respect to any redemption date:</w:t>
      </w:r>
    </w:p>
    <w:p>
      <w:pPr>
        <w:spacing w:after="0" w:line="179" w:lineRule="exact"/>
        <w:rPr>
          <w:sz w:val="20"/>
          <w:szCs w:val="20"/>
          <w:color w:val="auto"/>
        </w:rPr>
      </w:pPr>
    </w:p>
    <w:p>
      <w:pPr>
        <w:ind w:left="940" w:right="2819" w:hanging="475"/>
        <w:spacing w:after="0" w:line="247" w:lineRule="auto"/>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yield, under the heading which represents the average for the immediately preceding week, appearing in the most recently published statistical release designated "H.15(519)" or any successor publication that is published weekly by the Board of Governors of the Federal Reserve System and that establishes yields on actively traded United States treasury securities adjusted to constant maturity under the caption "Treasury Constant Maturities," for the maturity corresponding to the comparable treasury issue (if no maturity is within three months before or after the remaining term of the exchange notes, yields for the two published maturities most closely corresponding to the comparable treasury issue shall be determined and the adjusted treasury rate shall be interpolated or extrapolated from such yields on a straight line basis, rounding to the nearest month); or</w:t>
      </w:r>
    </w:p>
    <w:p>
      <w:pPr>
        <w:spacing w:after="0" w:line="94" w:lineRule="exact"/>
        <w:rPr>
          <w:rFonts w:ascii="Courier New" w:cs="Courier New" w:eastAsia="Courier New" w:hAnsi="Courier New"/>
          <w:sz w:val="16"/>
          <w:szCs w:val="16"/>
          <w:color w:val="auto"/>
        </w:rPr>
      </w:pPr>
    </w:p>
    <w:p>
      <w:pPr>
        <w:ind w:left="940" w:right="2819" w:hanging="475"/>
        <w:spacing w:after="0" w:line="257" w:lineRule="auto"/>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the relevant redemption date.</w:t>
      </w:r>
    </w:p>
    <w:p>
      <w:pPr>
        <w:spacing w:after="0" w:line="84" w:lineRule="exact"/>
        <w:rPr>
          <w:sz w:val="20"/>
          <w:szCs w:val="20"/>
          <w:color w:val="auto"/>
        </w:rPr>
      </w:pPr>
    </w:p>
    <w:p>
      <w:pPr>
        <w:ind w:right="3479"/>
        <w:spacing w:after="0" w:line="348" w:lineRule="auto"/>
        <w:rPr>
          <w:sz w:val="20"/>
          <w:szCs w:val="20"/>
          <w:color w:val="auto"/>
        </w:rPr>
      </w:pPr>
      <w:r>
        <w:rPr>
          <w:rFonts w:ascii="Courier New" w:cs="Courier New" w:eastAsia="Courier New" w:hAnsi="Courier New"/>
          <w:sz w:val="16"/>
          <w:szCs w:val="16"/>
          <w:color w:val="auto"/>
        </w:rPr>
        <w:t>The adjusted treasury rate shall be calculated on the third business day preceding the redemption date.</w:t>
      </w:r>
    </w:p>
    <w:p>
      <w:pPr>
        <w:spacing w:after="0" w:line="15" w:lineRule="exact"/>
        <w:rPr>
          <w:sz w:val="20"/>
          <w:szCs w:val="20"/>
          <w:color w:val="auto"/>
        </w:rPr>
      </w:pPr>
    </w:p>
    <w:p>
      <w:pPr>
        <w:ind w:right="2819" w:firstLine="469"/>
        <w:spacing w:after="0" w:line="260" w:lineRule="auto"/>
        <w:rPr>
          <w:sz w:val="20"/>
          <w:szCs w:val="20"/>
          <w:color w:val="auto"/>
        </w:rPr>
      </w:pPr>
      <w:r>
        <w:rPr>
          <w:rFonts w:ascii="Courier New" w:cs="Courier New" w:eastAsia="Courier New" w:hAnsi="Courier New"/>
          <w:sz w:val="16"/>
          <w:szCs w:val="16"/>
          <w:color w:val="auto"/>
        </w:rPr>
        <w:t>"Comparable treasury issue" means the United States treasury security selected by an independent investment banker as having a maturity comparable to the remaining term of the exchange notes to be redeemed that would be utilized, at the time of selection and in accordance with customary financial practice, in pricing new issues of corporate debt securities of comparable maturity to the remaining term of the exchange notes.</w:t>
      </w:r>
    </w:p>
    <w:p>
      <w:pPr>
        <w:spacing w:after="0" w:line="84" w:lineRule="exact"/>
        <w:rPr>
          <w:sz w:val="20"/>
          <w:szCs w:val="20"/>
          <w:color w:val="auto"/>
        </w:rPr>
      </w:pPr>
    </w:p>
    <w:p>
      <w:pPr>
        <w:ind w:right="2819" w:firstLine="469"/>
        <w:spacing w:after="0" w:line="266" w:lineRule="auto"/>
        <w:rPr>
          <w:sz w:val="20"/>
          <w:szCs w:val="20"/>
          <w:color w:val="auto"/>
        </w:rPr>
      </w:pPr>
      <w:r>
        <w:rPr>
          <w:rFonts w:ascii="Courier New" w:cs="Courier New" w:eastAsia="Courier New" w:hAnsi="Courier New"/>
          <w:sz w:val="16"/>
          <w:szCs w:val="16"/>
          <w:color w:val="auto"/>
        </w:rPr>
        <w:t>"Comparable treasury price" means (1) the average of four reference treasury dealer quotations for such redemption date, after excluding the highest and lowest reference treasury dealer quotations, or (2) if the independent investment banker obtains fewer than four reference treasury dealer quotations, the average of all such quotations.</w:t>
      </w:r>
    </w:p>
    <w:p>
      <w:pPr>
        <w:spacing w:after="0" w:line="78" w:lineRule="exact"/>
        <w:rPr>
          <w:sz w:val="20"/>
          <w:szCs w:val="20"/>
          <w:color w:val="auto"/>
        </w:rPr>
      </w:pPr>
    </w:p>
    <w:p>
      <w:pPr>
        <w:ind w:right="3479" w:firstLine="469"/>
        <w:spacing w:after="0" w:line="348" w:lineRule="auto"/>
        <w:rPr>
          <w:sz w:val="20"/>
          <w:szCs w:val="20"/>
          <w:color w:val="auto"/>
        </w:rPr>
      </w:pPr>
      <w:r>
        <w:rPr>
          <w:rFonts w:ascii="Courier New" w:cs="Courier New" w:eastAsia="Courier New" w:hAnsi="Courier New"/>
          <w:sz w:val="16"/>
          <w:szCs w:val="16"/>
          <w:color w:val="auto"/>
        </w:rPr>
        <w:t>"Independent investment banker" means one of the reference treasury dealers appointed by the trustee after consultation with us.</w:t>
      </w:r>
    </w:p>
    <w:p>
      <w:pPr>
        <w:spacing w:after="0" w:line="1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"Reference treasury dealer" means:</w:t>
      </w:r>
    </w:p>
    <w:p>
      <w:pPr>
        <w:spacing w:after="0" w:line="179" w:lineRule="exact"/>
        <w:rPr>
          <w:sz w:val="20"/>
          <w:szCs w:val="20"/>
          <w:color w:val="auto"/>
        </w:rPr>
      </w:pPr>
    </w:p>
    <w:p>
      <w:pPr>
        <w:ind w:left="940" w:right="2819" w:hanging="475"/>
        <w:spacing w:after="0" w:line="266" w:lineRule="auto"/>
        <w:tabs>
          <w:tab w:leader="none" w:pos="9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Morgan Stanley &amp; Co. Incorporated, Salomon Smith Barney Inc., ABN AMRO Incorporated, Banc of America Securities LLC and their respective successors; provided, however, that if any of them cease to be a primary U.S. Government securities dealer in New York City, we will substitute another primary treasury dealer, and</w:t>
      </w:r>
    </w:p>
    <w:p>
      <w:pPr>
        <w:spacing w:after="0" w:line="25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991" w:right="1440" w:bottom="1440" w:gutter="0" w:footer="0" w:header="0"/>
        </w:sectPr>
      </w:pPr>
    </w:p>
    <w:bookmarkStart w:id="10" w:name="page11"/>
    <w:bookmarkEnd w:id="10"/>
    <w:p>
      <w:pPr>
        <w:ind w:left="940" w:hanging="475"/>
        <w:spacing w:after="0"/>
        <w:tabs>
          <w:tab w:leader="none" w:pos="9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primary treasury dealer selected by us.</w:t>
      </w:r>
    </w:p>
    <w:p>
      <w:pPr>
        <w:spacing w:after="0" w:line="179" w:lineRule="exact"/>
        <w:rPr>
          <w:sz w:val="20"/>
          <w:szCs w:val="20"/>
          <w:color w:val="auto"/>
        </w:rPr>
      </w:pPr>
    </w:p>
    <w:p>
      <w:pPr>
        <w:ind w:right="2999" w:firstLine="469"/>
        <w:spacing w:after="0" w:line="257" w:lineRule="auto"/>
        <w:rPr>
          <w:sz w:val="20"/>
          <w:szCs w:val="20"/>
          <w:color w:val="auto"/>
        </w:rPr>
      </w:pPr>
      <w:r>
        <w:rPr>
          <w:rFonts w:ascii="Courier New" w:cs="Courier New" w:eastAsia="Courier New" w:hAnsi="Courier New"/>
          <w:sz w:val="16"/>
          <w:szCs w:val="16"/>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84" w:lineRule="exact"/>
        <w:rPr>
          <w:sz w:val="20"/>
          <w:szCs w:val="20"/>
          <w:color w:val="auto"/>
        </w:rPr>
      </w:pPr>
    </w:p>
    <w:p>
      <w:pPr>
        <w:ind w:right="2899" w:firstLine="469"/>
        <w:spacing w:after="0" w:line="266" w:lineRule="auto"/>
        <w:rPr>
          <w:sz w:val="20"/>
          <w:szCs w:val="20"/>
          <w:color w:val="auto"/>
        </w:rPr>
      </w:pPr>
      <w:r>
        <w:rPr>
          <w:rFonts w:ascii="Courier New" w:cs="Courier New" w:eastAsia="Courier New" w:hAnsi="Courier New"/>
          <w:sz w:val="16"/>
          <w:szCs w:val="16"/>
          <w:color w:val="auto"/>
        </w:rPr>
        <w:t>We will mail a notice of redemption at least 30 days but not more than 60 days before the redemption date to each holder of exchange notes to be redeemed. If we elect to partially redeem the exchange notes, the trustee will select in a fair and appropriate manner the exchange notes to be redeemed. (Section 12.2).</w:t>
      </w:r>
    </w:p>
    <w:p>
      <w:pPr>
        <w:spacing w:after="0" w:line="78" w:lineRule="exact"/>
        <w:rPr>
          <w:sz w:val="20"/>
          <w:szCs w:val="20"/>
          <w:color w:val="auto"/>
        </w:rPr>
      </w:pPr>
    </w:p>
    <w:p>
      <w:pPr>
        <w:ind w:right="2819" w:firstLine="469"/>
        <w:spacing w:after="0" w:line="260" w:lineRule="auto"/>
        <w:rPr>
          <w:sz w:val="20"/>
          <w:szCs w:val="20"/>
          <w:color w:val="auto"/>
        </w:rPr>
      </w:pPr>
      <w:r>
        <w:rPr>
          <w:rFonts w:ascii="Courier New" w:cs="Courier New" w:eastAsia="Courier New" w:hAnsi="Courier New"/>
          <w:sz w:val="16"/>
          <w:szCs w:val="16"/>
          <w:color w:val="auto"/>
        </w:rPr>
        <w:t>Once we have given notice of redemption for any exchange notes, those exchange notes will become due and payable on the date and at the place stated in such notice at the applicable redemption price, together with interest accrued to the date fixed for redemption. On and after the date fixed for redemption, those exchange notes will, with limited exceptions, cease to accrue interest. (Section 12.4).</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Covenants of TI</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covenants apply to the exchange notes: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Certain Definitions. The term "attributable debt" in respect of a sale and</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leaseback transaction means, at the time of determination, the present value</w:t>
      </w:r>
    </w:p>
    <w:p>
      <w:pPr>
        <w:spacing w:after="0"/>
        <w:rPr>
          <w:sz w:val="20"/>
          <w:szCs w:val="20"/>
          <w:color w:val="auto"/>
        </w:rPr>
      </w:pPr>
      <w:r>
        <w:rPr>
          <w:rFonts w:ascii="Courier New" w:cs="Courier New" w:eastAsia="Courier New" w:hAnsi="Courier New"/>
          <w:sz w:val="16"/>
          <w:szCs w:val="16"/>
          <w:color w:val="auto"/>
        </w:rPr>
        <w:t>(discounted at the interest rate implicit in the lease or, if it is not</w:t>
      </w:r>
    </w:p>
    <w:p>
      <w:pPr>
        <w:spacing w:after="0"/>
        <w:rPr>
          <w:sz w:val="20"/>
          <w:szCs w:val="20"/>
          <w:color w:val="auto"/>
        </w:rPr>
      </w:pPr>
      <w:r>
        <w:rPr>
          <w:rFonts w:ascii="Courier New" w:cs="Courier New" w:eastAsia="Courier New" w:hAnsi="Courier New"/>
          <w:sz w:val="16"/>
          <w:szCs w:val="16"/>
          <w:color w:val="auto"/>
        </w:rPr>
        <w:t>practicable to determine such rate, then at the incremental borrowing rate of</w:t>
      </w:r>
    </w:p>
    <w:p>
      <w:pPr>
        <w:spacing w:after="0"/>
        <w:rPr>
          <w:sz w:val="20"/>
          <w:szCs w:val="20"/>
          <w:color w:val="auto"/>
        </w:rPr>
      </w:pPr>
      <w:r>
        <w:rPr>
          <w:rFonts w:ascii="Courier New" w:cs="Courier New" w:eastAsia="Courier New" w:hAnsi="Courier New"/>
          <w:sz w:val="16"/>
          <w:szCs w:val="16"/>
          <w:color w:val="auto"/>
        </w:rPr>
        <w:t>TI determined in accordance with generally accepted accounting principles) of</w:t>
      </w:r>
    </w:p>
    <w:p>
      <w:pPr>
        <w:spacing w:after="0"/>
        <w:rPr>
          <w:sz w:val="20"/>
          <w:szCs w:val="20"/>
          <w:color w:val="auto"/>
        </w:rPr>
      </w:pPr>
      <w:r>
        <w:rPr>
          <w:rFonts w:ascii="Courier New" w:cs="Courier New" w:eastAsia="Courier New" w:hAnsi="Courier New"/>
          <w:sz w:val="15"/>
          <w:szCs w:val="15"/>
          <w:color w:val="auto"/>
        </w:rPr>
        <w:t>the obligation of the lessee for net rental payments during the remaining term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any lease.</w:t>
      </w:r>
    </w:p>
    <w:p>
      <w:pPr>
        <w:spacing w:after="0"/>
        <w:rPr>
          <w:sz w:val="20"/>
          <w:szCs w:val="20"/>
          <w:color w:val="auto"/>
        </w:rPr>
      </w:pPr>
      <w:r>
        <w:rPr>
          <w:rFonts w:ascii="Courier New" w:cs="Courier New" w:eastAsia="Courier New" w:hAnsi="Courier New"/>
          <w:sz w:val="16"/>
          <w:szCs w:val="16"/>
          <w:color w:val="auto"/>
        </w:rPr>
        <w:t>(Section 3.7).</w:t>
      </w:r>
    </w:p>
    <w:p>
      <w:pPr>
        <w:spacing w:after="0" w:line="151" w:lineRule="exact"/>
        <w:rPr>
          <w:sz w:val="20"/>
          <w:szCs w:val="20"/>
          <w:color w:val="auto"/>
        </w:rPr>
      </w:pPr>
    </w:p>
    <w:p>
      <w:pPr>
        <w:ind w:right="2819" w:firstLine="469"/>
        <w:spacing w:after="0" w:line="260" w:lineRule="auto"/>
        <w:rPr>
          <w:sz w:val="20"/>
          <w:szCs w:val="20"/>
          <w:color w:val="auto"/>
        </w:rPr>
      </w:pPr>
      <w:r>
        <w:rPr>
          <w:rFonts w:ascii="Courier New" w:cs="Courier New" w:eastAsia="Courier New" w:hAnsi="Courier New"/>
          <w:sz w:val="16"/>
          <w:szCs w:val="16"/>
          <w:color w:val="auto"/>
        </w:rPr>
        <w:t>The term "consolidated net tangible assets" means, at any date, the total assets appearing on the audited annual consolidated balance sheet of TI and its subsidiaries for TI's most recently completed fiscal year, prepared in accordance with generally accepted accounting principles, less (a) all current liabilities as shown on such balance sheet, and (b) intangible assets. (Section 1.1).</w:t>
      </w:r>
    </w:p>
    <w:p>
      <w:pPr>
        <w:spacing w:after="0" w:line="84" w:lineRule="exact"/>
        <w:rPr>
          <w:sz w:val="20"/>
          <w:szCs w:val="20"/>
          <w:color w:val="auto"/>
        </w:rPr>
      </w:pPr>
    </w:p>
    <w:p>
      <w:pPr>
        <w:ind w:right="2899" w:firstLine="469"/>
        <w:spacing w:after="0" w:line="288" w:lineRule="auto"/>
        <w:rPr>
          <w:sz w:val="20"/>
          <w:szCs w:val="20"/>
          <w:color w:val="auto"/>
        </w:rPr>
      </w:pPr>
      <w:r>
        <w:rPr>
          <w:rFonts w:ascii="Courier New" w:cs="Courier New" w:eastAsia="Courier New" w:hAnsi="Courier New"/>
          <w:sz w:val="15"/>
          <w:szCs w:val="15"/>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 (Section 1.1).</w:t>
      </w:r>
    </w:p>
    <w:p>
      <w:pPr>
        <w:spacing w:after="0" w:line="63"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6"/>
          <w:szCs w:val="16"/>
          <w:color w:val="auto"/>
        </w:rPr>
        <w:t>The term "principal manufacturing property" means each manufacturing or processing plant or facility of TI or a subsidiary located in the United States of America (other than its territories and possessions) or Puerto Rico, except any such manufacturing or processing plant or facility which the board of directors by resolution reasonably determines not to be of material importance to the total business conducted by TI and its consolidated subsidiaries. (Section 1.1).</w:t>
      </w:r>
    </w:p>
    <w:p>
      <w:pPr>
        <w:spacing w:after="0" w:line="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term "restricted subsidiary" means:</w:t>
      </w:r>
    </w:p>
    <w:p>
      <w:pPr>
        <w:spacing w:after="0" w:line="179" w:lineRule="exact"/>
        <w:rPr>
          <w:sz w:val="20"/>
          <w:szCs w:val="20"/>
          <w:color w:val="auto"/>
        </w:rPr>
      </w:pPr>
    </w:p>
    <w:p>
      <w:pPr>
        <w:ind w:left="940" w:right="2819" w:hanging="475"/>
        <w:spacing w:after="0" w:line="260" w:lineRule="auto"/>
        <w:tabs>
          <w:tab w:leader="none" w:pos="9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subsidiary of TI which owns or is the lessee of any principal manufacturing property; provided, however, that the term "restricted subsidiary" shall not include (1) any subsidiary primarily engaged in financing the operations of TI or its subsidiaries or both or (2) any subsidiary acquired or organized for the purpose of business acquisitions, or</w:t>
      </w:r>
    </w:p>
    <w:p>
      <w:pPr>
        <w:spacing w:after="0" w:line="84" w:lineRule="exact"/>
        <w:rPr>
          <w:rFonts w:ascii="Courier New" w:cs="Courier New" w:eastAsia="Courier New" w:hAnsi="Courier New"/>
          <w:sz w:val="16"/>
          <w:szCs w:val="16"/>
          <w:color w:val="auto"/>
        </w:rPr>
      </w:pPr>
    </w:p>
    <w:p>
      <w:pPr>
        <w:ind w:left="940" w:right="3099" w:hanging="475"/>
        <w:spacing w:after="0" w:line="348" w:lineRule="auto"/>
        <w:tabs>
          <w:tab w:leader="none" w:pos="9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subsidiary which is hereafter designated by the board of directors as a restricted subsidiary. (Section 1.1).</w:t>
      </w:r>
    </w:p>
    <w:p>
      <w:pPr>
        <w:spacing w:after="0" w:line="19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991" w:right="1440" w:bottom="1440" w:gutter="0" w:footer="0" w:header="0"/>
        </w:sectPr>
      </w:pPr>
    </w:p>
    <w:bookmarkStart w:id="11" w:name="page12"/>
    <w:bookmarkEnd w:id="11"/>
    <w:p>
      <w:pPr>
        <w:ind w:right="2899" w:firstLine="469"/>
        <w:spacing w:after="0" w:line="251" w:lineRule="auto"/>
        <w:rPr>
          <w:sz w:val="20"/>
          <w:szCs w:val="20"/>
          <w:color w:val="auto"/>
        </w:rPr>
      </w:pPr>
      <w:r>
        <w:rPr>
          <w:rFonts w:ascii="Courier New" w:cs="Courier New" w:eastAsia="Courier New" w:hAnsi="Courier New"/>
          <w:sz w:val="16"/>
          <w:szCs w:val="16"/>
          <w:color w:val="auto"/>
        </w:rPr>
        <w:t>Restrictions on Liens. TI will not nor will it permit any restricted subsidiary to issue or assume any debt for money borrowed (which, including guarantees of debt for borrowed money, we refer to as "debt"), if the debt is secured by a mortgage, pledge, lien or other encumbrance (which we refer to as a "mortgage") upon any principal manufacturing property or on any shares of stock or debt of any restricted subsidiary (whether such principal manufacturing property, shares of stock or debt is now owned or subsequently acquired) without in any such case effectively providing that the exchange notes shall be secured equally and ratably with the debt. The foregoing restrictions shall not apply to:</w:t>
      </w:r>
    </w:p>
    <w:p>
      <w:pPr>
        <w:spacing w:after="0" w:line="89" w:lineRule="exact"/>
        <w:rPr>
          <w:sz w:val="20"/>
          <w:szCs w:val="20"/>
          <w:color w:val="auto"/>
        </w:rPr>
      </w:pPr>
    </w:p>
    <w:p>
      <w:pPr>
        <w:ind w:left="940" w:right="3279" w:hanging="475"/>
        <w:spacing w:after="0" w:line="293" w:lineRule="auto"/>
        <w:tabs>
          <w:tab w:leader="none" w:pos="9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on property existing at the time of or within 120 days after acquisition of the property and certain purchase money mortgages;</w:t>
      </w:r>
    </w:p>
    <w:p>
      <w:pPr>
        <w:spacing w:after="0" w:line="57" w:lineRule="exact"/>
        <w:rPr>
          <w:rFonts w:ascii="Courier New" w:cs="Courier New" w:eastAsia="Courier New" w:hAnsi="Courier New"/>
          <w:sz w:val="16"/>
          <w:szCs w:val="16"/>
          <w:color w:val="auto"/>
        </w:rPr>
      </w:pPr>
    </w:p>
    <w:p>
      <w:pPr>
        <w:ind w:left="940" w:right="3099" w:hanging="475"/>
        <w:spacing w:after="0" w:line="293" w:lineRule="auto"/>
        <w:tabs>
          <w:tab w:leader="none" w:pos="9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on property of a corporation existing at the time that corporation is merged into or consolidated with TI or a restricted subsidiary;</w:t>
      </w:r>
    </w:p>
    <w:p>
      <w:pPr>
        <w:spacing w:after="0" w:line="57" w:lineRule="exact"/>
        <w:rPr>
          <w:rFonts w:ascii="Courier New" w:cs="Courier New" w:eastAsia="Courier New" w:hAnsi="Courier New"/>
          <w:sz w:val="16"/>
          <w:szCs w:val="16"/>
          <w:color w:val="auto"/>
        </w:rPr>
      </w:pPr>
    </w:p>
    <w:p>
      <w:pPr>
        <w:ind w:left="940" w:right="2819" w:hanging="475"/>
        <w:spacing w:after="0" w:line="288" w:lineRule="auto"/>
        <w:tabs>
          <w:tab w:leader="none" w:pos="9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in favor of the United States or any political subdivision or any instrumentality thereof, to secure certain payments pursuant to any contract or statute or to secure any indebtedness incurred for the purpose of financing all or any part of the purchase price or the cost of construction of the property subject to the mortgages;</w:t>
      </w:r>
    </w:p>
    <w:p>
      <w:pPr>
        <w:spacing w:after="0" w:line="62" w:lineRule="exact"/>
        <w:rPr>
          <w:rFonts w:ascii="Courier New" w:cs="Courier New" w:eastAsia="Courier New" w:hAnsi="Courier New"/>
          <w:sz w:val="15"/>
          <w:szCs w:val="15"/>
          <w:color w:val="auto"/>
        </w:rPr>
      </w:pPr>
    </w:p>
    <w:p>
      <w:pPr>
        <w:ind w:left="940" w:right="3279" w:hanging="475"/>
        <w:spacing w:after="0" w:line="293" w:lineRule="auto"/>
        <w:tabs>
          <w:tab w:leader="none" w:pos="9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extension, renewal or replacement (or successive extensions, renewals or replacements), in whole or in part, of any mortgage referred to in clauses (a) through (c) above; and</w:t>
      </w:r>
    </w:p>
    <w:p>
      <w:pPr>
        <w:spacing w:after="0" w:line="57" w:lineRule="exact"/>
        <w:rPr>
          <w:rFonts w:ascii="Courier New" w:cs="Courier New" w:eastAsia="Courier New" w:hAnsi="Courier New"/>
          <w:sz w:val="16"/>
          <w:szCs w:val="16"/>
          <w:color w:val="auto"/>
        </w:rPr>
      </w:pPr>
    </w:p>
    <w:p>
      <w:pPr>
        <w:ind w:left="940" w:right="2899" w:hanging="475"/>
        <w:spacing w:after="0" w:line="348" w:lineRule="auto"/>
        <w:tabs>
          <w:tab w:leader="none" w:pos="9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securing the indebtedness of a restricted subsidiary to TI or to another restricted subsidiary. (Section 3.6).</w:t>
      </w:r>
    </w:p>
    <w:p>
      <w:pPr>
        <w:spacing w:after="0" w:line="15" w:lineRule="exact"/>
        <w:rPr>
          <w:sz w:val="20"/>
          <w:szCs w:val="20"/>
          <w:color w:val="auto"/>
        </w:rPr>
      </w:pPr>
    </w:p>
    <w:p>
      <w:pPr>
        <w:ind w:right="2819" w:firstLine="469"/>
        <w:spacing w:after="0" w:line="260" w:lineRule="auto"/>
        <w:rPr>
          <w:sz w:val="20"/>
          <w:szCs w:val="20"/>
          <w:color w:val="auto"/>
        </w:rPr>
      </w:pPr>
      <w:r>
        <w:rPr>
          <w:rFonts w:ascii="Courier New" w:cs="Courier New" w:eastAsia="Courier New" w:hAnsi="Courier New"/>
          <w:sz w:val="16"/>
          <w:szCs w:val="16"/>
          <w:color w:val="auto"/>
        </w:rPr>
        <w:t>Restrictions on Sale and Leaseback Transactions. TI will not, and will not permit any restricted subsidiary to, enter into any lease longer than three years covering any principal manufacturing property that is sold to any other person in connection with such lease unless the proceeds from such sale or transfer shall be at least equal to the fair value of such property as determined by resolution by TI's board of directors and either:</w:t>
      </w:r>
    </w:p>
    <w:p>
      <w:pPr>
        <w:spacing w:after="0" w:line="84" w:lineRule="exact"/>
        <w:rPr>
          <w:sz w:val="20"/>
          <w:szCs w:val="20"/>
          <w:color w:val="auto"/>
        </w:rPr>
      </w:pPr>
    </w:p>
    <w:p>
      <w:pPr>
        <w:ind w:left="940" w:right="2819" w:hanging="475"/>
        <w:spacing w:after="0" w:line="254" w:lineRule="auto"/>
        <w:tabs>
          <w:tab w:leader="none" w:pos="9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 or such restricted subsidiary would be entitled, pursuant to the "Restrictions on Liens" described above, to incur debt secured by a mortgage on the principal manufacturing property involved in an amount at least equal to the attributable debt in respect of the principal manufacturing property without equally and ratably securing the exchange notes, provided, that such attributable debt shall thereupon be deemed to be Debt subject to the provisions of such restrictions on liens, or</w:t>
      </w:r>
    </w:p>
    <w:p>
      <w:pPr>
        <w:spacing w:after="0" w:line="88" w:lineRule="exact"/>
        <w:rPr>
          <w:rFonts w:ascii="Courier New" w:cs="Courier New" w:eastAsia="Courier New" w:hAnsi="Courier New"/>
          <w:sz w:val="16"/>
          <w:szCs w:val="16"/>
          <w:color w:val="auto"/>
        </w:rPr>
      </w:pPr>
    </w:p>
    <w:p>
      <w:pPr>
        <w:ind w:left="940" w:right="2819" w:hanging="475"/>
        <w:spacing w:after="0" w:line="266" w:lineRule="auto"/>
        <w:tabs>
          <w:tab w:leader="none" w:pos="9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a period commencing twelve months prior to the consummation of the sale and leaseback transaction and ending twelve months after consummation of such transaction, TI or such restricted subsidiary has expended or will expend for principal manufacturing property an amount equal to</w:t>
      </w:r>
    </w:p>
    <w:p>
      <w:pPr>
        <w:spacing w:after="0" w:line="77" w:lineRule="exact"/>
        <w:rPr>
          <w:rFonts w:ascii="Courier New" w:cs="Courier New" w:eastAsia="Courier New" w:hAnsi="Courier New"/>
          <w:sz w:val="16"/>
          <w:szCs w:val="16"/>
          <w:color w:val="auto"/>
        </w:rPr>
      </w:pPr>
    </w:p>
    <w:p>
      <w:pPr>
        <w:ind w:left="1400" w:right="3379" w:hanging="466"/>
        <w:spacing w:after="0" w:line="293" w:lineRule="auto"/>
        <w:tabs>
          <w:tab w:leader="none" w:pos="140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proceeds of such sale and leaseback transaction and TI elects to designate such amount as a credit against such transaction, or</w:t>
      </w:r>
    </w:p>
    <w:p>
      <w:pPr>
        <w:spacing w:after="0" w:line="57" w:lineRule="exact"/>
        <w:rPr>
          <w:rFonts w:ascii="Courier New" w:cs="Courier New" w:eastAsia="Courier New" w:hAnsi="Courier New"/>
          <w:sz w:val="16"/>
          <w:szCs w:val="16"/>
          <w:color w:val="auto"/>
        </w:rPr>
      </w:pPr>
    </w:p>
    <w:p>
      <w:pPr>
        <w:ind w:left="1400" w:right="2899" w:hanging="466"/>
        <w:spacing w:after="0" w:line="275" w:lineRule="auto"/>
        <w:tabs>
          <w:tab w:leader="none" w:pos="140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 of the proceeds of such sale and leaseback transaction and TI elects to designate such amount as a credit against such transaction and treats an amount equal to the remainder of the proceeds as provided in clause (3) below, or</w:t>
      </w:r>
    </w:p>
    <w:p>
      <w:pPr>
        <w:spacing w:after="0" w:line="71" w:lineRule="exact"/>
        <w:rPr>
          <w:rFonts w:ascii="Courier New" w:cs="Courier New" w:eastAsia="Courier New" w:hAnsi="Courier New"/>
          <w:sz w:val="16"/>
          <w:szCs w:val="16"/>
          <w:color w:val="auto"/>
        </w:rPr>
      </w:pPr>
    </w:p>
    <w:p>
      <w:pPr>
        <w:ind w:left="1400" w:right="2819" w:hanging="466"/>
        <w:spacing w:after="0" w:line="281" w:lineRule="auto"/>
        <w:tabs>
          <w:tab w:leader="none" w:pos="140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attributable debt (less any amount elected under clause (2) above) (A) is applied within 120 days after the transaction to the retirement of funded debt or (B) is considered attributable debt for purposes of the calculation of exempted debt and, after giving effect to the exempted debt, the exempted debt does not exceed 5% of consolidated net tangible assets. (Section 3.7).</w:t>
      </w:r>
    </w:p>
    <w:p>
      <w:pPr>
        <w:spacing w:after="0" w:line="24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991" w:right="1440" w:bottom="1440" w:gutter="0" w:footer="0" w:header="0"/>
        </w:sectPr>
      </w:pPr>
    </w:p>
    <w:bookmarkStart w:id="12" w:name="page13"/>
    <w:bookmarkEnd w:id="12"/>
    <w:p>
      <w:pPr>
        <w:ind w:right="2819" w:firstLine="469"/>
        <w:spacing w:after="0" w:line="249" w:lineRule="auto"/>
        <w:rPr>
          <w:sz w:val="20"/>
          <w:szCs w:val="20"/>
          <w:color w:val="auto"/>
        </w:rPr>
      </w:pPr>
      <w:r>
        <w:rPr>
          <w:rFonts w:ascii="Courier New" w:cs="Courier New" w:eastAsia="Courier New" w:hAnsi="Courier New"/>
          <w:sz w:val="16"/>
          <w:szCs w:val="16"/>
          <w:color w:val="auto"/>
        </w:rPr>
        <w:t>Exempted Debt. Notwithstanding the restrictions on mortgages and sale and leaseback transactions described above, TI and its restricted subsidiaries may, in addition to amounts permitted under such restrictions, create debt secured by mortgages, or enter into sale and leaseback transactions, which would otherwise be subject to the foregoing restrictions, without equally and ratably securing the exchange notes and without any obligation to make expenditures for principal manufacturing property or to retire any debt, provided, that after giving effect thereto, the aggregate additional outstanding amount of such debt secured by mortgages plus attributable debt resulting from such sale and leaseback transactions does not exceed 5% of consolidated net tangible assets. (Sections 3.6 and 3.7).</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w:t>
      </w:r>
    </w:p>
    <w:p>
      <w:pPr>
        <w:spacing w:after="0" w:line="179" w:lineRule="exact"/>
        <w:rPr>
          <w:sz w:val="20"/>
          <w:szCs w:val="20"/>
          <w:color w:val="auto"/>
        </w:rPr>
      </w:pPr>
    </w:p>
    <w:p>
      <w:pPr>
        <w:ind w:right="3179" w:firstLine="469"/>
        <w:spacing w:after="0" w:line="348" w:lineRule="auto"/>
        <w:rPr>
          <w:sz w:val="20"/>
          <w:szCs w:val="20"/>
          <w:color w:val="auto"/>
        </w:rPr>
      </w:pPr>
      <w:r>
        <w:rPr>
          <w:rFonts w:ascii="Courier New" w:cs="Courier New" w:eastAsia="Courier New" w:hAnsi="Courier New"/>
          <w:sz w:val="16"/>
          <w:szCs w:val="16"/>
          <w:color w:val="auto"/>
        </w:rPr>
        <w:t>An event of default will occur under the indenture with respect to the exchange notes if:</w:t>
      </w:r>
    </w:p>
    <w:p>
      <w:pPr>
        <w:spacing w:after="0" w:line="15" w:lineRule="exact"/>
        <w:rPr>
          <w:sz w:val="20"/>
          <w:szCs w:val="20"/>
          <w:color w:val="auto"/>
        </w:rPr>
      </w:pPr>
    </w:p>
    <w:p>
      <w:pPr>
        <w:ind w:left="940" w:right="3279" w:hanging="475"/>
        <w:spacing w:after="0" w:line="382" w:lineRule="auto"/>
        <w:tabs>
          <w:tab w:leader="none" w:pos="9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shall fail to pay when due any installment of interest on the exchange notes and such default shall continue for 30 days;</w:t>
      </w:r>
    </w:p>
    <w:p>
      <w:pPr>
        <w:ind w:left="940" w:right="3099" w:hanging="475"/>
        <w:spacing w:after="0" w:line="293"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 shall fail to pay when due all or any part of the principal of (and premium, if any, on) the exchange notes (whether at maturity, upon redemption, upon acceleration or otherwise);</w:t>
      </w:r>
    </w:p>
    <w:p>
      <w:pPr>
        <w:spacing w:after="0" w:line="57" w:lineRule="exact"/>
        <w:rPr>
          <w:rFonts w:ascii="Courier New" w:cs="Courier New" w:eastAsia="Courier New" w:hAnsi="Courier New"/>
          <w:sz w:val="16"/>
          <w:szCs w:val="16"/>
          <w:color w:val="auto"/>
        </w:rPr>
      </w:pPr>
    </w:p>
    <w:p>
      <w:pPr>
        <w:ind w:left="940" w:right="2899" w:hanging="475"/>
        <w:spacing w:after="0" w:line="266"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 shall fail to perform or observe any other term, covenant or agreement contained in the indenture (other than a covenant included in the indenture solely for the benefit of a series of debt securities other than the exchange notes) for a period of 90 days after written notice thereof, as provided in the indenture;</w:t>
      </w:r>
    </w:p>
    <w:p>
      <w:pPr>
        <w:spacing w:after="0" w:line="77" w:lineRule="exact"/>
        <w:rPr>
          <w:rFonts w:ascii="Courier New" w:cs="Courier New" w:eastAsia="Courier New" w:hAnsi="Courier New"/>
          <w:sz w:val="16"/>
          <w:szCs w:val="16"/>
          <w:color w:val="auto"/>
        </w:rPr>
      </w:pPr>
    </w:p>
    <w:p>
      <w:pPr>
        <w:ind w:left="940" w:right="2819" w:hanging="475"/>
        <w:spacing w:after="0" w:line="348"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events of bankruptcy, insolvency or reorganization shall have occurred;</w:t>
      </w:r>
    </w:p>
    <w:p>
      <w:pPr>
        <w:spacing w:after="0" w:line="15" w:lineRule="exact"/>
        <w:rPr>
          <w:rFonts w:ascii="Courier New" w:cs="Courier New" w:eastAsia="Courier New" w:hAnsi="Courier New"/>
          <w:sz w:val="16"/>
          <w:szCs w:val="16"/>
          <w:color w:val="auto"/>
        </w:rPr>
      </w:pPr>
    </w:p>
    <w:p>
      <w:pPr>
        <w:ind w:left="940" w:right="3099" w:hanging="475"/>
        <w:spacing w:after="0" w:line="382" w:lineRule="auto"/>
        <w:tabs>
          <w:tab w:leader="none" w:pos="9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shall fail to convert any of the debt securities in accordance with the indenture and such default shall continue for 45 days; or</w:t>
      </w:r>
    </w:p>
    <w:p>
      <w:pPr>
        <w:ind w:left="940" w:right="2899" w:hanging="475"/>
        <w:spacing w:after="0" w:line="293"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 has not complied with any other covenant the noncompliance with which would specifically constitute an event of default with respect to the exchange notes. (Section 5.1).</w:t>
      </w:r>
    </w:p>
    <w:p>
      <w:pPr>
        <w:spacing w:after="0" w:line="5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indenture provides that,</w:t>
      </w:r>
    </w:p>
    <w:p>
      <w:pPr>
        <w:spacing w:after="0" w:line="179" w:lineRule="exact"/>
        <w:rPr>
          <w:sz w:val="20"/>
          <w:szCs w:val="20"/>
          <w:color w:val="auto"/>
        </w:rPr>
      </w:pPr>
    </w:p>
    <w:p>
      <w:pPr>
        <w:ind w:left="940" w:right="2819" w:hanging="475"/>
        <w:spacing w:after="0" w:line="269" w:lineRule="auto"/>
        <w:tabs>
          <w:tab w:leader="none" w:pos="9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event of default due to the default in payment of principal of, or interest on, any series of debt securities, or due to the default in performance or breach of any other covenant or warranty of TI applicable to the debt securities of such series but not applicable to all outstanding debt securities, or due to the default in the conversion of any series of debt securities, shall have occurred and be continuing, either the trustee or the holders of 25% in principal amount of the debt securities of such series then outstanding may declare the principal of all the exchange notes and interest accrued thereon to be due and payable immediately, and</w:t>
      </w:r>
    </w:p>
    <w:p>
      <w:pPr>
        <w:spacing w:after="0" w:line="79" w:lineRule="exact"/>
        <w:rPr>
          <w:rFonts w:ascii="Courier New" w:cs="Courier New" w:eastAsia="Courier New" w:hAnsi="Courier New"/>
          <w:sz w:val="15"/>
          <w:szCs w:val="15"/>
          <w:color w:val="auto"/>
        </w:rPr>
      </w:pPr>
    </w:p>
    <w:p>
      <w:pPr>
        <w:ind w:left="940" w:right="2899" w:hanging="475"/>
        <w:spacing w:after="0" w:line="264" w:lineRule="auto"/>
        <w:tabs>
          <w:tab w:leader="none" w:pos="9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event of default due to a default in the performance of any other of the covenants or agreements in the indenture applicable to all outstanding debt securities, or due to certain events of bankruptcy, insolvency and reorganization of TI, shall have occurred and be continuing, either the trustee or the holders of 25% in principal amount of all debt securities then outstanding (treated as one class) may declare the principal of all debt securities and interest accrued thereon to be due and payable immediately, but upon certain conditions such declarations may be annulled and past defaults may be waived (except a continuing default in payment of principal of (or premium, if any) or interest on the debt securities or in the conversion of any debt security in accordance with the indenture) by the holders of a majority in principal amount of the debt securities of any series (or of all series, as the case may be) then outstanding. (Sections 5.1 and 5.10).</w:t>
      </w:r>
    </w:p>
    <w:p>
      <w:pPr>
        <w:spacing w:after="0" w:line="82" w:lineRule="exact"/>
        <w:rPr>
          <w:sz w:val="20"/>
          <w:szCs w:val="20"/>
          <w:color w:val="auto"/>
        </w:rPr>
      </w:pPr>
    </w:p>
    <w:p>
      <w:pPr>
        <w:ind w:right="2899" w:firstLine="469"/>
        <w:spacing w:after="0" w:line="266" w:lineRule="auto"/>
        <w:rPr>
          <w:sz w:val="20"/>
          <w:szCs w:val="20"/>
          <w:color w:val="auto"/>
        </w:rPr>
      </w:pPr>
      <w:r>
        <w:rPr>
          <w:rFonts w:ascii="Courier New" w:cs="Courier New" w:eastAsia="Courier New" w:hAnsi="Courier New"/>
          <w:sz w:val="16"/>
          <w:szCs w:val="16"/>
          <w:color w:val="auto"/>
        </w:rPr>
        <w:t>The holders of a majority in principal amount of the outstanding exchange notes may direct the time, method and place of conducting any proceeding for any remedy available to the trustee or exercising any trust or power conferred on the trustee; provided that such direction shall not be in conflict with any rule of law or the indenture. (Section 5.9).</w:t>
      </w:r>
    </w:p>
    <w:p>
      <w:pPr>
        <w:spacing w:after="0" w:line="25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991" w:right="1440" w:bottom="1440" w:gutter="0" w:footer="0" w:header="0"/>
        </w:sectPr>
      </w:pPr>
    </w:p>
    <w:bookmarkStart w:id="13" w:name="page14"/>
    <w:bookmarkEnd w:id="13"/>
    <w:p>
      <w:pPr>
        <w:ind w:right="2999"/>
        <w:spacing w:after="0" w:line="266" w:lineRule="auto"/>
        <w:rPr>
          <w:sz w:val="20"/>
          <w:szCs w:val="20"/>
          <w:color w:val="auto"/>
        </w:rPr>
      </w:pPr>
      <w:r>
        <w:rPr>
          <w:rFonts w:ascii="Courier New" w:cs="Courier New" w:eastAsia="Courier New" w:hAnsi="Courier New"/>
          <w:sz w:val="16"/>
          <w:szCs w:val="16"/>
          <w:color w:val="auto"/>
        </w:rPr>
        <w:t>Before proceeding to exercise any right or power under the indenture at the direction of such holders, the trustee shall be entitled to receive from such holders reasonable security or indemnity against the costs, expenses and liabilities which might be incurred by it in compliance with any such direction. (Section 5.6).</w:t>
      </w:r>
    </w:p>
    <w:p>
      <w:pPr>
        <w:spacing w:after="0" w:line="78" w:lineRule="exact"/>
        <w:rPr>
          <w:sz w:val="20"/>
          <w:szCs w:val="20"/>
          <w:color w:val="auto"/>
        </w:rPr>
      </w:pPr>
    </w:p>
    <w:p>
      <w:pPr>
        <w:ind w:right="2819" w:firstLine="469"/>
        <w:spacing w:after="0" w:line="266" w:lineRule="auto"/>
        <w:rPr>
          <w:sz w:val="20"/>
          <w:szCs w:val="20"/>
          <w:color w:val="auto"/>
        </w:rPr>
      </w:pPr>
      <w:r>
        <w:rPr>
          <w:rFonts w:ascii="Courier New" w:cs="Courier New" w:eastAsia="Courier New" w:hAnsi="Courier New"/>
          <w:sz w:val="16"/>
          <w:szCs w:val="16"/>
          <w:color w:val="auto"/>
        </w:rPr>
        <w:t>TI will be required to furnish to the trustee annually a certificate of certain officers of TI to the effect that, to the best of their knowledge, TI is not in default in the performance or fulfillment of, or compliance with, the terms of the indenture or, if they have knowledge that TI is in default, specifying such default. (Section 3.5).</w:t>
      </w:r>
    </w:p>
    <w:p>
      <w:pPr>
        <w:spacing w:after="0" w:line="78" w:lineRule="exact"/>
        <w:rPr>
          <w:sz w:val="20"/>
          <w:szCs w:val="20"/>
          <w:color w:val="auto"/>
        </w:rPr>
      </w:pPr>
    </w:p>
    <w:p>
      <w:pPr>
        <w:ind w:right="2819" w:firstLine="469"/>
        <w:spacing w:after="0" w:line="252" w:lineRule="auto"/>
        <w:rPr>
          <w:sz w:val="20"/>
          <w:szCs w:val="20"/>
          <w:color w:val="auto"/>
        </w:rPr>
      </w:pPr>
      <w:r>
        <w:rPr>
          <w:rFonts w:ascii="Courier New" w:cs="Courier New" w:eastAsia="Courier New" w:hAnsi="Courier New"/>
          <w:sz w:val="16"/>
          <w:szCs w:val="16"/>
          <w:color w:val="auto"/>
        </w:rPr>
        <w:t>The indenture requires the trustee to give to all holders of outstanding exchange notes notice of any default by TI with respect to the exchange notes, unless such default shall have been cured or waived; however, except in the case of a default in the payment of principal of (and premium, if any) or interest on any outstanding exchange notes, the trustee is entitled to withhold such notice in the event that the board of directors, the executive committee or a trust committee of directors or certain officers of the trustee in good faith determine that withholding such notice is in the interest of the holders of the outstanding exchange notes. (Section 5.11).</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Defeasance and Discharge</w:t>
      </w:r>
    </w:p>
    <w:p>
      <w:pPr>
        <w:spacing w:after="0" w:line="179" w:lineRule="exact"/>
        <w:rPr>
          <w:sz w:val="20"/>
          <w:szCs w:val="20"/>
          <w:color w:val="auto"/>
        </w:rPr>
      </w:pPr>
    </w:p>
    <w:p>
      <w:pPr>
        <w:ind w:right="2819" w:firstLine="469"/>
        <w:spacing w:after="0" w:line="244" w:lineRule="auto"/>
        <w:rPr>
          <w:sz w:val="20"/>
          <w:szCs w:val="20"/>
          <w:color w:val="auto"/>
        </w:rPr>
      </w:pPr>
      <w:r>
        <w:rPr>
          <w:rFonts w:ascii="Courier New" w:cs="Courier New" w:eastAsia="Courier New" w:hAnsi="Courier New"/>
          <w:sz w:val="16"/>
          <w:szCs w:val="16"/>
          <w:color w:val="auto"/>
        </w:rPr>
        <w:t>The indenture provides that TI will be discharged from its obligations in respect of the indenture and the outstanding exchange notes (including its obligation to comply with the provisions referred to under "-- Certain Covenants of TI," if applicable, but excluding certain other obligations, such as the obligation to pay principal of, premium, if any, and interest, if any, on the exchange notes then outstanding, obligations of TI in the event of acceleration following default referred to in clause (a) above under "-- Events of Default" and obligations to register the transfer of, convert or exchange such outstanding exchange notes and to replace stolen, lost or mutilated certificates), upon the irrevocable deposit, in trust, of cash or U.S. Government Obligations (as defined) that through the payment of interest and principal thereof in accordance with their terms will provide cash in an amount sufficient to pay any installment of principal of (and premium, if any) and interest on such exchange notes on the stated maturity of such payments in accordance with the terms of the indenture and such outstanding exchange notes, provided that TI has received an opinion of counsel to the effect that such a discharge will not be deemed, or result in, a taxable event with respect to holders of the outstanding exchange notes and that certain other conditions are met. (Section 10.1).</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Modification of the Indenture</w:t>
      </w:r>
    </w:p>
    <w:p>
      <w:pPr>
        <w:spacing w:after="0" w:line="179" w:lineRule="exact"/>
        <w:rPr>
          <w:sz w:val="20"/>
          <w:szCs w:val="20"/>
          <w:color w:val="auto"/>
        </w:rPr>
      </w:pPr>
    </w:p>
    <w:p>
      <w:pPr>
        <w:ind w:right="2819" w:firstLine="469"/>
        <w:spacing w:after="0" w:line="382" w:lineRule="auto"/>
        <w:rPr>
          <w:sz w:val="20"/>
          <w:szCs w:val="20"/>
          <w:color w:val="auto"/>
        </w:rPr>
      </w:pPr>
      <w:r>
        <w:rPr>
          <w:rFonts w:ascii="Courier New" w:cs="Courier New" w:eastAsia="Courier New" w:hAnsi="Courier New"/>
          <w:sz w:val="15"/>
          <w:szCs w:val="15"/>
          <w:color w:val="auto"/>
        </w:rPr>
        <w:t>The indenture provides that TI and the trustee may enter into supplemental indentures without the consent of the holders of the exchange notes to:</w:t>
      </w:r>
    </w:p>
    <w:p>
      <w:pPr>
        <w:ind w:left="940" w:hanging="475"/>
        <w:spacing w:after="0"/>
        <w:tabs>
          <w:tab w:leader="none" w:pos="9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 any debt securities;</w:t>
      </w:r>
    </w:p>
    <w:p>
      <w:pPr>
        <w:spacing w:after="0" w:line="179" w:lineRule="exact"/>
        <w:rPr>
          <w:rFonts w:ascii="Courier New" w:cs="Courier New" w:eastAsia="Courier New" w:hAnsi="Courier New"/>
          <w:sz w:val="16"/>
          <w:szCs w:val="16"/>
          <w:color w:val="auto"/>
        </w:rPr>
      </w:pPr>
    </w:p>
    <w:p>
      <w:pPr>
        <w:ind w:left="940" w:right="2819" w:hanging="475"/>
        <w:spacing w:after="0" w:line="348" w:lineRule="auto"/>
        <w:tabs>
          <w:tab w:leader="none" w:pos="9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the assumption by a successor corporation of the obligations of TI;</w:t>
      </w:r>
    </w:p>
    <w:p>
      <w:pPr>
        <w:spacing w:after="0" w:line="15" w:lineRule="exact"/>
        <w:rPr>
          <w:rFonts w:ascii="Courier New" w:cs="Courier New" w:eastAsia="Courier New" w:hAnsi="Courier New"/>
          <w:sz w:val="16"/>
          <w:szCs w:val="16"/>
          <w:color w:val="auto"/>
        </w:rPr>
      </w:pPr>
    </w:p>
    <w:p>
      <w:pPr>
        <w:ind w:left="940" w:right="3759" w:hanging="475"/>
        <w:spacing w:after="0" w:line="348" w:lineRule="auto"/>
        <w:tabs>
          <w:tab w:leader="none" w:pos="9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 covenants for the protection of the holders of any debt securities;</w:t>
      </w:r>
    </w:p>
    <w:p>
      <w:pPr>
        <w:spacing w:after="0" w:line="15"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cure any ambiguity or correct any inconsistency in the indenture;</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the form or terms of the debt securities of any series; and</w:t>
      </w:r>
    </w:p>
    <w:p>
      <w:pPr>
        <w:spacing w:after="0" w:line="190" w:lineRule="exact"/>
        <w:rPr>
          <w:rFonts w:ascii="Courier New" w:cs="Courier New" w:eastAsia="Courier New" w:hAnsi="Courier New"/>
          <w:sz w:val="15"/>
          <w:szCs w:val="15"/>
          <w:color w:val="auto"/>
        </w:rPr>
      </w:pPr>
    </w:p>
    <w:p>
      <w:pPr>
        <w:ind w:left="940" w:right="3479" w:hanging="475"/>
        <w:spacing w:after="0" w:line="348" w:lineRule="auto"/>
        <w:tabs>
          <w:tab w:leader="none" w:pos="9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the acceptance of appointment by a successor trustee. (Section 8.1).</w:t>
      </w:r>
    </w:p>
    <w:p>
      <w:pPr>
        <w:spacing w:after="0" w:line="15" w:lineRule="exact"/>
        <w:rPr>
          <w:sz w:val="20"/>
          <w:szCs w:val="20"/>
          <w:color w:val="auto"/>
        </w:rPr>
      </w:pPr>
    </w:p>
    <w:p>
      <w:pPr>
        <w:ind w:right="2819" w:firstLine="469"/>
        <w:spacing w:after="0" w:line="276" w:lineRule="auto"/>
        <w:rPr>
          <w:sz w:val="20"/>
          <w:szCs w:val="20"/>
          <w:color w:val="auto"/>
        </w:rPr>
      </w:pPr>
      <w:r>
        <w:rPr>
          <w:rFonts w:ascii="Courier New" w:cs="Courier New" w:eastAsia="Courier New" w:hAnsi="Courier New"/>
          <w:sz w:val="15"/>
          <w:szCs w:val="15"/>
          <w:color w:val="auto"/>
        </w:rPr>
        <w:t>The indenture also contains provisions permitting TI and the trustee, with the consent of the holders of not less than a majority in principal amount of debt securities of each series then outstanding and affected, to add any provisions to, or change in any manner or eliminate any of the provisions of, the indenture or modify in any manner the rights of the holders of the debt securities so affected, provided that TI and the trustee may not, without the consent of the holder of each outstanding debt security affected thereby,</w:t>
      </w:r>
    </w:p>
    <w:p>
      <w:pPr>
        <w:spacing w:after="0" w:line="25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991" w:right="1440" w:bottom="1440" w:gutter="0" w:footer="0" w:header="0"/>
        </w:sectPr>
      </w:pPr>
    </w:p>
    <w:bookmarkStart w:id="14" w:name="page15"/>
    <w:bookmarkEnd w:id="14"/>
    <w:p>
      <w:pPr>
        <w:ind w:left="940" w:hanging="475"/>
        <w:spacing w:after="0"/>
        <w:tabs>
          <w:tab w:leader="none" w:pos="9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stated maturity of the principal of any debt security;</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principal amount thereof;</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rate or extend the time of payment of interest thereon;</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any amount payable on redemption thereof;</w:t>
      </w:r>
    </w:p>
    <w:p>
      <w:pPr>
        <w:spacing w:after="0" w:line="179" w:lineRule="exact"/>
        <w:rPr>
          <w:rFonts w:ascii="Courier New" w:cs="Courier New" w:eastAsia="Courier New" w:hAnsi="Courier New"/>
          <w:sz w:val="16"/>
          <w:szCs w:val="16"/>
          <w:color w:val="auto"/>
        </w:rPr>
      </w:pPr>
    </w:p>
    <w:p>
      <w:pPr>
        <w:jc w:val="both"/>
        <w:ind w:left="940" w:right="3099" w:hanging="475"/>
        <w:spacing w:after="0" w:line="293" w:lineRule="auto"/>
        <w:tabs>
          <w:tab w:leader="none" w:pos="9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 the right to institute suit for the enforcement of any such payment when due or of any conversion right thereof, or affect any right to convert any debt security;</w:t>
      </w:r>
    </w:p>
    <w:p>
      <w:pPr>
        <w:spacing w:after="0" w:line="57" w:lineRule="exact"/>
        <w:rPr>
          <w:rFonts w:ascii="Courier New" w:cs="Courier New" w:eastAsia="Courier New" w:hAnsi="Courier New"/>
          <w:sz w:val="16"/>
          <w:szCs w:val="16"/>
          <w:color w:val="auto"/>
        </w:rPr>
      </w:pPr>
    </w:p>
    <w:p>
      <w:pPr>
        <w:ind w:left="940" w:right="3479" w:hanging="475"/>
        <w:spacing w:after="0" w:line="348" w:lineRule="auto"/>
        <w:tabs>
          <w:tab w:leader="none" w:pos="9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currency in which the principal thereof or interest thereon is payable; or</w:t>
      </w:r>
    </w:p>
    <w:p>
      <w:pPr>
        <w:spacing w:after="0" w:line="15" w:lineRule="exact"/>
        <w:rPr>
          <w:rFonts w:ascii="Courier New" w:cs="Courier New" w:eastAsia="Courier New" w:hAnsi="Courier New"/>
          <w:sz w:val="16"/>
          <w:szCs w:val="16"/>
          <w:color w:val="auto"/>
        </w:rPr>
      </w:pPr>
    </w:p>
    <w:p>
      <w:pPr>
        <w:ind w:left="940" w:right="2819" w:hanging="475"/>
        <w:spacing w:after="0" w:line="293" w:lineRule="auto"/>
        <w:tabs>
          <w:tab w:leader="none" w:pos="9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aforesaid percentage in principal amount of the debt security the consent of the holders of which is required for any such modification. (Section 8.2).</w:t>
      </w:r>
    </w:p>
    <w:p>
      <w:pPr>
        <w:spacing w:after="0" w:line="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Consolidation, Merger, Conveyance or Transfer</w:t>
      </w:r>
    </w:p>
    <w:p>
      <w:pPr>
        <w:spacing w:after="0" w:line="179" w:lineRule="exact"/>
        <w:rPr>
          <w:sz w:val="20"/>
          <w:szCs w:val="20"/>
          <w:color w:val="auto"/>
        </w:rPr>
      </w:pPr>
    </w:p>
    <w:p>
      <w:pPr>
        <w:ind w:right="2819" w:firstLine="469"/>
        <w:spacing w:after="0" w:line="251" w:lineRule="auto"/>
        <w:rPr>
          <w:sz w:val="20"/>
          <w:szCs w:val="20"/>
          <w:color w:val="auto"/>
        </w:rPr>
      </w:pPr>
      <w:r>
        <w:rPr>
          <w:rFonts w:ascii="Courier New" w:cs="Courier New" w:eastAsia="Courier New" w:hAnsi="Courier New"/>
          <w:sz w:val="16"/>
          <w:szCs w:val="16"/>
          <w:color w:val="auto"/>
        </w:rPr>
        <w:t>TI may, without the consent of the trustee or the holders of the exchange notes, consolidate or merge with, or convey, transfer or lease its properties and assets substantially as an entirety to, any other corporation, provided that any successor corporation is a corporation organized under the laws of the United States of America or any state thereof or it agrees to indemnify and hold harmless the holders of the exchange notes against certain taxes and expenses and that such successor corporation expressly assumes all obligations of TI under the exchange notes and that certain other conditions are met, and, thereafter, except in the case of a lease, TI shall be relieved of all obligations thereunder. (Article Nine).</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Applicable Law</w:t>
      </w:r>
    </w:p>
    <w:p>
      <w:pPr>
        <w:spacing w:after="0" w:line="179" w:lineRule="exact"/>
        <w:rPr>
          <w:sz w:val="20"/>
          <w:szCs w:val="20"/>
          <w:color w:val="auto"/>
        </w:rPr>
      </w:pPr>
    </w:p>
    <w:p>
      <w:pPr>
        <w:ind w:right="2899" w:firstLine="469"/>
        <w:spacing w:after="0" w:line="348" w:lineRule="auto"/>
        <w:rPr>
          <w:sz w:val="20"/>
          <w:szCs w:val="20"/>
          <w:color w:val="auto"/>
        </w:rPr>
      </w:pPr>
      <w:r>
        <w:rPr>
          <w:rFonts w:ascii="Courier New" w:cs="Courier New" w:eastAsia="Courier New" w:hAnsi="Courier New"/>
          <w:sz w:val="16"/>
          <w:szCs w:val="16"/>
          <w:color w:val="auto"/>
        </w:rPr>
        <w:t>The exchange notes and the indenture will be governed by and construed in accordance with the laws of the State of New York. (Section 11.8).</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Delivery and Form</w:t>
      </w:r>
    </w:p>
    <w:p>
      <w:pPr>
        <w:spacing w:after="0" w:line="179" w:lineRule="exact"/>
        <w:rPr>
          <w:sz w:val="20"/>
          <w:szCs w:val="20"/>
          <w:color w:val="auto"/>
        </w:rPr>
      </w:pPr>
    </w:p>
    <w:p>
      <w:pPr>
        <w:ind w:right="2819" w:firstLine="469"/>
        <w:spacing w:after="0" w:line="266" w:lineRule="auto"/>
        <w:rPr>
          <w:sz w:val="20"/>
          <w:szCs w:val="20"/>
          <w:color w:val="auto"/>
        </w:rPr>
      </w:pPr>
      <w:r>
        <w:rPr>
          <w:rFonts w:ascii="Courier New" w:cs="Courier New" w:eastAsia="Courier New" w:hAnsi="Courier New"/>
          <w:sz w:val="16"/>
          <w:szCs w:val="16"/>
          <w:color w:val="auto"/>
        </w:rPr>
        <w:t>The certificates representing the exchange notes will be issued in fully registered form, without coupons. Except as described below, the exchange notes will be deposited with, or on behalf of, the Depository Trust Company, New York, New York, and registered in the name of DTC's nominee, in the form of a global note.</w:t>
      </w:r>
    </w:p>
    <w:p>
      <w:pPr>
        <w:spacing w:after="0" w:line="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expect that pursuant to procedures established by DTC:</w:t>
      </w:r>
    </w:p>
    <w:p>
      <w:pPr>
        <w:spacing w:after="0" w:line="179" w:lineRule="exact"/>
        <w:rPr>
          <w:sz w:val="20"/>
          <w:szCs w:val="20"/>
          <w:color w:val="auto"/>
        </w:rPr>
      </w:pPr>
    </w:p>
    <w:p>
      <w:pPr>
        <w:jc w:val="both"/>
        <w:ind w:left="940" w:right="2899" w:hanging="475"/>
        <w:spacing w:after="0" w:line="321" w:lineRule="auto"/>
        <w:tabs>
          <w:tab w:leader="none" w:pos="9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deposit of the global note, DTC or its custodian will credit on its internal system interests in the global notes to the accounts of persons who have accounts with DTC ("participants"); and</w:t>
      </w:r>
    </w:p>
    <w:p>
      <w:pPr>
        <w:spacing w:after="0" w:line="39" w:lineRule="exact"/>
        <w:rPr>
          <w:rFonts w:ascii="Courier New" w:cs="Courier New" w:eastAsia="Courier New" w:hAnsi="Courier New"/>
          <w:sz w:val="15"/>
          <w:szCs w:val="15"/>
          <w:color w:val="auto"/>
        </w:rPr>
      </w:pPr>
    </w:p>
    <w:p>
      <w:pPr>
        <w:ind w:left="940" w:right="2819" w:hanging="475"/>
        <w:spacing w:after="0" w:line="257" w:lineRule="auto"/>
        <w:tabs>
          <w:tab w:leader="none" w:pos="9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ownership of the global note will be shown on, and the transfer of ownership thereof will be effected only through, records maintained by DTC or its nominee (with respect to interests of participants) and the records of participants (with respect to interests of persons other than participants). Ownership of beneficial interests in the global note will be limited to participants or persons who hold interests through participants.</w:t>
      </w:r>
    </w:p>
    <w:p>
      <w:pPr>
        <w:spacing w:after="0" w:line="84"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6"/>
          <w:szCs w:val="16"/>
          <w:color w:val="auto"/>
        </w:rPr>
        <w:t>The descriptions of the operations and procedures of DTC, Euroclear and Cedelbank set forth below are provided solely as a matter of convenience. These operations and procedures are solely within the control of the respective settlement systems and are subject to change by them from time to time. We do not take any responsibility for these operations or procedures, and investors are urged to contact the relevant system or its participants directly to discuss these matters.</w:t>
      </w:r>
    </w:p>
    <w:p>
      <w:pPr>
        <w:spacing w:after="0" w:line="26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991" w:right="1440" w:bottom="1440" w:gutter="0" w:footer="0" w:header="0"/>
        </w:sectPr>
      </w:pPr>
    </w:p>
    <w:bookmarkStart w:id="15" w:name="page16"/>
    <w:bookmarkEnd w:id="15"/>
    <w:p>
      <w:pPr>
        <w:ind w:left="460"/>
        <w:spacing w:after="0"/>
        <w:rPr>
          <w:sz w:val="20"/>
          <w:szCs w:val="20"/>
          <w:color w:val="auto"/>
        </w:rPr>
      </w:pPr>
      <w:r>
        <w:rPr>
          <w:rFonts w:ascii="Courier New" w:cs="Courier New" w:eastAsia="Courier New" w:hAnsi="Courier New"/>
          <w:sz w:val="16"/>
          <w:szCs w:val="16"/>
          <w:color w:val="auto"/>
        </w:rPr>
        <w:t>DTC has advised us that it is:</w:t>
      </w:r>
    </w:p>
    <w:p>
      <w:pPr>
        <w:spacing w:after="0" w:line="179" w:lineRule="exact"/>
        <w:rPr>
          <w:sz w:val="20"/>
          <w:szCs w:val="20"/>
          <w:color w:val="auto"/>
        </w:rPr>
      </w:pPr>
    </w:p>
    <w:p>
      <w:pPr>
        <w:ind w:left="940" w:right="2819" w:hanging="475"/>
        <w:spacing w:after="0" w:line="348" w:lineRule="auto"/>
        <w:tabs>
          <w:tab w:leader="none" w:pos="9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limited-purpose trust company organized under the laws of the State of New York;</w:t>
      </w:r>
    </w:p>
    <w:p>
      <w:pPr>
        <w:spacing w:after="0" w:line="15" w:lineRule="exact"/>
        <w:rPr>
          <w:rFonts w:ascii="Courier New" w:cs="Courier New" w:eastAsia="Courier New" w:hAnsi="Courier New"/>
          <w:sz w:val="16"/>
          <w:szCs w:val="16"/>
          <w:color w:val="auto"/>
        </w:rPr>
      </w:pPr>
    </w:p>
    <w:p>
      <w:pPr>
        <w:ind w:left="940" w:right="2999" w:hanging="475"/>
        <w:spacing w:after="0" w:line="348" w:lineRule="auto"/>
        <w:tabs>
          <w:tab w:leader="none" w:pos="9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"banking organization" within the meaning of the New York Banking Law;</w:t>
      </w:r>
    </w:p>
    <w:p>
      <w:pPr>
        <w:spacing w:after="0" w:line="15"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member of the Federal Reserve System;</w:t>
      </w:r>
    </w:p>
    <w:p>
      <w:pPr>
        <w:spacing w:after="0" w:line="179" w:lineRule="exact"/>
        <w:rPr>
          <w:rFonts w:ascii="Courier New" w:cs="Courier New" w:eastAsia="Courier New" w:hAnsi="Courier New"/>
          <w:sz w:val="16"/>
          <w:szCs w:val="16"/>
          <w:color w:val="auto"/>
        </w:rPr>
      </w:pPr>
    </w:p>
    <w:p>
      <w:pPr>
        <w:ind w:left="940" w:right="2999" w:hanging="475"/>
        <w:spacing w:after="0" w:line="348" w:lineRule="auto"/>
        <w:tabs>
          <w:tab w:leader="none" w:pos="9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"clearing corporation" within the meaning of the New York Uniform Commercial Code, as amended; and</w:t>
      </w:r>
    </w:p>
    <w:p>
      <w:pPr>
        <w:spacing w:after="0" w:line="15" w:lineRule="exact"/>
        <w:rPr>
          <w:rFonts w:ascii="Courier New" w:cs="Courier New" w:eastAsia="Courier New" w:hAnsi="Courier New"/>
          <w:sz w:val="16"/>
          <w:szCs w:val="16"/>
          <w:color w:val="auto"/>
        </w:rPr>
      </w:pPr>
    </w:p>
    <w:p>
      <w:pPr>
        <w:ind w:left="940" w:right="2899" w:hanging="475"/>
        <w:spacing w:after="0" w:line="348" w:lineRule="auto"/>
        <w:tabs>
          <w:tab w:leader="none" w:pos="9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"clearing agency" registered pursuant to the provisions of Section 17A of the Securities Exchange Act of 1934, as amended.</w:t>
      </w:r>
    </w:p>
    <w:p>
      <w:pPr>
        <w:spacing w:after="0" w:line="15" w:lineRule="exact"/>
        <w:rPr>
          <w:sz w:val="20"/>
          <w:szCs w:val="20"/>
          <w:color w:val="auto"/>
        </w:rPr>
      </w:pPr>
    </w:p>
    <w:p>
      <w:pPr>
        <w:ind w:right="2899" w:firstLine="469"/>
        <w:spacing w:after="0" w:line="248" w:lineRule="auto"/>
        <w:rPr>
          <w:sz w:val="20"/>
          <w:szCs w:val="20"/>
          <w:color w:val="auto"/>
        </w:rPr>
      </w:pPr>
      <w:r>
        <w:rPr>
          <w:rFonts w:ascii="Courier New" w:cs="Courier New" w:eastAsia="Courier New" w:hAnsi="Courier New"/>
          <w:sz w:val="16"/>
          <w:szCs w:val="16"/>
          <w:color w:val="auto"/>
        </w:rPr>
        <w:t>DTC was created to hold securities for its participants and to facilitate the clearance and settlement of securities transactions between participants through electronic book-entry changes to the accounts of its participants, thereby eliminating the need for physical transfer and delivery of certificates. DTC's participants include securities brokers and dealers, banks and trust companies, clearing corporations and certain other organizations. Indirect access to DTC's system is also available to other entities such as banks, brokers, dealers and trust companies (collectively, the "indirect participants") that clear through or maintain a custodial relationship with a participant, either directly or indirectly. Investors who are not participants may beneficially own securities held by or on behalf of DTC only through participants or indirect participants.</w:t>
      </w:r>
    </w:p>
    <w:p>
      <w:pPr>
        <w:spacing w:after="0" w:line="97" w:lineRule="exact"/>
        <w:rPr>
          <w:sz w:val="20"/>
          <w:szCs w:val="20"/>
          <w:color w:val="auto"/>
        </w:rPr>
      </w:pPr>
    </w:p>
    <w:p>
      <w:pPr>
        <w:ind w:right="2819" w:firstLine="469"/>
        <w:spacing w:after="0" w:line="273" w:lineRule="auto"/>
        <w:rPr>
          <w:sz w:val="20"/>
          <w:szCs w:val="20"/>
          <w:color w:val="auto"/>
        </w:rPr>
      </w:pPr>
      <w:r>
        <w:rPr>
          <w:rFonts w:ascii="Courier New" w:cs="Courier New" w:eastAsia="Courier New" w:hAnsi="Courier New"/>
          <w:sz w:val="15"/>
          <w:szCs w:val="15"/>
          <w:color w:val="auto"/>
        </w:rPr>
        <w:t>We expect that pursuant to procedures established by DTC (i) upon deposit of each global note, DTC will credit, on its book-entry registration and transfer system, the designated accounts of participants with an interest in the global note and (ii) ownership of beneficial interests in the exchange notes will be shown on, and the transfer of ownership interests thereof will be shown on, and effected only through, records maintained by DTC (with respect to the interests of participants) and the participants and indirect participants (with respect to the interests of persons other than participants).</w:t>
      </w:r>
    </w:p>
    <w:p>
      <w:pPr>
        <w:spacing w:after="0" w:line="77" w:lineRule="exact"/>
        <w:rPr>
          <w:sz w:val="20"/>
          <w:szCs w:val="20"/>
          <w:color w:val="auto"/>
        </w:rPr>
      </w:pPr>
    </w:p>
    <w:p>
      <w:pPr>
        <w:ind w:right="2819" w:firstLine="469"/>
        <w:spacing w:after="0" w:line="249" w:lineRule="auto"/>
        <w:rPr>
          <w:sz w:val="20"/>
          <w:szCs w:val="20"/>
          <w:color w:val="auto"/>
        </w:rPr>
      </w:pPr>
      <w:r>
        <w:rPr>
          <w:rFonts w:ascii="Courier New" w:cs="Courier New" w:eastAsia="Courier New" w:hAnsi="Courier New"/>
          <w:sz w:val="16"/>
          <w:szCs w:val="16"/>
          <w:color w:val="auto"/>
        </w:rPr>
        <w:t>The laws of some jurisdictions may require that certain purchasers of securities take physical delivery of such securities in definitive form. Accordingly, the ability to transfer beneficial interests in the exchange notes represented by a global note to such persons may be limited. In addition, because DTC can act only on behalf of its participants, who in turn act on behalf of persons who hold interests through participants, the ability of a person having a beneficial interest in the exchange notes represented by a global note to pledge or transfer such interest to persons or entities that do not participate in DTC's system, or to otherwise take actions in respect of such interest, may be affected by the lack of physical definitive security in respect of such interest.</w:t>
      </w:r>
    </w:p>
    <w:p>
      <w:pPr>
        <w:spacing w:after="0" w:line="96" w:lineRule="exact"/>
        <w:rPr>
          <w:sz w:val="20"/>
          <w:szCs w:val="20"/>
          <w:color w:val="auto"/>
        </w:rPr>
      </w:pPr>
    </w:p>
    <w:p>
      <w:pPr>
        <w:ind w:right="2819" w:firstLine="469"/>
        <w:spacing w:after="0" w:line="261" w:lineRule="auto"/>
        <w:rPr>
          <w:sz w:val="20"/>
          <w:szCs w:val="20"/>
          <w:color w:val="auto"/>
        </w:rPr>
      </w:pPr>
      <w:r>
        <w:rPr>
          <w:rFonts w:ascii="Courier New" w:cs="Courier New" w:eastAsia="Courier New" w:hAnsi="Courier New"/>
          <w:sz w:val="15"/>
          <w:szCs w:val="15"/>
          <w:color w:val="auto"/>
        </w:rPr>
        <w:t>So long as DTC or its nominee is the registered owner of a global note, DTC or such nominee, as the case may be, will be considered the sole owner or holder of the exchange notes represented by the global note for all purposes of such exchange notes and under the indenture. Except as provided below, owners of beneficial interests in a global note will not be entitled to have the exchange notes represented by such global note registered in their names, will not receive or be entitled to receive physical delivery of certificated notes, and will not be considered the owners or holders thereof under the indenture for any purpose, including with respect to the giving of any direction, instruction or approval to the trustee thereunder. Accordingly, each holder owning a beneficial interest in a global note must rely on procedures of DTC and, if such holder is not a participant or an indirect participant, on the procedures of the participant through which such holder owns its interest, to exercise any rights of a holder of exchange notes under the indenture or such global note. We understand that under existing industry practice, in the event that we request any action of holders of exchange notes, or a holder that is an owner of a beneficial interest in a global note desires to take any action that DTC, as the holder of such global note, is entitled to take, DTC would authorize the participants to take such action and the participants would authorize holders owning through such participants to take such action or would otherwise act upon the instruction of such holders. Neither we nor the trustee will have any responsibility or liability for any</w:t>
      </w:r>
    </w:p>
    <w:p>
      <w:pPr>
        <w:spacing w:after="0" w:line="200" w:lineRule="exact"/>
        <w:rPr>
          <w:sz w:val="20"/>
          <w:szCs w:val="20"/>
          <w:color w:val="auto"/>
        </w:rPr>
      </w:pPr>
    </w:p>
    <w:p>
      <w:pPr>
        <w:spacing w:after="0" w:line="24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991" w:right="1440" w:bottom="1440" w:gutter="0" w:footer="0" w:header="0"/>
        </w:sectPr>
      </w:pPr>
    </w:p>
    <w:bookmarkStart w:id="16" w:name="page17"/>
    <w:bookmarkEnd w:id="16"/>
    <w:p>
      <w:pPr>
        <w:ind w:left="4" w:right="2819"/>
        <w:spacing w:after="0" w:line="293" w:lineRule="auto"/>
        <w:rPr>
          <w:sz w:val="20"/>
          <w:szCs w:val="20"/>
          <w:color w:val="auto"/>
        </w:rPr>
      </w:pPr>
      <w:r>
        <w:rPr>
          <w:rFonts w:ascii="Courier New" w:cs="Courier New" w:eastAsia="Courier New" w:hAnsi="Courier New"/>
          <w:sz w:val="16"/>
          <w:szCs w:val="16"/>
          <w:color w:val="auto"/>
        </w:rPr>
        <w:t>aspect of the records relating to or payments made on account of exchange notes by DTC, or for maintaining, supervising or reviewing any records of DTC relating to such exchange notes.</w:t>
      </w:r>
    </w:p>
    <w:p>
      <w:pPr>
        <w:spacing w:after="0" w:line="58" w:lineRule="exact"/>
        <w:rPr>
          <w:sz w:val="20"/>
          <w:szCs w:val="20"/>
          <w:color w:val="auto"/>
        </w:rPr>
      </w:pPr>
    </w:p>
    <w:p>
      <w:pPr>
        <w:ind w:left="4" w:right="2819" w:firstLine="469"/>
        <w:spacing w:after="0" w:line="264" w:lineRule="auto"/>
        <w:rPr>
          <w:sz w:val="20"/>
          <w:szCs w:val="20"/>
          <w:color w:val="auto"/>
        </w:rPr>
      </w:pPr>
      <w:r>
        <w:rPr>
          <w:rFonts w:ascii="Courier New" w:cs="Courier New" w:eastAsia="Courier New" w:hAnsi="Courier New"/>
          <w:sz w:val="15"/>
          <w:szCs w:val="15"/>
          <w:color w:val="auto"/>
        </w:rPr>
        <w:t>Payments with respect to principal of and premium, if any, and interest on, any exchange notes represented by a global note registered in the name of DTC or its nominee on the applicable record date will be payable by the trustee to or at the direction of DTC or its nominee in its capacity as the registered holder of the global note representing such exchange notes under the indenture. Under the terms of the indenture, we and the trustee may treat the persons in whose names the exchange notes, including the global notes, are registered as the owners thereof for the purpose of receiving payment thereon and for any and all other purposes whatsoever. Accordingly, neither we nor the trustee has or will have any responsibility or liability for the payment of such amounts to owners of beneficial interests in a global note (including principal, premium, if any, and interest). Payments by the participants and the indirect participants to the owners of beneficial interest in a global note will be governed by standing instructions and customary industry practice and will be the responsibility of the participants or the indirect participants and DTC.</w:t>
      </w:r>
    </w:p>
    <w:p>
      <w:pPr>
        <w:spacing w:after="0" w:line="82" w:lineRule="exact"/>
        <w:rPr>
          <w:sz w:val="20"/>
          <w:szCs w:val="20"/>
          <w:color w:val="auto"/>
        </w:rPr>
      </w:pPr>
    </w:p>
    <w:p>
      <w:pPr>
        <w:ind w:left="4" w:right="2819" w:firstLine="469"/>
        <w:spacing w:after="0" w:line="249" w:lineRule="auto"/>
        <w:rPr>
          <w:sz w:val="20"/>
          <w:szCs w:val="20"/>
          <w:color w:val="auto"/>
        </w:rPr>
      </w:pPr>
      <w:r>
        <w:rPr>
          <w:rFonts w:ascii="Courier New" w:cs="Courier New" w:eastAsia="Courier New" w:hAnsi="Courier New"/>
          <w:sz w:val="16"/>
          <w:szCs w:val="16"/>
          <w:color w:val="auto"/>
        </w:rPr>
        <w:t>DTC management is aware that some computer applications, systems, and the like for processing data that are dependent upon calendar dates, including dates before, on, and after January 1, 2000, may encounter "year 2000 problems." DTC has informed its participants and other members of the financial community that it has developed and is implementing a program so that its systems, as the same relate to the timely payment of distributions (including principal and income payments) to securityholders, book-entry deliveries, and settlement of trades within DTC continue to function appropriately. This program includes a technical assessment and a remediation plan, each of which is complete. Additionally, DTC's plan includes a testing phase, which is expected to be completed within appropriate time frames.</w:t>
      </w:r>
    </w:p>
    <w:p>
      <w:pPr>
        <w:spacing w:after="0" w:line="96" w:lineRule="exact"/>
        <w:rPr>
          <w:sz w:val="20"/>
          <w:szCs w:val="20"/>
          <w:color w:val="auto"/>
        </w:rPr>
      </w:pPr>
    </w:p>
    <w:p>
      <w:pPr>
        <w:ind w:left="4" w:right="2819" w:firstLine="469"/>
        <w:spacing w:after="0" w:line="260" w:lineRule="auto"/>
        <w:rPr>
          <w:sz w:val="20"/>
          <w:szCs w:val="20"/>
          <w:color w:val="auto"/>
        </w:rPr>
      </w:pPr>
      <w:r>
        <w:rPr>
          <w:rFonts w:ascii="Courier New" w:cs="Courier New" w:eastAsia="Courier New" w:hAnsi="Courier New"/>
          <w:sz w:val="15"/>
          <w:szCs w:val="15"/>
          <w:color w:val="auto"/>
        </w:rPr>
        <w:t>However, DTC's ability to perform properly its services is also dependent upon other parties, including but not limited to issuers and their agents, as well as third party vendors from whom DTC licenses software and hardware, and third party vendors on whom DTC relies for information or the provision of services, including telecommunication and electrical utility service providers, among others. DTC has informed the industry that it is contacting (and will continue to contact) third party vendors from whom DTC acquires services to:</w:t>
      </w:r>
    </w:p>
    <w:p>
      <w:pPr>
        <w:spacing w:after="0" w:line="2" w:lineRule="exact"/>
        <w:rPr>
          <w:sz w:val="20"/>
          <w:szCs w:val="20"/>
          <w:color w:val="auto"/>
        </w:rPr>
      </w:pPr>
    </w:p>
    <w:p>
      <w:pPr>
        <w:ind w:left="4" w:right="2819" w:hanging="4"/>
        <w:spacing w:after="0" w:line="285" w:lineRule="auto"/>
        <w:tabs>
          <w:tab w:leader="none" w:pos="37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impress upon them the importance of such services being year 2000 compliant; and (ii) determine the extent of their efforts for year 2000 remediation (and as appropriate, testing) of their services. In addition, DTC is in the process of developing such contingency plans as it deems appropriate.</w:t>
      </w:r>
    </w:p>
    <w:p>
      <w:pPr>
        <w:spacing w:after="0" w:line="67" w:lineRule="exact"/>
        <w:rPr>
          <w:sz w:val="20"/>
          <w:szCs w:val="20"/>
          <w:color w:val="auto"/>
        </w:rPr>
      </w:pPr>
    </w:p>
    <w:p>
      <w:pPr>
        <w:ind w:left="4" w:right="2819" w:firstLine="469"/>
        <w:spacing w:after="0" w:line="293" w:lineRule="auto"/>
        <w:rPr>
          <w:sz w:val="20"/>
          <w:szCs w:val="20"/>
          <w:color w:val="auto"/>
        </w:rPr>
      </w:pPr>
      <w:r>
        <w:rPr>
          <w:rFonts w:ascii="Courier New" w:cs="Courier New" w:eastAsia="Courier New" w:hAnsi="Courier New"/>
          <w:sz w:val="16"/>
          <w:szCs w:val="16"/>
          <w:color w:val="auto"/>
        </w:rPr>
        <w:t>According to DTC, the foregoing information with respect to DTC has been provided to the industry for informational purposes only and is not intended to serve as a representation, warranty, or contract modification of any kind.</w:t>
      </w:r>
    </w:p>
    <w:p>
      <w:pPr>
        <w:spacing w:after="0" w:line="58" w:lineRule="exact"/>
        <w:rPr>
          <w:sz w:val="20"/>
          <w:szCs w:val="20"/>
          <w:color w:val="auto"/>
        </w:rPr>
      </w:pPr>
    </w:p>
    <w:p>
      <w:pPr>
        <w:ind w:left="4" w:right="2819" w:firstLine="469"/>
        <w:spacing w:after="0" w:line="299" w:lineRule="auto"/>
        <w:rPr>
          <w:sz w:val="20"/>
          <w:szCs w:val="20"/>
          <w:color w:val="auto"/>
        </w:rPr>
      </w:pPr>
      <w:r>
        <w:rPr>
          <w:rFonts w:ascii="Courier New" w:cs="Courier New" w:eastAsia="Courier New" w:hAnsi="Courier New"/>
          <w:sz w:val="15"/>
          <w:szCs w:val="15"/>
          <w:color w:val="auto"/>
        </w:rPr>
        <w:t>Transfers between participants in DTC will be effected in accordance with DTC's procedures, and will be settled in same-day funds. Transfers between participants in Euroclear and Cedelbank will be effected in the ordinary way in accordance with their respective rules and operating procedures.</w:t>
      </w:r>
    </w:p>
    <w:p>
      <w:pPr>
        <w:spacing w:after="0" w:line="55" w:lineRule="exact"/>
        <w:rPr>
          <w:sz w:val="20"/>
          <w:szCs w:val="20"/>
          <w:color w:val="auto"/>
        </w:rPr>
      </w:pPr>
    </w:p>
    <w:p>
      <w:pPr>
        <w:ind w:left="4" w:right="2819" w:firstLine="469"/>
        <w:spacing w:after="0" w:line="246" w:lineRule="auto"/>
        <w:rPr>
          <w:sz w:val="20"/>
          <w:szCs w:val="20"/>
          <w:color w:val="auto"/>
        </w:rPr>
      </w:pPr>
      <w:r>
        <w:rPr>
          <w:rFonts w:ascii="Courier New" w:cs="Courier New" w:eastAsia="Courier New" w:hAnsi="Courier New"/>
          <w:sz w:val="16"/>
          <w:szCs w:val="16"/>
          <w:color w:val="auto"/>
        </w:rPr>
        <w:t>Subject to compliance with the transfer restrictions applicable to the exchange notes, cross-market transfers between the participants in DTC, on the one hand, and Euroclear and Cedelbank participants, on the other hand, will be effected through DTC in accordance with DTC's rules on behalf of Euroclear and Cedelbank, as the case may be, by its respective depositary; however, such cross-market transactions will require delivery of instructions to Euroclear or Cedelbank, as the case may be, by the counterparty in such system in accordance with the rules and procedures and within the established deadlines (Brussels time) of such system. Euroclear or Cedelbank, as the case may be, will, if the transaction meets its settlement requirements, deliver instructions to its respective depositary to take action to effect final settlement on its behalf by delivering or receiving interests in the relevant global notes in DTC, and making or receiving payment in accordance with normal procedures for same-day funds settlement applicable to DTC. Euroclear participants and Cedelbank participants may not deliver instructions directly to the depositaries for Euroclear or Cedelbank.</w:t>
      </w:r>
    </w:p>
    <w:p>
      <w:pPr>
        <w:spacing w:after="0" w:line="27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3"/>
          </w:cols>
          <w:pgMar w:left="236" w:top="991" w:right="1440" w:bottom="1440" w:gutter="0" w:footer="0" w:header="0"/>
        </w:sectPr>
      </w:pPr>
    </w:p>
    <w:bookmarkStart w:id="17" w:name="page18"/>
    <w:bookmarkEnd w:id="17"/>
    <w:p>
      <w:pPr>
        <w:ind w:right="2819" w:firstLine="469"/>
        <w:spacing w:after="0" w:line="249" w:lineRule="auto"/>
        <w:rPr>
          <w:sz w:val="20"/>
          <w:szCs w:val="20"/>
          <w:color w:val="auto"/>
        </w:rPr>
      </w:pPr>
      <w:r>
        <w:rPr>
          <w:rFonts w:ascii="Courier New" w:cs="Courier New" w:eastAsia="Courier New" w:hAnsi="Courier New"/>
          <w:sz w:val="16"/>
          <w:szCs w:val="16"/>
          <w:color w:val="auto"/>
        </w:rPr>
        <w:t>Because of time zone differences, the securities account of a Euroclear or Cedelbank participant purchasing an interest in a global note from a participant in DTC will be credited, and any such crediting will be reported to the relevant Euroclear or Cedelbank participant, during the securities settlement processing day (which must be a business day for Euroclear or Cedelbank) immediately following the settlement date of DTC. Cash received in Euroclear or Cedelbank as a result of sales of interests in a global note by or through a Euroclear or Cedelbank participant to a participant in DTC will be received with value on the settlement date of DTC but will be available in the relevant Euroclear or Cedelbank cash account only as of the business day for Euroclear or Cedelbank following DTC's settlement date.</w:t>
      </w:r>
    </w:p>
    <w:p>
      <w:pPr>
        <w:spacing w:after="0" w:line="96" w:lineRule="exact"/>
        <w:rPr>
          <w:sz w:val="20"/>
          <w:szCs w:val="20"/>
          <w:color w:val="auto"/>
        </w:rPr>
      </w:pPr>
    </w:p>
    <w:p>
      <w:pPr>
        <w:ind w:right="2999" w:firstLine="469"/>
        <w:spacing w:after="0" w:line="254" w:lineRule="auto"/>
        <w:rPr>
          <w:sz w:val="20"/>
          <w:szCs w:val="20"/>
          <w:color w:val="auto"/>
        </w:rPr>
      </w:pPr>
      <w:r>
        <w:rPr>
          <w:rFonts w:ascii="Courier New" w:cs="Courier New" w:eastAsia="Courier New" w:hAnsi="Courier New"/>
          <w:sz w:val="16"/>
          <w:szCs w:val="16"/>
          <w:color w:val="auto"/>
        </w:rPr>
        <w:t>Although DTC, Euroclear and Cedelbank have agreed to the foregoing procedures to facilitate transfers of interests in the global notes among participants in DTC, Euroclear and Cedelbank, they are under no obligation to perform or to continue to perform such procedures, and such procedures may be discontinued at any time. Neither we nor the trustee will have any responsibility for the performance by DTC, Euroclear or Cedelbank or their respective participants or indirect participants of their respective obligations under the rules and procedures governing their operations.</w:t>
      </w:r>
    </w:p>
    <w:p>
      <w:pPr>
        <w:spacing w:after="0" w:line="8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Certificated Notes</w:t>
      </w:r>
    </w:p>
    <w:p>
      <w:pPr>
        <w:spacing w:after="0" w:line="179" w:lineRule="exact"/>
        <w:rPr>
          <w:sz w:val="20"/>
          <w:szCs w:val="20"/>
          <w:color w:val="auto"/>
        </w:rPr>
      </w:pPr>
    </w:p>
    <w:p>
      <w:pPr>
        <w:ind w:right="2819" w:firstLine="469"/>
        <w:spacing w:after="0" w:line="251" w:lineRule="auto"/>
        <w:rPr>
          <w:sz w:val="20"/>
          <w:szCs w:val="20"/>
          <w:color w:val="auto"/>
        </w:rPr>
      </w:pPr>
      <w:r>
        <w:rPr>
          <w:rFonts w:ascii="Courier New" w:cs="Courier New" w:eastAsia="Courier New" w:hAnsi="Courier New"/>
          <w:sz w:val="16"/>
          <w:szCs w:val="16"/>
          <w:color w:val="auto"/>
        </w:rPr>
        <w:t>If DTC is at any time unwilling or unable to continue as depositary and we do not appoint a successor depositary within 90 days, we will issue exchange notes in definitive form in exchange for such global note. In addition, we may at any time and in our sole discretion determine not to have any of the exchange notes represented by one or more global notes and, in such event, will issue certificated notes in exchange for all of the global note or global notes representing such exchange notes. Upon any such issuance, the trustee is required to register such certificated notes in the name of such person or persons (or the nominee of any thereof) and cause the same to be delivered thereto.</w:t>
      </w:r>
    </w:p>
    <w:p>
      <w:pPr>
        <w:spacing w:after="0" w:line="89" w:lineRule="exact"/>
        <w:rPr>
          <w:sz w:val="20"/>
          <w:szCs w:val="20"/>
          <w:color w:val="auto"/>
        </w:rPr>
      </w:pPr>
    </w:p>
    <w:p>
      <w:pPr>
        <w:ind w:right="2819" w:firstLine="469"/>
        <w:spacing w:after="0" w:line="260" w:lineRule="auto"/>
        <w:rPr>
          <w:sz w:val="20"/>
          <w:szCs w:val="20"/>
          <w:color w:val="auto"/>
        </w:rPr>
      </w:pPr>
      <w:r>
        <w:rPr>
          <w:rFonts w:ascii="Courier New" w:cs="Courier New" w:eastAsia="Courier New" w:hAnsi="Courier New"/>
          <w:sz w:val="16"/>
          <w:szCs w:val="16"/>
          <w:color w:val="auto"/>
        </w:rPr>
        <w:t>Neither we nor the trustee shall be liable for any delay by DTC or any participant or indirect participant in identifying the beneficial owners of the related exchange notes and each such person may conclusively rely on, and shall be protected in relying on, instructions from DTC for all purposes (including with respect to the registration and delivery, and the respective principal amounts, of the exchange notes to be issued).</w:t>
      </w:r>
    </w:p>
    <w:p>
      <w:pPr>
        <w:spacing w:after="0" w:line="26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991" w:right="1440" w:bottom="1440" w:gutter="0" w:footer="0" w:header="0"/>
        </w:sectPr>
      </w:pPr>
    </w:p>
    <w:bookmarkStart w:id="18" w:name="page19"/>
    <w:bookmarkEnd w:id="18"/>
    <w:p>
      <w:pPr>
        <w:jc w:val="center"/>
        <w:ind w:right="2719"/>
        <w:spacing w:after="0"/>
        <w:rPr>
          <w:sz w:val="20"/>
          <w:szCs w:val="20"/>
          <w:color w:val="auto"/>
        </w:rPr>
      </w:pPr>
      <w:r>
        <w:rPr>
          <w:rFonts w:ascii="Courier New" w:cs="Courier New" w:eastAsia="Courier New" w:hAnsi="Courier New"/>
          <w:sz w:val="16"/>
          <w:szCs w:val="16"/>
          <w:color w:val="auto"/>
        </w:rPr>
        <w:t>THE EXCHANGE OFFER</w:t>
      </w:r>
    </w:p>
    <w:p>
      <w:pPr>
        <w:spacing w:after="0" w:line="179" w:lineRule="exact"/>
        <w:rPr>
          <w:sz w:val="20"/>
          <w:szCs w:val="20"/>
          <w:color w:val="auto"/>
        </w:rPr>
      </w:pPr>
    </w:p>
    <w:p>
      <w:pPr>
        <w:ind w:right="2819" w:firstLine="469"/>
        <w:spacing w:after="0" w:line="263" w:lineRule="auto"/>
        <w:rPr>
          <w:sz w:val="20"/>
          <w:szCs w:val="20"/>
          <w:color w:val="auto"/>
        </w:rPr>
      </w:pPr>
      <w:r>
        <w:rPr>
          <w:rFonts w:ascii="Courier New" w:cs="Courier New" w:eastAsia="Courier New" w:hAnsi="Courier New"/>
          <w:sz w:val="15"/>
          <w:szCs w:val="15"/>
          <w:color w:val="auto"/>
        </w:rPr>
        <w:t>Pursuant to a registration rights agreement between TI and the initial purchasers, we agreed to use our reasonable best efforts to cause to become effective a registration statement with respect to an issue of notes identical in all material respects to the old notes and, upon becoming effective, to offer the holders of the old notes the opportunity to exchange their old notes for the exchange notes. Under existing SEC interpretations set forth in several no-action letters to third parties, the exchange notes are, in general, freely transferable (other than by holders who are broker-dealers or by an affiliate of TI) after the exchange offer without further registration under the Securities Act. In the event that due to a change in current interpretations by the SEC, we are not permitted to effect such exchange offer, it is contemplated that we will instead file a shelf registration statement covering resales by the holders of the old notes and will use our reasonable best efforts to cause such shelf registration statement to become effective and to keep such shelf registration statement effective for a maximum of two years from the closing date, which is the date we delivered the old notes to the initial purchasers.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the Exchange Offer; Period for Tendering Old Notes</w:t>
      </w:r>
    </w:p>
    <w:p>
      <w:pPr>
        <w:spacing w:after="0" w:line="179" w:lineRule="exact"/>
        <w:rPr>
          <w:sz w:val="20"/>
          <w:szCs w:val="20"/>
          <w:color w:val="auto"/>
        </w:rPr>
      </w:pPr>
    </w:p>
    <w:p>
      <w:pPr>
        <w:ind w:right="2899" w:firstLine="469"/>
        <w:spacing w:after="0" w:line="348" w:lineRule="auto"/>
        <w:rPr>
          <w:sz w:val="20"/>
          <w:szCs w:val="20"/>
          <w:color w:val="auto"/>
        </w:rPr>
      </w:pPr>
      <w:r>
        <w:rPr>
          <w:rFonts w:ascii="Courier New" w:cs="Courier New" w:eastAsia="Courier New" w:hAnsi="Courier New"/>
          <w:sz w:val="16"/>
          <w:szCs w:val="16"/>
          <w:color w:val="auto"/>
        </w:rPr>
        <w:t>Upon the terms and subject to the conditions set forth in this prospectus and in the accompanying letter of transmittal, we will:</w:t>
      </w:r>
    </w:p>
    <w:p>
      <w:pPr>
        <w:spacing w:after="0" w:line="15" w:lineRule="exact"/>
        <w:rPr>
          <w:sz w:val="20"/>
          <w:szCs w:val="20"/>
          <w:color w:val="auto"/>
        </w:rPr>
      </w:pPr>
    </w:p>
    <w:p>
      <w:pPr>
        <w:ind w:left="940" w:right="3099" w:hanging="475"/>
        <w:spacing w:after="0" w:line="293" w:lineRule="auto"/>
        <w:tabs>
          <w:tab w:leader="none" w:pos="9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 for exchange old notes, which are properly tendered on or prior to the expiration date and not withdrawn as permitted below; and</w:t>
      </w:r>
    </w:p>
    <w:p>
      <w:pPr>
        <w:spacing w:after="0" w:line="57" w:lineRule="exact"/>
        <w:rPr>
          <w:rFonts w:ascii="Courier New" w:cs="Courier New" w:eastAsia="Courier New" w:hAnsi="Courier New"/>
          <w:sz w:val="16"/>
          <w:szCs w:val="16"/>
          <w:color w:val="auto"/>
        </w:rPr>
      </w:pPr>
    </w:p>
    <w:p>
      <w:pPr>
        <w:ind w:left="940" w:right="2999" w:hanging="475"/>
        <w:spacing w:after="0" w:line="293" w:lineRule="auto"/>
        <w:tabs>
          <w:tab w:leader="none" w:pos="9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keep the exchange offer open for not less than 20 business days (or longer if required by applicable law) after the date notice of the exchange offer is mailed to the holders of the old notes.</w:t>
      </w:r>
    </w:p>
    <w:p>
      <w:pPr>
        <w:spacing w:after="0" w:line="58" w:lineRule="exact"/>
        <w:rPr>
          <w:sz w:val="20"/>
          <w:szCs w:val="20"/>
          <w:color w:val="auto"/>
        </w:rPr>
      </w:pPr>
    </w:p>
    <w:p>
      <w:pPr>
        <w:ind w:right="2819" w:firstLine="469"/>
        <w:spacing w:after="0" w:line="275" w:lineRule="auto"/>
        <w:rPr>
          <w:sz w:val="20"/>
          <w:szCs w:val="20"/>
          <w:color w:val="auto"/>
        </w:rPr>
      </w:pPr>
      <w:r>
        <w:rPr>
          <w:rFonts w:ascii="Courier New" w:cs="Courier New" w:eastAsia="Courier New" w:hAnsi="Courier New"/>
          <w:sz w:val="16"/>
          <w:szCs w:val="16"/>
          <w:color w:val="auto"/>
        </w:rPr>
        <w:t>The term "expiration date" means 5:00 p.m., New York City time, on o , 1999; provided, however, that if we, in our sole discretion, have extended the period of time for which the exchange offer is open, the term "expiration date" means the latest time and date to which the exchange offer is extended.</w:t>
      </w:r>
    </w:p>
    <w:p>
      <w:pPr>
        <w:spacing w:after="0" w:line="71"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6"/>
          <w:szCs w:val="16"/>
          <w:color w:val="auto"/>
        </w:rPr>
        <w:t>As of the date of this prospectus, $400,000,000 in aggregate principal amount of the old notes were outstanding. The exchange offer is not conditioned upon any minimum principal amount of old notes being tendered. This prospectus, together with the letter of transmittal, is first being sent on or about the date set forth on the cover page to all holders of old notes at the addresses set forth in the security register with respect to old notes maintained by the trustee.</w:t>
      </w:r>
    </w:p>
    <w:p>
      <w:pPr>
        <w:spacing w:after="0" w:line="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expressly reserve the right:</w:t>
      </w:r>
    </w:p>
    <w:p>
      <w:pPr>
        <w:spacing w:after="0" w:line="179" w:lineRule="exact"/>
        <w:rPr>
          <w:sz w:val="20"/>
          <w:szCs w:val="20"/>
          <w:color w:val="auto"/>
        </w:rPr>
      </w:pPr>
    </w:p>
    <w:p>
      <w:pPr>
        <w:jc w:val="both"/>
        <w:ind w:left="940" w:right="2819" w:hanging="475"/>
        <w:spacing w:after="0" w:line="293" w:lineRule="auto"/>
        <w:tabs>
          <w:tab w:leader="none" w:pos="9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or from time to time, to extend the period of time during which the exchange offer is open, and thereby delay acceptance of any old notes; and</w:t>
      </w:r>
    </w:p>
    <w:p>
      <w:pPr>
        <w:spacing w:after="0" w:line="57" w:lineRule="exact"/>
        <w:rPr>
          <w:rFonts w:ascii="Courier New" w:cs="Courier New" w:eastAsia="Courier New" w:hAnsi="Courier New"/>
          <w:sz w:val="16"/>
          <w:szCs w:val="16"/>
          <w:color w:val="auto"/>
        </w:rPr>
      </w:pPr>
    </w:p>
    <w:p>
      <w:pPr>
        <w:ind w:left="940" w:right="2819" w:hanging="475"/>
        <w:spacing w:after="0" w:line="275" w:lineRule="auto"/>
        <w:tabs>
          <w:tab w:leader="none" w:pos="9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or terminate the exchange offer, and not to accept for exchange any old notes not previously accepted for exchange, upon the occurrence of any of the conditions of the exchange offer specified below under "Certain Conditions to the Exchange Offer."</w:t>
      </w:r>
    </w:p>
    <w:p>
      <w:pPr>
        <w:spacing w:after="0" w:line="71" w:lineRule="exact"/>
        <w:rPr>
          <w:sz w:val="20"/>
          <w:szCs w:val="20"/>
          <w:color w:val="auto"/>
        </w:rPr>
      </w:pPr>
    </w:p>
    <w:p>
      <w:pPr>
        <w:ind w:right="2899" w:firstLine="469"/>
        <w:spacing w:after="0" w:line="252" w:lineRule="auto"/>
        <w:rPr>
          <w:sz w:val="20"/>
          <w:szCs w:val="20"/>
          <w:color w:val="auto"/>
        </w:rPr>
      </w:pPr>
      <w:r>
        <w:rPr>
          <w:rFonts w:ascii="Courier New" w:cs="Courier New" w:eastAsia="Courier New" w:hAnsi="Courier New"/>
          <w:sz w:val="16"/>
          <w:szCs w:val="16"/>
          <w:color w:val="auto"/>
        </w:rPr>
        <w:t>We will give oral or written notice of any extension, amendment, non-acceptance or termination to the holders of the old notes as promptly as practicable, such notice in the case of any extension to be issued by means of a press release or other public announcement no later than 9:00 a.m., New York City time, on the next business day after the previously scheduled expiration date. Without limiting the manner in which we may choose to make any public announcement and subject to applicable law, we shall have no obligation to publish, advertise or otherwise communicate any such public announcement other than by issuing a release to the Dow Jones News Service.</w:t>
      </w:r>
    </w:p>
    <w:p>
      <w:pPr>
        <w:spacing w:after="0" w:line="27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991" w:right="1440" w:bottom="1440" w:gutter="0" w:footer="0" w:header="0"/>
        </w:sectPr>
      </w:pPr>
    </w:p>
    <w:bookmarkStart w:id="19" w:name="page20"/>
    <w:bookmarkEnd w:id="19"/>
    <w:p>
      <w:pPr>
        <w:ind w:right="2819" w:firstLine="469"/>
        <w:spacing w:after="0" w:line="254" w:lineRule="auto"/>
        <w:rPr>
          <w:sz w:val="20"/>
          <w:szCs w:val="20"/>
          <w:color w:val="auto"/>
        </w:rPr>
      </w:pPr>
      <w:r>
        <w:rPr>
          <w:rFonts w:ascii="Courier New" w:cs="Courier New" w:eastAsia="Courier New" w:hAnsi="Courier New"/>
          <w:sz w:val="16"/>
          <w:szCs w:val="16"/>
          <w:color w:val="auto"/>
        </w:rPr>
        <w:t>Holders of old notes do not have appraisal or dissenters' rights in connection with the exchange offer. Old notes that are not tendered for exchange or are tendered but not accepted in connection with the exchange offer will remain outstanding and be entitled to the benefits of the indenture, but will not be entitled to any further registration rights under the registration rights agreement. We intend to conduct the exchange offer in accordance with the applicable requirements of the Exchange Act and the relevant rules and regulations of the SEC.</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Procedures for Tendering Old Notes</w:t>
      </w:r>
    </w:p>
    <w:p>
      <w:pPr>
        <w:spacing w:after="0" w:line="179" w:lineRule="exact"/>
        <w:rPr>
          <w:sz w:val="20"/>
          <w:szCs w:val="20"/>
          <w:color w:val="auto"/>
        </w:rPr>
      </w:pPr>
    </w:p>
    <w:p>
      <w:pPr>
        <w:ind w:right="2899" w:firstLine="469"/>
        <w:spacing w:after="0" w:line="251" w:lineRule="auto"/>
        <w:rPr>
          <w:sz w:val="20"/>
          <w:szCs w:val="20"/>
          <w:color w:val="auto"/>
        </w:rPr>
      </w:pPr>
      <w:r>
        <w:rPr>
          <w:rFonts w:ascii="Courier New" w:cs="Courier New" w:eastAsia="Courier New" w:hAnsi="Courier New"/>
          <w:sz w:val="16"/>
          <w:szCs w:val="16"/>
          <w:color w:val="auto"/>
        </w:rPr>
        <w:t>The tender to us of old notes by a holder as set forth below and the acceptance of the old notes by us will constitute a binding agreement between the tendering holder and us upon the terms and subject to the conditions set forth in this prospectus and in the accompanying letter of transmittal. Except as set forth below, a holder who wishes to tender old notes for exchange pursuant to the exchange offer must transmit a properly completed and duly executed letter of transmittal, including all other documents required by such letter of transmittal, to Citibank, N.A., who is acting as our exchange agent, at the address set forth below under "exchange agent" on or prior to the expiration date. In addition:</w:t>
      </w:r>
    </w:p>
    <w:p>
      <w:pPr>
        <w:spacing w:after="0" w:line="89" w:lineRule="exact"/>
        <w:rPr>
          <w:sz w:val="20"/>
          <w:szCs w:val="20"/>
          <w:color w:val="auto"/>
        </w:rPr>
      </w:pPr>
    </w:p>
    <w:p>
      <w:pPr>
        <w:ind w:left="940" w:right="3279" w:hanging="475"/>
        <w:spacing w:after="0" w:line="348" w:lineRule="auto"/>
        <w:tabs>
          <w:tab w:leader="none" w:pos="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for such old notes must be received by the exchange agent along with the letter of transmittal;</w:t>
      </w:r>
    </w:p>
    <w:p>
      <w:pPr>
        <w:spacing w:after="0" w:line="15" w:lineRule="exact"/>
        <w:rPr>
          <w:rFonts w:ascii="Courier New" w:cs="Courier New" w:eastAsia="Courier New" w:hAnsi="Courier New"/>
          <w:sz w:val="16"/>
          <w:szCs w:val="16"/>
          <w:color w:val="auto"/>
        </w:rPr>
      </w:pPr>
    </w:p>
    <w:p>
      <w:pPr>
        <w:ind w:left="940" w:right="2819" w:hanging="475"/>
        <w:spacing w:after="0" w:line="266" w:lineRule="auto"/>
        <w:tabs>
          <w:tab w:leader="none" w:pos="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timely confirmation of a book-entry transfer of such old notes, if such procedure is available, into the exchange agent's account at DTC pursuant to the procedure for book-entry transfer described below, must be received by the exchange agent prior to the expiration date; or</w:t>
      </w:r>
    </w:p>
    <w:p>
      <w:pPr>
        <w:spacing w:after="0" w:line="77" w:lineRule="exact"/>
        <w:rPr>
          <w:rFonts w:ascii="Courier New" w:cs="Courier New" w:eastAsia="Courier New" w:hAnsi="Courier New"/>
          <w:sz w:val="16"/>
          <w:szCs w:val="16"/>
          <w:color w:val="auto"/>
        </w:rPr>
      </w:pPr>
    </w:p>
    <w:p>
      <w:pPr>
        <w:ind w:left="940" w:right="3479" w:hanging="475"/>
        <w:spacing w:after="0" w:line="348" w:lineRule="auto"/>
        <w:tabs>
          <w:tab w:leader="none" w:pos="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must comply with the guaranteed delivery procedures described below.</w:t>
      </w:r>
    </w:p>
    <w:p>
      <w:pPr>
        <w:spacing w:after="0" w:line="15" w:lineRule="exact"/>
        <w:rPr>
          <w:sz w:val="20"/>
          <w:szCs w:val="20"/>
          <w:color w:val="auto"/>
        </w:rPr>
      </w:pPr>
    </w:p>
    <w:p>
      <w:pPr>
        <w:ind w:right="2819" w:firstLine="469"/>
        <w:spacing w:after="0" w:line="260" w:lineRule="auto"/>
        <w:rPr>
          <w:sz w:val="20"/>
          <w:szCs w:val="20"/>
          <w:color w:val="auto"/>
        </w:rPr>
      </w:pPr>
      <w:r>
        <w:rPr>
          <w:rFonts w:ascii="Courier New" w:cs="Courier New" w:eastAsia="Courier New" w:hAnsi="Courier New"/>
          <w:sz w:val="16"/>
          <w:szCs w:val="16"/>
          <w:color w:val="auto"/>
        </w:rPr>
        <w:t>The method of delivery of old notes, letters of transmittal and all other required documents is at the election and risk of the holders. If such delivery is by mail, it is recommended that registered mail, properly insured, with return receipt requested, be used. In all cases, sufficient time should be allowed to assure timely delivery. No letters of transmittal or old notes should be sent to TI.</w:t>
      </w:r>
    </w:p>
    <w:p>
      <w:pPr>
        <w:spacing w:after="0" w:line="84" w:lineRule="exact"/>
        <w:rPr>
          <w:sz w:val="20"/>
          <w:szCs w:val="20"/>
          <w:color w:val="auto"/>
        </w:rPr>
      </w:pPr>
    </w:p>
    <w:p>
      <w:pPr>
        <w:ind w:right="2999" w:firstLine="469"/>
        <w:spacing w:after="0" w:line="293" w:lineRule="auto"/>
        <w:rPr>
          <w:sz w:val="20"/>
          <w:szCs w:val="20"/>
          <w:color w:val="auto"/>
        </w:rPr>
      </w:pPr>
      <w:r>
        <w:rPr>
          <w:rFonts w:ascii="Courier New" w:cs="Courier New" w:eastAsia="Courier New" w:hAnsi="Courier New"/>
          <w:sz w:val="16"/>
          <w:szCs w:val="16"/>
          <w:color w:val="auto"/>
        </w:rPr>
        <w:t>Signatures on a letter of transmittal or a notice of withdrawal, as the case may be, must be guaranteed unless the old notes surrendered for exchange pursuant thereto are tendered:</w:t>
      </w:r>
    </w:p>
    <w:p>
      <w:pPr>
        <w:spacing w:after="0" w:line="58" w:lineRule="exact"/>
        <w:rPr>
          <w:sz w:val="20"/>
          <w:szCs w:val="20"/>
          <w:color w:val="auto"/>
        </w:rPr>
      </w:pPr>
    </w:p>
    <w:p>
      <w:pPr>
        <w:ind w:left="940" w:right="2819" w:hanging="475"/>
        <w:spacing w:after="0" w:line="293" w:lineRule="auto"/>
        <w:tabs>
          <w:tab w:leader="none" w:pos="9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registered holder of the old notes who has not completed the box entitled "Special Issuance Instructions" or "Special Delivery Instructions" on the letter of transmittal; or</w:t>
      </w:r>
    </w:p>
    <w:p>
      <w:pPr>
        <w:spacing w:after="0" w:line="57"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account of an eligible institution.</w:t>
      </w:r>
    </w:p>
    <w:p>
      <w:pPr>
        <w:spacing w:after="0" w:line="179" w:lineRule="exact"/>
        <w:rPr>
          <w:sz w:val="20"/>
          <w:szCs w:val="20"/>
          <w:color w:val="auto"/>
        </w:rPr>
      </w:pPr>
    </w:p>
    <w:p>
      <w:pPr>
        <w:ind w:right="2819"/>
        <w:spacing w:after="0" w:line="268" w:lineRule="auto"/>
        <w:rPr>
          <w:sz w:val="20"/>
          <w:szCs w:val="20"/>
          <w:color w:val="auto"/>
        </w:rPr>
      </w:pPr>
      <w:r>
        <w:rPr>
          <w:rFonts w:ascii="Courier New" w:cs="Courier New" w:eastAsia="Courier New" w:hAnsi="Courier New"/>
          <w:sz w:val="15"/>
          <w:szCs w:val="15"/>
          <w:color w:val="auto"/>
        </w:rPr>
        <w:t>If signatures on a letter of transmittal or a notice of withdrawal, as the case may be, are required to be guaranteed, such guarantees must be by an eligible institution, which is a firm that is a member of a registered national securities exchange or a member of the National Association of Securities Dealers, Inc., or a commercial bank or trust company having an office or correspondent in the United States. If old notes are registered in the name of a person other than the person signing the letter of transmittal, the old notes surrendered for exchange must be endorsed by, or be accompanied by a written instrument or instruments of transfer or exchange, in satisfactory form as determined by us in our sole discretion, duly executed by the registered holder with the signature thereon guaranteed by an eligible institution.</w:t>
      </w:r>
    </w:p>
    <w:p>
      <w:pPr>
        <w:spacing w:after="0" w:line="77" w:lineRule="exact"/>
        <w:rPr>
          <w:sz w:val="20"/>
          <w:szCs w:val="20"/>
          <w:color w:val="auto"/>
        </w:rPr>
      </w:pPr>
    </w:p>
    <w:p>
      <w:pPr>
        <w:ind w:right="2819" w:firstLine="469"/>
        <w:spacing w:after="0" w:line="275" w:lineRule="auto"/>
        <w:rPr>
          <w:sz w:val="20"/>
          <w:szCs w:val="20"/>
          <w:color w:val="auto"/>
        </w:rPr>
      </w:pPr>
      <w:r>
        <w:rPr>
          <w:rFonts w:ascii="Courier New" w:cs="Courier New" w:eastAsia="Courier New" w:hAnsi="Courier New"/>
          <w:sz w:val="16"/>
          <w:szCs w:val="16"/>
          <w:color w:val="auto"/>
        </w:rPr>
        <w:t>All questions as to the validity, form, eligibility (including time of receipt) and acceptance of old notes tendered for exchange will be determined by us in our sole discretion, which determination will be final and binding. We reserve the absolute right:</w:t>
      </w:r>
    </w:p>
    <w:p>
      <w:pPr>
        <w:spacing w:after="0" w:line="71" w:lineRule="exact"/>
        <w:rPr>
          <w:sz w:val="20"/>
          <w:szCs w:val="20"/>
          <w:color w:val="auto"/>
        </w:rPr>
      </w:pPr>
    </w:p>
    <w:p>
      <w:pPr>
        <w:ind w:left="940" w:right="2899" w:hanging="475"/>
        <w:spacing w:after="0" w:line="275" w:lineRule="auto"/>
        <w:tabs>
          <w:tab w:leader="none" w:pos="9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reject any and all tenders of any particular old notes not properly tendered or to not accept any particular old notes which acceptance might, in our judgment or the judgment of our counsel, be unlawful; and</w:t>
      </w:r>
    </w:p>
    <w:p>
      <w:pPr>
        <w:spacing w:after="0" w:line="25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991" w:right="1440" w:bottom="1440" w:gutter="0" w:footer="0" w:header="0"/>
        </w:sectPr>
      </w:pPr>
    </w:p>
    <w:bookmarkStart w:id="20" w:name="page21"/>
    <w:bookmarkEnd w:id="20"/>
    <w:p>
      <w:pPr>
        <w:ind w:left="940" w:right="2899" w:hanging="475"/>
        <w:spacing w:after="0" w:line="299" w:lineRule="auto"/>
        <w:tabs>
          <w:tab w:leader="none" w:pos="9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waive any defects or irregularities or conditions of the exchange offer as to any particular old notes either before or after the expiration date (including the right to waive the ineligibility of any holder who seeks to tender old notes in the exchange offer).</w:t>
      </w:r>
    </w:p>
    <w:p>
      <w:pPr>
        <w:spacing w:after="0" w:line="55" w:lineRule="exact"/>
        <w:rPr>
          <w:sz w:val="20"/>
          <w:szCs w:val="20"/>
          <w:color w:val="auto"/>
        </w:rPr>
      </w:pPr>
    </w:p>
    <w:p>
      <w:pPr>
        <w:ind w:right="2819" w:firstLine="469"/>
        <w:spacing w:after="0" w:line="260" w:lineRule="auto"/>
        <w:rPr>
          <w:sz w:val="20"/>
          <w:szCs w:val="20"/>
          <w:color w:val="auto"/>
        </w:rPr>
      </w:pPr>
      <w:r>
        <w:rPr>
          <w:rFonts w:ascii="Courier New" w:cs="Courier New" w:eastAsia="Courier New" w:hAnsi="Courier New"/>
          <w:sz w:val="16"/>
          <w:szCs w:val="16"/>
          <w:color w:val="auto"/>
        </w:rPr>
        <w:t>Unless waived, any defects or irregularities in connection with the tender of old notes for exchange must be cured within such reasonable period of time as we determine. Neither we, the exchange agent nor any other person will be under any duty to give notification of any defect or irregularity with respect to any tender of old notes for exchange, nor will any of them incur any liability for failure to give such notification.</w:t>
      </w:r>
    </w:p>
    <w:p>
      <w:pPr>
        <w:spacing w:after="0" w:line="84" w:lineRule="exact"/>
        <w:rPr>
          <w:sz w:val="20"/>
          <w:szCs w:val="20"/>
          <w:color w:val="auto"/>
        </w:rPr>
      </w:pPr>
    </w:p>
    <w:p>
      <w:pPr>
        <w:ind w:right="2819" w:firstLine="469"/>
        <w:spacing w:after="0" w:line="266" w:lineRule="auto"/>
        <w:rPr>
          <w:sz w:val="20"/>
          <w:szCs w:val="20"/>
          <w:color w:val="auto"/>
        </w:rPr>
      </w:pPr>
      <w:r>
        <w:rPr>
          <w:rFonts w:ascii="Courier New" w:cs="Courier New" w:eastAsia="Courier New" w:hAnsi="Courier New"/>
          <w:sz w:val="16"/>
          <w:szCs w:val="16"/>
          <w:color w:val="auto"/>
        </w:rPr>
        <w:t>If the letter of transmittal is signed by a person or persons other than the registered holder or holders of old notes, such old notes must be endorsed or accompanied by appropriate powers of attorney, in either case signed exactly as the name or names of the registered holder or holders that appear on the old notes.</w:t>
      </w:r>
    </w:p>
    <w:p>
      <w:pPr>
        <w:spacing w:after="0" w:line="78" w:lineRule="exact"/>
        <w:rPr>
          <w:sz w:val="20"/>
          <w:szCs w:val="20"/>
          <w:color w:val="auto"/>
        </w:rPr>
      </w:pPr>
    </w:p>
    <w:p>
      <w:pPr>
        <w:ind w:right="2819" w:firstLine="469"/>
        <w:spacing w:after="0" w:line="260" w:lineRule="auto"/>
        <w:rPr>
          <w:sz w:val="20"/>
          <w:szCs w:val="20"/>
          <w:color w:val="auto"/>
        </w:rPr>
      </w:pPr>
      <w:r>
        <w:rPr>
          <w:rFonts w:ascii="Courier New" w:cs="Courier New" w:eastAsia="Courier New" w:hAnsi="Courier New"/>
          <w:sz w:val="16"/>
          <w:szCs w:val="16"/>
          <w:color w:val="auto"/>
        </w:rPr>
        <w:t>If the letter of transmittal or any old notes or powers of attorney are signed by trustees, executors, administrators, guardians, attorneys-in-fact, officers or corporations or others acting in a fiduciary or representative capacity, such person should so indicate when signing and, unless waived by us, proper evidence satisfactory to us of its authority to so act must be submitted.</w:t>
      </w:r>
    </w:p>
    <w:p>
      <w:pPr>
        <w:spacing w:after="0" w:line="84" w:lineRule="exact"/>
        <w:rPr>
          <w:sz w:val="20"/>
          <w:szCs w:val="20"/>
          <w:color w:val="auto"/>
        </w:rPr>
      </w:pPr>
    </w:p>
    <w:p>
      <w:pPr>
        <w:ind w:right="2819" w:firstLine="469"/>
        <w:spacing w:after="0" w:line="293" w:lineRule="auto"/>
        <w:rPr>
          <w:sz w:val="20"/>
          <w:szCs w:val="20"/>
          <w:color w:val="auto"/>
        </w:rPr>
      </w:pPr>
      <w:r>
        <w:rPr>
          <w:rFonts w:ascii="Courier New" w:cs="Courier New" w:eastAsia="Courier New" w:hAnsi="Courier New"/>
          <w:sz w:val="16"/>
          <w:szCs w:val="16"/>
          <w:color w:val="auto"/>
        </w:rPr>
        <w:t>By executing, or otherwise becoming bound by a letter of transmittal, each holder of the old notes (other than certain specified holders) will represent that:</w:t>
      </w:r>
    </w:p>
    <w:p>
      <w:pPr>
        <w:spacing w:after="0" w:line="58" w:lineRule="exact"/>
        <w:rPr>
          <w:sz w:val="20"/>
          <w:szCs w:val="20"/>
          <w:color w:val="auto"/>
        </w:rPr>
      </w:pPr>
    </w:p>
    <w:p>
      <w:pPr>
        <w:ind w:left="940" w:hanging="475"/>
        <w:spacing w:after="0"/>
        <w:tabs>
          <w:tab w:leader="none" w:pos="9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not our affiliate;</w:t>
      </w:r>
    </w:p>
    <w:p>
      <w:pPr>
        <w:spacing w:after="0" w:line="179" w:lineRule="exact"/>
        <w:rPr>
          <w:rFonts w:ascii="Courier New" w:cs="Courier New" w:eastAsia="Courier New" w:hAnsi="Courier New"/>
          <w:sz w:val="16"/>
          <w:szCs w:val="16"/>
          <w:color w:val="auto"/>
        </w:rPr>
      </w:pPr>
    </w:p>
    <w:p>
      <w:pPr>
        <w:ind w:left="940" w:right="2819" w:hanging="475"/>
        <w:spacing w:after="0" w:line="348" w:lineRule="auto"/>
        <w:tabs>
          <w:tab w:leader="none" w:pos="9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exchange notes to be received by it were acquired in the ordinary course of business; and</w:t>
      </w:r>
    </w:p>
    <w:p>
      <w:pPr>
        <w:spacing w:after="0" w:line="15" w:lineRule="exact"/>
        <w:rPr>
          <w:rFonts w:ascii="Courier New" w:cs="Courier New" w:eastAsia="Courier New" w:hAnsi="Courier New"/>
          <w:sz w:val="16"/>
          <w:szCs w:val="16"/>
          <w:color w:val="auto"/>
        </w:rPr>
      </w:pPr>
    </w:p>
    <w:p>
      <w:pPr>
        <w:ind w:left="940" w:right="3479" w:hanging="475"/>
        <w:spacing w:after="0" w:line="293" w:lineRule="auto"/>
        <w:tabs>
          <w:tab w:leader="none" w:pos="9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has no arrangement with any person to participate in the distribution (within the meaning of the Securities Act) of the exchange notes.</w:t>
      </w:r>
    </w:p>
    <w:p>
      <w:pPr>
        <w:spacing w:after="0" w:line="58" w:lineRule="exact"/>
        <w:rPr>
          <w:sz w:val="20"/>
          <w:szCs w:val="20"/>
          <w:color w:val="auto"/>
        </w:rPr>
      </w:pPr>
    </w:p>
    <w:p>
      <w:pPr>
        <w:ind w:right="2819"/>
        <w:spacing w:after="0" w:line="266" w:lineRule="auto"/>
        <w:rPr>
          <w:sz w:val="20"/>
          <w:szCs w:val="20"/>
          <w:color w:val="auto"/>
        </w:rPr>
      </w:pPr>
      <w:r>
        <w:rPr>
          <w:rFonts w:ascii="Courier New" w:cs="Courier New" w:eastAsia="Courier New" w:hAnsi="Courier New"/>
          <w:sz w:val="16"/>
          <w:szCs w:val="16"/>
          <w:color w:val="auto"/>
        </w:rPr>
        <w:t>If the tendering holder is a broker-dealer that will receive exchange notes for its own account in exchange for old notes that were acquired as a result of market-making activities or other trading activities, it will be required to acknowledge that it will deliver a prospectus in connection with any resale of such exchange notes. See "--Resale of the Exchange Notes."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Acceptance of Old Notes for Exchange; Delivery of Exchange Notes</w:t>
      </w:r>
    </w:p>
    <w:p>
      <w:pPr>
        <w:spacing w:after="0" w:line="179" w:lineRule="exact"/>
        <w:rPr>
          <w:sz w:val="20"/>
          <w:szCs w:val="20"/>
          <w:color w:val="auto"/>
        </w:rPr>
      </w:pPr>
    </w:p>
    <w:p>
      <w:pPr>
        <w:ind w:right="2999" w:firstLine="469"/>
        <w:spacing w:after="0" w:line="257" w:lineRule="auto"/>
        <w:rPr>
          <w:sz w:val="20"/>
          <w:szCs w:val="20"/>
          <w:color w:val="auto"/>
        </w:rPr>
      </w:pPr>
      <w:r>
        <w:rPr>
          <w:rFonts w:ascii="Courier New" w:cs="Courier New" w:eastAsia="Courier New" w:hAnsi="Courier New"/>
          <w:sz w:val="16"/>
          <w:szCs w:val="16"/>
          <w:color w:val="auto"/>
        </w:rPr>
        <w:t>Upon satisfaction or waiver of all of the conditions to the exchange offer, we will accept, promptly after the expiration date, all old notes properly tendered and will issue the exchange notes promptly after acceptance of the old notes. See "Certain Conditions to the Exchange Offer" below. For purposes of the exchange offer, we will be deemed to have accepted properly tendered old notes for exchange if and when we have given oral or written notice thereof to the exchange agent.</w:t>
      </w:r>
    </w:p>
    <w:p>
      <w:pPr>
        <w:spacing w:after="0" w:line="84" w:lineRule="exact"/>
        <w:rPr>
          <w:sz w:val="20"/>
          <w:szCs w:val="20"/>
          <w:color w:val="auto"/>
        </w:rPr>
      </w:pPr>
    </w:p>
    <w:p>
      <w:pPr>
        <w:ind w:right="2899" w:firstLine="469"/>
        <w:spacing w:after="0" w:line="246" w:lineRule="auto"/>
        <w:rPr>
          <w:sz w:val="20"/>
          <w:szCs w:val="20"/>
          <w:color w:val="auto"/>
        </w:rPr>
      </w:pPr>
      <w:r>
        <w:rPr>
          <w:rFonts w:ascii="Courier New" w:cs="Courier New" w:eastAsia="Courier New" w:hAnsi="Courier New"/>
          <w:sz w:val="16"/>
          <w:szCs w:val="16"/>
          <w:color w:val="auto"/>
        </w:rPr>
        <w:t>In all cases, issuance of exchange notes for old notes that are accepted for exchange pursuant to the exchange offer will be made only after timely receipt by the exchange agent of certificates for such old notes or a timely book-entry confirmation of such old notes into the exchange agent's account at DTC pursuant to the book-entry transfer procedures described below, a properly completed and duly executed letter of transmittal and all other required documents. If any tendered old notes are not accepted for any reason set forth in the terms and conditions of the exchange offer or if certificates representing old notes are submitted for a greater principal amount than the holder desires to exchange, such unaccepted or non-exchanged old notes will be returned without expense to the tendering holder thereof (or, in the case of old notes tendered by book-entry transfer into the exchange agent's account at DTC pursuant to the book-entry transfer procedures described below, such non-exchanged old notes will be credited to an account maintained with DTC) as promptly as practicable after the expiration or termination of the exchange offer.</w:t>
      </w:r>
    </w:p>
    <w:p>
      <w:pPr>
        <w:spacing w:after="0" w:line="27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991"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Book-Entry Transfer</w:t>
      </w:r>
    </w:p>
    <w:p>
      <w:pPr>
        <w:spacing w:after="0" w:line="179" w:lineRule="exact"/>
        <w:rPr>
          <w:sz w:val="20"/>
          <w:szCs w:val="20"/>
          <w:color w:val="auto"/>
        </w:rPr>
      </w:pPr>
    </w:p>
    <w:p>
      <w:pPr>
        <w:ind w:right="2819" w:firstLine="469"/>
        <w:spacing w:after="0" w:line="245" w:lineRule="auto"/>
        <w:rPr>
          <w:sz w:val="20"/>
          <w:szCs w:val="20"/>
          <w:color w:val="auto"/>
        </w:rPr>
      </w:pPr>
      <w:r>
        <w:rPr>
          <w:rFonts w:ascii="Courier New" w:cs="Courier New" w:eastAsia="Courier New" w:hAnsi="Courier New"/>
          <w:sz w:val="16"/>
          <w:szCs w:val="16"/>
          <w:color w:val="auto"/>
        </w:rPr>
        <w:t>The exchange agent will make a request to establish an account with respect to the old notes at DTC for purposes of the exchange offer promptly after the date of this prospectus. Any financial institution that is a participant in DTC's systems may make book-entry delivery of old notes by causing DTC to transfer such old notes into the exchange agent's account in accordance with DTC's Automated Tender Offer Program, ATOP, procedures for transfer. However, the exchange for the old notes so tendered will only be made after timely confirmation of such book-entry transfer of old notes into the exchange agent's account, and timely receipt by the exchange agent of an agent's message and any other documents required by the letter of transmittal. The term "agent's message" means a message, transmitted by DTC and received by the exchange agent and forming a part of a book-entry confirmation, which states that DTC has received an express acknowledgment from a participant tendering old notes that are the subject of such book-entry confirmation, that such participant has received and agrees to be bound by the terms of the letter of transmittal, and that we may enforce such agreement against such participant.</w:t>
      </w:r>
    </w:p>
    <w:p>
      <w:pPr>
        <w:spacing w:after="0" w:line="101"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6"/>
          <w:szCs w:val="16"/>
          <w:color w:val="auto"/>
        </w:rPr>
        <w:t>Although delivery of old notes may be effected through book-entry transfer into the exchange agent's account at DTC, the letter of transmittal (or facsimile thereof), properly completed and duly executed, with any required signature guarantees and any other required documents, must in any case be delivered to and received by the exchange agent at its address set forth under "--Exchange Agent" on or prior to the expiration date, or the guaranteed delivery procedure set forth below must be complied with.</w:t>
      </w:r>
    </w:p>
    <w:p>
      <w:pPr>
        <w:spacing w:after="0" w:line="84" w:lineRule="exact"/>
        <w:rPr>
          <w:sz w:val="20"/>
          <w:szCs w:val="20"/>
          <w:color w:val="auto"/>
        </w:rPr>
      </w:pPr>
    </w:p>
    <w:p>
      <w:pPr>
        <w:ind w:right="3099" w:firstLine="469"/>
        <w:spacing w:after="0" w:line="348" w:lineRule="auto"/>
        <w:rPr>
          <w:sz w:val="20"/>
          <w:szCs w:val="20"/>
          <w:color w:val="auto"/>
        </w:rPr>
      </w:pPr>
      <w:r>
        <w:rPr>
          <w:rFonts w:ascii="Courier New" w:cs="Courier New" w:eastAsia="Courier New" w:hAnsi="Courier New"/>
          <w:sz w:val="16"/>
          <w:szCs w:val="16"/>
          <w:color w:val="auto"/>
        </w:rPr>
        <w:t>Delivery of documents to DTC in accordance with its procedures does not constitute delivery to the Exchange Agent.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Guaranteed Delivery Procedures</w:t>
      </w:r>
    </w:p>
    <w:p>
      <w:pPr>
        <w:spacing w:after="0" w:line="179" w:lineRule="exact"/>
        <w:rPr>
          <w:sz w:val="20"/>
          <w:szCs w:val="20"/>
          <w:color w:val="auto"/>
        </w:rPr>
      </w:pPr>
    </w:p>
    <w:p>
      <w:pPr>
        <w:ind w:right="2899" w:firstLine="469"/>
        <w:spacing w:after="0" w:line="266" w:lineRule="auto"/>
        <w:rPr>
          <w:sz w:val="20"/>
          <w:szCs w:val="20"/>
          <w:color w:val="auto"/>
        </w:rPr>
      </w:pPr>
      <w:r>
        <w:rPr>
          <w:rFonts w:ascii="Courier New" w:cs="Courier New" w:eastAsia="Courier New" w:hAnsi="Courier New"/>
          <w:sz w:val="16"/>
          <w:szCs w:val="16"/>
          <w:color w:val="auto"/>
        </w:rPr>
        <w:t>If a registered holder of the old notes desires to tender such old notes and the old notes are not immediately available, or time will not permit such holder's old notes or other required documents to reach the exchange agent before the expiration date, or the procedure for book-entry transfer cannot be completed on a timely basis, a tender may be effected if:</w:t>
      </w:r>
    </w:p>
    <w:p>
      <w:pPr>
        <w:spacing w:after="0" w:line="78" w:lineRule="exact"/>
        <w:rPr>
          <w:sz w:val="20"/>
          <w:szCs w:val="20"/>
          <w:color w:val="auto"/>
        </w:rPr>
      </w:pPr>
    </w:p>
    <w:p>
      <w:pPr>
        <w:ind w:left="940" w:hanging="475"/>
        <w:spacing w:after="0"/>
        <w:tabs>
          <w:tab w:leader="none" w:pos="9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tender is made through an eligible institution;</w:t>
      </w:r>
    </w:p>
    <w:p>
      <w:pPr>
        <w:spacing w:after="0" w:line="179" w:lineRule="exact"/>
        <w:rPr>
          <w:rFonts w:ascii="Courier New" w:cs="Courier New" w:eastAsia="Courier New" w:hAnsi="Courier New"/>
          <w:sz w:val="16"/>
          <w:szCs w:val="16"/>
          <w:color w:val="auto"/>
        </w:rPr>
      </w:pPr>
    </w:p>
    <w:p>
      <w:pPr>
        <w:ind w:left="940" w:right="2819" w:hanging="475"/>
        <w:spacing w:after="0" w:line="247" w:lineRule="auto"/>
        <w:tabs>
          <w:tab w:leader="none" w:pos="9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expiration date, the exchange agent receives from such eligible institution a properly completed and duly executed letter of transmittal (or a facsimile letter of transmittal) and notice of guaranteed delivery, substantially in the form provided by us (by telegram, telex, facsimile transmission, mail or hand delivery), setting forth the name and address of the holder of old notes and the amount of old notes tendered, stating that the tender is being made thereby and guaranteeing that within five New York Stock Exchange trading days after the date of execution of the notice of guaranteed delivery, the certificates of all physically tendered old notes, in proper form for transfer, or a book-entry confirmation, as the case may be, and any other documents required by the letter of transmittal will be deposited by the eligible institution with the exchange agent; and</w:t>
      </w:r>
    </w:p>
    <w:p>
      <w:pPr>
        <w:spacing w:after="0" w:line="94" w:lineRule="exact"/>
        <w:rPr>
          <w:rFonts w:ascii="Courier New" w:cs="Courier New" w:eastAsia="Courier New" w:hAnsi="Courier New"/>
          <w:sz w:val="16"/>
          <w:szCs w:val="16"/>
          <w:color w:val="auto"/>
        </w:rPr>
      </w:pPr>
    </w:p>
    <w:p>
      <w:pPr>
        <w:ind w:left="940" w:right="2899" w:hanging="475"/>
        <w:spacing w:after="0" w:line="266" w:lineRule="auto"/>
        <w:tabs>
          <w:tab w:leader="none" w:pos="9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certificates for all physically tendered old notes, in proper form for transfer, or a book-entry confirmation, as the case may be, and all other documents required by the letter of transmittal, are received by the exchange agent within five NYSE trading days after the date of execution of the notice of guaranteed delivery.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 Rights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Tenders of old notes may be withdrawn at any time prior to the expiration</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51" w:lineRule="exact"/>
        <w:rPr>
          <w:sz w:val="20"/>
          <w:szCs w:val="20"/>
          <w:color w:val="auto"/>
        </w:rPr>
      </w:pPr>
    </w:p>
    <w:p>
      <w:pPr>
        <w:ind w:right="2999" w:firstLine="469"/>
        <w:spacing w:after="0" w:line="293" w:lineRule="auto"/>
        <w:rPr>
          <w:sz w:val="20"/>
          <w:szCs w:val="20"/>
          <w:color w:val="auto"/>
        </w:rPr>
      </w:pPr>
      <w:r>
        <w:rPr>
          <w:rFonts w:ascii="Courier New" w:cs="Courier New" w:eastAsia="Courier New" w:hAnsi="Courier New"/>
          <w:sz w:val="16"/>
          <w:szCs w:val="16"/>
          <w:color w:val="auto"/>
        </w:rPr>
        <w:t>For a withdrawal to be effective, a written notice of withdrawal must be received by the exchange agent at one of the addresses set forth below under "Exchange Agent." Any such notice of withdrawal must specify:</w:t>
      </w:r>
    </w:p>
    <w:p>
      <w:pPr>
        <w:spacing w:after="0" w:line="23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991" w:right="1440" w:bottom="1440" w:gutter="0" w:footer="0" w:header="0"/>
        </w:sectPr>
      </w:pPr>
    </w:p>
    <w:bookmarkStart w:id="22" w:name="page23"/>
    <w:bookmarkEnd w:id="22"/>
    <w:p>
      <w:pPr>
        <w:ind w:left="940" w:hanging="475"/>
        <w:spacing w:after="0"/>
        <w:tabs>
          <w:tab w:leader="none" w:pos="9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person having tendered the old notes to be withdrawn;</w:t>
      </w:r>
    </w:p>
    <w:p>
      <w:pPr>
        <w:spacing w:after="0" w:line="190" w:lineRule="exact"/>
        <w:rPr>
          <w:rFonts w:ascii="Courier New" w:cs="Courier New" w:eastAsia="Courier New" w:hAnsi="Courier New"/>
          <w:sz w:val="15"/>
          <w:szCs w:val="15"/>
          <w:color w:val="auto"/>
        </w:rPr>
      </w:pPr>
    </w:p>
    <w:p>
      <w:pPr>
        <w:ind w:left="940" w:right="2819" w:hanging="475"/>
        <w:spacing w:after="0" w:line="348" w:lineRule="auto"/>
        <w:tabs>
          <w:tab w:leader="none" w:pos="9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old notes to be withdrawn (including the principal amount of such old notes); and</w:t>
      </w:r>
    </w:p>
    <w:p>
      <w:pPr>
        <w:spacing w:after="0" w:line="15" w:lineRule="exact"/>
        <w:rPr>
          <w:rFonts w:ascii="Courier New" w:cs="Courier New" w:eastAsia="Courier New" w:hAnsi="Courier New"/>
          <w:sz w:val="16"/>
          <w:szCs w:val="16"/>
          <w:color w:val="auto"/>
        </w:rPr>
      </w:pPr>
    </w:p>
    <w:p>
      <w:pPr>
        <w:ind w:left="940" w:right="2999" w:hanging="475"/>
        <w:spacing w:after="0" w:line="293" w:lineRule="auto"/>
        <w:tabs>
          <w:tab w:leader="none" w:pos="9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certificates for old notes have been transmitted, the name in which such old notes are registered, if different from that of the withdrawing holder.</w:t>
      </w:r>
    </w:p>
    <w:p>
      <w:pPr>
        <w:spacing w:after="0" w:line="58" w:lineRule="exact"/>
        <w:rPr>
          <w:sz w:val="20"/>
          <w:szCs w:val="20"/>
          <w:color w:val="auto"/>
        </w:rPr>
      </w:pPr>
    </w:p>
    <w:p>
      <w:pPr>
        <w:ind w:right="2899" w:firstLine="469"/>
        <w:spacing w:after="0" w:line="248" w:lineRule="auto"/>
        <w:rPr>
          <w:sz w:val="20"/>
          <w:szCs w:val="20"/>
          <w:color w:val="auto"/>
        </w:rPr>
      </w:pPr>
      <w:r>
        <w:rPr>
          <w:rFonts w:ascii="Courier New" w:cs="Courier New" w:eastAsia="Courier New" w:hAnsi="Courier New"/>
          <w:sz w:val="16"/>
          <w:szCs w:val="16"/>
          <w:color w:val="auto"/>
        </w:rPr>
        <w:t>If certificates for old notes have been delivered or otherwise identified to the exchange agent, then, prior to the release of such certificates, the withdrawing holder must also submit the serial numbers of the particular certificates to be withdrawn and a signed notice of withdrawal with signatures guaranteed by an eligible institution unless such holder is an eligible institution. If old notes have been tendered pursuant to the procedure for book-entry transfer described above, any notice of withdrawal must specify the name and number of the account at DTC to be credited with the withdrawn old notes and otherwise comply with the procedures of such facility. All questions as to the validity, form and eligibility (including time of receipt) of such notices will be determined by us, and our determination will be final and binding on all parties.</w:t>
      </w:r>
    </w:p>
    <w:p>
      <w:pPr>
        <w:spacing w:after="0" w:line="97" w:lineRule="exact"/>
        <w:rPr>
          <w:sz w:val="20"/>
          <w:szCs w:val="20"/>
          <w:color w:val="auto"/>
        </w:rPr>
      </w:pPr>
    </w:p>
    <w:p>
      <w:pPr>
        <w:ind w:right="2819" w:firstLine="469"/>
        <w:spacing w:after="0" w:line="268" w:lineRule="auto"/>
        <w:rPr>
          <w:sz w:val="20"/>
          <w:szCs w:val="20"/>
          <w:color w:val="auto"/>
        </w:rPr>
      </w:pPr>
      <w:r>
        <w:rPr>
          <w:rFonts w:ascii="Courier New" w:cs="Courier New" w:eastAsia="Courier New" w:hAnsi="Courier New"/>
          <w:sz w:val="15"/>
          <w:szCs w:val="15"/>
          <w:color w:val="auto"/>
        </w:rPr>
        <w:t>Any old notes so withdrawn will be deemed not to have been validly tendered for exchange for purposes of the exchange offer. Any old notes which have been tendered for exchange but which are not exchanged for any reason will be returned to the holder thereof without cost to such holder (or, in the case of old notes tendered by book-entry transfer into the exchange agent's account at DTC pursuant to the book-entry transfer procedures described above, such old notes will be credited to an account maintained with DTC for the old notes) as soon as practicable after withdrawal, rejection of tender or termination of the exchange offer. Properly withdrawn old notes may be re-entered by following one of the procedures described under "Procedures for Tendering Old Notes" above at any time on or prior to the expiration date.</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Conditions to the Exchange Offer</w:t>
      </w:r>
    </w:p>
    <w:p>
      <w:pPr>
        <w:spacing w:after="0" w:line="179" w:lineRule="exact"/>
        <w:rPr>
          <w:sz w:val="20"/>
          <w:szCs w:val="20"/>
          <w:color w:val="auto"/>
        </w:rPr>
      </w:pPr>
    </w:p>
    <w:p>
      <w:pPr>
        <w:ind w:right="3099" w:firstLine="469"/>
        <w:spacing w:after="0" w:line="281" w:lineRule="auto"/>
        <w:rPr>
          <w:sz w:val="20"/>
          <w:szCs w:val="20"/>
          <w:color w:val="auto"/>
        </w:rPr>
      </w:pPr>
      <w:r>
        <w:rPr>
          <w:rFonts w:ascii="Courier New" w:cs="Courier New" w:eastAsia="Courier New" w:hAnsi="Courier New"/>
          <w:sz w:val="15"/>
          <w:szCs w:val="15"/>
          <w:color w:val="auto"/>
        </w:rPr>
        <w:t>Notwithstanding any other provisions of the exchange offer, we are not required to accept for exchange, or to issue exchange notes in exchange for, any old notes and may terminate or amend the exchange offer, if at any time before the acceptance of such old notes for exchange or the exchange of the exchange notes for such old notes, such acceptance or issuance would violate applicable law or any interpretation of the SEC's staff.</w:t>
      </w:r>
    </w:p>
    <w:p>
      <w:pPr>
        <w:spacing w:after="0" w:line="69" w:lineRule="exact"/>
        <w:rPr>
          <w:sz w:val="20"/>
          <w:szCs w:val="20"/>
          <w:color w:val="auto"/>
        </w:rPr>
      </w:pPr>
    </w:p>
    <w:p>
      <w:pPr>
        <w:ind w:right="2999" w:firstLine="469"/>
        <w:spacing w:after="0" w:line="288" w:lineRule="auto"/>
        <w:rPr>
          <w:sz w:val="20"/>
          <w:szCs w:val="20"/>
          <w:color w:val="auto"/>
        </w:rPr>
      </w:pPr>
      <w:r>
        <w:rPr>
          <w:rFonts w:ascii="Courier New" w:cs="Courier New" w:eastAsia="Courier New" w:hAnsi="Courier New"/>
          <w:sz w:val="15"/>
          <w:szCs w:val="15"/>
          <w:color w:val="auto"/>
        </w:rPr>
        <w:t>The condition in the paragraph immediately above is for our sole benefit and may be asserted by us regardless of the circumstances giving rise to such condition. Our failure at any time to exercise the foregoing rights is not to be deemed a waiver of any such right and each such right shall be deemed an ongoing right which may be asserted at any time and from time to time.</w:t>
      </w:r>
    </w:p>
    <w:p>
      <w:pPr>
        <w:spacing w:after="0" w:line="63" w:lineRule="exact"/>
        <w:rPr>
          <w:sz w:val="20"/>
          <w:szCs w:val="20"/>
          <w:color w:val="auto"/>
        </w:rPr>
      </w:pPr>
    </w:p>
    <w:p>
      <w:pPr>
        <w:ind w:right="2819" w:firstLine="469"/>
        <w:spacing w:after="0" w:line="266" w:lineRule="auto"/>
        <w:rPr>
          <w:sz w:val="20"/>
          <w:szCs w:val="20"/>
          <w:color w:val="auto"/>
        </w:rPr>
      </w:pPr>
      <w:r>
        <w:rPr>
          <w:rFonts w:ascii="Courier New" w:cs="Courier New" w:eastAsia="Courier New" w:hAnsi="Courier New"/>
          <w:sz w:val="16"/>
          <w:szCs w:val="16"/>
          <w:color w:val="auto"/>
        </w:rPr>
        <w:t>In addition, we will not accept for exchange any old notes tendered, and no exchange notes will be issued in exchange for any such old notes, if at such time any stop order is threatened or in effect with respect to the registration statement of which this prospectus constitutes a part or the qualification of the indenture under the Trust Indenture Act.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991"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Exchange Agent</w:t>
      </w:r>
    </w:p>
    <w:p>
      <w:pPr>
        <w:spacing w:after="0" w:line="179" w:lineRule="exact"/>
        <w:rPr>
          <w:sz w:val="20"/>
          <w:szCs w:val="20"/>
          <w:color w:val="auto"/>
        </w:rPr>
      </w:pPr>
    </w:p>
    <w:p>
      <w:pPr>
        <w:ind w:right="2899" w:firstLine="469"/>
        <w:spacing w:after="0" w:line="260" w:lineRule="auto"/>
        <w:rPr>
          <w:sz w:val="20"/>
          <w:szCs w:val="20"/>
          <w:color w:val="auto"/>
        </w:rPr>
      </w:pPr>
      <w:r>
        <w:rPr>
          <w:rFonts w:ascii="Courier New" w:cs="Courier New" w:eastAsia="Courier New" w:hAnsi="Courier New"/>
          <w:sz w:val="16"/>
          <w:szCs w:val="16"/>
          <w:color w:val="auto"/>
        </w:rPr>
        <w:t>Citibank, N.A. has been appointed as the exchange agent for the exchange offer. All executed letters of transmittal should be directed to the exchange agent at one of the addresses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8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Deliver To:</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Citibank, N.A., Exchange Agent</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By Mail or By Hand:</w:t>
      </w:r>
    </w:p>
    <w:p>
      <w:pPr>
        <w:spacing w:after="0" w:line="179"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Corporate Trust Window</w:t>
      </w:r>
    </w:p>
    <w:p>
      <w:pPr>
        <w:spacing w:after="0" w:line="26"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111 Wall Street, 5th Floor</w:t>
      </w:r>
    </w:p>
    <w:p>
      <w:pPr>
        <w:jc w:val="center"/>
        <w:ind w:right="2719"/>
        <w:spacing w:after="0"/>
        <w:rPr>
          <w:sz w:val="20"/>
          <w:szCs w:val="20"/>
          <w:color w:val="auto"/>
        </w:rPr>
      </w:pPr>
      <w:r>
        <w:rPr>
          <w:rFonts w:ascii="Courier New" w:cs="Courier New" w:eastAsia="Courier New" w:hAnsi="Courier New"/>
          <w:sz w:val="16"/>
          <w:szCs w:val="16"/>
          <w:color w:val="auto"/>
        </w:rPr>
        <w:t>New York, NY 10043</w:t>
      </w:r>
    </w:p>
    <w:p>
      <w:pPr>
        <w:spacing w:after="0" w:line="15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By Facsimile:</w:t>
      </w:r>
    </w:p>
    <w:p>
      <w:pPr>
        <w:spacing w:after="0" w:line="2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(212) 657-4009</w:t>
      </w:r>
    </w:p>
    <w:p>
      <w:pPr>
        <w:spacing w:after="0" w:line="15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Confirm by Telephone:</w:t>
      </w:r>
    </w:p>
    <w:p>
      <w:pPr>
        <w:spacing w:after="0" w:line="2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(212) 657-8476</w:t>
      </w:r>
    </w:p>
    <w:p>
      <w:pPr>
        <w:spacing w:after="0" w:line="151" w:lineRule="exact"/>
        <w:rPr>
          <w:sz w:val="20"/>
          <w:szCs w:val="20"/>
          <w:color w:val="auto"/>
        </w:rPr>
      </w:pPr>
    </w:p>
    <w:p>
      <w:pPr>
        <w:ind w:right="2899" w:firstLine="469"/>
        <w:spacing w:after="0" w:line="293" w:lineRule="auto"/>
        <w:rPr>
          <w:sz w:val="20"/>
          <w:szCs w:val="20"/>
          <w:color w:val="auto"/>
        </w:rPr>
      </w:pPr>
      <w:r>
        <w:rPr>
          <w:rFonts w:ascii="Courier New" w:cs="Courier New" w:eastAsia="Courier New" w:hAnsi="Courier New"/>
          <w:sz w:val="16"/>
          <w:szCs w:val="16"/>
          <w:color w:val="auto"/>
        </w:rPr>
        <w:t>Delivery to an address other than as set forth above or transmission of instructions via facsimile other than as set forth above does not constitute a valid delivery.</w:t>
      </w:r>
    </w:p>
    <w:p>
      <w:pPr>
        <w:spacing w:after="0" w:line="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Fees and Expenses</w:t>
      </w:r>
    </w:p>
    <w:p>
      <w:pPr>
        <w:spacing w:after="0" w:line="179" w:lineRule="exact"/>
        <w:rPr>
          <w:sz w:val="20"/>
          <w:szCs w:val="20"/>
          <w:color w:val="auto"/>
        </w:rPr>
      </w:pPr>
    </w:p>
    <w:p>
      <w:pPr>
        <w:ind w:right="2899" w:firstLine="469"/>
        <w:spacing w:after="0" w:line="273" w:lineRule="auto"/>
        <w:rPr>
          <w:sz w:val="20"/>
          <w:szCs w:val="20"/>
          <w:color w:val="auto"/>
        </w:rPr>
      </w:pPr>
      <w:r>
        <w:rPr>
          <w:rFonts w:ascii="Courier New" w:cs="Courier New" w:eastAsia="Courier New" w:hAnsi="Courier New"/>
          <w:sz w:val="15"/>
          <w:szCs w:val="15"/>
          <w:color w:val="auto"/>
        </w:rPr>
        <w:t>The principal solicitation is being made by mail; however, additional solicitation may be made by telegraph, telephone or in person by our officers, regular employees and affiliates. We will not pay any additional compensation to any such officers and employees who engage in soliciting tenders. We will not make any payment to brokers, dealers, or others soliciting acceptances of the exchange offer. However, we will pay the exchange agent reasonable and customary fees for its services and will reimburse it for its reasonable out-of-pocket expenses in connection therewith.</w:t>
      </w:r>
    </w:p>
    <w:p>
      <w:pPr>
        <w:spacing w:after="0" w:line="77" w:lineRule="exact"/>
        <w:rPr>
          <w:sz w:val="20"/>
          <w:szCs w:val="20"/>
          <w:color w:val="auto"/>
        </w:rPr>
      </w:pPr>
    </w:p>
    <w:p>
      <w:pPr>
        <w:ind w:right="2819" w:firstLine="469"/>
        <w:spacing w:after="0" w:line="382" w:lineRule="auto"/>
        <w:rPr>
          <w:sz w:val="20"/>
          <w:szCs w:val="20"/>
          <w:color w:val="auto"/>
        </w:rPr>
      </w:pPr>
      <w:r>
        <w:rPr>
          <w:rFonts w:ascii="Courier New" w:cs="Courier New" w:eastAsia="Courier New" w:hAnsi="Courier New"/>
          <w:sz w:val="15"/>
          <w:szCs w:val="15"/>
          <w:color w:val="auto"/>
        </w:rPr>
        <w:t>The estimated cash expenses to be incurred in connection with the exchange offer will be paid by us and are estimated in the aggregate to be $350,000.</w:t>
      </w:r>
    </w:p>
    <w:p>
      <w:pPr>
        <w:spacing w:after="0"/>
        <w:rPr>
          <w:sz w:val="20"/>
          <w:szCs w:val="20"/>
          <w:color w:val="auto"/>
        </w:rPr>
      </w:pPr>
      <w:r>
        <w:rPr>
          <w:rFonts w:ascii="Courier New" w:cs="Courier New" w:eastAsia="Courier New" w:hAnsi="Courier New"/>
          <w:sz w:val="16"/>
          <w:szCs w:val="16"/>
          <w:color w:val="auto"/>
        </w:rPr>
        <w:t>Transfer Taxes</w:t>
      </w:r>
    </w:p>
    <w:p>
      <w:pPr>
        <w:spacing w:after="0" w:line="179" w:lineRule="exact"/>
        <w:rPr>
          <w:sz w:val="20"/>
          <w:szCs w:val="20"/>
          <w:color w:val="auto"/>
        </w:rPr>
      </w:pPr>
    </w:p>
    <w:p>
      <w:pPr>
        <w:ind w:right="2999" w:firstLine="469"/>
        <w:spacing w:after="0" w:line="260" w:lineRule="auto"/>
        <w:rPr>
          <w:sz w:val="20"/>
          <w:szCs w:val="20"/>
          <w:color w:val="auto"/>
        </w:rPr>
      </w:pPr>
      <w:r>
        <w:rPr>
          <w:rFonts w:ascii="Courier New" w:cs="Courier New" w:eastAsia="Courier New" w:hAnsi="Courier New"/>
          <w:sz w:val="16"/>
          <w:szCs w:val="16"/>
          <w:color w:val="auto"/>
        </w:rPr>
        <w:t>Holders who tender their old notes for exchange will not be obligated to pay any transfer taxes in connection therewith, except that holders who instruct us to register exchange notes in the name of, or request that old notes not tendered or not accepted in the exchange offer to be returned to, a person other than the registered tendering holder will be responsible for the payment of any applicable transfer tax thereon.</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Resale of the Exchange Notes</w:t>
      </w:r>
    </w:p>
    <w:p>
      <w:pPr>
        <w:spacing w:after="0" w:line="179" w:lineRule="exact"/>
        <w:rPr>
          <w:sz w:val="20"/>
          <w:szCs w:val="20"/>
          <w:color w:val="auto"/>
        </w:rPr>
      </w:pPr>
    </w:p>
    <w:p>
      <w:pPr>
        <w:ind w:right="3099" w:firstLine="469"/>
        <w:spacing w:after="0" w:line="260" w:lineRule="auto"/>
        <w:rPr>
          <w:sz w:val="20"/>
          <w:szCs w:val="20"/>
          <w:color w:val="auto"/>
        </w:rPr>
      </w:pPr>
      <w:r>
        <w:rPr>
          <w:rFonts w:ascii="Courier New" w:cs="Courier New" w:eastAsia="Courier New" w:hAnsi="Courier New"/>
          <w:sz w:val="16"/>
          <w:szCs w:val="16"/>
          <w:color w:val="auto"/>
        </w:rPr>
        <w:t>Under existing interpretations of the SEC's staff contained in several no-action letters to third parties, the exchange notes would be freely transferable after the exchange offer without further registration under the Securities Act. However, any purchaser of old notes who is an "affiliate" of ours or who intends to participate in the exchange offer for the purpose of distributing the exchange notes:</w:t>
      </w:r>
    </w:p>
    <w:p>
      <w:pPr>
        <w:spacing w:after="0" w:line="26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991" w:right="1440" w:bottom="1440" w:gutter="0" w:footer="0" w:header="0"/>
        </w:sectPr>
      </w:pPr>
    </w:p>
    <w:bookmarkStart w:id="24" w:name="page25"/>
    <w:bookmarkEnd w:id="24"/>
    <w:p>
      <w:pPr>
        <w:ind w:left="940" w:hanging="475"/>
        <w:spacing w:after="0"/>
        <w:tabs>
          <w:tab w:leader="none" w:pos="9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not be able to rely on the interpretation of the SEC's staff;</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not be able to tender its old notes in the exchange offer; and</w:t>
      </w:r>
    </w:p>
    <w:p>
      <w:pPr>
        <w:spacing w:after="0" w:line="179" w:lineRule="exact"/>
        <w:rPr>
          <w:rFonts w:ascii="Courier New" w:cs="Courier New" w:eastAsia="Courier New" w:hAnsi="Courier New"/>
          <w:sz w:val="16"/>
          <w:szCs w:val="16"/>
          <w:color w:val="auto"/>
        </w:rPr>
      </w:pPr>
    </w:p>
    <w:p>
      <w:pPr>
        <w:ind w:left="940" w:right="3179" w:hanging="475"/>
        <w:spacing w:after="0" w:line="275" w:lineRule="auto"/>
        <w:tabs>
          <w:tab w:leader="none" w:pos="9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must comply with the registration and prospectus delivery requirements of the Securities Act in connection with any sale or transfer of the old notes unless such sale or transfer is made pursuant to an exemption from such requirements.</w:t>
      </w:r>
    </w:p>
    <w:p>
      <w:pPr>
        <w:spacing w:after="0" w:line="71" w:lineRule="exact"/>
        <w:rPr>
          <w:sz w:val="20"/>
          <w:szCs w:val="20"/>
          <w:color w:val="auto"/>
        </w:rPr>
      </w:pPr>
    </w:p>
    <w:p>
      <w:pPr>
        <w:ind w:right="3099" w:firstLine="469"/>
        <w:spacing w:after="0" w:line="293" w:lineRule="auto"/>
        <w:rPr>
          <w:sz w:val="20"/>
          <w:szCs w:val="20"/>
          <w:color w:val="auto"/>
        </w:rPr>
      </w:pPr>
      <w:r>
        <w:rPr>
          <w:rFonts w:ascii="Courier New" w:cs="Courier New" w:eastAsia="Courier New" w:hAnsi="Courier New"/>
          <w:sz w:val="16"/>
          <w:szCs w:val="16"/>
          <w:color w:val="auto"/>
        </w:rPr>
        <w:t>By executing, or otherwise becoming bound by, the letter of transmittal each holder of the old notes (other than certain specified holders) will represent that:</w:t>
      </w:r>
    </w:p>
    <w:p>
      <w:pPr>
        <w:spacing w:after="0" w:line="58" w:lineRule="exact"/>
        <w:rPr>
          <w:sz w:val="20"/>
          <w:szCs w:val="20"/>
          <w:color w:val="auto"/>
        </w:rPr>
      </w:pPr>
    </w:p>
    <w:p>
      <w:pPr>
        <w:ind w:left="940" w:hanging="475"/>
        <w:spacing w:after="0"/>
        <w:tabs>
          <w:tab w:leader="none" w:pos="9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not our "affiliate";</w:t>
      </w:r>
    </w:p>
    <w:p>
      <w:pPr>
        <w:spacing w:after="0" w:line="179" w:lineRule="exact"/>
        <w:rPr>
          <w:rFonts w:ascii="Courier New" w:cs="Courier New" w:eastAsia="Courier New" w:hAnsi="Courier New"/>
          <w:sz w:val="16"/>
          <w:szCs w:val="16"/>
          <w:color w:val="auto"/>
        </w:rPr>
      </w:pPr>
    </w:p>
    <w:p>
      <w:pPr>
        <w:ind w:left="940" w:right="2819" w:hanging="475"/>
        <w:spacing w:after="0" w:line="348" w:lineRule="auto"/>
        <w:tabs>
          <w:tab w:leader="none" w:pos="9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exchange notes to be received by it were acquired in the ordinary course of its business; and</w:t>
      </w:r>
    </w:p>
    <w:p>
      <w:pPr>
        <w:spacing w:after="0" w:line="15" w:lineRule="exact"/>
        <w:rPr>
          <w:rFonts w:ascii="Courier New" w:cs="Courier New" w:eastAsia="Courier New" w:hAnsi="Courier New"/>
          <w:sz w:val="16"/>
          <w:szCs w:val="16"/>
          <w:color w:val="auto"/>
        </w:rPr>
      </w:pPr>
    </w:p>
    <w:p>
      <w:pPr>
        <w:ind w:left="940" w:right="3479" w:hanging="475"/>
        <w:spacing w:after="0" w:line="293" w:lineRule="auto"/>
        <w:tabs>
          <w:tab w:leader="none" w:pos="9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has no arrangement with any person to participate in the distribution (within the meaning of the Securities Act) of the exchange notes.</w:t>
      </w:r>
    </w:p>
    <w:p>
      <w:pPr>
        <w:spacing w:after="0" w:line="58" w:lineRule="exact"/>
        <w:rPr>
          <w:sz w:val="20"/>
          <w:szCs w:val="20"/>
          <w:color w:val="auto"/>
        </w:rPr>
      </w:pPr>
    </w:p>
    <w:p>
      <w:pPr>
        <w:ind w:right="2819"/>
        <w:spacing w:after="0" w:line="248" w:lineRule="auto"/>
        <w:rPr>
          <w:sz w:val="20"/>
          <w:szCs w:val="20"/>
          <w:color w:val="auto"/>
        </w:rPr>
      </w:pPr>
      <w:r>
        <w:rPr>
          <w:rFonts w:ascii="Courier New" w:cs="Courier New" w:eastAsia="Courier New" w:hAnsi="Courier New"/>
          <w:sz w:val="16"/>
          <w:szCs w:val="16"/>
          <w:color w:val="auto"/>
        </w:rPr>
        <w:t>In addition, in connection with any resales of exchange notes, any participating broker-dealer who acquired the old notes for its own account as a result of market-making or other trading activities must deliver a prospectus meeting the requirements of the Securities Act. The SEC has taken the position that participating broker-dealers may fulfill their prospectus delivery requirements with respect to the exchange notes (other than a resale of an unsold allotment from the original sale of the old notes) with the prospectus contained in the exchange offer registration statement. Under the registration rights agreement, we are required to allow participating broker-dealers and other persons, if any, subject to similar prospectus delivery requirements to use this prospectus as it may be amended or supplemented from time to time, in connection with the resale of such exchange notes.</w:t>
      </w:r>
    </w:p>
    <w:p>
      <w:pPr>
        <w:spacing w:after="0" w:line="9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MATERIAL UNITED STATES TAX CONSEQUENCES OF THE EXCHANGE OFFER</w:t>
      </w:r>
    </w:p>
    <w:p>
      <w:pPr>
        <w:spacing w:after="0" w:line="179" w:lineRule="exact"/>
        <w:rPr>
          <w:sz w:val="20"/>
          <w:szCs w:val="20"/>
          <w:color w:val="auto"/>
        </w:rPr>
      </w:pPr>
    </w:p>
    <w:p>
      <w:pPr>
        <w:ind w:right="2819" w:firstLine="469"/>
        <w:spacing w:after="0" w:line="288" w:lineRule="auto"/>
        <w:rPr>
          <w:sz w:val="20"/>
          <w:szCs w:val="20"/>
          <w:color w:val="auto"/>
        </w:rPr>
      </w:pPr>
      <w:r>
        <w:rPr>
          <w:rFonts w:ascii="Courier New" w:cs="Courier New" w:eastAsia="Courier New" w:hAnsi="Courier New"/>
          <w:sz w:val="15"/>
          <w:szCs w:val="15"/>
          <w:color w:val="auto"/>
        </w:rPr>
        <w:t>The exchange of old notes for exchange notes pursuant to the exchange offer will not result in any United States federal income tax consequences to holders. When a holder exchanges an old note for an exchange note pursuant to the exchange offer, the holder will have the same adjusted basis and holding period in the exchange note as in the old note immediately before the exchange.</w:t>
      </w:r>
    </w:p>
    <w:p>
      <w:pPr>
        <w:spacing w:after="0" w:line="63"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PLAN OF DISTRIBUTION</w:t>
      </w:r>
    </w:p>
    <w:p>
      <w:pPr>
        <w:spacing w:after="0" w:line="179" w:lineRule="exact"/>
        <w:rPr>
          <w:sz w:val="20"/>
          <w:szCs w:val="20"/>
          <w:color w:val="auto"/>
        </w:rPr>
      </w:pPr>
    </w:p>
    <w:p>
      <w:pPr>
        <w:ind w:right="2819" w:firstLine="469"/>
        <w:spacing w:after="0" w:line="249" w:lineRule="auto"/>
        <w:rPr>
          <w:sz w:val="20"/>
          <w:szCs w:val="20"/>
          <w:color w:val="auto"/>
        </w:rPr>
      </w:pPr>
      <w:r>
        <w:rPr>
          <w:rFonts w:ascii="Courier New" w:cs="Courier New" w:eastAsia="Courier New" w:hAnsi="Courier New"/>
          <w:sz w:val="16"/>
          <w:szCs w:val="16"/>
          <w:color w:val="auto"/>
        </w:rPr>
        <w:t>Each participating broker-dealer in connection with the exchange offer must acknowledge that it will deliver a prospectus in connection with any resale of exchange notes. This prospectus, as it may be amended or supplemented from time to time, may be used by a participating broker-dealer in connection with resales of exchange notes received in exchange for old notes where such old notes were acquired as a result of market-making activities or other trading activities. We have agreed that we will make this prospectus, as amended or supplemented, available to any participating broker-dealer for use in connection with any such resale and participating broker-dealers shall be authorized to deliver this prospectus for a period not exceeding 90 days after the expiration date.</w:t>
      </w:r>
    </w:p>
    <w:p>
      <w:pPr>
        <w:spacing w:after="0" w:line="96" w:lineRule="exact"/>
        <w:rPr>
          <w:sz w:val="20"/>
          <w:szCs w:val="20"/>
          <w:color w:val="auto"/>
        </w:rPr>
      </w:pPr>
    </w:p>
    <w:p>
      <w:pPr>
        <w:ind w:right="2819" w:firstLine="469"/>
        <w:spacing w:after="0" w:line="251" w:lineRule="auto"/>
        <w:rPr>
          <w:sz w:val="20"/>
          <w:szCs w:val="20"/>
          <w:color w:val="auto"/>
        </w:rPr>
      </w:pPr>
      <w:r>
        <w:rPr>
          <w:rFonts w:ascii="Courier New" w:cs="Courier New" w:eastAsia="Courier New" w:hAnsi="Courier New"/>
          <w:sz w:val="16"/>
          <w:szCs w:val="16"/>
          <w:color w:val="auto"/>
        </w:rPr>
        <w:t>We will not receive any proceeds from any sales of the exchange notes by participating broker-dealers. Exchange notes received by participating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w:t>
      </w:r>
    </w:p>
    <w:p>
      <w:pPr>
        <w:spacing w:after="0" w:line="2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811" w:right="1440" w:bottom="1440" w:gutter="0" w:footer="0" w:header="0"/>
        </w:sectPr>
      </w:pPr>
    </w:p>
    <w:bookmarkStart w:id="25" w:name="page26"/>
    <w:bookmarkEnd w:id="25"/>
    <w:p>
      <w:pPr>
        <w:ind w:right="2719"/>
        <w:spacing w:after="0" w:line="251" w:lineRule="auto"/>
        <w:rPr>
          <w:sz w:val="20"/>
          <w:szCs w:val="20"/>
          <w:color w:val="auto"/>
        </w:rPr>
      </w:pPr>
      <w:r>
        <w:rPr>
          <w:rFonts w:ascii="Courier New" w:cs="Courier New" w:eastAsia="Courier New" w:hAnsi="Courier New"/>
          <w:sz w:val="16"/>
          <w:szCs w:val="16"/>
          <w:color w:val="auto"/>
        </w:rPr>
        <w:t>or concessions from any such participating broker-dealer that resells the exchange notes that were received by it for its own account pursuant to the exchange offer. Any broker or dealer that participates in a distribution of such exchange notes may be deemed to be an "underwriter" within the meaning of the Securities Act and any profit on any such resale of exchange notes and any omissions or concessions received by any such persons may be deemed to be underwriting compensation under the Securities Act. The letter of transmittal states that by acknowledging that it will deliver and by delivering a prospectus, a participating broker-dealer will not be deemed to admit that it is an "underwriter" within the meaning of the Securities Act.</w:t>
      </w:r>
    </w:p>
    <w:p>
      <w:pPr>
        <w:spacing w:after="0" w:line="89" w:lineRule="exact"/>
        <w:rPr>
          <w:sz w:val="20"/>
          <w:szCs w:val="20"/>
          <w:color w:val="auto"/>
        </w:rPr>
      </w:pPr>
    </w:p>
    <w:p>
      <w:pPr>
        <w:ind w:right="2999" w:firstLine="469"/>
        <w:spacing w:after="0" w:line="275" w:lineRule="auto"/>
        <w:rPr>
          <w:sz w:val="20"/>
          <w:szCs w:val="20"/>
          <w:color w:val="auto"/>
        </w:rPr>
      </w:pPr>
      <w:r>
        <w:rPr>
          <w:rFonts w:ascii="Courier New" w:cs="Courier New" w:eastAsia="Courier New" w:hAnsi="Courier New"/>
          <w:sz w:val="16"/>
          <w:szCs w:val="16"/>
          <w:color w:val="auto"/>
        </w:rPr>
        <w:t>We will promptly send additional copies of this prospectus and any amendment or supplement to this prospectus to any participating broker-dealer that requests such documents in the letter of transmittal. See "The Exchange Offer."</w:t>
      </w:r>
    </w:p>
    <w:p>
      <w:pPr>
        <w:spacing w:after="0" w:line="7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LEGAL MATTERS</w:t>
      </w:r>
    </w:p>
    <w:p>
      <w:pPr>
        <w:spacing w:after="0" w:line="179" w:lineRule="exact"/>
        <w:rPr>
          <w:sz w:val="20"/>
          <w:szCs w:val="20"/>
          <w:color w:val="auto"/>
        </w:rPr>
      </w:pPr>
    </w:p>
    <w:p>
      <w:pPr>
        <w:ind w:right="3179" w:firstLine="469"/>
        <w:spacing w:after="0" w:line="348" w:lineRule="auto"/>
        <w:rPr>
          <w:sz w:val="20"/>
          <w:szCs w:val="20"/>
          <w:color w:val="auto"/>
        </w:rPr>
      </w:pPr>
      <w:r>
        <w:rPr>
          <w:rFonts w:ascii="Courier New" w:cs="Courier New" w:eastAsia="Courier New" w:hAnsi="Courier New"/>
          <w:sz w:val="16"/>
          <w:szCs w:val="16"/>
          <w:color w:val="auto"/>
        </w:rPr>
        <w:t>The validity of the notes offered hereby will be passed upon for us by Davis Polk &amp; Wardwell, New York, New York.</w:t>
      </w:r>
    </w:p>
    <w:p>
      <w:pPr>
        <w:spacing w:after="0" w:line="1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INDEPENDENT AUDITORS</w:t>
      </w:r>
    </w:p>
    <w:p>
      <w:pPr>
        <w:spacing w:after="0" w:line="179" w:lineRule="exact"/>
        <w:rPr>
          <w:sz w:val="20"/>
          <w:szCs w:val="20"/>
          <w:color w:val="auto"/>
        </w:rPr>
      </w:pPr>
    </w:p>
    <w:p>
      <w:pPr>
        <w:ind w:right="2999" w:firstLine="469"/>
        <w:spacing w:after="0" w:line="293" w:lineRule="auto"/>
        <w:rPr>
          <w:sz w:val="20"/>
          <w:szCs w:val="20"/>
          <w:color w:val="auto"/>
        </w:rPr>
      </w:pPr>
      <w:r>
        <w:rPr>
          <w:rFonts w:ascii="Courier New" w:cs="Courier New" w:eastAsia="Courier New" w:hAnsi="Courier New"/>
          <w:sz w:val="16"/>
          <w:szCs w:val="16"/>
          <w:color w:val="auto"/>
        </w:rPr>
        <w:t>The consolidated financial statements included in our Annual Report on Form 10-K/A for the year ended December 31, 1998 have been audited by Ernst &amp; Young LLP, independent auditors, as set forth in their report therein.</w:t>
      </w:r>
    </w:p>
    <w:p>
      <w:pPr>
        <w:spacing w:after="0" w:line="200" w:lineRule="exact"/>
        <w:rPr>
          <w:sz w:val="20"/>
          <w:szCs w:val="20"/>
          <w:color w:val="auto"/>
        </w:rPr>
      </w:pPr>
    </w:p>
    <w:p>
      <w:pPr>
        <w:spacing w:after="0" w:line="39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811"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w:t>
      </w:r>
    </w:p>
    <w:p>
      <w:pPr>
        <w:spacing w:after="0" w:line="3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You should rely only on the information</w:t>
      </w:r>
    </w:p>
    <w:p>
      <w:pPr>
        <w:spacing w:after="0"/>
        <w:rPr>
          <w:sz w:val="20"/>
          <w:szCs w:val="20"/>
          <w:color w:val="auto"/>
        </w:rPr>
      </w:pPr>
      <w:r>
        <w:rPr>
          <w:rFonts w:ascii="Courier New" w:cs="Courier New" w:eastAsia="Courier New" w:hAnsi="Courier New"/>
          <w:sz w:val="16"/>
          <w:szCs w:val="16"/>
          <w:color w:val="auto"/>
        </w:rPr>
        <w:t>contained in this document or that we have</w:t>
      </w:r>
    </w:p>
    <w:p>
      <w:pPr>
        <w:spacing w:after="0"/>
        <w:rPr>
          <w:sz w:val="20"/>
          <w:szCs w:val="20"/>
          <w:color w:val="auto"/>
        </w:rPr>
      </w:pPr>
      <w:r>
        <w:rPr>
          <w:rFonts w:ascii="Courier New" w:cs="Courier New" w:eastAsia="Courier New" w:hAnsi="Courier New"/>
          <w:sz w:val="16"/>
          <w:szCs w:val="16"/>
          <w:color w:val="auto"/>
        </w:rPr>
        <w:t>referred you to. We have not authorized anyone to</w:t>
      </w:r>
    </w:p>
    <w:p>
      <w:pPr>
        <w:spacing w:after="0"/>
        <w:rPr>
          <w:sz w:val="20"/>
          <w:szCs w:val="20"/>
          <w:color w:val="auto"/>
        </w:rPr>
      </w:pPr>
      <w:r>
        <w:rPr>
          <w:rFonts w:ascii="Courier New" w:cs="Courier New" w:eastAsia="Courier New" w:hAnsi="Courier New"/>
          <w:sz w:val="16"/>
          <w:szCs w:val="16"/>
          <w:color w:val="auto"/>
        </w:rPr>
        <w:t>provide you with information that is different. We</w:t>
      </w:r>
    </w:p>
    <w:p>
      <w:pPr>
        <w:spacing w:after="0"/>
        <w:rPr>
          <w:sz w:val="20"/>
          <w:szCs w:val="20"/>
          <w:color w:val="auto"/>
        </w:rPr>
      </w:pPr>
      <w:r>
        <w:rPr>
          <w:rFonts w:ascii="Courier New" w:cs="Courier New" w:eastAsia="Courier New" w:hAnsi="Courier New"/>
          <w:sz w:val="16"/>
          <w:szCs w:val="16"/>
          <w:color w:val="auto"/>
        </w:rPr>
        <w:t>are not making an offer of these securities in any</w:t>
      </w:r>
    </w:p>
    <w:p>
      <w:pPr>
        <w:spacing w:after="0"/>
        <w:rPr>
          <w:sz w:val="20"/>
          <w:szCs w:val="20"/>
          <w:color w:val="auto"/>
        </w:rPr>
      </w:pPr>
      <w:r>
        <w:rPr>
          <w:rFonts w:ascii="Courier New" w:cs="Courier New" w:eastAsia="Courier New" w:hAnsi="Courier New"/>
          <w:sz w:val="16"/>
          <w:szCs w:val="16"/>
          <w:color w:val="auto"/>
        </w:rPr>
        <w:t>state where the offer is not permitted. You should</w:t>
      </w:r>
    </w:p>
    <w:p>
      <w:pPr>
        <w:spacing w:after="0"/>
        <w:rPr>
          <w:sz w:val="20"/>
          <w:szCs w:val="20"/>
          <w:color w:val="auto"/>
        </w:rPr>
      </w:pPr>
      <w:r>
        <w:rPr>
          <w:rFonts w:ascii="Courier New" w:cs="Courier New" w:eastAsia="Courier New" w:hAnsi="Courier New"/>
          <w:sz w:val="16"/>
          <w:szCs w:val="16"/>
          <w:color w:val="auto"/>
        </w:rPr>
        <w:t>not assume that the information in this prospectus</w:t>
      </w:r>
    </w:p>
    <w:p>
      <w:pPr>
        <w:spacing w:after="0"/>
        <w:rPr>
          <w:sz w:val="20"/>
          <w:szCs w:val="20"/>
          <w:color w:val="auto"/>
        </w:rPr>
      </w:pPr>
      <w:r>
        <w:rPr>
          <w:rFonts w:ascii="Courier New" w:cs="Courier New" w:eastAsia="Courier New" w:hAnsi="Courier New"/>
          <w:sz w:val="16"/>
          <w:szCs w:val="16"/>
          <w:color w:val="auto"/>
        </w:rPr>
        <w:t>or any prospectus supplement is accurate as of any</w:t>
      </w:r>
    </w:p>
    <w:p>
      <w:pPr>
        <w:spacing w:after="0"/>
        <w:rPr>
          <w:sz w:val="20"/>
          <w:szCs w:val="20"/>
          <w:color w:val="auto"/>
        </w:rPr>
      </w:pPr>
      <w:r>
        <w:rPr>
          <w:rFonts w:ascii="Courier New" w:cs="Courier New" w:eastAsia="Courier New" w:hAnsi="Courier New"/>
          <w:sz w:val="16"/>
          <w:szCs w:val="16"/>
          <w:color w:val="auto"/>
        </w:rPr>
        <w:t>date other than the date on the front of those</w:t>
      </w:r>
    </w:p>
    <w:p>
      <w:pPr>
        <w:spacing w:after="0"/>
        <w:rPr>
          <w:sz w:val="20"/>
          <w:szCs w:val="20"/>
          <w:color w:val="auto"/>
        </w:rPr>
      </w:pPr>
      <w:r>
        <w:rPr>
          <w:rFonts w:ascii="Courier New" w:cs="Courier New" w:eastAsia="Courier New" w:hAnsi="Courier New"/>
          <w:sz w:val="16"/>
          <w:szCs w:val="16"/>
          <w:color w:val="auto"/>
        </w:rPr>
        <w:t>documents.</w:t>
      </w:r>
    </w:p>
    <w:tbl>
      <w:tblPr>
        <w:tblLayout w:type="fixed"/>
        <w:tblInd w:w="0" w:type="dxa"/>
        <w:tblCellMar>
          <w:top w:w="0" w:type="dxa"/>
          <w:left w:w="0" w:type="dxa"/>
          <w:bottom w:w="0" w:type="dxa"/>
          <w:right w:w="0" w:type="dxa"/>
        </w:tblCellMar>
      </w:tblPr>
      <w:tr>
        <w:trPr>
          <w:trHeight w:val="264"/>
        </w:trPr>
        <w:tc>
          <w:tcPr>
            <w:tcW w:w="4600" w:type="dxa"/>
            <w:vAlign w:val="bottom"/>
          </w:tcPr>
          <w:p>
            <w:pPr>
              <w:ind w:left="1500"/>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4600" w:type="dxa"/>
            <w:vAlign w:val="bottom"/>
          </w:tcPr>
          <w:p>
            <w:pPr>
              <w:ind w:left="1680"/>
              <w:spacing w:after="0"/>
              <w:rPr>
                <w:sz w:val="20"/>
                <w:szCs w:val="20"/>
                <w:color w:val="auto"/>
              </w:rPr>
            </w:pPr>
            <w:r>
              <w:rPr>
                <w:rFonts w:ascii="Courier New" w:cs="Courier New" w:eastAsia="Courier New" w:hAnsi="Courier New"/>
                <w:sz w:val="16"/>
                <w:szCs w:val="16"/>
                <w:color w:val="auto"/>
              </w:rPr>
              <w:t>TABLE OF CONTENTS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6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88"/>
              </w:rPr>
              <w:t>Page</w:t>
            </w:r>
          </w:p>
        </w:tc>
        <w:tc>
          <w:tcPr>
            <w:tcW w:w="0" w:type="dxa"/>
            <w:vAlign w:val="bottom"/>
          </w:tcPr>
          <w:p>
            <w:pPr>
              <w:spacing w:after="0"/>
              <w:rPr>
                <w:sz w:val="1"/>
                <w:szCs w:val="1"/>
                <w:color w:val="auto"/>
              </w:rPr>
            </w:pPr>
          </w:p>
        </w:tc>
      </w:tr>
      <w:tr>
        <w:trPr>
          <w:trHeight w:val="180"/>
        </w:trPr>
        <w:tc>
          <w:tcPr>
            <w:tcW w:w="4600" w:type="dxa"/>
            <w:vAlign w:val="bottom"/>
            <w:vMerge w:val="restart"/>
          </w:tcPr>
          <w:p>
            <w:pPr>
              <w:spacing w:after="0"/>
              <w:rPr>
                <w:sz w:val="20"/>
                <w:szCs w:val="20"/>
                <w:color w:val="auto"/>
              </w:rPr>
            </w:pPr>
            <w:r>
              <w:rPr>
                <w:rFonts w:ascii="Courier New" w:cs="Courier New" w:eastAsia="Courier New" w:hAnsi="Courier New"/>
                <w:sz w:val="16"/>
                <w:szCs w:val="16"/>
                <w:color w:val="auto"/>
                <w:w w:val="91"/>
              </w:rPr>
              <w:t>Where You Can Find More Information.................</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88"/>
              </w:rPr>
              <w:t>----</w:t>
            </w:r>
          </w:p>
        </w:tc>
        <w:tc>
          <w:tcPr>
            <w:tcW w:w="0" w:type="dxa"/>
            <w:vAlign w:val="bottom"/>
          </w:tcPr>
          <w:p>
            <w:pPr>
              <w:spacing w:after="0"/>
              <w:rPr>
                <w:sz w:val="1"/>
                <w:szCs w:val="1"/>
                <w:color w:val="auto"/>
              </w:rPr>
            </w:pPr>
          </w:p>
        </w:tc>
      </w:tr>
      <w:tr>
        <w:trPr>
          <w:trHeight w:val="180"/>
        </w:trPr>
        <w:tc>
          <w:tcPr>
            <w:tcW w:w="46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20"/>
                <w:szCs w:val="20"/>
                <w:color w:val="auto"/>
              </w:rPr>
            </w:pPr>
            <w:r>
              <w:rPr>
                <w:rFonts w:ascii="Courier New" w:cs="Courier New" w:eastAsia="Courier New" w:hAnsi="Courier New"/>
                <w:sz w:val="16"/>
                <w:szCs w:val="16"/>
                <w:color w:val="auto"/>
                <w:w w:val="91"/>
              </w:rPr>
              <w:t>Forward-Looking Statements..........................</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20"/>
                <w:szCs w:val="20"/>
                <w:color w:val="auto"/>
              </w:rPr>
            </w:pPr>
            <w:r>
              <w:rPr>
                <w:rFonts w:ascii="Courier New" w:cs="Courier New" w:eastAsia="Courier New" w:hAnsi="Courier New"/>
                <w:sz w:val="16"/>
                <w:szCs w:val="16"/>
                <w:color w:val="auto"/>
                <w:w w:val="91"/>
              </w:rPr>
              <w:t>Prospectus Summary..................................</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20"/>
                <w:szCs w:val="20"/>
                <w:color w:val="auto"/>
              </w:rPr>
            </w:pPr>
            <w:r>
              <w:rPr>
                <w:rFonts w:ascii="Courier New" w:cs="Courier New" w:eastAsia="Courier New" w:hAnsi="Courier New"/>
                <w:sz w:val="16"/>
                <w:szCs w:val="16"/>
                <w:color w:val="auto"/>
                <w:w w:val="91"/>
              </w:rPr>
              <w:t>Summary Consolidated Financial Data.................</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20"/>
                <w:szCs w:val="20"/>
                <w:color w:val="auto"/>
              </w:rPr>
            </w:pPr>
            <w:r>
              <w:rPr>
                <w:rFonts w:ascii="Courier New" w:cs="Courier New" w:eastAsia="Courier New" w:hAnsi="Courier New"/>
                <w:sz w:val="16"/>
                <w:szCs w:val="16"/>
                <w:color w:val="auto"/>
                <w:w w:val="91"/>
              </w:rPr>
              <w:t>The Exchange Offer..................................</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20"/>
                <w:szCs w:val="20"/>
                <w:color w:val="auto"/>
              </w:rPr>
            </w:pPr>
            <w:r>
              <w:rPr>
                <w:rFonts w:ascii="Courier New" w:cs="Courier New" w:eastAsia="Courier New" w:hAnsi="Courier New"/>
                <w:sz w:val="16"/>
                <w:szCs w:val="16"/>
                <w:color w:val="auto"/>
                <w:w w:val="91"/>
              </w:rPr>
              <w:t>Description of Exchange Notes.......................</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0" w:type="dxa"/>
            <w:vAlign w:val="bottom"/>
          </w:tcPr>
          <w:p>
            <w:pPr>
              <w:spacing w:after="0"/>
              <w:rPr>
                <w:sz w:val="1"/>
                <w:szCs w:val="1"/>
                <w:color w:val="auto"/>
              </w:rPr>
            </w:pPr>
          </w:p>
        </w:tc>
      </w:tr>
      <w:tr>
        <w:trPr>
          <w:trHeight w:val="180"/>
        </w:trPr>
        <w:tc>
          <w:tcPr>
            <w:tcW w:w="4600" w:type="dxa"/>
            <w:vAlign w:val="bottom"/>
          </w:tcPr>
          <w:p>
            <w:pPr>
              <w:spacing w:after="0" w:line="180" w:lineRule="exact"/>
              <w:rPr>
                <w:sz w:val="20"/>
                <w:szCs w:val="20"/>
                <w:color w:val="auto"/>
              </w:rPr>
            </w:pPr>
            <w:r>
              <w:rPr>
                <w:rFonts w:ascii="Courier New" w:cs="Courier New" w:eastAsia="Courier New" w:hAnsi="Courier New"/>
                <w:sz w:val="12"/>
                <w:szCs w:val="12"/>
                <w:color w:val="auto"/>
                <w:w w:val="77"/>
              </w:rPr>
              <w:t>Material United States</w:t>
            </w:r>
            <w:r>
              <w:rPr>
                <w:rFonts w:ascii="Courier New" w:cs="Courier New" w:eastAsia="Courier New" w:hAnsi="Courier New"/>
                <w:sz w:val="21"/>
                <w:szCs w:val="21"/>
                <w:color w:val="auto"/>
                <w:w w:val="77"/>
                <w:vertAlign w:val="subscript"/>
              </w:rPr>
              <w:t>..................................</w:t>
            </w:r>
            <w:r>
              <w:rPr>
                <w:rFonts w:ascii="Courier New" w:cs="Courier New" w:eastAsia="Courier New" w:hAnsi="Courier New"/>
                <w:sz w:val="12"/>
                <w:szCs w:val="12"/>
                <w:color w:val="auto"/>
                <w:w w:val="77"/>
              </w:rPr>
              <w:t>TaxConsequencesofthe</w:t>
            </w:r>
          </w:p>
        </w:tc>
        <w:tc>
          <w:tcPr>
            <w:tcW w:w="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80"/>
        </w:trPr>
        <w:tc>
          <w:tcPr>
            <w:tcW w:w="4600" w:type="dxa"/>
            <w:vAlign w:val="bottom"/>
          </w:tcPr>
          <w:p>
            <w:pPr>
              <w:ind w:left="280"/>
              <w:spacing w:after="0"/>
              <w:rPr>
                <w:sz w:val="20"/>
                <w:szCs w:val="20"/>
                <w:color w:val="auto"/>
              </w:rPr>
            </w:pPr>
            <w:r>
              <w:rPr>
                <w:rFonts w:ascii="Courier New" w:cs="Courier New" w:eastAsia="Courier New" w:hAnsi="Courier New"/>
                <w:sz w:val="16"/>
                <w:szCs w:val="16"/>
                <w:color w:val="auto"/>
              </w:rPr>
              <w:t>Exchange Offer</w:t>
            </w: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00" w:type="dxa"/>
            <w:vAlign w:val="bottom"/>
          </w:tcPr>
          <w:p>
            <w:pPr>
              <w:spacing w:after="0"/>
              <w:rPr>
                <w:sz w:val="20"/>
                <w:szCs w:val="20"/>
                <w:color w:val="auto"/>
              </w:rPr>
            </w:pPr>
            <w:r>
              <w:rPr>
                <w:rFonts w:ascii="Courier New" w:cs="Courier New" w:eastAsia="Courier New" w:hAnsi="Courier New"/>
                <w:sz w:val="16"/>
                <w:szCs w:val="16"/>
                <w:color w:val="auto"/>
                <w:w w:val="93"/>
              </w:rPr>
              <w:t>Plan of Distribution...............................</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20"/>
                <w:szCs w:val="20"/>
                <w:color w:val="auto"/>
              </w:rPr>
            </w:pPr>
            <w:r>
              <w:rPr>
                <w:rFonts w:ascii="Courier New" w:cs="Courier New" w:eastAsia="Courier New" w:hAnsi="Courier New"/>
                <w:sz w:val="16"/>
                <w:szCs w:val="16"/>
                <w:color w:val="auto"/>
                <w:w w:val="93"/>
              </w:rPr>
              <w:t>Legal Matters......................................</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r>
        <w:trPr>
          <w:trHeight w:val="208"/>
        </w:trPr>
        <w:tc>
          <w:tcPr>
            <w:tcW w:w="4600" w:type="dxa"/>
            <w:vAlign w:val="bottom"/>
          </w:tcPr>
          <w:p>
            <w:pPr>
              <w:spacing w:after="0"/>
              <w:rPr>
                <w:sz w:val="20"/>
                <w:szCs w:val="20"/>
                <w:color w:val="auto"/>
              </w:rPr>
            </w:pPr>
            <w:r>
              <w:rPr>
                <w:rFonts w:ascii="Courier New" w:cs="Courier New" w:eastAsia="Courier New" w:hAnsi="Courier New"/>
                <w:sz w:val="16"/>
                <w:szCs w:val="16"/>
                <w:color w:val="auto"/>
                <w:w w:val="93"/>
              </w:rPr>
              <w:t>Independent Auditors...............................</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p>
      <w:pPr>
        <w:spacing w:after="0" w:line="343"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$400,000,000</w:t>
      </w:r>
    </w:p>
    <w:p>
      <w:pPr>
        <w:spacing w:after="0" w:line="36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Texas Instruments</w:t>
      </w:r>
    </w:p>
    <w:p>
      <w:pPr>
        <w:spacing w:after="0" w:line="2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Incorporated</w:t>
      </w:r>
    </w:p>
    <w:p>
      <w:pPr>
        <w:spacing w:after="0" w:line="332"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[LOGO]</w:t>
      </w:r>
    </w:p>
    <w:p>
      <w:pPr>
        <w:spacing w:after="0" w:line="360"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6"/>
          <w:szCs w:val="16"/>
          <w:color w:val="auto"/>
        </w:rPr>
        <w:t>7% senior exchange notes</w:t>
      </w:r>
    </w:p>
    <w:p>
      <w:pPr>
        <w:spacing w:after="0" w:line="27"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6"/>
          <w:szCs w:val="16"/>
          <w:color w:val="auto"/>
        </w:rPr>
        <w:t>due 2004</w:t>
      </w:r>
    </w:p>
    <w:p>
      <w:pPr>
        <w:spacing w:after="0" w:line="151"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w:t>
      </w:r>
    </w:p>
    <w:p>
      <w:pPr>
        <w:spacing w:after="0" w:line="2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Prospectus</w:t>
      </w:r>
    </w:p>
    <w:p>
      <w:pPr>
        <w:ind w:left="2240"/>
        <w:spacing w:after="0"/>
        <w:rPr>
          <w:sz w:val="20"/>
          <w:szCs w:val="20"/>
          <w:color w:val="auto"/>
        </w:rPr>
      </w:pPr>
      <w:r>
        <w:rPr>
          <w:rFonts w:ascii="Courier New" w:cs="Courier New" w:eastAsia="Courier New" w:hAnsi="Courier New"/>
          <w:sz w:val="16"/>
          <w:szCs w:val="16"/>
          <w:color w:val="auto"/>
        </w:rPr>
        <w:t>----------</w:t>
      </w:r>
    </w:p>
    <w:p>
      <w:pPr>
        <w:spacing w:after="0" w:line="332"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6"/>
          <w:szCs w:val="16"/>
          <w:color w:val="auto"/>
        </w:rPr>
        <w:t>o, 1999</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811" w:right="1440" w:bottom="1440" w:gutter="0" w:footer="0" w:header="0"/>
        </w:sectPr>
      </w:pPr>
    </w:p>
    <w:bookmarkStart w:id="27" w:name="page28"/>
    <w:bookmarkEnd w:id="27"/>
    <w:p>
      <w:pPr>
        <w:jc w:val="center"/>
        <w:ind w:right="2819"/>
        <w:spacing w:after="0"/>
        <w:rPr>
          <w:sz w:val="20"/>
          <w:szCs w:val="20"/>
          <w:color w:val="auto"/>
        </w:rPr>
      </w:pPr>
      <w:r>
        <w:rPr>
          <w:rFonts w:ascii="Courier New" w:cs="Courier New" w:eastAsia="Courier New" w:hAnsi="Courier New"/>
          <w:sz w:val="16"/>
          <w:szCs w:val="16"/>
          <w:color w:val="auto"/>
        </w:rPr>
        <w:t>PART II</w:t>
      </w:r>
    </w:p>
    <w:p>
      <w:pPr>
        <w:spacing w:after="0" w:line="27"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33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20.</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79" w:lineRule="exact"/>
        <w:rPr>
          <w:sz w:val="20"/>
          <w:szCs w:val="20"/>
          <w:color w:val="auto"/>
        </w:rPr>
      </w:pPr>
    </w:p>
    <w:p>
      <w:pPr>
        <w:ind w:right="2819" w:firstLine="469"/>
        <w:spacing w:after="0" w:line="241" w:lineRule="auto"/>
        <w:rPr>
          <w:sz w:val="20"/>
          <w:szCs w:val="20"/>
          <w:color w:val="auto"/>
        </w:rPr>
      </w:pPr>
      <w:r>
        <w:rPr>
          <w:rFonts w:ascii="Courier New" w:cs="Courier New" w:eastAsia="Courier New" w:hAnsi="Courier New"/>
          <w:sz w:val="16"/>
          <w:szCs w:val="16"/>
          <w:color w:val="auto"/>
        </w:rPr>
        <w:t>The General Corporation Law of the State of Delaware, at Section 145, provides, in pertinent part, that a corporation may indemnify any person who was or is a party or is threatened to be made a party to any threatened, pending or complete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by a committee of such directors designated by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113" w:lineRule="exact"/>
        <w:rPr>
          <w:sz w:val="20"/>
          <w:szCs w:val="20"/>
          <w:color w:val="auto"/>
        </w:rPr>
      </w:pPr>
    </w:p>
    <w:p>
      <w:pPr>
        <w:ind w:right="2819" w:firstLine="469"/>
        <w:spacing w:after="0" w:line="262" w:lineRule="auto"/>
        <w:rPr>
          <w:sz w:val="20"/>
          <w:szCs w:val="20"/>
          <w:color w:val="auto"/>
        </w:rPr>
      </w:pPr>
      <w:r>
        <w:rPr>
          <w:rFonts w:ascii="Courier New" w:cs="Courier New" w:eastAsia="Courier New" w:hAnsi="Courier New"/>
          <w:sz w:val="15"/>
          <w:szCs w:val="15"/>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 Article VI, Section 2 of the Texas Instruments' By-laws provides that Texas Instruments shall indemnify its officers and directors for such expenses, judgments, fines and amounts paid in settlement to the full extent permitted by the laws of the State of Delaware. Section 102(b)(7) of the General Corporation Law of the State of Delaware,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Article Seventh of Texas Instruments' Restated Certificate of Incorporation contains such a provision.</w:t>
      </w:r>
    </w:p>
    <w:p>
      <w:pPr>
        <w:spacing w:after="0" w:line="88" w:lineRule="exact"/>
        <w:rPr>
          <w:sz w:val="20"/>
          <w:szCs w:val="20"/>
          <w:color w:val="auto"/>
        </w:rPr>
      </w:pPr>
    </w:p>
    <w:p>
      <w:pPr>
        <w:ind w:right="2819" w:firstLine="469"/>
        <w:spacing w:after="0" w:line="299" w:lineRule="auto"/>
        <w:rPr>
          <w:sz w:val="20"/>
          <w:szCs w:val="20"/>
          <w:color w:val="auto"/>
        </w:rPr>
      </w:pPr>
      <w:r>
        <w:rPr>
          <w:rFonts w:ascii="Courier New" w:cs="Courier New" w:eastAsia="Courier New" w:hAnsi="Courier New"/>
          <w:sz w:val="15"/>
          <w:szCs w:val="15"/>
          <w:color w:val="auto"/>
        </w:rPr>
        <w:t>Under insurance policies of Texas Instruments, directors and officers of Texas Instruments may be indemnified against certain losses arising from certain claims, including claims under the Securities Act of 1933, which may be made against such persons by reason of their being such directors or officers.</w:t>
      </w:r>
    </w:p>
    <w:p>
      <w:pPr>
        <w:spacing w:after="0" w:line="235"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991" w:right="1440" w:bottom="1440" w:gutter="0" w:footer="0" w:header="0"/>
        </w:sectPr>
      </w:pPr>
    </w:p>
    <w:bookmarkStart w:id="28" w:name="page29"/>
    <w:bookmarkEnd w:id="28"/>
    <w:p>
      <w:pPr>
        <w:spacing w:after="0"/>
        <w:tabs>
          <w:tab w:leader="none" w:pos="920" w:val="left"/>
        </w:tabs>
        <w:rPr>
          <w:sz w:val="20"/>
          <w:szCs w:val="20"/>
          <w:color w:val="auto"/>
        </w:rPr>
      </w:pPr>
      <w:r>
        <w:rPr>
          <w:rFonts w:ascii="Courier New" w:cs="Courier New" w:eastAsia="Courier New" w:hAnsi="Courier New"/>
          <w:sz w:val="16"/>
          <w:szCs w:val="16"/>
          <w:color w:val="auto"/>
        </w:rPr>
        <w:t>Item 21.</w:t>
      </w:r>
      <w:r>
        <w:rPr>
          <w:sz w:val="20"/>
          <w:szCs w:val="20"/>
          <w:color w:val="auto"/>
        </w:rPr>
        <w:tab/>
      </w:r>
      <w:r>
        <w:rPr>
          <w:rFonts w:ascii="Courier New" w:cs="Courier New" w:eastAsia="Courier New" w:hAnsi="Courier New"/>
          <w:sz w:val="15"/>
          <w:szCs w:val="15"/>
          <w:color w:val="auto"/>
        </w:rPr>
        <w:t>Exhibits and Financial Statement Schedules</w:t>
      </w:r>
    </w:p>
    <w:p>
      <w:pPr>
        <w:spacing w:after="0" w:line="179" w:lineRule="exact"/>
        <w:rPr>
          <w:sz w:val="20"/>
          <w:szCs w:val="20"/>
          <w:color w:val="auto"/>
        </w:rPr>
      </w:pPr>
    </w:p>
    <w:p>
      <w:pPr>
        <w:ind w:right="5619" w:firstLine="465"/>
        <w:spacing w:after="0" w:line="477" w:lineRule="auto"/>
        <w:tabs>
          <w:tab w:leader="none" w:pos="84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(see index to exhibits at E-1). Item 22. Undertakings</w:t>
      </w:r>
    </w:p>
    <w:p>
      <w:pPr>
        <w:spacing w:after="0" w:line="1" w:lineRule="exact"/>
        <w:rPr>
          <w:sz w:val="20"/>
          <w:szCs w:val="20"/>
          <w:color w:val="auto"/>
        </w:rPr>
      </w:pPr>
    </w:p>
    <w:p>
      <w:pPr>
        <w:ind w:right="2819" w:firstLine="465"/>
        <w:spacing w:after="0" w:line="271" w:lineRule="auto"/>
        <w:tabs>
          <w:tab w:leader="none" w:pos="844"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6" w:lineRule="exact"/>
        <w:rPr>
          <w:rFonts w:ascii="Courier New" w:cs="Courier New" w:eastAsia="Courier New" w:hAnsi="Courier New"/>
          <w:sz w:val="15"/>
          <w:szCs w:val="15"/>
          <w:color w:val="auto"/>
        </w:rPr>
      </w:pPr>
    </w:p>
    <w:p>
      <w:pPr>
        <w:ind w:left="840" w:hanging="375"/>
        <w:spacing w:after="0"/>
        <w:tabs>
          <w:tab w:leader="none" w:pos="8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w:t>
      </w:r>
    </w:p>
    <w:p>
      <w:pPr>
        <w:spacing w:after="0" w:line="27" w:lineRule="exact"/>
        <w:rPr>
          <w:rFonts w:ascii="Courier New" w:cs="Courier New" w:eastAsia="Courier New" w:hAnsi="Courier New"/>
          <w:sz w:val="16"/>
          <w:szCs w:val="16"/>
          <w:color w:val="auto"/>
        </w:rPr>
      </w:pPr>
    </w:p>
    <w:p>
      <w:pPr>
        <w:ind w:right="2819"/>
        <w:spacing w:after="0" w:line="26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0" w:lineRule="exact"/>
        <w:rPr>
          <w:rFonts w:ascii="Courier New" w:cs="Courier New" w:eastAsia="Courier New" w:hAnsi="Courier New"/>
          <w:sz w:val="16"/>
          <w:szCs w:val="16"/>
          <w:color w:val="auto"/>
        </w:rPr>
      </w:pPr>
    </w:p>
    <w:p>
      <w:pPr>
        <w:ind w:right="2819" w:firstLine="465"/>
        <w:spacing w:after="0" w:line="257" w:lineRule="auto"/>
        <w:tabs>
          <w:tab w:leader="none" w:pos="84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84" w:lineRule="exact"/>
        <w:rPr>
          <w:rFonts w:ascii="Courier New" w:cs="Courier New" w:eastAsia="Courier New" w:hAnsi="Courier New"/>
          <w:sz w:val="16"/>
          <w:szCs w:val="16"/>
          <w:color w:val="auto"/>
        </w:rPr>
      </w:pPr>
    </w:p>
    <w:p>
      <w:pPr>
        <w:ind w:right="2999" w:firstLine="465"/>
        <w:spacing w:after="0" w:line="275" w:lineRule="auto"/>
        <w:tabs>
          <w:tab w:leader="none" w:pos="84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991" w:right="1440" w:bottom="1440" w:gutter="0" w:footer="0" w:header="0"/>
        </w:sectPr>
      </w:pPr>
    </w:p>
    <w:bookmarkStart w:id="29" w:name="page30"/>
    <w:bookmarkEnd w:id="29"/>
    <w:p>
      <w:pPr>
        <w:ind w:left="3280"/>
        <w:spacing w:after="0"/>
        <w:rPr>
          <w:sz w:val="20"/>
          <w:szCs w:val="20"/>
          <w:color w:val="auto"/>
        </w:rPr>
      </w:pPr>
      <w:r>
        <w:rPr>
          <w:rFonts w:ascii="Courier New" w:cs="Courier New" w:eastAsia="Courier New" w:hAnsi="Courier New"/>
          <w:sz w:val="16"/>
          <w:szCs w:val="16"/>
          <w:color w:val="auto"/>
        </w:rPr>
        <w:t>SIGNATURES</w:t>
      </w:r>
    </w:p>
    <w:p>
      <w:pPr>
        <w:spacing w:after="0" w:line="179" w:lineRule="exact"/>
        <w:rPr>
          <w:sz w:val="20"/>
          <w:szCs w:val="20"/>
          <w:color w:val="auto"/>
        </w:rPr>
      </w:pPr>
    </w:p>
    <w:p>
      <w:pPr>
        <w:ind w:right="2819"/>
        <w:spacing w:after="0" w:line="275"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Registration Statement on Form S-4 to be signed on its behalf by the undersigned, thereunto duly authorized, in Dallas, Texas, on the 15th day of October, 1999.</w:t>
      </w:r>
    </w:p>
    <w:p>
      <w:pPr>
        <w:spacing w:after="0" w:line="71"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TEXAS INSTRUMENTS INCORPORATED</w:t>
      </w:r>
    </w:p>
    <w:p>
      <w:pPr>
        <w:spacing w:after="0" w:line="360"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By: /s/ WILLIAM A. AYLESWORTH</w:t>
      </w:r>
    </w:p>
    <w:p>
      <w:pPr>
        <w:spacing w:after="0" w:line="27"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William A. Aylesworth</w:t>
      </w:r>
    </w:p>
    <w:p>
      <w:pPr>
        <w:ind w:left="4220"/>
        <w:spacing w:after="0"/>
        <w:rPr>
          <w:sz w:val="20"/>
          <w:szCs w:val="20"/>
          <w:color w:val="auto"/>
        </w:rPr>
      </w:pPr>
      <w:r>
        <w:rPr>
          <w:rFonts w:ascii="Courier New" w:cs="Courier New" w:eastAsia="Courier New" w:hAnsi="Courier New"/>
          <w:sz w:val="16"/>
          <w:szCs w:val="16"/>
          <w:color w:val="auto"/>
        </w:rPr>
        <w:t>Senior Vice President,</w:t>
      </w:r>
    </w:p>
    <w:p>
      <w:pPr>
        <w:ind w:left="4220"/>
        <w:spacing w:after="0"/>
        <w:rPr>
          <w:sz w:val="20"/>
          <w:szCs w:val="20"/>
          <w:color w:val="auto"/>
        </w:rPr>
      </w:pPr>
      <w:r>
        <w:rPr>
          <w:rFonts w:ascii="Courier New" w:cs="Courier New" w:eastAsia="Courier New" w:hAnsi="Courier New"/>
          <w:sz w:val="16"/>
          <w:szCs w:val="16"/>
          <w:color w:val="auto"/>
        </w:rPr>
        <w:t>Treasurer and</w:t>
      </w:r>
    </w:p>
    <w:p>
      <w:pPr>
        <w:jc w:val="center"/>
        <w:ind w:right="-380"/>
        <w:spacing w:after="0"/>
        <w:rPr>
          <w:sz w:val="20"/>
          <w:szCs w:val="20"/>
          <w:color w:val="auto"/>
        </w:rPr>
      </w:pPr>
      <w:r>
        <w:rPr>
          <w:rFonts w:ascii="Courier New" w:cs="Courier New" w:eastAsia="Courier New" w:hAnsi="Courier New"/>
          <w:sz w:val="16"/>
          <w:szCs w:val="16"/>
          <w:color w:val="auto"/>
        </w:rPr>
        <w:t>Chief Financial Officer</w:t>
      </w:r>
    </w:p>
    <w:p>
      <w:pPr>
        <w:spacing w:after="0" w:line="332" w:lineRule="exact"/>
        <w:rPr>
          <w:sz w:val="20"/>
          <w:szCs w:val="20"/>
          <w:color w:val="auto"/>
        </w:rPr>
      </w:pPr>
    </w:p>
    <w:p>
      <w:pPr>
        <w:ind w:right="2819" w:firstLine="469"/>
        <w:spacing w:after="0" w:line="245" w:lineRule="auto"/>
        <w:rPr>
          <w:sz w:val="20"/>
          <w:szCs w:val="20"/>
          <w:color w:val="auto"/>
        </w:rPr>
      </w:pPr>
      <w:r>
        <w:rPr>
          <w:rFonts w:ascii="Courier New" w:cs="Courier New" w:eastAsia="Courier New" w:hAnsi="Courier New"/>
          <w:sz w:val="16"/>
          <w:szCs w:val="16"/>
          <w:color w:val="auto"/>
        </w:rPr>
        <w:t>The registrant and each person whose signature appears below constitutes and appoints each of Thomas J. Engibous, Richard J. Agnich, William A. Aylesworth, and M. Samuel Self, or any of them, each acting alone, his true and lawful attorney-in-fact and agent, with full power of substitution and resubstitution, for him and in his name, place and stead, in any and all capacities, to sign and file (i) a registration statement, and any and all amendments, thereto, relating to the offering covered hereby filed pursuant to Rule 462(b) under the Securities Act of 1933, as amended, and (ii) any and all amendments (including post-effective amendments) to this registration statement,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fully to all intents and purposes as he might or could do in person, hereby ratifying and confirming all that said attorney-in-fact and agent or his substitute or substitutes, may lawfully do or cause to be done by virtue hereof.</w:t>
      </w:r>
    </w:p>
    <w:p>
      <w:pPr>
        <w:spacing w:after="0" w:line="101" w:lineRule="exact"/>
        <w:rPr>
          <w:sz w:val="20"/>
          <w:szCs w:val="20"/>
          <w:color w:val="auto"/>
        </w:rPr>
      </w:pPr>
    </w:p>
    <w:p>
      <w:pPr>
        <w:ind w:right="2899" w:firstLine="469"/>
        <w:spacing w:after="0" w:line="293"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Registration Statement on Form S-4 has been signed below by the following persons in the capacities and on the dates indicated.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40" w:type="dxa"/>
            <w:vAlign w:val="bottom"/>
          </w:tcPr>
          <w:p>
            <w:pPr>
              <w:jc w:val="center"/>
              <w:ind w:right="542"/>
              <w:spacing w:after="0"/>
              <w:rPr>
                <w:sz w:val="20"/>
                <w:szCs w:val="20"/>
                <w:color w:val="auto"/>
              </w:rPr>
            </w:pPr>
            <w:r>
              <w:rPr>
                <w:rFonts w:ascii="Courier New" w:cs="Courier New" w:eastAsia="Courier New" w:hAnsi="Courier New"/>
                <w:sz w:val="16"/>
                <w:szCs w:val="16"/>
                <w:color w:val="auto"/>
                <w:w w:val="97"/>
              </w:rPr>
              <w:t>Signature</w:t>
            </w:r>
          </w:p>
        </w:tc>
        <w:tc>
          <w:tcPr>
            <w:tcW w:w="2100" w:type="dxa"/>
            <w:vAlign w:val="bottom"/>
          </w:tcPr>
          <w:p>
            <w:pPr>
              <w:ind w:left="700"/>
              <w:spacing w:after="0"/>
              <w:rPr>
                <w:sz w:val="20"/>
                <w:szCs w:val="20"/>
                <w:color w:val="auto"/>
              </w:rPr>
            </w:pPr>
            <w:r>
              <w:rPr>
                <w:rFonts w:ascii="Courier New" w:cs="Courier New" w:eastAsia="Courier New" w:hAnsi="Courier New"/>
                <w:sz w:val="16"/>
                <w:szCs w:val="16"/>
                <w:color w:val="auto"/>
              </w:rPr>
              <w:t>Title</w:t>
            </w:r>
          </w:p>
        </w:tc>
        <w:tc>
          <w:tcPr>
            <w:tcW w:w="2260" w:type="dxa"/>
            <w:vAlign w:val="bottom"/>
          </w:tcPr>
          <w:p>
            <w:pPr>
              <w:jc w:val="center"/>
              <w:ind w:left="682"/>
              <w:spacing w:after="0"/>
              <w:rPr>
                <w:sz w:val="20"/>
                <w:szCs w:val="20"/>
                <w:color w:val="auto"/>
              </w:rPr>
            </w:pPr>
            <w:r>
              <w:rPr>
                <w:rFonts w:ascii="Courier New" w:cs="Courier New" w:eastAsia="Courier New" w:hAnsi="Courier New"/>
                <w:sz w:val="16"/>
                <w:szCs w:val="16"/>
                <w:color w:val="auto"/>
                <w:w w:val="98"/>
              </w:rPr>
              <w:t>Date</w:t>
            </w:r>
          </w:p>
        </w:tc>
        <w:tc>
          <w:tcPr>
            <w:tcW w:w="0" w:type="dxa"/>
            <w:vAlign w:val="bottom"/>
          </w:tcPr>
          <w:p>
            <w:pPr>
              <w:spacing w:after="0"/>
              <w:rPr>
                <w:sz w:val="1"/>
                <w:szCs w:val="1"/>
                <w:color w:val="auto"/>
              </w:rPr>
            </w:pPr>
          </w:p>
        </w:tc>
      </w:tr>
      <w:tr>
        <w:trPr>
          <w:trHeight w:val="264"/>
        </w:trPr>
        <w:tc>
          <w:tcPr>
            <w:tcW w:w="3140" w:type="dxa"/>
            <w:vAlign w:val="bottom"/>
          </w:tcPr>
          <w:p>
            <w:pPr>
              <w:jc w:val="center"/>
              <w:ind w:right="542"/>
              <w:spacing w:after="0"/>
              <w:rPr>
                <w:sz w:val="20"/>
                <w:szCs w:val="20"/>
                <w:color w:val="auto"/>
              </w:rPr>
            </w:pPr>
            <w:r>
              <w:rPr>
                <w:rFonts w:ascii="Courier New" w:cs="Courier New" w:eastAsia="Courier New" w:hAnsi="Courier New"/>
                <w:sz w:val="16"/>
                <w:szCs w:val="16"/>
                <w:color w:val="auto"/>
                <w:w w:val="97"/>
              </w:rPr>
              <w:t>---------</w:t>
            </w:r>
          </w:p>
        </w:tc>
        <w:tc>
          <w:tcPr>
            <w:tcW w:w="210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c>
          <w:tcPr>
            <w:tcW w:w="2260" w:type="dxa"/>
            <w:vAlign w:val="bottom"/>
          </w:tcPr>
          <w:p>
            <w:pPr>
              <w:jc w:val="center"/>
              <w:ind w:left="682"/>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457"/>
        </w:trPr>
        <w:tc>
          <w:tcPr>
            <w:tcW w:w="314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6"/>
              </w:rPr>
              <w:t>- ---------------------------</w:t>
            </w:r>
          </w:p>
        </w:tc>
        <w:tc>
          <w:tcPr>
            <w:tcW w:w="2100" w:type="dxa"/>
            <w:vAlign w:val="bottom"/>
            <w:vMerge w:val="restart"/>
          </w:tcPr>
          <w:p>
            <w:pPr>
              <w:ind w:left="600"/>
              <w:spacing w:after="0"/>
              <w:rPr>
                <w:sz w:val="20"/>
                <w:szCs w:val="20"/>
                <w:color w:val="auto"/>
              </w:rPr>
            </w:pPr>
            <w:r>
              <w:rPr>
                <w:rFonts w:ascii="Courier New" w:cs="Courier New" w:eastAsia="Courier New" w:hAnsi="Courier New"/>
                <w:sz w:val="16"/>
                <w:szCs w:val="16"/>
                <w:color w:val="auto"/>
              </w:rPr>
              <w:t>Director</w:t>
            </w:r>
          </w:p>
        </w:tc>
        <w:tc>
          <w:tcPr>
            <w:tcW w:w="2260" w:type="dxa"/>
            <w:vAlign w:val="bottom"/>
            <w:vMerge w:val="restart"/>
          </w:tcPr>
          <w:p>
            <w:pPr>
              <w:jc w:val="center"/>
              <w:ind w:left="682"/>
              <w:spacing w:after="0"/>
              <w:rPr>
                <w:sz w:val="20"/>
                <w:szCs w:val="20"/>
                <w:color w:val="auto"/>
              </w:rPr>
            </w:pPr>
            <w:r>
              <w:rPr>
                <w:rFonts w:ascii="Courier New" w:cs="Courier New" w:eastAsia="Courier New" w:hAnsi="Courier New"/>
                <w:sz w:val="16"/>
                <w:szCs w:val="16"/>
                <w:color w:val="auto"/>
                <w:w w:val="97"/>
              </w:rPr>
              <w:t>October 15, 1999</w:t>
            </w:r>
          </w:p>
        </w:tc>
        <w:tc>
          <w:tcPr>
            <w:tcW w:w="0" w:type="dxa"/>
            <w:vAlign w:val="bottom"/>
          </w:tcPr>
          <w:p>
            <w:pPr>
              <w:spacing w:after="0"/>
              <w:rPr>
                <w:sz w:val="1"/>
                <w:szCs w:val="1"/>
                <w:color w:val="auto"/>
              </w:rPr>
            </w:pPr>
          </w:p>
        </w:tc>
      </w:tr>
      <w:tr>
        <w:trPr>
          <w:trHeight w:val="264"/>
        </w:trPr>
        <w:tc>
          <w:tcPr>
            <w:tcW w:w="3140" w:type="dxa"/>
            <w:vAlign w:val="bottom"/>
          </w:tcPr>
          <w:p>
            <w:pPr>
              <w:jc w:val="right"/>
              <w:ind w:right="1102"/>
              <w:spacing w:after="0"/>
              <w:rPr>
                <w:sz w:val="20"/>
                <w:szCs w:val="20"/>
                <w:color w:val="auto"/>
              </w:rPr>
            </w:pPr>
            <w:r>
              <w:rPr>
                <w:rFonts w:ascii="Courier New" w:cs="Courier New" w:eastAsia="Courier New" w:hAnsi="Courier New"/>
                <w:sz w:val="16"/>
                <w:szCs w:val="16"/>
                <w:color w:val="auto"/>
              </w:rPr>
              <w:t>James R. Adams</w:t>
            </w:r>
          </w:p>
        </w:tc>
        <w:tc>
          <w:tcPr>
            <w:tcW w:w="2100" w:type="dxa"/>
            <w:vAlign w:val="bottom"/>
            <w:vMerge w:val="continue"/>
          </w:tcPr>
          <w:p>
            <w:pPr>
              <w:spacing w:after="0"/>
              <w:rPr>
                <w:sz w:val="22"/>
                <w:szCs w:val="22"/>
                <w:color w:val="auto"/>
              </w:rPr>
            </w:pPr>
          </w:p>
        </w:tc>
        <w:tc>
          <w:tcPr>
            <w:tcW w:w="2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3140" w:type="dxa"/>
            <w:vAlign w:val="bottom"/>
          </w:tcPr>
          <w:p>
            <w:pPr>
              <w:jc w:val="right"/>
              <w:ind w:right="1002"/>
              <w:spacing w:after="0"/>
              <w:rPr>
                <w:sz w:val="20"/>
                <w:szCs w:val="20"/>
                <w:color w:val="auto"/>
              </w:rPr>
            </w:pPr>
            <w:r>
              <w:rPr>
                <w:rFonts w:ascii="Courier New" w:cs="Courier New" w:eastAsia="Courier New" w:hAnsi="Courier New"/>
                <w:sz w:val="16"/>
                <w:szCs w:val="16"/>
                <w:color w:val="auto"/>
              </w:rPr>
              <w:t>/s/ DAVID L. BOREN</w:t>
            </w:r>
          </w:p>
        </w:tc>
        <w:tc>
          <w:tcPr>
            <w:tcW w:w="2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14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6"/>
              </w:rPr>
              <w:t>- ---------------------------</w:t>
            </w:r>
          </w:p>
        </w:tc>
        <w:tc>
          <w:tcPr>
            <w:tcW w:w="2100" w:type="dxa"/>
            <w:vAlign w:val="bottom"/>
            <w:vMerge w:val="restart"/>
          </w:tcPr>
          <w:p>
            <w:pPr>
              <w:ind w:left="600"/>
              <w:spacing w:after="0"/>
              <w:rPr>
                <w:sz w:val="20"/>
                <w:szCs w:val="20"/>
                <w:color w:val="auto"/>
              </w:rPr>
            </w:pPr>
            <w:r>
              <w:rPr>
                <w:rFonts w:ascii="Courier New" w:cs="Courier New" w:eastAsia="Courier New" w:hAnsi="Courier New"/>
                <w:sz w:val="16"/>
                <w:szCs w:val="16"/>
                <w:color w:val="auto"/>
              </w:rPr>
              <w:t>Director</w:t>
            </w:r>
          </w:p>
        </w:tc>
        <w:tc>
          <w:tcPr>
            <w:tcW w:w="2260" w:type="dxa"/>
            <w:vAlign w:val="bottom"/>
            <w:vMerge w:val="restart"/>
          </w:tcPr>
          <w:p>
            <w:pPr>
              <w:jc w:val="center"/>
              <w:ind w:left="682"/>
              <w:spacing w:after="0"/>
              <w:rPr>
                <w:sz w:val="20"/>
                <w:szCs w:val="20"/>
                <w:color w:val="auto"/>
              </w:rPr>
            </w:pPr>
            <w:r>
              <w:rPr>
                <w:rFonts w:ascii="Courier New" w:cs="Courier New" w:eastAsia="Courier New" w:hAnsi="Courier New"/>
                <w:sz w:val="16"/>
                <w:szCs w:val="16"/>
                <w:color w:val="auto"/>
                <w:w w:val="97"/>
              </w:rPr>
              <w:t>October 15, 1999</w:t>
            </w:r>
          </w:p>
        </w:tc>
        <w:tc>
          <w:tcPr>
            <w:tcW w:w="0" w:type="dxa"/>
            <w:vAlign w:val="bottom"/>
          </w:tcPr>
          <w:p>
            <w:pPr>
              <w:spacing w:after="0"/>
              <w:rPr>
                <w:sz w:val="1"/>
                <w:szCs w:val="1"/>
                <w:color w:val="auto"/>
              </w:rPr>
            </w:pPr>
          </w:p>
        </w:tc>
      </w:tr>
      <w:tr>
        <w:trPr>
          <w:trHeight w:val="264"/>
        </w:trPr>
        <w:tc>
          <w:tcPr>
            <w:tcW w:w="3140" w:type="dxa"/>
            <w:vAlign w:val="bottom"/>
          </w:tcPr>
          <w:p>
            <w:pPr>
              <w:jc w:val="right"/>
              <w:ind w:right="1102"/>
              <w:spacing w:after="0"/>
              <w:rPr>
                <w:sz w:val="20"/>
                <w:szCs w:val="20"/>
                <w:color w:val="auto"/>
              </w:rPr>
            </w:pPr>
            <w:r>
              <w:rPr>
                <w:rFonts w:ascii="Courier New" w:cs="Courier New" w:eastAsia="Courier New" w:hAnsi="Courier New"/>
                <w:sz w:val="16"/>
                <w:szCs w:val="16"/>
                <w:color w:val="auto"/>
              </w:rPr>
              <w:t>David L. Boren</w:t>
            </w:r>
          </w:p>
        </w:tc>
        <w:tc>
          <w:tcPr>
            <w:tcW w:w="2100" w:type="dxa"/>
            <w:vAlign w:val="bottom"/>
            <w:vMerge w:val="continue"/>
          </w:tcPr>
          <w:p>
            <w:pPr>
              <w:spacing w:after="0"/>
              <w:rPr>
                <w:sz w:val="22"/>
                <w:szCs w:val="22"/>
                <w:color w:val="auto"/>
              </w:rPr>
            </w:pPr>
          </w:p>
        </w:tc>
        <w:tc>
          <w:tcPr>
            <w:tcW w:w="2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3140" w:type="dxa"/>
            <w:vAlign w:val="bottom"/>
          </w:tcPr>
          <w:p>
            <w:pPr>
              <w:jc w:val="center"/>
              <w:ind w:right="542"/>
              <w:spacing w:after="0"/>
              <w:rPr>
                <w:sz w:val="20"/>
                <w:szCs w:val="20"/>
                <w:color w:val="auto"/>
              </w:rPr>
            </w:pPr>
            <w:r>
              <w:rPr>
                <w:rFonts w:ascii="Courier New" w:cs="Courier New" w:eastAsia="Courier New" w:hAnsi="Courier New"/>
                <w:sz w:val="16"/>
                <w:szCs w:val="16"/>
                <w:color w:val="auto"/>
                <w:w w:val="97"/>
              </w:rPr>
              <w:t>/s/ JAMES B. BUSEY IV</w:t>
            </w:r>
          </w:p>
        </w:tc>
        <w:tc>
          <w:tcPr>
            <w:tcW w:w="2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14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6"/>
              </w:rPr>
              <w:t>- ---------------------------</w:t>
            </w:r>
          </w:p>
        </w:tc>
        <w:tc>
          <w:tcPr>
            <w:tcW w:w="2100" w:type="dxa"/>
            <w:vAlign w:val="bottom"/>
            <w:vMerge w:val="restart"/>
          </w:tcPr>
          <w:p>
            <w:pPr>
              <w:ind w:left="600"/>
              <w:spacing w:after="0"/>
              <w:rPr>
                <w:sz w:val="20"/>
                <w:szCs w:val="20"/>
                <w:color w:val="auto"/>
              </w:rPr>
            </w:pPr>
            <w:r>
              <w:rPr>
                <w:rFonts w:ascii="Courier New" w:cs="Courier New" w:eastAsia="Courier New" w:hAnsi="Courier New"/>
                <w:sz w:val="16"/>
                <w:szCs w:val="16"/>
                <w:color w:val="auto"/>
              </w:rPr>
              <w:t>Director</w:t>
            </w:r>
          </w:p>
        </w:tc>
        <w:tc>
          <w:tcPr>
            <w:tcW w:w="2260" w:type="dxa"/>
            <w:vAlign w:val="bottom"/>
            <w:vMerge w:val="restart"/>
          </w:tcPr>
          <w:p>
            <w:pPr>
              <w:jc w:val="center"/>
              <w:ind w:left="682"/>
              <w:spacing w:after="0"/>
              <w:rPr>
                <w:sz w:val="20"/>
                <w:szCs w:val="20"/>
                <w:color w:val="auto"/>
              </w:rPr>
            </w:pPr>
            <w:r>
              <w:rPr>
                <w:rFonts w:ascii="Courier New" w:cs="Courier New" w:eastAsia="Courier New" w:hAnsi="Courier New"/>
                <w:sz w:val="16"/>
                <w:szCs w:val="16"/>
                <w:color w:val="auto"/>
                <w:w w:val="97"/>
              </w:rPr>
              <w:t>October 15, 1999</w:t>
            </w:r>
          </w:p>
        </w:tc>
        <w:tc>
          <w:tcPr>
            <w:tcW w:w="0" w:type="dxa"/>
            <w:vAlign w:val="bottom"/>
          </w:tcPr>
          <w:p>
            <w:pPr>
              <w:spacing w:after="0"/>
              <w:rPr>
                <w:sz w:val="1"/>
                <w:szCs w:val="1"/>
                <w:color w:val="auto"/>
              </w:rPr>
            </w:pPr>
          </w:p>
        </w:tc>
      </w:tr>
      <w:tr>
        <w:trPr>
          <w:trHeight w:val="264"/>
        </w:trPr>
        <w:tc>
          <w:tcPr>
            <w:tcW w:w="3140" w:type="dxa"/>
            <w:vAlign w:val="bottom"/>
          </w:tcPr>
          <w:p>
            <w:pPr>
              <w:jc w:val="center"/>
              <w:ind w:right="542"/>
              <w:spacing w:after="0"/>
              <w:rPr>
                <w:sz w:val="20"/>
                <w:szCs w:val="20"/>
                <w:color w:val="auto"/>
              </w:rPr>
            </w:pPr>
            <w:r>
              <w:rPr>
                <w:rFonts w:ascii="Courier New" w:cs="Courier New" w:eastAsia="Courier New" w:hAnsi="Courier New"/>
                <w:sz w:val="16"/>
                <w:szCs w:val="16"/>
                <w:color w:val="auto"/>
                <w:w w:val="98"/>
              </w:rPr>
              <w:t>James B. Busey IV</w:t>
            </w:r>
          </w:p>
        </w:tc>
        <w:tc>
          <w:tcPr>
            <w:tcW w:w="2100" w:type="dxa"/>
            <w:vAlign w:val="bottom"/>
            <w:vMerge w:val="continue"/>
          </w:tcPr>
          <w:p>
            <w:pPr>
              <w:spacing w:after="0"/>
              <w:rPr>
                <w:sz w:val="22"/>
                <w:szCs w:val="22"/>
                <w:color w:val="auto"/>
              </w:rPr>
            </w:pPr>
          </w:p>
        </w:tc>
        <w:tc>
          <w:tcPr>
            <w:tcW w:w="2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3140" w:type="dxa"/>
            <w:vAlign w:val="bottom"/>
          </w:tcPr>
          <w:p>
            <w:pPr>
              <w:jc w:val="right"/>
              <w:ind w:right="1002"/>
              <w:spacing w:after="0"/>
              <w:rPr>
                <w:sz w:val="20"/>
                <w:szCs w:val="20"/>
                <w:color w:val="auto"/>
              </w:rPr>
            </w:pPr>
            <w:r>
              <w:rPr>
                <w:rFonts w:ascii="Courier New" w:cs="Courier New" w:eastAsia="Courier New" w:hAnsi="Courier New"/>
                <w:sz w:val="16"/>
                <w:szCs w:val="16"/>
                <w:color w:val="auto"/>
              </w:rPr>
              <w:t>/s/ DANIEL A. CARP</w:t>
            </w:r>
          </w:p>
        </w:tc>
        <w:tc>
          <w:tcPr>
            <w:tcW w:w="2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14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6"/>
              </w:rPr>
              <w:t>- ---------------------------</w:t>
            </w:r>
          </w:p>
        </w:tc>
        <w:tc>
          <w:tcPr>
            <w:tcW w:w="2100" w:type="dxa"/>
            <w:vAlign w:val="bottom"/>
            <w:vMerge w:val="restart"/>
          </w:tcPr>
          <w:p>
            <w:pPr>
              <w:ind w:left="600"/>
              <w:spacing w:after="0"/>
              <w:rPr>
                <w:sz w:val="20"/>
                <w:szCs w:val="20"/>
                <w:color w:val="auto"/>
              </w:rPr>
            </w:pPr>
            <w:r>
              <w:rPr>
                <w:rFonts w:ascii="Courier New" w:cs="Courier New" w:eastAsia="Courier New" w:hAnsi="Courier New"/>
                <w:sz w:val="16"/>
                <w:szCs w:val="16"/>
                <w:color w:val="auto"/>
              </w:rPr>
              <w:t>Director</w:t>
            </w:r>
          </w:p>
        </w:tc>
        <w:tc>
          <w:tcPr>
            <w:tcW w:w="2260" w:type="dxa"/>
            <w:vAlign w:val="bottom"/>
            <w:vMerge w:val="restart"/>
          </w:tcPr>
          <w:p>
            <w:pPr>
              <w:jc w:val="center"/>
              <w:ind w:left="682"/>
              <w:spacing w:after="0"/>
              <w:rPr>
                <w:sz w:val="20"/>
                <w:szCs w:val="20"/>
                <w:color w:val="auto"/>
              </w:rPr>
            </w:pPr>
            <w:r>
              <w:rPr>
                <w:rFonts w:ascii="Courier New" w:cs="Courier New" w:eastAsia="Courier New" w:hAnsi="Courier New"/>
                <w:sz w:val="16"/>
                <w:szCs w:val="16"/>
                <w:color w:val="auto"/>
                <w:w w:val="97"/>
              </w:rPr>
              <w:t>October 15, 1999</w:t>
            </w:r>
          </w:p>
        </w:tc>
        <w:tc>
          <w:tcPr>
            <w:tcW w:w="0" w:type="dxa"/>
            <w:vAlign w:val="bottom"/>
          </w:tcPr>
          <w:p>
            <w:pPr>
              <w:spacing w:after="0"/>
              <w:rPr>
                <w:sz w:val="1"/>
                <w:szCs w:val="1"/>
                <w:color w:val="auto"/>
              </w:rPr>
            </w:pPr>
          </w:p>
        </w:tc>
      </w:tr>
      <w:tr>
        <w:trPr>
          <w:trHeight w:val="264"/>
        </w:trPr>
        <w:tc>
          <w:tcPr>
            <w:tcW w:w="3140" w:type="dxa"/>
            <w:vAlign w:val="bottom"/>
          </w:tcPr>
          <w:p>
            <w:pPr>
              <w:jc w:val="right"/>
              <w:ind w:right="1102"/>
              <w:spacing w:after="0"/>
              <w:rPr>
                <w:sz w:val="20"/>
                <w:szCs w:val="20"/>
                <w:color w:val="auto"/>
              </w:rPr>
            </w:pPr>
            <w:r>
              <w:rPr>
                <w:rFonts w:ascii="Courier New" w:cs="Courier New" w:eastAsia="Courier New" w:hAnsi="Courier New"/>
                <w:sz w:val="16"/>
                <w:szCs w:val="16"/>
                <w:color w:val="auto"/>
              </w:rPr>
              <w:t>Daniel A. Carp</w:t>
            </w:r>
          </w:p>
        </w:tc>
        <w:tc>
          <w:tcPr>
            <w:tcW w:w="2100" w:type="dxa"/>
            <w:vAlign w:val="bottom"/>
            <w:vMerge w:val="continue"/>
          </w:tcPr>
          <w:p>
            <w:pPr>
              <w:spacing w:after="0"/>
              <w:rPr>
                <w:sz w:val="22"/>
                <w:szCs w:val="22"/>
                <w:color w:val="auto"/>
              </w:rPr>
            </w:pPr>
          </w:p>
        </w:tc>
        <w:tc>
          <w:tcPr>
            <w:tcW w:w="2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21"/>
        </w:trPr>
        <w:tc>
          <w:tcPr>
            <w:tcW w:w="3140" w:type="dxa"/>
            <w:vAlign w:val="bottom"/>
          </w:tcPr>
          <w:p>
            <w:pPr>
              <w:spacing w:after="0"/>
              <w:rPr>
                <w:sz w:val="24"/>
                <w:szCs w:val="24"/>
                <w:color w:val="auto"/>
              </w:rPr>
            </w:pPr>
          </w:p>
        </w:tc>
        <w:tc>
          <w:tcPr>
            <w:tcW w:w="2100" w:type="dxa"/>
            <w:vAlign w:val="bottom"/>
          </w:tcPr>
          <w:p>
            <w:pPr>
              <w:ind w:left="420"/>
              <w:spacing w:after="0"/>
              <w:rPr>
                <w:sz w:val="20"/>
                <w:szCs w:val="20"/>
                <w:color w:val="auto"/>
              </w:rPr>
            </w:pPr>
            <w:r>
              <w:rPr>
                <w:rFonts w:ascii="Courier New" w:cs="Courier New" w:eastAsia="Courier New" w:hAnsi="Courier New"/>
                <w:sz w:val="16"/>
                <w:szCs w:val="16"/>
                <w:color w:val="auto"/>
              </w:rPr>
              <w:t>II-3</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991" w:right="1440"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20" w:type="dxa"/>
            <w:vAlign w:val="bottom"/>
          </w:tcPr>
          <w:p>
            <w:pPr>
              <w:ind w:left="840"/>
              <w:spacing w:after="0"/>
              <w:rPr>
                <w:sz w:val="20"/>
                <w:szCs w:val="20"/>
                <w:color w:val="auto"/>
              </w:rPr>
            </w:pPr>
            <w:r>
              <w:rPr>
                <w:rFonts w:ascii="Courier New" w:cs="Courier New" w:eastAsia="Courier New" w:hAnsi="Courier New"/>
                <w:sz w:val="16"/>
                <w:szCs w:val="16"/>
                <w:color w:val="auto"/>
              </w:rPr>
              <w:t>Signature</w:t>
            </w:r>
          </w:p>
        </w:tc>
        <w:tc>
          <w:tcPr>
            <w:tcW w:w="3380" w:type="dxa"/>
            <w:vAlign w:val="bottom"/>
          </w:tcPr>
          <w:p>
            <w:pPr>
              <w:ind w:left="1220"/>
              <w:spacing w:after="0"/>
              <w:rPr>
                <w:sz w:val="20"/>
                <w:szCs w:val="20"/>
                <w:color w:val="auto"/>
              </w:rPr>
            </w:pPr>
            <w:r>
              <w:rPr>
                <w:rFonts w:ascii="Courier New" w:cs="Courier New" w:eastAsia="Courier New" w:hAnsi="Courier New"/>
                <w:sz w:val="16"/>
                <w:szCs w:val="16"/>
                <w:color w:val="auto"/>
              </w:rPr>
              <w:t>Title</w:t>
            </w:r>
          </w:p>
        </w:tc>
        <w:tc>
          <w:tcPr>
            <w:tcW w:w="168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8"/>
              </w:rPr>
              <w:t>Date</w:t>
            </w:r>
          </w:p>
        </w:tc>
        <w:tc>
          <w:tcPr>
            <w:tcW w:w="0" w:type="dxa"/>
            <w:vAlign w:val="bottom"/>
          </w:tcPr>
          <w:p>
            <w:pPr>
              <w:spacing w:after="0"/>
              <w:rPr>
                <w:sz w:val="1"/>
                <w:szCs w:val="1"/>
                <w:color w:val="auto"/>
              </w:rPr>
            </w:pPr>
          </w:p>
        </w:tc>
      </w:tr>
      <w:tr>
        <w:trPr>
          <w:trHeight w:val="264"/>
        </w:trPr>
        <w:tc>
          <w:tcPr>
            <w:tcW w:w="2620" w:type="dxa"/>
            <w:vAlign w:val="bottom"/>
          </w:tcPr>
          <w:p>
            <w:pPr>
              <w:ind w:left="840"/>
              <w:spacing w:after="0"/>
              <w:rPr>
                <w:sz w:val="20"/>
                <w:szCs w:val="20"/>
                <w:color w:val="auto"/>
              </w:rPr>
            </w:pPr>
            <w:r>
              <w:rPr>
                <w:rFonts w:ascii="Courier New" w:cs="Courier New" w:eastAsia="Courier New" w:hAnsi="Courier New"/>
                <w:sz w:val="16"/>
                <w:szCs w:val="16"/>
                <w:color w:val="auto"/>
              </w:rPr>
              <w:t>---------</w:t>
            </w:r>
          </w:p>
        </w:tc>
        <w:tc>
          <w:tcPr>
            <w:tcW w:w="3380" w:type="dxa"/>
            <w:vAlign w:val="bottom"/>
          </w:tcPr>
          <w:p>
            <w:pPr>
              <w:ind w:left="122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457"/>
        </w:trPr>
        <w:tc>
          <w:tcPr>
            <w:tcW w:w="2620" w:type="dxa"/>
            <w:vAlign w:val="bottom"/>
          </w:tcPr>
          <w:p>
            <w:pPr>
              <w:jc w:val="right"/>
              <w:spacing w:after="0"/>
              <w:rPr>
                <w:sz w:val="20"/>
                <w:szCs w:val="20"/>
                <w:color w:val="auto"/>
              </w:rPr>
            </w:pPr>
            <w:r>
              <w:rPr>
                <w:rFonts w:ascii="Courier New" w:cs="Courier New" w:eastAsia="Courier New" w:hAnsi="Courier New"/>
                <w:sz w:val="22"/>
                <w:szCs w:val="22"/>
                <w:color w:val="auto"/>
                <w:w w:val="71"/>
                <w:vertAlign w:val="superscript"/>
              </w:rPr>
              <w:t>/s/</w:t>
            </w: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perscript"/>
              </w:rPr>
              <w:t>THOMASJ.ENGIBOUS</w:t>
            </w:r>
          </w:p>
        </w:tc>
        <w:tc>
          <w:tcPr>
            <w:tcW w:w="3380" w:type="dxa"/>
            <w:vAlign w:val="bottom"/>
            <w:vMerge w:val="restart"/>
          </w:tcPr>
          <w:p>
            <w:pPr>
              <w:ind w:left="280"/>
              <w:spacing w:after="0"/>
              <w:rPr>
                <w:sz w:val="20"/>
                <w:szCs w:val="20"/>
                <w:color w:val="auto"/>
              </w:rPr>
            </w:pPr>
            <w:r>
              <w:rPr>
                <w:rFonts w:ascii="Courier New" w:cs="Courier New" w:eastAsia="Courier New" w:hAnsi="Courier New"/>
                <w:sz w:val="16"/>
                <w:szCs w:val="16"/>
                <w:color w:val="auto"/>
                <w:w w:val="97"/>
              </w:rPr>
              <w:t>Chairman of the Board; President;</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620" w:type="dxa"/>
            <w:vAlign w:val="bottom"/>
            <w:vMerge w:val="restart"/>
          </w:tcPr>
          <w:p>
            <w:pPr>
              <w:spacing w:after="0"/>
              <w:rPr>
                <w:sz w:val="20"/>
                <w:szCs w:val="20"/>
                <w:color w:val="auto"/>
              </w:rPr>
            </w:pPr>
            <w:r>
              <w:rPr>
                <w:rFonts w:ascii="Courier New" w:cs="Courier New" w:eastAsia="Courier New" w:hAnsi="Courier New"/>
                <w:sz w:val="31"/>
                <w:szCs w:val="31"/>
                <w:color w:val="auto"/>
                <w:w w:val="97"/>
                <w:vertAlign w:val="superscript"/>
              </w:rPr>
              <w:t>-</w:t>
            </w:r>
            <w:r>
              <w:rPr>
                <w:rFonts w:ascii="Courier New" w:cs="Courier New" w:eastAsia="Courier New" w:hAnsi="Courier New"/>
                <w:sz w:val="16"/>
                <w:szCs w:val="16"/>
                <w:color w:val="auto"/>
                <w:w w:val="97"/>
              </w:rPr>
              <w:t>Thomas J. Engibous</w:t>
            </w:r>
          </w:p>
        </w:tc>
        <w:tc>
          <w:tcPr>
            <w:tcW w:w="3380" w:type="dxa"/>
            <w:vAlign w:val="bottom"/>
            <w:vMerge w:val="continue"/>
          </w:tcPr>
          <w:p>
            <w:pPr>
              <w:spacing w:after="0"/>
              <w:rPr>
                <w:sz w:val="15"/>
                <w:szCs w:val="15"/>
                <w:color w:val="auto"/>
              </w:rPr>
            </w:pPr>
          </w:p>
        </w:tc>
        <w:tc>
          <w:tcPr>
            <w:tcW w:w="1680" w:type="dxa"/>
            <w:vAlign w:val="bottom"/>
            <w:vMerge w:val="restart"/>
          </w:tcPr>
          <w:p>
            <w:pPr>
              <w:jc w:val="center"/>
              <w:ind w:right="102"/>
              <w:spacing w:after="0"/>
              <w:rPr>
                <w:sz w:val="20"/>
                <w:szCs w:val="20"/>
                <w:color w:val="auto"/>
              </w:rPr>
            </w:pPr>
            <w:r>
              <w:rPr>
                <w:rFonts w:ascii="Courier New" w:cs="Courier New" w:eastAsia="Courier New" w:hAnsi="Courier New"/>
                <w:sz w:val="16"/>
                <w:szCs w:val="16"/>
                <w:color w:val="auto"/>
                <w:w w:val="97"/>
              </w:rPr>
              <w:t>October 15, 1999</w:t>
            </w:r>
          </w:p>
        </w:tc>
        <w:tc>
          <w:tcPr>
            <w:tcW w:w="0" w:type="dxa"/>
            <w:vAlign w:val="bottom"/>
          </w:tcPr>
          <w:p>
            <w:pPr>
              <w:spacing w:after="0"/>
              <w:rPr>
                <w:sz w:val="1"/>
                <w:szCs w:val="1"/>
                <w:color w:val="auto"/>
              </w:rPr>
            </w:pPr>
          </w:p>
        </w:tc>
      </w:tr>
      <w:tr>
        <w:trPr>
          <w:trHeight w:val="279"/>
        </w:trPr>
        <w:tc>
          <w:tcPr>
            <w:tcW w:w="2620" w:type="dxa"/>
            <w:vAlign w:val="bottom"/>
            <w:vMerge w:val="continue"/>
          </w:tcPr>
          <w:p>
            <w:pPr>
              <w:spacing w:after="0"/>
              <w:rPr>
                <w:sz w:val="24"/>
                <w:szCs w:val="24"/>
                <w:color w:val="auto"/>
              </w:rPr>
            </w:pPr>
          </w:p>
        </w:tc>
        <w:tc>
          <w:tcPr>
            <w:tcW w:w="3380" w:type="dxa"/>
            <w:vAlign w:val="bottom"/>
          </w:tcPr>
          <w:p>
            <w:pPr>
              <w:ind w:left="100"/>
              <w:spacing w:after="0"/>
              <w:rPr>
                <w:sz w:val="20"/>
                <w:szCs w:val="20"/>
                <w:color w:val="auto"/>
              </w:rPr>
            </w:pPr>
            <w:r>
              <w:rPr>
                <w:rFonts w:ascii="Courier New" w:cs="Courier New" w:eastAsia="Courier New" w:hAnsi="Courier New"/>
                <w:sz w:val="16"/>
                <w:szCs w:val="16"/>
                <w:color w:val="auto"/>
              </w:rPr>
              <w:t>Chief Executive Officer; Director</w:t>
            </w:r>
          </w:p>
        </w:tc>
        <w:tc>
          <w:tcPr>
            <w:tcW w:w="1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2620" w:type="dxa"/>
            <w:vAlign w:val="bottom"/>
          </w:tcPr>
          <w:p>
            <w:pPr>
              <w:spacing w:after="0"/>
              <w:rPr>
                <w:sz w:val="20"/>
                <w:szCs w:val="20"/>
                <w:color w:val="auto"/>
              </w:rPr>
            </w:pPr>
            <w:r>
              <w:rPr>
                <w:rFonts w:ascii="Courier New" w:cs="Courier New" w:eastAsia="Courier New" w:hAnsi="Courier New"/>
                <w:sz w:val="16"/>
                <w:szCs w:val="16"/>
                <w:color w:val="auto"/>
              </w:rPr>
              <w:t>/s/ GERALD W. FRONTERHOUSE</w:t>
            </w:r>
          </w:p>
        </w:tc>
        <w:tc>
          <w:tcPr>
            <w:tcW w:w="3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680" w:type="dxa"/>
            <w:vAlign w:val="bottom"/>
            <w:vMerge w:val="restart"/>
          </w:tcPr>
          <w:p>
            <w:pPr>
              <w:jc w:val="center"/>
              <w:ind w:right="102"/>
              <w:spacing w:after="0"/>
              <w:rPr>
                <w:sz w:val="20"/>
                <w:szCs w:val="20"/>
                <w:color w:val="auto"/>
              </w:rPr>
            </w:pPr>
            <w:r>
              <w:rPr>
                <w:rFonts w:ascii="Courier New" w:cs="Courier New" w:eastAsia="Courier New" w:hAnsi="Courier New"/>
                <w:sz w:val="16"/>
                <w:szCs w:val="16"/>
                <w:color w:val="auto"/>
                <w:w w:val="97"/>
              </w:rPr>
              <w:t>October 15, 1999</w:t>
            </w:r>
          </w:p>
        </w:tc>
        <w:tc>
          <w:tcPr>
            <w:tcW w:w="0" w:type="dxa"/>
            <w:vAlign w:val="bottom"/>
          </w:tcPr>
          <w:p>
            <w:pPr>
              <w:spacing w:after="0"/>
              <w:rPr>
                <w:sz w:val="1"/>
                <w:szCs w:val="1"/>
                <w:color w:val="auto"/>
              </w:rPr>
            </w:pPr>
          </w:p>
        </w:tc>
      </w:tr>
      <w:tr>
        <w:trPr>
          <w:trHeight w:val="264"/>
        </w:trPr>
        <w:tc>
          <w:tcPr>
            <w:tcW w:w="2620" w:type="dxa"/>
            <w:vAlign w:val="bottom"/>
          </w:tcPr>
          <w:p>
            <w:pPr>
              <w:ind w:left="280"/>
              <w:spacing w:after="0"/>
              <w:rPr>
                <w:sz w:val="20"/>
                <w:szCs w:val="20"/>
                <w:color w:val="auto"/>
              </w:rPr>
            </w:pPr>
            <w:r>
              <w:rPr>
                <w:rFonts w:ascii="Courier New" w:cs="Courier New" w:eastAsia="Courier New" w:hAnsi="Courier New"/>
                <w:sz w:val="16"/>
                <w:szCs w:val="16"/>
                <w:color w:val="auto"/>
              </w:rPr>
              <w:t>Gerald W. Fronterhouse</w:t>
            </w:r>
          </w:p>
        </w:tc>
        <w:tc>
          <w:tcPr>
            <w:tcW w:w="3380" w:type="dxa"/>
            <w:vAlign w:val="bottom"/>
          </w:tcPr>
          <w:p>
            <w:pPr>
              <w:ind w:left="1120"/>
              <w:spacing w:after="0"/>
              <w:rPr>
                <w:sz w:val="20"/>
                <w:szCs w:val="20"/>
                <w:color w:val="auto"/>
              </w:rPr>
            </w:pPr>
            <w:r>
              <w:rPr>
                <w:rFonts w:ascii="Courier New" w:cs="Courier New" w:eastAsia="Courier New" w:hAnsi="Courier New"/>
                <w:sz w:val="16"/>
                <w:szCs w:val="16"/>
                <w:color w:val="auto"/>
              </w:rPr>
              <w:t>Director</w:t>
            </w:r>
          </w:p>
        </w:tc>
        <w:tc>
          <w:tcPr>
            <w:tcW w:w="1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2620" w:type="dxa"/>
            <w:vAlign w:val="bottom"/>
          </w:tcPr>
          <w:p>
            <w:pPr>
              <w:jc w:val="center"/>
              <w:ind w:right="109"/>
              <w:spacing w:after="0"/>
              <w:rPr>
                <w:sz w:val="20"/>
                <w:szCs w:val="20"/>
                <w:color w:val="auto"/>
              </w:rPr>
            </w:pPr>
            <w:r>
              <w:rPr>
                <w:rFonts w:ascii="Courier New" w:cs="Courier New" w:eastAsia="Courier New" w:hAnsi="Courier New"/>
                <w:sz w:val="16"/>
                <w:szCs w:val="16"/>
                <w:color w:val="auto"/>
                <w:w w:val="97"/>
              </w:rPr>
              <w:t>/s/ DAVID R. GOODE</w:t>
            </w:r>
          </w:p>
        </w:tc>
        <w:tc>
          <w:tcPr>
            <w:tcW w:w="3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680" w:type="dxa"/>
            <w:vAlign w:val="bottom"/>
            <w:vMerge w:val="restart"/>
          </w:tcPr>
          <w:p>
            <w:pPr>
              <w:jc w:val="center"/>
              <w:ind w:right="102"/>
              <w:spacing w:after="0"/>
              <w:rPr>
                <w:sz w:val="20"/>
                <w:szCs w:val="20"/>
                <w:color w:val="auto"/>
              </w:rPr>
            </w:pPr>
            <w:r>
              <w:rPr>
                <w:rFonts w:ascii="Courier New" w:cs="Courier New" w:eastAsia="Courier New" w:hAnsi="Courier New"/>
                <w:sz w:val="16"/>
                <w:szCs w:val="16"/>
                <w:color w:val="auto"/>
                <w:w w:val="97"/>
              </w:rPr>
              <w:t>October 15, 1999</w:t>
            </w:r>
          </w:p>
        </w:tc>
        <w:tc>
          <w:tcPr>
            <w:tcW w:w="0" w:type="dxa"/>
            <w:vAlign w:val="bottom"/>
          </w:tcPr>
          <w:p>
            <w:pPr>
              <w:spacing w:after="0"/>
              <w:rPr>
                <w:sz w:val="1"/>
                <w:szCs w:val="1"/>
                <w:color w:val="auto"/>
              </w:rPr>
            </w:pPr>
          </w:p>
        </w:tc>
      </w:tr>
      <w:tr>
        <w:trPr>
          <w:trHeight w:val="264"/>
        </w:trPr>
        <w:tc>
          <w:tcPr>
            <w:tcW w:w="2620" w:type="dxa"/>
            <w:vAlign w:val="bottom"/>
          </w:tcPr>
          <w:p>
            <w:pPr>
              <w:jc w:val="center"/>
              <w:ind w:right="109"/>
              <w:spacing w:after="0"/>
              <w:rPr>
                <w:sz w:val="20"/>
                <w:szCs w:val="20"/>
                <w:color w:val="auto"/>
              </w:rPr>
            </w:pPr>
            <w:r>
              <w:rPr>
                <w:rFonts w:ascii="Courier New" w:cs="Courier New" w:eastAsia="Courier New" w:hAnsi="Courier New"/>
                <w:sz w:val="16"/>
                <w:szCs w:val="16"/>
                <w:color w:val="auto"/>
                <w:w w:val="98"/>
              </w:rPr>
              <w:t>David R. Goode</w:t>
            </w:r>
          </w:p>
        </w:tc>
        <w:tc>
          <w:tcPr>
            <w:tcW w:w="3380" w:type="dxa"/>
            <w:vAlign w:val="bottom"/>
          </w:tcPr>
          <w:p>
            <w:pPr>
              <w:ind w:left="1120"/>
              <w:spacing w:after="0"/>
              <w:rPr>
                <w:sz w:val="20"/>
                <w:szCs w:val="20"/>
                <w:color w:val="auto"/>
              </w:rPr>
            </w:pPr>
            <w:r>
              <w:rPr>
                <w:rFonts w:ascii="Courier New" w:cs="Courier New" w:eastAsia="Courier New" w:hAnsi="Courier New"/>
                <w:sz w:val="16"/>
                <w:szCs w:val="16"/>
                <w:color w:val="auto"/>
              </w:rPr>
              <w:t>Director</w:t>
            </w:r>
          </w:p>
        </w:tc>
        <w:tc>
          <w:tcPr>
            <w:tcW w:w="1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2620" w:type="dxa"/>
            <w:vAlign w:val="bottom"/>
          </w:tcPr>
          <w:p>
            <w:pPr>
              <w:jc w:val="center"/>
              <w:ind w:right="109"/>
              <w:spacing w:after="0"/>
              <w:rPr>
                <w:sz w:val="20"/>
                <w:szCs w:val="20"/>
                <w:color w:val="auto"/>
              </w:rPr>
            </w:pPr>
            <w:r>
              <w:rPr>
                <w:rFonts w:ascii="Courier New" w:cs="Courier New" w:eastAsia="Courier New" w:hAnsi="Courier New"/>
                <w:sz w:val="16"/>
                <w:szCs w:val="16"/>
                <w:color w:val="auto"/>
                <w:w w:val="97"/>
              </w:rPr>
              <w:t>/s/ WAYNE R. SANDERS</w:t>
            </w:r>
          </w:p>
        </w:tc>
        <w:tc>
          <w:tcPr>
            <w:tcW w:w="3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680" w:type="dxa"/>
            <w:vAlign w:val="bottom"/>
            <w:vMerge w:val="restart"/>
          </w:tcPr>
          <w:p>
            <w:pPr>
              <w:jc w:val="center"/>
              <w:ind w:right="102"/>
              <w:spacing w:after="0"/>
              <w:rPr>
                <w:sz w:val="20"/>
                <w:szCs w:val="20"/>
                <w:color w:val="auto"/>
              </w:rPr>
            </w:pPr>
            <w:r>
              <w:rPr>
                <w:rFonts w:ascii="Courier New" w:cs="Courier New" w:eastAsia="Courier New" w:hAnsi="Courier New"/>
                <w:sz w:val="16"/>
                <w:szCs w:val="16"/>
                <w:color w:val="auto"/>
                <w:w w:val="97"/>
              </w:rPr>
              <w:t>October 15, 1999</w:t>
            </w:r>
          </w:p>
        </w:tc>
        <w:tc>
          <w:tcPr>
            <w:tcW w:w="0" w:type="dxa"/>
            <w:vAlign w:val="bottom"/>
          </w:tcPr>
          <w:p>
            <w:pPr>
              <w:spacing w:after="0"/>
              <w:rPr>
                <w:sz w:val="1"/>
                <w:szCs w:val="1"/>
                <w:color w:val="auto"/>
              </w:rPr>
            </w:pPr>
          </w:p>
        </w:tc>
      </w:tr>
      <w:tr>
        <w:trPr>
          <w:trHeight w:val="264"/>
        </w:trPr>
        <w:tc>
          <w:tcPr>
            <w:tcW w:w="2620" w:type="dxa"/>
            <w:vAlign w:val="bottom"/>
          </w:tcPr>
          <w:p>
            <w:pPr>
              <w:ind w:left="560"/>
              <w:spacing w:after="0"/>
              <w:rPr>
                <w:sz w:val="20"/>
                <w:szCs w:val="20"/>
                <w:color w:val="auto"/>
              </w:rPr>
            </w:pPr>
            <w:r>
              <w:rPr>
                <w:rFonts w:ascii="Courier New" w:cs="Courier New" w:eastAsia="Courier New" w:hAnsi="Courier New"/>
                <w:sz w:val="16"/>
                <w:szCs w:val="16"/>
                <w:color w:val="auto"/>
              </w:rPr>
              <w:t>Wayne R. Sanders</w:t>
            </w:r>
          </w:p>
        </w:tc>
        <w:tc>
          <w:tcPr>
            <w:tcW w:w="3380" w:type="dxa"/>
            <w:vAlign w:val="bottom"/>
          </w:tcPr>
          <w:p>
            <w:pPr>
              <w:ind w:left="1120"/>
              <w:spacing w:after="0"/>
              <w:rPr>
                <w:sz w:val="20"/>
                <w:szCs w:val="20"/>
                <w:color w:val="auto"/>
              </w:rPr>
            </w:pPr>
            <w:r>
              <w:rPr>
                <w:rFonts w:ascii="Courier New" w:cs="Courier New" w:eastAsia="Courier New" w:hAnsi="Courier New"/>
                <w:sz w:val="16"/>
                <w:szCs w:val="16"/>
                <w:color w:val="auto"/>
              </w:rPr>
              <w:t>Director</w:t>
            </w:r>
          </w:p>
        </w:tc>
        <w:tc>
          <w:tcPr>
            <w:tcW w:w="1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2620" w:type="dxa"/>
            <w:vAlign w:val="bottom"/>
          </w:tcPr>
          <w:p>
            <w:pPr>
              <w:ind w:left="280"/>
              <w:spacing w:after="0"/>
              <w:rPr>
                <w:sz w:val="20"/>
                <w:szCs w:val="20"/>
                <w:color w:val="auto"/>
              </w:rPr>
            </w:pPr>
            <w:r>
              <w:rPr>
                <w:rFonts w:ascii="Courier New" w:cs="Courier New" w:eastAsia="Courier New" w:hAnsi="Courier New"/>
                <w:sz w:val="16"/>
                <w:szCs w:val="16"/>
                <w:color w:val="auto"/>
              </w:rPr>
              <w:t>/s/ RUTH J. SIMMONS</w:t>
            </w:r>
          </w:p>
        </w:tc>
        <w:tc>
          <w:tcPr>
            <w:tcW w:w="3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680" w:type="dxa"/>
            <w:vAlign w:val="bottom"/>
            <w:vMerge w:val="restart"/>
          </w:tcPr>
          <w:p>
            <w:pPr>
              <w:jc w:val="center"/>
              <w:ind w:right="102"/>
              <w:spacing w:after="0"/>
              <w:rPr>
                <w:sz w:val="20"/>
                <w:szCs w:val="20"/>
                <w:color w:val="auto"/>
              </w:rPr>
            </w:pPr>
            <w:r>
              <w:rPr>
                <w:rFonts w:ascii="Courier New" w:cs="Courier New" w:eastAsia="Courier New" w:hAnsi="Courier New"/>
                <w:sz w:val="16"/>
                <w:szCs w:val="16"/>
                <w:color w:val="auto"/>
                <w:w w:val="97"/>
              </w:rPr>
              <w:t>October 15, 1999</w:t>
            </w:r>
          </w:p>
        </w:tc>
        <w:tc>
          <w:tcPr>
            <w:tcW w:w="0" w:type="dxa"/>
            <w:vAlign w:val="bottom"/>
          </w:tcPr>
          <w:p>
            <w:pPr>
              <w:spacing w:after="0"/>
              <w:rPr>
                <w:sz w:val="1"/>
                <w:szCs w:val="1"/>
                <w:color w:val="auto"/>
              </w:rPr>
            </w:pPr>
          </w:p>
        </w:tc>
      </w:tr>
      <w:tr>
        <w:trPr>
          <w:trHeight w:val="264"/>
        </w:trPr>
        <w:tc>
          <w:tcPr>
            <w:tcW w:w="2620" w:type="dxa"/>
            <w:vAlign w:val="bottom"/>
          </w:tcPr>
          <w:p>
            <w:pPr>
              <w:ind w:left="560"/>
              <w:spacing w:after="0"/>
              <w:rPr>
                <w:sz w:val="20"/>
                <w:szCs w:val="20"/>
                <w:color w:val="auto"/>
              </w:rPr>
            </w:pPr>
            <w:r>
              <w:rPr>
                <w:rFonts w:ascii="Courier New" w:cs="Courier New" w:eastAsia="Courier New" w:hAnsi="Courier New"/>
                <w:sz w:val="16"/>
                <w:szCs w:val="16"/>
                <w:color w:val="auto"/>
              </w:rPr>
              <w:t>Ruth J. Simmons</w:t>
            </w:r>
          </w:p>
        </w:tc>
        <w:tc>
          <w:tcPr>
            <w:tcW w:w="3380" w:type="dxa"/>
            <w:vAlign w:val="bottom"/>
          </w:tcPr>
          <w:p>
            <w:pPr>
              <w:ind w:left="1120"/>
              <w:spacing w:after="0"/>
              <w:rPr>
                <w:sz w:val="20"/>
                <w:szCs w:val="20"/>
                <w:color w:val="auto"/>
              </w:rPr>
            </w:pPr>
            <w:r>
              <w:rPr>
                <w:rFonts w:ascii="Courier New" w:cs="Courier New" w:eastAsia="Courier New" w:hAnsi="Courier New"/>
                <w:sz w:val="16"/>
                <w:szCs w:val="16"/>
                <w:color w:val="auto"/>
              </w:rPr>
              <w:t>Director</w:t>
            </w:r>
          </w:p>
        </w:tc>
        <w:tc>
          <w:tcPr>
            <w:tcW w:w="1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2620" w:type="dxa"/>
            <w:vAlign w:val="bottom"/>
          </w:tcPr>
          <w:p>
            <w:pPr>
              <w:jc w:val="center"/>
              <w:ind w:right="129"/>
              <w:spacing w:after="0"/>
              <w:rPr>
                <w:sz w:val="20"/>
                <w:szCs w:val="20"/>
                <w:color w:val="auto"/>
              </w:rPr>
            </w:pPr>
            <w:r>
              <w:rPr>
                <w:rFonts w:ascii="Courier New" w:cs="Courier New" w:eastAsia="Courier New" w:hAnsi="Courier New"/>
                <w:sz w:val="16"/>
                <w:szCs w:val="16"/>
                <w:color w:val="auto"/>
                <w:w w:val="97"/>
              </w:rPr>
              <w:t>/s/ CLAYTON K. YEUTTER</w:t>
            </w:r>
          </w:p>
        </w:tc>
        <w:tc>
          <w:tcPr>
            <w:tcW w:w="3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680" w:type="dxa"/>
            <w:vAlign w:val="bottom"/>
            <w:vMerge w:val="restart"/>
          </w:tcPr>
          <w:p>
            <w:pPr>
              <w:jc w:val="center"/>
              <w:ind w:right="102"/>
              <w:spacing w:after="0"/>
              <w:rPr>
                <w:sz w:val="20"/>
                <w:szCs w:val="20"/>
                <w:color w:val="auto"/>
              </w:rPr>
            </w:pPr>
            <w:r>
              <w:rPr>
                <w:rFonts w:ascii="Courier New" w:cs="Courier New" w:eastAsia="Courier New" w:hAnsi="Courier New"/>
                <w:sz w:val="16"/>
                <w:szCs w:val="16"/>
                <w:color w:val="auto"/>
                <w:w w:val="97"/>
              </w:rPr>
              <w:t>October 15, 1999</w:t>
            </w:r>
          </w:p>
        </w:tc>
        <w:tc>
          <w:tcPr>
            <w:tcW w:w="0" w:type="dxa"/>
            <w:vAlign w:val="bottom"/>
          </w:tcPr>
          <w:p>
            <w:pPr>
              <w:spacing w:after="0"/>
              <w:rPr>
                <w:sz w:val="1"/>
                <w:szCs w:val="1"/>
                <w:color w:val="auto"/>
              </w:rPr>
            </w:pPr>
          </w:p>
        </w:tc>
      </w:tr>
      <w:tr>
        <w:trPr>
          <w:trHeight w:val="264"/>
        </w:trPr>
        <w:tc>
          <w:tcPr>
            <w:tcW w:w="2620" w:type="dxa"/>
            <w:vAlign w:val="bottom"/>
          </w:tcPr>
          <w:p>
            <w:pPr>
              <w:jc w:val="center"/>
              <w:ind w:right="109"/>
              <w:spacing w:after="0"/>
              <w:rPr>
                <w:sz w:val="20"/>
                <w:szCs w:val="20"/>
                <w:color w:val="auto"/>
              </w:rPr>
            </w:pPr>
            <w:r>
              <w:rPr>
                <w:rFonts w:ascii="Courier New" w:cs="Courier New" w:eastAsia="Courier New" w:hAnsi="Courier New"/>
                <w:sz w:val="16"/>
                <w:szCs w:val="16"/>
                <w:color w:val="auto"/>
                <w:w w:val="97"/>
              </w:rPr>
              <w:t>Clayton K. Yeutter</w:t>
            </w:r>
          </w:p>
        </w:tc>
        <w:tc>
          <w:tcPr>
            <w:tcW w:w="3380" w:type="dxa"/>
            <w:vAlign w:val="bottom"/>
          </w:tcPr>
          <w:p>
            <w:pPr>
              <w:ind w:left="1120"/>
              <w:spacing w:after="0"/>
              <w:rPr>
                <w:sz w:val="20"/>
                <w:szCs w:val="20"/>
                <w:color w:val="auto"/>
              </w:rPr>
            </w:pPr>
            <w:r>
              <w:rPr>
                <w:rFonts w:ascii="Courier New" w:cs="Courier New" w:eastAsia="Courier New" w:hAnsi="Courier New"/>
                <w:sz w:val="16"/>
                <w:szCs w:val="16"/>
                <w:color w:val="auto"/>
              </w:rPr>
              <w:t>Director</w:t>
            </w:r>
          </w:p>
        </w:tc>
        <w:tc>
          <w:tcPr>
            <w:tcW w:w="1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2620" w:type="dxa"/>
            <w:vAlign w:val="bottom"/>
          </w:tcPr>
          <w:p>
            <w:pPr>
              <w:jc w:val="right"/>
              <w:spacing w:after="0"/>
              <w:rPr>
                <w:sz w:val="20"/>
                <w:szCs w:val="20"/>
                <w:color w:val="auto"/>
              </w:rPr>
            </w:pPr>
            <w:r>
              <w:rPr>
                <w:rFonts w:ascii="Courier New" w:cs="Courier New" w:eastAsia="Courier New" w:hAnsi="Courier New"/>
                <w:sz w:val="20"/>
                <w:szCs w:val="20"/>
                <w:color w:val="auto"/>
                <w:w w:val="70"/>
                <w:vertAlign w:val="superscript"/>
              </w:rPr>
              <w:t>/s/</w:t>
            </w: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perscript"/>
              </w:rPr>
              <w:t>WILLIAMA.AYLESWORTH</w:t>
            </w:r>
          </w:p>
        </w:tc>
        <w:tc>
          <w:tcPr>
            <w:tcW w:w="3380" w:type="dxa"/>
            <w:vAlign w:val="bottom"/>
            <w:vMerge w:val="restart"/>
          </w:tcPr>
          <w:p>
            <w:pPr>
              <w:ind w:left="200"/>
              <w:spacing w:after="0"/>
              <w:rPr>
                <w:sz w:val="20"/>
                <w:szCs w:val="20"/>
                <w:color w:val="auto"/>
              </w:rPr>
            </w:pPr>
            <w:r>
              <w:rPr>
                <w:rFonts w:ascii="Courier New" w:cs="Courier New" w:eastAsia="Courier New" w:hAnsi="Courier New"/>
                <w:sz w:val="16"/>
                <w:szCs w:val="16"/>
                <w:color w:val="auto"/>
                <w:w w:val="99"/>
              </w:rPr>
              <w:t>Senior Vice President; Treasurer;</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620" w:type="dxa"/>
            <w:vAlign w:val="bottom"/>
            <w:vMerge w:val="restart"/>
          </w:tcPr>
          <w:p>
            <w:pPr>
              <w:spacing w:after="0"/>
              <w:rPr>
                <w:sz w:val="20"/>
                <w:szCs w:val="20"/>
                <w:color w:val="auto"/>
              </w:rPr>
            </w:pPr>
            <w:r>
              <w:rPr>
                <w:rFonts w:ascii="Courier New" w:cs="Courier New" w:eastAsia="Courier New" w:hAnsi="Courier New"/>
                <w:sz w:val="31"/>
                <w:szCs w:val="31"/>
                <w:color w:val="auto"/>
                <w:vertAlign w:val="superscript"/>
              </w:rPr>
              <w:t>-</w:t>
            </w:r>
            <w:r>
              <w:rPr>
                <w:rFonts w:ascii="Courier New" w:cs="Courier New" w:eastAsia="Courier New" w:hAnsi="Courier New"/>
                <w:sz w:val="16"/>
                <w:szCs w:val="16"/>
                <w:color w:val="auto"/>
              </w:rPr>
              <w:t xml:space="preserve">  William A. Aylesworth</w:t>
            </w:r>
          </w:p>
        </w:tc>
        <w:tc>
          <w:tcPr>
            <w:tcW w:w="3380" w:type="dxa"/>
            <w:vAlign w:val="bottom"/>
            <w:vMerge w:val="continue"/>
          </w:tcPr>
          <w:p>
            <w:pPr>
              <w:spacing w:after="0"/>
              <w:rPr>
                <w:sz w:val="15"/>
                <w:szCs w:val="15"/>
                <w:color w:val="auto"/>
              </w:rPr>
            </w:pPr>
          </w:p>
        </w:tc>
        <w:tc>
          <w:tcPr>
            <w:tcW w:w="1680" w:type="dxa"/>
            <w:vAlign w:val="bottom"/>
            <w:vMerge w:val="restart"/>
          </w:tcPr>
          <w:p>
            <w:pPr>
              <w:jc w:val="center"/>
              <w:ind w:right="102"/>
              <w:spacing w:after="0"/>
              <w:rPr>
                <w:sz w:val="20"/>
                <w:szCs w:val="20"/>
                <w:color w:val="auto"/>
              </w:rPr>
            </w:pPr>
            <w:r>
              <w:rPr>
                <w:rFonts w:ascii="Courier New" w:cs="Courier New" w:eastAsia="Courier New" w:hAnsi="Courier New"/>
                <w:sz w:val="16"/>
                <w:szCs w:val="16"/>
                <w:color w:val="auto"/>
                <w:w w:val="97"/>
              </w:rPr>
              <w:t>October 15, 1999</w:t>
            </w:r>
          </w:p>
        </w:tc>
        <w:tc>
          <w:tcPr>
            <w:tcW w:w="0" w:type="dxa"/>
            <w:vAlign w:val="bottom"/>
          </w:tcPr>
          <w:p>
            <w:pPr>
              <w:spacing w:after="0"/>
              <w:rPr>
                <w:sz w:val="1"/>
                <w:szCs w:val="1"/>
                <w:color w:val="auto"/>
              </w:rPr>
            </w:pPr>
          </w:p>
        </w:tc>
      </w:tr>
      <w:tr>
        <w:trPr>
          <w:trHeight w:val="279"/>
        </w:trPr>
        <w:tc>
          <w:tcPr>
            <w:tcW w:w="2620" w:type="dxa"/>
            <w:vAlign w:val="bottom"/>
            <w:vMerge w:val="continue"/>
          </w:tcPr>
          <w:p>
            <w:pPr>
              <w:spacing w:after="0"/>
              <w:rPr>
                <w:sz w:val="24"/>
                <w:szCs w:val="24"/>
                <w:color w:val="auto"/>
              </w:rPr>
            </w:pP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Chief Financial Officer</w:t>
            </w:r>
          </w:p>
        </w:tc>
        <w:tc>
          <w:tcPr>
            <w:tcW w:w="1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2620" w:type="dxa"/>
            <w:vAlign w:val="bottom"/>
          </w:tcPr>
          <w:p>
            <w:pPr>
              <w:jc w:val="right"/>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perscript"/>
              </w:rPr>
              <w:t>/s/M.SAMUELSELF</w:t>
            </w:r>
          </w:p>
        </w:tc>
        <w:tc>
          <w:tcPr>
            <w:tcW w:w="3380" w:type="dxa"/>
            <w:vAlign w:val="bottom"/>
            <w:vMerge w:val="restart"/>
          </w:tcPr>
          <w:p>
            <w:pPr>
              <w:ind w:left="200"/>
              <w:spacing w:after="0"/>
              <w:rPr>
                <w:sz w:val="20"/>
                <w:szCs w:val="20"/>
                <w:color w:val="auto"/>
              </w:rPr>
            </w:pPr>
            <w:r>
              <w:rPr>
                <w:rFonts w:ascii="Courier New" w:cs="Courier New" w:eastAsia="Courier New" w:hAnsi="Courier New"/>
                <w:sz w:val="16"/>
                <w:szCs w:val="16"/>
                <w:color w:val="auto"/>
                <w:w w:val="96"/>
              </w:rPr>
              <w:t>Senior Vice President; Controller;</w:t>
            </w:r>
          </w:p>
        </w:tc>
        <w:tc>
          <w:tcPr>
            <w:tcW w:w="16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w w:val="96"/>
              </w:rPr>
              <w:t>October 15, 1999</w:t>
            </w:r>
          </w:p>
        </w:tc>
        <w:tc>
          <w:tcPr>
            <w:tcW w:w="0" w:type="dxa"/>
            <w:vAlign w:val="bottom"/>
          </w:tcPr>
          <w:p>
            <w:pPr>
              <w:spacing w:after="0"/>
              <w:rPr>
                <w:sz w:val="1"/>
                <w:szCs w:val="1"/>
                <w:color w:val="auto"/>
              </w:rPr>
            </w:pPr>
          </w:p>
        </w:tc>
      </w:tr>
      <w:tr>
        <w:trPr>
          <w:trHeight w:val="180"/>
        </w:trPr>
        <w:tc>
          <w:tcPr>
            <w:tcW w:w="2620" w:type="dxa"/>
            <w:vAlign w:val="bottom"/>
            <w:vMerge w:val="restart"/>
          </w:tcPr>
          <w:p>
            <w:pPr>
              <w:spacing w:after="0"/>
              <w:rPr>
                <w:sz w:val="20"/>
                <w:szCs w:val="20"/>
                <w:color w:val="auto"/>
              </w:rPr>
            </w:pPr>
            <w:r>
              <w:rPr>
                <w:rFonts w:ascii="Courier New" w:cs="Courier New" w:eastAsia="Courier New" w:hAnsi="Courier New"/>
                <w:sz w:val="31"/>
                <w:szCs w:val="31"/>
                <w:color w:val="auto"/>
                <w:w w:val="98"/>
                <w:vertAlign w:val="superscript"/>
              </w:rPr>
              <w:t>-</w:t>
            </w:r>
            <w:r>
              <w:rPr>
                <w:rFonts w:ascii="Courier New" w:cs="Courier New" w:eastAsia="Courier New" w:hAnsi="Courier New"/>
                <w:sz w:val="16"/>
                <w:szCs w:val="16"/>
                <w:color w:val="auto"/>
                <w:w w:val="98"/>
              </w:rPr>
              <w:t>M. Samuel Self</w:t>
            </w:r>
          </w:p>
        </w:tc>
        <w:tc>
          <w:tcPr>
            <w:tcW w:w="338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2620" w:type="dxa"/>
            <w:vAlign w:val="bottom"/>
            <w:vMerge w:val="continue"/>
          </w:tcPr>
          <w:p>
            <w:pPr>
              <w:spacing w:after="0"/>
              <w:rPr>
                <w:sz w:val="24"/>
                <w:szCs w:val="24"/>
                <w:color w:val="auto"/>
              </w:rPr>
            </w:pP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Chief Accounting Officer</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990" w:right="1440" w:bottom="1440" w:gutter="0" w:footer="0" w:header="0"/>
        </w:sectPr>
      </w:pPr>
    </w:p>
    <w:bookmarkStart w:id="31" w:name="page32"/>
    <w:bookmarkEnd w:id="31"/>
    <w:tbl>
      <w:tblPr>
        <w:tblLayout w:type="fixed"/>
        <w:tblInd w:w="4" w:type="dxa"/>
        <w:tblCellMar>
          <w:top w:w="0" w:type="dxa"/>
          <w:left w:w="0" w:type="dxa"/>
          <w:bottom w:w="0" w:type="dxa"/>
          <w:right w:w="0" w:type="dxa"/>
        </w:tblCellMar>
      </w:tblPr>
      <w:tr>
        <w:trPr>
          <w:trHeight w:val="264"/>
        </w:trPr>
        <w:tc>
          <w:tcPr>
            <w:tcW w:w="1300" w:type="dxa"/>
            <w:vAlign w:val="bottom"/>
          </w:tcPr>
          <w:p>
            <w:pPr>
              <w:spacing w:after="0"/>
              <w:rPr>
                <w:sz w:val="22"/>
                <w:szCs w:val="22"/>
                <w:color w:val="auto"/>
              </w:rPr>
            </w:pPr>
          </w:p>
        </w:tc>
        <w:tc>
          <w:tcPr>
            <w:tcW w:w="5920" w:type="dxa"/>
            <w:vAlign w:val="bottom"/>
          </w:tcPr>
          <w:p>
            <w:pPr>
              <w:ind w:left="1880"/>
              <w:spacing w:after="0"/>
              <w:rPr>
                <w:sz w:val="20"/>
                <w:szCs w:val="20"/>
                <w:color w:val="auto"/>
              </w:rPr>
            </w:pPr>
            <w:r>
              <w:rPr>
                <w:rFonts w:ascii="Courier New" w:cs="Courier New" w:eastAsia="Courier New" w:hAnsi="Courier New"/>
                <w:sz w:val="16"/>
                <w:szCs w:val="16"/>
                <w:color w:val="auto"/>
              </w:rPr>
              <w:t>EXHIBIT INDEX</w:t>
            </w:r>
          </w:p>
        </w:tc>
      </w:tr>
      <w:tr>
        <w:trPr>
          <w:trHeight w:val="638"/>
        </w:trPr>
        <w:tc>
          <w:tcPr>
            <w:tcW w:w="1300" w:type="dxa"/>
            <w:vAlign w:val="bottom"/>
          </w:tcPr>
          <w:p>
            <w:pPr>
              <w:spacing w:after="0"/>
              <w:rPr>
                <w:sz w:val="20"/>
                <w:szCs w:val="20"/>
                <w:color w:val="auto"/>
              </w:rPr>
            </w:pPr>
            <w:r>
              <w:rPr>
                <w:rFonts w:ascii="Courier New" w:cs="Courier New" w:eastAsia="Courier New" w:hAnsi="Courier New"/>
                <w:sz w:val="16"/>
                <w:szCs w:val="16"/>
                <w:color w:val="auto"/>
              </w:rPr>
              <w:t>Exhibit No.</w:t>
            </w:r>
          </w:p>
        </w:tc>
        <w:tc>
          <w:tcPr>
            <w:tcW w:w="5920" w:type="dxa"/>
            <w:vAlign w:val="bottom"/>
          </w:tcPr>
          <w:p>
            <w:pPr>
              <w:ind w:left="2640"/>
              <w:spacing w:after="0"/>
              <w:rPr>
                <w:sz w:val="20"/>
                <w:szCs w:val="20"/>
                <w:color w:val="auto"/>
              </w:rPr>
            </w:pPr>
            <w:r>
              <w:rPr>
                <w:rFonts w:ascii="Courier New" w:cs="Courier New" w:eastAsia="Courier New" w:hAnsi="Courier New"/>
                <w:sz w:val="16"/>
                <w:szCs w:val="16"/>
                <w:color w:val="auto"/>
              </w:rPr>
              <w:t>Document</w:t>
            </w: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920" w:type="dxa"/>
            <w:vAlign w:val="bottom"/>
          </w:tcPr>
          <w:p>
            <w:pPr>
              <w:ind w:left="2820"/>
              <w:spacing w:after="0"/>
              <w:rPr>
                <w:sz w:val="20"/>
                <w:szCs w:val="20"/>
                <w:color w:val="auto"/>
              </w:rPr>
            </w:pPr>
            <w:r>
              <w:rPr>
                <w:rFonts w:ascii="Courier New" w:cs="Courier New" w:eastAsia="Courier New" w:hAnsi="Courier New"/>
                <w:sz w:val="16"/>
                <w:szCs w:val="16"/>
                <w:color w:val="auto"/>
              </w:rPr>
              <w:t>--------</w:t>
            </w:r>
          </w:p>
        </w:tc>
      </w:tr>
      <w:tr>
        <w:trPr>
          <w:trHeight w:val="180"/>
        </w:trPr>
        <w:tc>
          <w:tcPr>
            <w:tcW w:w="13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1.1</w:t>
            </w: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rPr>
              <w:t>Registration Rights Agreement dated as of August 17, 1999</w:t>
            </w:r>
          </w:p>
        </w:tc>
      </w:tr>
      <w:tr>
        <w:trPr>
          <w:trHeight w:val="180"/>
        </w:trPr>
        <w:tc>
          <w:tcPr>
            <w:tcW w:w="1300" w:type="dxa"/>
            <w:vAlign w:val="bottom"/>
          </w:tcPr>
          <w:p>
            <w:pPr>
              <w:spacing w:after="0"/>
              <w:rPr>
                <w:sz w:val="15"/>
                <w:szCs w:val="15"/>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w w:val="99"/>
              </w:rPr>
              <w:t>between Texas Instruments, Incorporated, Morgan Stanley &amp; Co.</w:t>
            </w:r>
          </w:p>
        </w:tc>
      </w:tr>
      <w:tr>
        <w:trPr>
          <w:trHeight w:val="180"/>
        </w:trPr>
        <w:tc>
          <w:tcPr>
            <w:tcW w:w="1300" w:type="dxa"/>
            <w:vAlign w:val="bottom"/>
          </w:tcPr>
          <w:p>
            <w:pPr>
              <w:spacing w:after="0"/>
              <w:rPr>
                <w:sz w:val="15"/>
                <w:szCs w:val="15"/>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w w:val="97"/>
              </w:rPr>
              <w:t>Incorporated, Salomon Smith Barney Inc., ABN AMRO Incorporated</w:t>
            </w:r>
          </w:p>
        </w:tc>
      </w:tr>
      <w:tr>
        <w:trPr>
          <w:trHeight w:val="264"/>
        </w:trPr>
        <w:tc>
          <w:tcPr>
            <w:tcW w:w="1300" w:type="dxa"/>
            <w:vAlign w:val="bottom"/>
          </w:tcPr>
          <w:p>
            <w:pPr>
              <w:spacing w:after="0"/>
              <w:rPr>
                <w:sz w:val="22"/>
                <w:szCs w:val="22"/>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rPr>
              <w:t>and Banc of America Securities LLC, as initial purchasers</w:t>
            </w:r>
          </w:p>
        </w:tc>
      </w:tr>
      <w:tr>
        <w:trPr>
          <w:trHeight w:val="277"/>
        </w:trPr>
        <w:tc>
          <w:tcPr>
            <w:tcW w:w="13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*4.1</w:t>
            </w: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w w:val="97"/>
              </w:rPr>
              <w:t>Indenture, dated as of July 15, 1996 between Texas Instruments</w:t>
            </w:r>
          </w:p>
        </w:tc>
      </w:tr>
      <w:tr>
        <w:trPr>
          <w:trHeight w:val="264"/>
        </w:trPr>
        <w:tc>
          <w:tcPr>
            <w:tcW w:w="1300" w:type="dxa"/>
            <w:vAlign w:val="bottom"/>
          </w:tcPr>
          <w:p>
            <w:pPr>
              <w:spacing w:after="0"/>
              <w:rPr>
                <w:sz w:val="22"/>
                <w:szCs w:val="22"/>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rPr>
              <w:t>Incorporated and the trustee</w:t>
            </w:r>
          </w:p>
        </w:tc>
      </w:tr>
      <w:tr>
        <w:trPr>
          <w:trHeight w:val="277"/>
        </w:trPr>
        <w:tc>
          <w:tcPr>
            <w:tcW w:w="13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5.1</w:t>
            </w: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w w:val="99"/>
              </w:rPr>
              <w:t>Opinion of Davis Polk &amp; Wardwell with respect to the exchange</w:t>
            </w:r>
          </w:p>
        </w:tc>
      </w:tr>
      <w:tr>
        <w:trPr>
          <w:trHeight w:val="264"/>
        </w:trPr>
        <w:tc>
          <w:tcPr>
            <w:tcW w:w="1300" w:type="dxa"/>
            <w:vAlign w:val="bottom"/>
          </w:tcPr>
          <w:p>
            <w:pPr>
              <w:spacing w:after="0"/>
              <w:rPr>
                <w:sz w:val="22"/>
                <w:szCs w:val="22"/>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rPr>
              <w:t>notes</w:t>
            </w:r>
          </w:p>
        </w:tc>
      </w:tr>
      <w:tr>
        <w:trPr>
          <w:trHeight w:val="361"/>
        </w:trPr>
        <w:tc>
          <w:tcPr>
            <w:tcW w:w="13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12.1</w:t>
            </w: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rPr>
              <w:t>Computation of Ratio of Earnings to Fixed Charges</w:t>
            </w:r>
          </w:p>
        </w:tc>
      </w:tr>
      <w:tr>
        <w:trPr>
          <w:trHeight w:val="277"/>
        </w:trPr>
        <w:tc>
          <w:tcPr>
            <w:tcW w:w="13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23.1</w:t>
            </w: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rPr>
              <w:t>Consent of Davis Polk &amp; Wardwell (contained in their</w:t>
            </w:r>
          </w:p>
        </w:tc>
      </w:tr>
      <w:tr>
        <w:trPr>
          <w:trHeight w:val="264"/>
        </w:trPr>
        <w:tc>
          <w:tcPr>
            <w:tcW w:w="1300" w:type="dxa"/>
            <w:vAlign w:val="bottom"/>
          </w:tcPr>
          <w:p>
            <w:pPr>
              <w:spacing w:after="0"/>
              <w:rPr>
                <w:sz w:val="22"/>
                <w:szCs w:val="22"/>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rPr>
              <w:t>opinion filed as Exhibit 5.1)</w:t>
            </w:r>
          </w:p>
        </w:tc>
      </w:tr>
      <w:tr>
        <w:trPr>
          <w:trHeight w:val="361"/>
        </w:trPr>
        <w:tc>
          <w:tcPr>
            <w:tcW w:w="13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23.2</w:t>
            </w: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rPr>
              <w:t>Consent of Ernst &amp; Young LLP</w:t>
            </w:r>
          </w:p>
        </w:tc>
      </w:tr>
      <w:tr>
        <w:trPr>
          <w:trHeight w:val="277"/>
        </w:trPr>
        <w:tc>
          <w:tcPr>
            <w:tcW w:w="13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24.1</w:t>
            </w: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rPr>
              <w:t>Power of Attorney (included on the signature page of this</w:t>
            </w:r>
          </w:p>
        </w:tc>
      </w:tr>
      <w:tr>
        <w:trPr>
          <w:trHeight w:val="264"/>
        </w:trPr>
        <w:tc>
          <w:tcPr>
            <w:tcW w:w="1300" w:type="dxa"/>
            <w:vAlign w:val="bottom"/>
          </w:tcPr>
          <w:p>
            <w:pPr>
              <w:spacing w:after="0"/>
              <w:rPr>
                <w:sz w:val="22"/>
                <w:szCs w:val="22"/>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rPr>
              <w:t>registration statement)</w:t>
            </w:r>
          </w:p>
        </w:tc>
      </w:tr>
      <w:tr>
        <w:trPr>
          <w:trHeight w:val="361"/>
        </w:trPr>
        <w:tc>
          <w:tcPr>
            <w:tcW w:w="13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25.1</w:t>
            </w: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rPr>
              <w:t>Statement of Eligibility of Citibank, N.A. on Form T-1</w:t>
            </w:r>
          </w:p>
        </w:tc>
      </w:tr>
      <w:tr>
        <w:trPr>
          <w:trHeight w:val="361"/>
        </w:trPr>
        <w:tc>
          <w:tcPr>
            <w:tcW w:w="13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99.1</w:t>
            </w: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rPr>
              <w:t>Form of Letter of Transmittal</w:t>
            </w:r>
          </w:p>
        </w:tc>
      </w:tr>
      <w:tr>
        <w:trPr>
          <w:trHeight w:val="361"/>
        </w:trPr>
        <w:tc>
          <w:tcPr>
            <w:tcW w:w="13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99.2</w:t>
            </w: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rPr>
              <w:t>Form of Notice of Guaranteed Delivery</w:t>
            </w:r>
          </w:p>
        </w:tc>
      </w:tr>
      <w:tr>
        <w:trPr>
          <w:trHeight w:val="361"/>
        </w:trPr>
        <w:tc>
          <w:tcPr>
            <w:tcW w:w="13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99.3</w:t>
            </w: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rPr>
              <w:t>Form of Letter to Clients</w:t>
            </w:r>
          </w:p>
        </w:tc>
      </w:tr>
      <w:tr>
        <w:trPr>
          <w:trHeight w:val="361"/>
        </w:trPr>
        <w:tc>
          <w:tcPr>
            <w:tcW w:w="13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99.4</w:t>
            </w: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rPr>
              <w:t>Form of Letter to Nominees</w:t>
            </w:r>
          </w:p>
        </w:tc>
      </w:tr>
      <w:tr>
        <w:trPr>
          <w:trHeight w:val="277"/>
        </w:trPr>
        <w:tc>
          <w:tcPr>
            <w:tcW w:w="13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99.5</w:t>
            </w: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rPr>
              <w:t>Form of Instructions to Registered Holder and/or Book-Entry</w:t>
            </w:r>
          </w:p>
        </w:tc>
      </w:tr>
      <w:tr>
        <w:trPr>
          <w:trHeight w:val="264"/>
        </w:trPr>
        <w:tc>
          <w:tcPr>
            <w:tcW w:w="1300" w:type="dxa"/>
            <w:vAlign w:val="bottom"/>
          </w:tcPr>
          <w:p>
            <w:pPr>
              <w:spacing w:after="0"/>
              <w:rPr>
                <w:sz w:val="22"/>
                <w:szCs w:val="22"/>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6"/>
                <w:szCs w:val="16"/>
                <w:color w:val="auto"/>
              </w:rPr>
              <w:t>Transfer participant from Owner</w:t>
            </w:r>
          </w:p>
        </w:tc>
      </w:tr>
    </w:tbl>
    <w:p>
      <w:pPr>
        <w:spacing w:after="0" w:line="9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27" w:lineRule="exact"/>
        <w:rPr>
          <w:sz w:val="20"/>
          <w:szCs w:val="20"/>
          <w:color w:val="auto"/>
        </w:rPr>
      </w:pPr>
    </w:p>
    <w:p>
      <w:pPr>
        <w:ind w:left="4" w:right="3279" w:hanging="4"/>
        <w:spacing w:after="0" w:line="348" w:lineRule="auto"/>
        <w:tabs>
          <w:tab w:leader="none" w:pos="28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Registration Statement No. 333-03571 on Form S-3 filed on May 13, 1996.</w:t>
      </w:r>
    </w:p>
    <w:p>
      <w:pPr>
        <w:spacing w:after="0" w:line="38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E-1</w:t>
      </w:r>
    </w:p>
    <w:p>
      <w:pPr>
        <w:sectPr>
          <w:pgSz w:w="11900" w:h="16838" w:orient="portrait"/>
          <w:cols w:equalWidth="0" w:num="1">
            <w:col w:w="10223"/>
          </w:cols>
          <w:pgMar w:left="236" w:top="811" w:right="1440" w:bottom="1440" w:gutter="0" w:footer="0" w:header="0"/>
        </w:sectPr>
      </w:pPr>
    </w:p>
    <w:bookmarkStart w:id="32" w:name="page33"/>
    <w:bookmarkEnd w:id="32"/>
    <w:p>
      <w:pPr>
        <w:spacing w:after="0" w:line="47" w:lineRule="exact"/>
        <w:rPr>
          <w:sz w:val="20"/>
          <w:szCs w:val="20"/>
          <w:color w:val="auto"/>
        </w:rPr>
      </w:pPr>
    </w:p>
    <w:p>
      <w:pPr>
        <w:jc w:val="right"/>
        <w:ind w:right="2819"/>
        <w:spacing w:after="0"/>
        <w:rPr>
          <w:sz w:val="20"/>
          <w:szCs w:val="20"/>
          <w:color w:val="auto"/>
        </w:rPr>
      </w:pPr>
      <w:r>
        <w:rPr>
          <w:rFonts w:ascii="Courier New" w:cs="Courier New" w:eastAsia="Courier New" w:hAnsi="Courier New"/>
          <w:sz w:val="16"/>
          <w:szCs w:val="16"/>
          <w:color w:val="auto"/>
        </w:rPr>
        <w:t>EXHIBIT 1.1</w:t>
      </w:r>
    </w:p>
    <w:p>
      <w:pPr>
        <w:spacing w:after="0" w:line="27" w:lineRule="exact"/>
        <w:rPr>
          <w:sz w:val="20"/>
          <w:szCs w:val="20"/>
          <w:color w:val="auto"/>
        </w:rPr>
      </w:pPr>
    </w:p>
    <w:p>
      <w:pPr>
        <w:jc w:val="right"/>
        <w:ind w:right="281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Dated August 17, 1999</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MORGAN STANLEY &amp; CO. INCORPORATED</w:t>
      </w:r>
    </w:p>
    <w:p>
      <w:pPr>
        <w:spacing w:after="0" w:line="26"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SALOMON SMITH BARNEY INC</w:t>
      </w:r>
    </w:p>
    <w:p>
      <w:pPr>
        <w:ind w:left="2720"/>
        <w:spacing w:after="0"/>
        <w:rPr>
          <w:sz w:val="20"/>
          <w:szCs w:val="20"/>
          <w:color w:val="auto"/>
        </w:rPr>
      </w:pPr>
      <w:r>
        <w:rPr>
          <w:rFonts w:ascii="Courier New" w:cs="Courier New" w:eastAsia="Courier New" w:hAnsi="Courier New"/>
          <w:sz w:val="16"/>
          <w:szCs w:val="16"/>
          <w:color w:val="auto"/>
        </w:rPr>
        <w:t>ABN AMRO INCORPORATED</w:t>
      </w:r>
    </w:p>
    <w:p>
      <w:pPr>
        <w:ind w:left="2340"/>
        <w:spacing w:after="0"/>
        <w:rPr>
          <w:sz w:val="20"/>
          <w:szCs w:val="20"/>
          <w:color w:val="auto"/>
        </w:rPr>
      </w:pPr>
      <w:r>
        <w:rPr>
          <w:rFonts w:ascii="Courier New" w:cs="Courier New" w:eastAsia="Courier New" w:hAnsi="Courier New"/>
          <w:sz w:val="16"/>
          <w:szCs w:val="16"/>
          <w:color w:val="auto"/>
        </w:rPr>
        <w:t>BANC OF AMERICA SECURITIES LLC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REGISTRATION RIGHTS AGREEMENT</w:t>
      </w:r>
    </w:p>
    <w:p>
      <w:pPr>
        <w:spacing w:after="0" w:line="360" w:lineRule="exact"/>
        <w:rPr>
          <w:sz w:val="20"/>
          <w:szCs w:val="20"/>
          <w:color w:val="auto"/>
        </w:rPr>
      </w:pPr>
    </w:p>
    <w:p>
      <w:pPr>
        <w:ind w:right="2819" w:firstLine="469"/>
        <w:spacing w:after="0" w:line="266" w:lineRule="auto"/>
        <w:rPr>
          <w:sz w:val="20"/>
          <w:szCs w:val="20"/>
          <w:color w:val="auto"/>
        </w:rPr>
      </w:pPr>
      <w:r>
        <w:rPr>
          <w:rFonts w:ascii="Courier New" w:cs="Courier New" w:eastAsia="Courier New" w:hAnsi="Courier New"/>
          <w:sz w:val="16"/>
          <w:szCs w:val="16"/>
          <w:color w:val="auto"/>
        </w:rPr>
        <w:t>THIS REGISTRATION RIGHTS AGREEMENT (the "Agreement") is made and entered into August 17, 1999, between TEXAS INSTRUMENTS INCORPORATED, a Delaware corporation (the "Company"), and MORGAN STANLEY &amp; CO. INCORPORATED, SALOMON SMITH BARNEY INC, ABN AMRO INCORPORATED and BANC OF AMERICA SECURITIES LLC (the "Initial Purchasers").</w:t>
      </w:r>
    </w:p>
    <w:p>
      <w:pPr>
        <w:spacing w:after="0" w:line="78" w:lineRule="exact"/>
        <w:rPr>
          <w:sz w:val="20"/>
          <w:szCs w:val="20"/>
          <w:color w:val="auto"/>
        </w:rPr>
      </w:pPr>
    </w:p>
    <w:p>
      <w:pPr>
        <w:ind w:right="2819" w:firstLine="469"/>
        <w:spacing w:after="0" w:line="252" w:lineRule="auto"/>
        <w:rPr>
          <w:sz w:val="20"/>
          <w:szCs w:val="20"/>
          <w:color w:val="auto"/>
        </w:rPr>
      </w:pPr>
      <w:r>
        <w:rPr>
          <w:rFonts w:ascii="Courier New" w:cs="Courier New" w:eastAsia="Courier New" w:hAnsi="Courier New"/>
          <w:sz w:val="16"/>
          <w:szCs w:val="16"/>
          <w:color w:val="auto"/>
        </w:rPr>
        <w:t>This Agreement is made pursuant to the Purchase Agreement dated August 17, 1999, between the Company and the Initial Purchasers (the "Purchase Agreement"), which provides for the sale by the Company to the Initial Purchasers of an aggregate of $400,000,000 principal amount of the Company's 7% Senior Notes Due 2004 (the "Securities"). In order to induce the Initial Purchasers to enter into the Purchase Agreement, the Company has agreed to provide to the Initial Purchasers and their direct and indirect transferees the registration rights set forth in this Agreement. The execution of this Agreement is a condition to the closing under the Purchase Agreement.</w:t>
      </w:r>
    </w:p>
    <w:p>
      <w:pPr>
        <w:spacing w:after="0" w:line="9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consideration of the foregoing, the parties hereto agree as follows: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1. Definitions.</w:t>
      </w:r>
    </w:p>
    <w:p>
      <w:pPr>
        <w:spacing w:after="0" w:line="179" w:lineRule="exact"/>
        <w:rPr>
          <w:sz w:val="20"/>
          <w:szCs w:val="20"/>
          <w:color w:val="auto"/>
        </w:rPr>
      </w:pPr>
    </w:p>
    <w:p>
      <w:pPr>
        <w:ind w:right="2999" w:firstLine="469"/>
        <w:spacing w:after="0" w:line="348" w:lineRule="auto"/>
        <w:rPr>
          <w:sz w:val="20"/>
          <w:szCs w:val="20"/>
          <w:color w:val="auto"/>
        </w:rPr>
      </w:pPr>
      <w:r>
        <w:rPr>
          <w:rFonts w:ascii="Courier New" w:cs="Courier New" w:eastAsia="Courier New" w:hAnsi="Courier New"/>
          <w:sz w:val="16"/>
          <w:szCs w:val="16"/>
          <w:color w:val="auto"/>
        </w:rPr>
        <w:t>As used in this Agreement, the following capitalized defined terms shall have the following meanings:</w:t>
      </w:r>
    </w:p>
    <w:p>
      <w:pPr>
        <w:spacing w:after="0" w:line="15" w:lineRule="exact"/>
        <w:rPr>
          <w:sz w:val="20"/>
          <w:szCs w:val="20"/>
          <w:color w:val="auto"/>
        </w:rPr>
      </w:pPr>
    </w:p>
    <w:p>
      <w:pPr>
        <w:ind w:left="460" w:right="3179" w:firstLine="469"/>
        <w:spacing w:after="0" w:line="348" w:lineRule="auto"/>
        <w:rPr>
          <w:sz w:val="20"/>
          <w:szCs w:val="20"/>
          <w:color w:val="auto"/>
        </w:rPr>
      </w:pPr>
      <w:r>
        <w:rPr>
          <w:rFonts w:ascii="Courier New" w:cs="Courier New" w:eastAsia="Courier New" w:hAnsi="Courier New"/>
          <w:sz w:val="16"/>
          <w:szCs w:val="16"/>
          <w:color w:val="auto"/>
        </w:rPr>
        <w:t>"1933 Act" shall mean the Securities Act of 1933, as amended from time to time.</w:t>
      </w:r>
    </w:p>
    <w:p>
      <w:pPr>
        <w:spacing w:after="0" w:line="15" w:lineRule="exact"/>
        <w:rPr>
          <w:sz w:val="20"/>
          <w:szCs w:val="20"/>
          <w:color w:val="auto"/>
        </w:rPr>
      </w:pPr>
    </w:p>
    <w:p>
      <w:pPr>
        <w:ind w:left="460" w:right="2819" w:firstLine="469"/>
        <w:spacing w:after="0" w:line="348" w:lineRule="auto"/>
        <w:rPr>
          <w:sz w:val="20"/>
          <w:szCs w:val="20"/>
          <w:color w:val="auto"/>
        </w:rPr>
      </w:pPr>
      <w:r>
        <w:rPr>
          <w:rFonts w:ascii="Courier New" w:cs="Courier New" w:eastAsia="Courier New" w:hAnsi="Courier New"/>
          <w:sz w:val="16"/>
          <w:szCs w:val="16"/>
          <w:color w:val="auto"/>
        </w:rPr>
        <w:t>"1934 Act" shall mean the Securities Exchange Act of 1934, as amended from time to time.</w:t>
      </w:r>
    </w:p>
    <w:p>
      <w:pPr>
        <w:spacing w:after="0" w:line="15" w:lineRule="exact"/>
        <w:rPr>
          <w:sz w:val="20"/>
          <w:szCs w:val="20"/>
          <w:color w:val="auto"/>
        </w:rPr>
      </w:pPr>
    </w:p>
    <w:p>
      <w:pPr>
        <w:ind w:left="460" w:right="2819" w:firstLine="469"/>
        <w:spacing w:after="0" w:line="348" w:lineRule="auto"/>
        <w:rPr>
          <w:sz w:val="20"/>
          <w:szCs w:val="20"/>
          <w:color w:val="auto"/>
        </w:rPr>
      </w:pPr>
      <w:r>
        <w:rPr>
          <w:rFonts w:ascii="Courier New" w:cs="Courier New" w:eastAsia="Courier New" w:hAnsi="Courier New"/>
          <w:sz w:val="16"/>
          <w:szCs w:val="16"/>
          <w:color w:val="auto"/>
        </w:rPr>
        <w:t>"Closing Date" shall mean the Closing Date as defined in the Purchase Agreement.</w:t>
      </w:r>
    </w:p>
    <w:p>
      <w:pPr>
        <w:spacing w:after="0" w:line="15" w:lineRule="exact"/>
        <w:rPr>
          <w:sz w:val="20"/>
          <w:szCs w:val="20"/>
          <w:color w:val="auto"/>
        </w:rPr>
      </w:pPr>
    </w:p>
    <w:p>
      <w:pPr>
        <w:ind w:left="460" w:right="2899" w:firstLine="469"/>
        <w:spacing w:after="0" w:line="348" w:lineRule="auto"/>
        <w:rPr>
          <w:sz w:val="20"/>
          <w:szCs w:val="20"/>
          <w:color w:val="auto"/>
        </w:rPr>
      </w:pPr>
      <w:r>
        <w:rPr>
          <w:rFonts w:ascii="Courier New" w:cs="Courier New" w:eastAsia="Courier New" w:hAnsi="Courier New"/>
          <w:sz w:val="16"/>
          <w:szCs w:val="16"/>
          <w:color w:val="auto"/>
        </w:rPr>
        <w:t>"Company" shall have the meaning set forth in the preamble and shall also include the Company's successors.</w:t>
      </w:r>
    </w:p>
    <w:p>
      <w:pPr>
        <w:spacing w:after="0" w:line="15" w:lineRule="exact"/>
        <w:rPr>
          <w:sz w:val="20"/>
          <w:szCs w:val="20"/>
          <w:color w:val="auto"/>
        </w:rPr>
      </w:pPr>
    </w:p>
    <w:p>
      <w:pPr>
        <w:ind w:left="460" w:right="2899" w:firstLine="469"/>
        <w:spacing w:after="0" w:line="348" w:lineRule="auto"/>
        <w:rPr>
          <w:sz w:val="20"/>
          <w:szCs w:val="20"/>
          <w:color w:val="auto"/>
        </w:rPr>
      </w:pPr>
      <w:r>
        <w:rPr>
          <w:rFonts w:ascii="Courier New" w:cs="Courier New" w:eastAsia="Courier New" w:hAnsi="Courier New"/>
          <w:sz w:val="16"/>
          <w:szCs w:val="16"/>
          <w:color w:val="auto"/>
        </w:rPr>
        <w:t>"Effectiveness Deadline" shall have the meaning set forth in Section 2(a) hereof.</w:t>
      </w:r>
    </w:p>
    <w:p>
      <w:pPr>
        <w:spacing w:after="0" w:line="15" w:lineRule="exact"/>
        <w:rPr>
          <w:sz w:val="20"/>
          <w:szCs w:val="20"/>
          <w:color w:val="auto"/>
        </w:rPr>
      </w:pPr>
    </w:p>
    <w:p>
      <w:pPr>
        <w:ind w:left="460" w:right="3099" w:firstLine="469"/>
        <w:spacing w:after="0" w:line="293" w:lineRule="auto"/>
        <w:rPr>
          <w:sz w:val="20"/>
          <w:szCs w:val="20"/>
          <w:color w:val="auto"/>
        </w:rPr>
      </w:pPr>
      <w:r>
        <w:rPr>
          <w:rFonts w:ascii="Courier New" w:cs="Courier New" w:eastAsia="Courier New" w:hAnsi="Courier New"/>
          <w:sz w:val="16"/>
          <w:szCs w:val="16"/>
          <w:color w:val="auto"/>
        </w:rPr>
        <w:t>"Exchange Offer" shall mean the exchange offer by the Company of Exchange Securities for Registrable Securities pursuant to Section 2(a) hereof.</w:t>
      </w:r>
    </w:p>
    <w:p>
      <w:pPr>
        <w:spacing w:after="0" w:line="58"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"Exchange Offer Registration" shall mean a registration under the</w:t>
      </w:r>
    </w:p>
    <w:p>
      <w:pPr>
        <w:sectPr>
          <w:pgSz w:w="11900" w:h="16885" w:orient="portrait"/>
          <w:cols w:equalWidth="0" w:num="1">
            <w:col w:w="10219"/>
          </w:cols>
          <w:pgMar w:left="240" w:top="114" w:right="1440" w:bottom="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1933 Act effected pursuant to Section 2(a) hereof.</w:t>
      </w:r>
    </w:p>
    <w:p>
      <w:pPr>
        <w:spacing w:after="0" w:line="179" w:lineRule="exact"/>
        <w:rPr>
          <w:sz w:val="20"/>
          <w:szCs w:val="20"/>
          <w:color w:val="auto"/>
        </w:rPr>
      </w:pPr>
    </w:p>
    <w:p>
      <w:pPr>
        <w:ind w:right="2899" w:firstLine="469"/>
        <w:spacing w:after="0" w:line="293" w:lineRule="auto"/>
        <w:rPr>
          <w:sz w:val="20"/>
          <w:szCs w:val="20"/>
          <w:color w:val="auto"/>
        </w:rPr>
      </w:pPr>
      <w:r>
        <w:rPr>
          <w:rFonts w:ascii="Courier New" w:cs="Courier New" w:eastAsia="Courier New" w:hAnsi="Courier New"/>
          <w:sz w:val="16"/>
          <w:szCs w:val="16"/>
          <w:color w:val="auto"/>
        </w:rPr>
        <w:t>"Exchange Offer Registration Statement" shall mean an exchange offer registration statement on Form S-4 (or, if applicable, on another appropriate form) and all</w:t>
      </w:r>
    </w:p>
    <w:p>
      <w:pPr>
        <w:sectPr>
          <w:pgSz w:w="11900" w:h="16838" w:orient="portrait"/>
          <w:cols w:equalWidth="0" w:num="1">
            <w:col w:w="9759"/>
          </w:cols>
          <w:pgMar w:left="700" w:top="114" w:right="1440" w:bottom="1440" w:gutter="0" w:footer="0" w:header="0"/>
        </w:sectPr>
      </w:pPr>
    </w:p>
    <w:bookmarkStart w:id="34" w:name="page35"/>
    <w:bookmarkEnd w:id="34"/>
    <w:p>
      <w:pPr>
        <w:jc w:val="right"/>
        <w:ind w:right="2719"/>
        <w:spacing w:after="0"/>
        <w:rPr>
          <w:sz w:val="20"/>
          <w:szCs w:val="20"/>
          <w:color w:val="auto"/>
        </w:rPr>
      </w:pPr>
      <w:r>
        <w:rPr>
          <w:rFonts w:ascii="Courier New" w:cs="Courier New" w:eastAsia="Courier New" w:hAnsi="Courier New"/>
          <w:sz w:val="16"/>
          <w:szCs w:val="16"/>
          <w:color w:val="auto"/>
        </w:rPr>
        <w:t>2</w:t>
      </w:r>
    </w:p>
    <w:p>
      <w:pPr>
        <w:spacing w:after="0" w:line="179" w:lineRule="exact"/>
        <w:rPr>
          <w:sz w:val="20"/>
          <w:szCs w:val="20"/>
          <w:color w:val="auto"/>
        </w:rPr>
      </w:pPr>
    </w:p>
    <w:p>
      <w:pPr>
        <w:ind w:right="2999"/>
        <w:spacing w:after="0" w:line="293" w:lineRule="auto"/>
        <w:rPr>
          <w:sz w:val="20"/>
          <w:szCs w:val="20"/>
          <w:color w:val="auto"/>
        </w:rPr>
      </w:pPr>
      <w:r>
        <w:rPr>
          <w:rFonts w:ascii="Courier New" w:cs="Courier New" w:eastAsia="Courier New" w:hAnsi="Courier New"/>
          <w:sz w:val="16"/>
          <w:szCs w:val="16"/>
          <w:color w:val="auto"/>
        </w:rPr>
        <w:t>amendments and supplements to such registration statement, in each case including the Prospectus contained therein, all exhibits thereto and all material incorporated by reference therein.</w:t>
      </w:r>
    </w:p>
    <w:p>
      <w:pPr>
        <w:spacing w:after="0" w:line="58" w:lineRule="exact"/>
        <w:rPr>
          <w:sz w:val="20"/>
          <w:szCs w:val="20"/>
          <w:color w:val="auto"/>
        </w:rPr>
      </w:pPr>
    </w:p>
    <w:p>
      <w:pPr>
        <w:ind w:right="2999" w:firstLine="469"/>
        <w:spacing w:after="0" w:line="288" w:lineRule="auto"/>
        <w:rPr>
          <w:sz w:val="20"/>
          <w:szCs w:val="20"/>
          <w:color w:val="auto"/>
        </w:rPr>
      </w:pPr>
      <w:r>
        <w:rPr>
          <w:rFonts w:ascii="Courier New" w:cs="Courier New" w:eastAsia="Courier New" w:hAnsi="Courier New"/>
          <w:sz w:val="15"/>
          <w:szCs w:val="15"/>
          <w:color w:val="auto"/>
        </w:rPr>
        <w:t>"Exchange Securities" shall mean securities issued by the Company under the Indenture containing terms identical to the Securities (except for references to certain interest rate provisions, restrictions on transfers and restrictive legends) and to be offered to Holders of Securities in exchange for Securities pursuant to the Exchange Offer.</w:t>
      </w:r>
    </w:p>
    <w:p>
      <w:pPr>
        <w:spacing w:after="0" w:line="63" w:lineRule="exact"/>
        <w:rPr>
          <w:sz w:val="20"/>
          <w:szCs w:val="20"/>
          <w:color w:val="auto"/>
        </w:rPr>
      </w:pPr>
    </w:p>
    <w:p>
      <w:pPr>
        <w:ind w:right="2899" w:firstLine="469"/>
        <w:spacing w:after="0" w:line="260" w:lineRule="auto"/>
        <w:rPr>
          <w:sz w:val="20"/>
          <w:szCs w:val="20"/>
          <w:color w:val="auto"/>
        </w:rPr>
      </w:pPr>
      <w:r>
        <w:rPr>
          <w:rFonts w:ascii="Courier New" w:cs="Courier New" w:eastAsia="Courier New" w:hAnsi="Courier New"/>
          <w:sz w:val="16"/>
          <w:szCs w:val="16"/>
          <w:color w:val="auto"/>
        </w:rPr>
        <w:t>"Holder" shall mean the Initial Purchasers, for so long as they own any Registrable Securities, and each of their successors, assigns and direct and indirect transferees who become registered owners of Registrable Securities under the Indenture; provided that for purposes of Sections 4 and 5 of this Agreement, the term "Holder" shall include Participating Broker-Dealers (as defined in Section 4(a)) hereof.</w:t>
      </w:r>
    </w:p>
    <w:p>
      <w:pPr>
        <w:spacing w:after="0" w:line="84" w:lineRule="exact"/>
        <w:rPr>
          <w:sz w:val="20"/>
          <w:szCs w:val="20"/>
          <w:color w:val="auto"/>
        </w:rPr>
      </w:pPr>
    </w:p>
    <w:p>
      <w:pPr>
        <w:ind w:right="2819" w:firstLine="469"/>
        <w:spacing w:after="0" w:line="275" w:lineRule="auto"/>
        <w:rPr>
          <w:sz w:val="20"/>
          <w:szCs w:val="20"/>
          <w:color w:val="auto"/>
        </w:rPr>
      </w:pPr>
      <w:r>
        <w:rPr>
          <w:rFonts w:ascii="Courier New" w:cs="Courier New" w:eastAsia="Courier New" w:hAnsi="Courier New"/>
          <w:sz w:val="16"/>
          <w:szCs w:val="16"/>
          <w:color w:val="auto"/>
        </w:rPr>
        <w:t>"Indenture" shall mean the Indenture relating to the Securities dated as of July 15, 1996, between the Company and Citibank, N.A., as Trustee, as the same may be supplemented or amended from time to time in accordance with the terms thereof.</w:t>
      </w:r>
    </w:p>
    <w:p>
      <w:pPr>
        <w:spacing w:after="0" w:line="71" w:lineRule="exact"/>
        <w:rPr>
          <w:sz w:val="20"/>
          <w:szCs w:val="20"/>
          <w:color w:val="auto"/>
        </w:rPr>
      </w:pPr>
    </w:p>
    <w:p>
      <w:pPr>
        <w:ind w:right="3659" w:firstLine="469"/>
        <w:spacing w:after="0" w:line="348" w:lineRule="auto"/>
        <w:rPr>
          <w:sz w:val="20"/>
          <w:szCs w:val="20"/>
          <w:color w:val="auto"/>
        </w:rPr>
      </w:pPr>
      <w:r>
        <w:rPr>
          <w:rFonts w:ascii="Courier New" w:cs="Courier New" w:eastAsia="Courier New" w:hAnsi="Courier New"/>
          <w:sz w:val="16"/>
          <w:szCs w:val="16"/>
          <w:color w:val="auto"/>
        </w:rPr>
        <w:t>"Initial Purchasers" shall have the meaning set forth in the preamble.</w:t>
      </w:r>
    </w:p>
    <w:p>
      <w:pPr>
        <w:spacing w:after="0" w:line="15" w:lineRule="exact"/>
        <w:rPr>
          <w:sz w:val="20"/>
          <w:szCs w:val="20"/>
          <w:color w:val="auto"/>
        </w:rPr>
      </w:pPr>
    </w:p>
    <w:p>
      <w:pPr>
        <w:ind w:right="2819" w:firstLine="469"/>
        <w:spacing w:after="0" w:line="249" w:lineRule="auto"/>
        <w:rPr>
          <w:sz w:val="20"/>
          <w:szCs w:val="20"/>
          <w:color w:val="auto"/>
        </w:rPr>
      </w:pPr>
      <w:r>
        <w:rPr>
          <w:rFonts w:ascii="Courier New" w:cs="Courier New" w:eastAsia="Courier New" w:hAnsi="Courier New"/>
          <w:sz w:val="16"/>
          <w:szCs w:val="16"/>
          <w:color w:val="auto"/>
        </w:rPr>
        <w:t>"Majority Holders" shall mean the Holders of a majority of the aggregate principal amount of outstanding Registrable Securities; provided that whenever the consent or approval of Holders of a specified percentage of Registrable Securities is required hereunder, Registrable Securities held by the Company or any of its affiliates (as such term is defined in Rule 405 under the 1933 Act) (other than the Initial Purchasers or subsequent Holders of Registrable Securities if such subsequent holders are deemed to be such affiliates solely by reason of their holding of such Registrable Securities) shall not be counted in determining whether such consent or approval was given by the Holders of such required percentage or amount.</w:t>
      </w:r>
    </w:p>
    <w:p>
      <w:pPr>
        <w:spacing w:after="0" w:line="96" w:lineRule="exact"/>
        <w:rPr>
          <w:sz w:val="20"/>
          <w:szCs w:val="20"/>
          <w:color w:val="auto"/>
        </w:rPr>
      </w:pPr>
    </w:p>
    <w:p>
      <w:pPr>
        <w:ind w:right="3179" w:firstLine="469"/>
        <w:spacing w:after="0" w:line="321" w:lineRule="auto"/>
        <w:rPr>
          <w:sz w:val="20"/>
          <w:szCs w:val="20"/>
          <w:color w:val="auto"/>
        </w:rPr>
      </w:pPr>
      <w:r>
        <w:rPr>
          <w:rFonts w:ascii="Courier New" w:cs="Courier New" w:eastAsia="Courier New" w:hAnsi="Courier New"/>
          <w:sz w:val="15"/>
          <w:szCs w:val="15"/>
          <w:color w:val="auto"/>
        </w:rPr>
        <w:t>"Person" shall mean an individual, partnership, limited liability company, corporation, trust or unincorporated organization, or a government or agency or political subdivision thereof.</w:t>
      </w:r>
    </w:p>
    <w:p>
      <w:pPr>
        <w:spacing w:after="0" w:line="40" w:lineRule="exact"/>
        <w:rPr>
          <w:sz w:val="20"/>
          <w:szCs w:val="20"/>
          <w:color w:val="auto"/>
        </w:rPr>
      </w:pPr>
    </w:p>
    <w:p>
      <w:pPr>
        <w:ind w:right="2819" w:firstLine="469"/>
        <w:spacing w:after="0" w:line="276" w:lineRule="auto"/>
        <w:rPr>
          <w:sz w:val="20"/>
          <w:szCs w:val="20"/>
          <w:color w:val="auto"/>
        </w:rPr>
      </w:pPr>
      <w:r>
        <w:rPr>
          <w:rFonts w:ascii="Courier New" w:cs="Courier New" w:eastAsia="Courier New" w:hAnsi="Courier New"/>
          <w:sz w:val="15"/>
          <w:szCs w:val="15"/>
          <w:color w:val="auto"/>
        </w:rPr>
        <w:t>"Prospectus" shall mean the prospectus included in a Registration Statement, including any preliminary prospectus, and any such prospectus as amended or supplemented by any prospectus supplement, including a prospectus supplement with respect to the terms of the offering of any portion of the Registrable Securities covered by a Shelf Registration Statement, and by all other amendments and supplements to such prospectus, and in each case including all material incorporated by reference therein.</w:t>
      </w:r>
    </w:p>
    <w:p>
      <w:pPr>
        <w:spacing w:after="0" w:line="75" w:lineRule="exact"/>
        <w:rPr>
          <w:sz w:val="20"/>
          <w:szCs w:val="20"/>
          <w:color w:val="auto"/>
        </w:rPr>
      </w:pPr>
    </w:p>
    <w:p>
      <w:pPr>
        <w:ind w:right="3659" w:firstLine="469"/>
        <w:spacing w:after="0" w:line="348" w:lineRule="auto"/>
        <w:rPr>
          <w:sz w:val="20"/>
          <w:szCs w:val="20"/>
          <w:color w:val="auto"/>
        </w:rPr>
      </w:pPr>
      <w:r>
        <w:rPr>
          <w:rFonts w:ascii="Courier New" w:cs="Courier New" w:eastAsia="Courier New" w:hAnsi="Courier New"/>
          <w:sz w:val="16"/>
          <w:szCs w:val="16"/>
          <w:color w:val="auto"/>
        </w:rPr>
        <w:t>"Purchase Agreement" shall have the meaning set forth in the preamble.</w:t>
      </w:r>
    </w:p>
    <w:p>
      <w:pPr>
        <w:spacing w:after="0" w:line="196"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759"/>
          </w:cols>
          <w:pgMar w:left="700" w:top="631" w:right="1440" w:bottom="1440" w:gutter="0" w:footer="0" w:header="0"/>
        </w:sectPr>
      </w:pPr>
    </w:p>
    <w:bookmarkStart w:id="35" w:name="page36"/>
    <w:bookmarkEnd w:id="35"/>
    <w:p>
      <w:pPr>
        <w:jc w:val="right"/>
        <w:ind w:right="2719"/>
        <w:spacing w:after="0"/>
        <w:rPr>
          <w:sz w:val="20"/>
          <w:szCs w:val="20"/>
          <w:color w:val="auto"/>
        </w:rPr>
      </w:pPr>
      <w:r>
        <w:rPr>
          <w:rFonts w:ascii="Courier New" w:cs="Courier New" w:eastAsia="Courier New" w:hAnsi="Courier New"/>
          <w:sz w:val="16"/>
          <w:szCs w:val="16"/>
          <w:color w:val="auto"/>
        </w:rPr>
        <w:t>3</w:t>
      </w:r>
    </w:p>
    <w:p>
      <w:pPr>
        <w:spacing w:after="0" w:line="179" w:lineRule="exact"/>
        <w:rPr>
          <w:sz w:val="20"/>
          <w:szCs w:val="20"/>
          <w:color w:val="auto"/>
        </w:rPr>
      </w:pPr>
    </w:p>
    <w:p>
      <w:pPr>
        <w:ind w:right="2899" w:firstLine="469"/>
        <w:spacing w:after="0" w:line="260" w:lineRule="auto"/>
        <w:rPr>
          <w:sz w:val="20"/>
          <w:szCs w:val="20"/>
          <w:color w:val="auto"/>
        </w:rPr>
      </w:pPr>
      <w:r>
        <w:rPr>
          <w:rFonts w:ascii="Courier New" w:cs="Courier New" w:eastAsia="Courier New" w:hAnsi="Courier New"/>
          <w:sz w:val="15"/>
          <w:szCs w:val="15"/>
          <w:color w:val="auto"/>
        </w:rPr>
        <w:t>"Registrable Securities" shall mean the Securities; provided, however, that the Securities shall cease to be Registrable Securities (i) when a Registration Statement with respect to such Securities shall have been declared effective under the 1933 Act and such Securities shall have been disposed of pursuant to such Registration Statement, (ii) when such Securities have been sold to the public pursuant to Rule 144(k) (or any similar provision then in force, but not Rule 144A) under the 1933 Act,</w:t>
      </w:r>
    </w:p>
    <w:p>
      <w:pPr>
        <w:spacing w:after="0" w:line="2" w:lineRule="exact"/>
        <w:rPr>
          <w:sz w:val="20"/>
          <w:szCs w:val="20"/>
          <w:color w:val="auto"/>
        </w:rPr>
      </w:pPr>
    </w:p>
    <w:p>
      <w:pPr>
        <w:ind w:right="2999" w:firstLine="5"/>
        <w:spacing w:after="0" w:line="263" w:lineRule="auto"/>
        <w:tabs>
          <w:tab w:leader="none" w:pos="56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such Securities shall have ceased to be outstanding or (iv) when such Securities have been exchanged (other than by a Participating Broker-Dealer) for Exchange Securities upon consummation of the Exchange Offer.</w:t>
      </w:r>
    </w:p>
    <w:p>
      <w:pPr>
        <w:spacing w:after="0" w:line="79"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"Registration Expenses" shall mean any and all reasonable expenses incident to performance of or compliance by the Company with this Agreement, including without limitation: (i) all SEC, stock exchange or National Association of Securities Dealers, Inc., registration and filing fees, (ii) all fees and expenses incurred in connection with compliance with state securities or blue sky laws (including reasonable fees and disbursements of counsel for any underwriters or Holders in connection with blue sky qualification of any of the Exchange Securities or Registrable Securities), (iii) all expenses of any Persons in preparing or assisting in preparing, word processing, printing and distributing any Registration Statement, any Prospectus, any amendments or supplements thereto, any underwriting agreements, securities sales agreements and other documents relating to the performance of and compliance with this Agreement, (iv) all rating agency fees, (v) all fees and disbursements relating to the qualification of the Indenture under applicable securities laws, (vi) the fees and disbursements of the Trustee and its counsel,</w:t>
      </w:r>
    </w:p>
    <w:p>
      <w:pPr>
        <w:spacing w:after="0" w:line="3" w:lineRule="exact"/>
        <w:rPr>
          <w:sz w:val="20"/>
          <w:szCs w:val="20"/>
          <w:color w:val="auto"/>
        </w:rPr>
      </w:pPr>
    </w:p>
    <w:p>
      <w:pPr>
        <w:ind w:right="2819" w:firstLine="5"/>
        <w:spacing w:after="0" w:line="245" w:lineRule="auto"/>
        <w:tabs>
          <w:tab w:leader="none" w:pos="56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fees and disbursements of counsel for the Company and, in the case of a Shelf Registration Statement, the fees and disbursements of one counsel for the Holders (which counsel shall be selected by the Majority Holders and which counsel may also be counsel for the Initial Purchasers) and (viii) the fees and disbursements of the independent public accountants of the Company, including the expenses of any special audits or "cold comfort" letters required by or incident to such performance and compliance, but excluding fees and expenses of counsel to the underwriters (other than fees and expenses set forth in clause (ii) above) or the Holders and underwriting discounts and commissions and transfer taxes, if any, relating to the sale or disposition of Registrable Securities by a Holder.</w:t>
      </w:r>
    </w:p>
    <w:p>
      <w:pPr>
        <w:spacing w:after="0" w:line="97"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6"/>
          <w:szCs w:val="16"/>
          <w:color w:val="auto"/>
        </w:rPr>
        <w:t>"Registration Statement" shall mean any registration statement of the Company that covers any of the Exchange Securities or Registrable Securities pursuant to the provisions of this Agreement and all amendments and supplements to any such Registration Statement including post-effective amendments, in each case including the Prospectus contained therein, all exhibits thereto and all material incorporated by reference therein.</w:t>
      </w:r>
    </w:p>
    <w:p>
      <w:pPr>
        <w:spacing w:after="0" w:line="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 shall mean the Securities and Exchange Commission.</w:t>
      </w:r>
    </w:p>
    <w:p>
      <w:pPr>
        <w:sectPr>
          <w:pgSz w:w="11900" w:h="16838" w:orient="portrait"/>
          <w:cols w:equalWidth="0" w:num="1">
            <w:col w:w="9759"/>
          </w:cols>
          <w:pgMar w:left="700" w:top="631" w:right="1440" w:bottom="1440" w:gutter="0" w:footer="0" w:header="0"/>
        </w:sectPr>
      </w:pPr>
    </w:p>
    <w:bookmarkStart w:id="36" w:name="page37"/>
    <w:bookmarkEnd w:id="36"/>
    <w:p>
      <w:pPr>
        <w:jc w:val="right"/>
        <w:ind w:right="2719"/>
        <w:spacing w:after="0"/>
        <w:rPr>
          <w:sz w:val="20"/>
          <w:szCs w:val="20"/>
          <w:color w:val="auto"/>
        </w:rPr>
      </w:pPr>
      <w:r>
        <w:rPr>
          <w:rFonts w:ascii="Courier New" w:cs="Courier New" w:eastAsia="Courier New" w:hAnsi="Courier New"/>
          <w:sz w:val="16"/>
          <w:szCs w:val="16"/>
          <w:color w:val="auto"/>
        </w:rPr>
        <w:t>4</w:t>
      </w:r>
    </w:p>
    <w:p>
      <w:pPr>
        <w:spacing w:after="0" w:line="179" w:lineRule="exact"/>
        <w:rPr>
          <w:sz w:val="20"/>
          <w:szCs w:val="20"/>
          <w:color w:val="auto"/>
        </w:rPr>
      </w:pPr>
    </w:p>
    <w:p>
      <w:pPr>
        <w:ind w:left="460" w:right="2999" w:firstLine="469"/>
        <w:spacing w:after="0" w:line="348" w:lineRule="auto"/>
        <w:rPr>
          <w:sz w:val="20"/>
          <w:szCs w:val="20"/>
          <w:color w:val="auto"/>
        </w:rPr>
      </w:pPr>
      <w:r>
        <w:rPr>
          <w:rFonts w:ascii="Courier New" w:cs="Courier New" w:eastAsia="Courier New" w:hAnsi="Courier New"/>
          <w:sz w:val="16"/>
          <w:szCs w:val="16"/>
          <w:color w:val="auto"/>
        </w:rPr>
        <w:t>"Shelf Registration" shall mean a registration effected pursuant to Section 2(b) hereof.</w:t>
      </w:r>
    </w:p>
    <w:p>
      <w:pPr>
        <w:spacing w:after="0" w:line="15" w:lineRule="exact"/>
        <w:rPr>
          <w:sz w:val="20"/>
          <w:szCs w:val="20"/>
          <w:color w:val="auto"/>
        </w:rPr>
      </w:pPr>
    </w:p>
    <w:p>
      <w:pPr>
        <w:ind w:left="460" w:right="2819" w:firstLine="469"/>
        <w:spacing w:after="0" w:line="251" w:lineRule="auto"/>
        <w:rPr>
          <w:sz w:val="20"/>
          <w:szCs w:val="20"/>
          <w:color w:val="auto"/>
        </w:rPr>
      </w:pPr>
      <w:r>
        <w:rPr>
          <w:rFonts w:ascii="Courier New" w:cs="Courier New" w:eastAsia="Courier New" w:hAnsi="Courier New"/>
          <w:sz w:val="16"/>
          <w:szCs w:val="16"/>
          <w:color w:val="auto"/>
        </w:rPr>
        <w:t>"Shelf Registration Statement" shall mean a "shelf" registration statement of the Company pursuant to the provisions of Section 2(b) of this Agreement which covers all of the Registrable Securities (but no other securities unless approved by the Majority Holders whose Registrable Securities are covered by such Shelf Registration Statement) on an appropriate form under Rule 415 under the 1933 Act, or any similar rule that may be adopted by the SEC, and all amendments and supplements to such registration statement, including post-effective amendments, in each case including the Prospectus contained therein, all exhibits thereto and all material incorporated by reference therein.</w:t>
      </w:r>
    </w:p>
    <w:p>
      <w:pPr>
        <w:spacing w:after="0" w:line="89" w:lineRule="exact"/>
        <w:rPr>
          <w:sz w:val="20"/>
          <w:szCs w:val="20"/>
          <w:color w:val="auto"/>
        </w:rPr>
      </w:pPr>
    </w:p>
    <w:p>
      <w:pPr>
        <w:ind w:left="460" w:right="2819" w:firstLine="469"/>
        <w:spacing w:after="0" w:line="348" w:lineRule="auto"/>
        <w:rPr>
          <w:sz w:val="20"/>
          <w:szCs w:val="20"/>
          <w:color w:val="auto"/>
        </w:rPr>
      </w:pPr>
      <w:r>
        <w:rPr>
          <w:rFonts w:ascii="Courier New" w:cs="Courier New" w:eastAsia="Courier New" w:hAnsi="Courier New"/>
          <w:sz w:val="16"/>
          <w:szCs w:val="16"/>
          <w:color w:val="auto"/>
        </w:rPr>
        <w:t>"Trustee" shall mean the trustee with respect to the Securities under the Indenture.</w:t>
      </w:r>
    </w:p>
    <w:p>
      <w:pPr>
        <w:spacing w:after="0" w:line="1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"Underwriter" shall have the meaning set forth in Section 3 hereof.</w:t>
      </w:r>
    </w:p>
    <w:p>
      <w:pPr>
        <w:spacing w:after="0" w:line="179" w:lineRule="exact"/>
        <w:rPr>
          <w:sz w:val="20"/>
          <w:szCs w:val="20"/>
          <w:color w:val="auto"/>
        </w:rPr>
      </w:pPr>
    </w:p>
    <w:p>
      <w:pPr>
        <w:ind w:left="460" w:right="2999" w:firstLine="469"/>
        <w:spacing w:after="0" w:line="293" w:lineRule="auto"/>
        <w:rPr>
          <w:sz w:val="20"/>
          <w:szCs w:val="20"/>
          <w:color w:val="auto"/>
        </w:rPr>
      </w:pPr>
      <w:r>
        <w:rPr>
          <w:rFonts w:ascii="Courier New" w:cs="Courier New" w:eastAsia="Courier New" w:hAnsi="Courier New"/>
          <w:sz w:val="16"/>
          <w:szCs w:val="16"/>
          <w:color w:val="auto"/>
        </w:rPr>
        <w:t>"Underwritten Registration" or "Underwritten Offering" shall mean a registration in which Registrable Securities are sold to an Underwriter for reoffering to the public.</w:t>
      </w:r>
    </w:p>
    <w:p>
      <w:pPr>
        <w:spacing w:after="0" w:line="5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2. Registration Under the 1933 Act.</w:t>
      </w:r>
    </w:p>
    <w:p>
      <w:pPr>
        <w:spacing w:after="0" w:line="179" w:lineRule="exact"/>
        <w:rPr>
          <w:sz w:val="20"/>
          <w:szCs w:val="20"/>
          <w:color w:val="auto"/>
        </w:rPr>
      </w:pPr>
    </w:p>
    <w:p>
      <w:pPr>
        <w:ind w:right="2819" w:firstLine="465"/>
        <w:spacing w:after="0" w:line="263" w:lineRule="auto"/>
        <w:tabs>
          <w:tab w:leader="none" w:pos="844"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not prohibited by any applicable law or applicable interpretation of the Staff of the SEC, the Company shall (A) use its reasonable best efforts to prepare and, as soon as practicable but not later than 90 days following the Closing Date, file with the SEC an Exchange Offer Registration Statement on an appropriate form under the 1933 Act with respect to a proposed Exchange Offer and the issuance and delivery to the Holders, in exchange for the Registrable Securities, of a like principal amount of Exchange Securities, (B) use its reasonable best efforts to cause the Exchange Offer Registration Statement to be declared effective under the 1933 Act not later than 180 days of the Closing Date (the "Effectiveness Deadline"), (C) use its reasonable best efforts to keep the Exchange Offer Registration Statement effective until the closing of the Exchange Offer and (D) use its reasonable best efforts to cause the Exchange Offer to be consummated as promptly as practicable, but in any event prior to 30 business days after the Effectiveness Deadline. The Company shall commence the Exchange Offer by mailing the related Exchange Offer Prospectus and accompanying documents to each Holder stating, in addition to such other disclosures as are required by applicable law:</w:t>
      </w:r>
    </w:p>
    <w:p>
      <w:pPr>
        <w:spacing w:after="0" w:line="81" w:lineRule="exact"/>
        <w:rPr>
          <w:rFonts w:ascii="Courier New" w:cs="Courier New" w:eastAsia="Courier New" w:hAnsi="Courier New"/>
          <w:sz w:val="15"/>
          <w:szCs w:val="15"/>
          <w:color w:val="auto"/>
        </w:rPr>
      </w:pPr>
    </w:p>
    <w:p>
      <w:pPr>
        <w:jc w:val="both"/>
        <w:ind w:left="460" w:right="2899" w:firstLine="474"/>
        <w:spacing w:after="0" w:line="293" w:lineRule="auto"/>
        <w:tabs>
          <w:tab w:leader="none" w:pos="1304"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Exchange Offer is being made pursuant to this Agreement and that all Registrable Securities validly tendered will be accepted for exchange;</w:t>
      </w:r>
    </w:p>
    <w:p>
      <w:pPr>
        <w:spacing w:after="0" w:line="57" w:lineRule="exact"/>
        <w:rPr>
          <w:rFonts w:ascii="Courier New" w:cs="Courier New" w:eastAsia="Courier New" w:hAnsi="Courier New"/>
          <w:sz w:val="16"/>
          <w:szCs w:val="16"/>
          <w:color w:val="auto"/>
        </w:rPr>
      </w:pPr>
    </w:p>
    <w:p>
      <w:pPr>
        <w:ind w:left="460" w:right="2819" w:firstLine="474"/>
        <w:spacing w:after="0" w:line="293" w:lineRule="auto"/>
        <w:tabs>
          <w:tab w:leader="none" w:pos="1398"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dates of acceptance for exchange (which shall be a period of at least 20 business days from the date such notice is mailed) (the "Exchange Dates");</w:t>
      </w:r>
    </w:p>
    <w:p>
      <w:pPr>
        <w:sectPr>
          <w:pgSz w:w="11900" w:h="16838" w:orient="portrait"/>
          <w:cols w:equalWidth="0" w:num="1">
            <w:col w:w="10219"/>
          </w:cols>
          <w:pgMar w:left="240" w:top="631" w:right="1440" w:bottom="1440" w:gutter="0" w:footer="0" w:header="0"/>
        </w:sectPr>
      </w:pPr>
    </w:p>
    <w:bookmarkStart w:id="37" w:name="page38"/>
    <w:bookmarkEnd w:id="37"/>
    <w:p>
      <w:pPr>
        <w:jc w:val="right"/>
        <w:ind w:right="2719"/>
        <w:spacing w:after="0"/>
        <w:rPr>
          <w:sz w:val="20"/>
          <w:szCs w:val="20"/>
          <w:color w:val="auto"/>
        </w:rPr>
      </w:pPr>
      <w:r>
        <w:rPr>
          <w:rFonts w:ascii="Courier New" w:cs="Courier New" w:eastAsia="Courier New" w:hAnsi="Courier New"/>
          <w:sz w:val="16"/>
          <w:szCs w:val="16"/>
          <w:color w:val="auto"/>
        </w:rPr>
        <w:t>5</w:t>
      </w:r>
    </w:p>
    <w:p>
      <w:pPr>
        <w:spacing w:after="0" w:line="179" w:lineRule="exact"/>
        <w:rPr>
          <w:sz w:val="20"/>
          <w:szCs w:val="20"/>
          <w:color w:val="auto"/>
        </w:rPr>
      </w:pPr>
    </w:p>
    <w:p>
      <w:pPr>
        <w:ind w:left="460" w:right="3379" w:firstLine="474"/>
        <w:spacing w:after="0" w:line="293" w:lineRule="auto"/>
        <w:tabs>
          <w:tab w:leader="none" w:pos="149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any Registrable Security not tendered will remain outstanding and continue to accrue interest, but will not retain any rights under this Registration Rights Agreement;</w:t>
      </w:r>
    </w:p>
    <w:p>
      <w:pPr>
        <w:spacing w:after="0" w:line="57" w:lineRule="exact"/>
        <w:rPr>
          <w:rFonts w:ascii="Courier New" w:cs="Courier New" w:eastAsia="Courier New" w:hAnsi="Courier New"/>
          <w:sz w:val="16"/>
          <w:szCs w:val="16"/>
          <w:color w:val="auto"/>
        </w:rPr>
      </w:pPr>
    </w:p>
    <w:p>
      <w:pPr>
        <w:ind w:left="460" w:right="2999" w:firstLine="474"/>
        <w:spacing w:after="0" w:line="260" w:lineRule="auto"/>
        <w:tabs>
          <w:tab w:leader="none" w:pos="139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Holders electing to have a Registrable Security exchanged pursuant to the Exchange Offer will be required to surrender such Registrable Security, together with the enclosed letters of transmittal, prior to the close of business on the last Exchange Date to the institution and at the address (located in the Borough of Manhattan, The City of New York) specified in the notice; and</w:t>
      </w:r>
    </w:p>
    <w:p>
      <w:pPr>
        <w:spacing w:after="0" w:line="84" w:lineRule="exact"/>
        <w:rPr>
          <w:rFonts w:ascii="Courier New" w:cs="Courier New" w:eastAsia="Courier New" w:hAnsi="Courier New"/>
          <w:sz w:val="16"/>
          <w:szCs w:val="16"/>
          <w:color w:val="auto"/>
        </w:rPr>
      </w:pPr>
    </w:p>
    <w:p>
      <w:pPr>
        <w:ind w:left="460" w:right="2819" w:firstLine="474"/>
        <w:spacing w:after="0" w:line="254" w:lineRule="auto"/>
        <w:tabs>
          <w:tab w:leader="none" w:pos="130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Holders will be entitled to withdraw their election, not later than the close of business on the last Exchange Date, by sending to the institution and at the address (located in the Borough of Manhattan, The City of New York) specified in the notice a telegram, telex, facsimile transmission or letter setting forth the name of such Holder, the principal amount of Registrable Securities delivered for exchange and a statement that such Holder is withdrawing his election to have such Securities exchanged.</w:t>
      </w:r>
    </w:p>
    <w:p>
      <w:pPr>
        <w:spacing w:after="0" w:line="8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As soon as practicable after the last Exchange Date, the Company shall:</w:t>
      </w:r>
    </w:p>
    <w:p>
      <w:pPr>
        <w:spacing w:after="0" w:line="179" w:lineRule="exact"/>
        <w:rPr>
          <w:sz w:val="20"/>
          <w:szCs w:val="20"/>
          <w:color w:val="auto"/>
        </w:rPr>
      </w:pPr>
    </w:p>
    <w:p>
      <w:pPr>
        <w:ind w:left="460" w:right="3099" w:firstLine="474"/>
        <w:spacing w:after="0" w:line="382" w:lineRule="auto"/>
        <w:tabs>
          <w:tab w:leader="none" w:pos="1304"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for exchange Registrable Securities or portions thereof tendered and not validly withdrawn pursuant to the Exchange Offer; and</w:t>
      </w:r>
    </w:p>
    <w:p>
      <w:pPr>
        <w:ind w:left="460" w:right="2999" w:firstLine="474"/>
        <w:spacing w:after="0" w:line="260" w:lineRule="auto"/>
        <w:tabs>
          <w:tab w:leader="none" w:pos="139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or cause to be delivered, to the Trustee for cancellation all Registrable Securities or portions thereof so accepted for exchange by the Company and issue, and cause the Trustee to promptly authenticate and mail to each Holder, an Exchange Security equal in principal amount to the principal amount of the Registrable Securities surrendered by such Holder.</w:t>
      </w:r>
    </w:p>
    <w:p>
      <w:pPr>
        <w:spacing w:after="0" w:line="84" w:lineRule="exact"/>
        <w:rPr>
          <w:sz w:val="20"/>
          <w:szCs w:val="20"/>
          <w:color w:val="auto"/>
        </w:rPr>
      </w:pPr>
    </w:p>
    <w:p>
      <w:pPr>
        <w:ind w:right="2819" w:firstLine="469"/>
        <w:spacing w:after="0" w:line="269" w:lineRule="auto"/>
        <w:rPr>
          <w:sz w:val="20"/>
          <w:szCs w:val="20"/>
          <w:color w:val="auto"/>
        </w:rPr>
      </w:pPr>
      <w:r>
        <w:rPr>
          <w:rFonts w:ascii="Courier New" w:cs="Courier New" w:eastAsia="Courier New" w:hAnsi="Courier New"/>
          <w:sz w:val="15"/>
          <w:szCs w:val="15"/>
          <w:color w:val="auto"/>
        </w:rPr>
        <w:t>The Company shall use its reasonable best efforts to complete the Exchange Offer as provided above and shall comply with the applicable requirements of the 1933 Act, the 1934 Act and other applicable laws and regulations in connection with the Exchange Offer. The Exchange Offer shall not be subject to any conditions, other than that the Exchange Offer does not violate applicable law or any applicable interpretation of the Staff of the SEC. The Company shall inform the Initial Purchasers of the names and addresses of the Holders to whom the Exchange Offer is made, and the Initial Purchasers shall have the right, subject to applicable law, to contact such Holders and otherwise facilitate the tender of Registrable Securities in the Exchange Offer.</w:t>
      </w:r>
    </w:p>
    <w:p>
      <w:pPr>
        <w:spacing w:after="0" w:line="80" w:lineRule="exact"/>
        <w:rPr>
          <w:sz w:val="20"/>
          <w:szCs w:val="20"/>
          <w:color w:val="auto"/>
        </w:rPr>
      </w:pPr>
    </w:p>
    <w:p>
      <w:pPr>
        <w:ind w:right="2819" w:firstLine="465"/>
        <w:spacing w:after="0" w:line="254" w:lineRule="auto"/>
        <w:tabs>
          <w:tab w:leader="none" w:pos="84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(i) the Company determines that the Exchange Offer Registration provided for in Section 2(a) above is not available or may not be consummated as soon as practicable after the last Exchange Date because it would violate applicable law or the applicable interpretations of the Staff of the SEC, (ii) the Exchange Offer is not for any other reason consummated by the 30th business day following the Effectiveness Deadline or (iii) the Exchange Offer has been completed and in the opinion of counsel for the Initial Purchasers a</w:t>
      </w:r>
    </w:p>
    <w:p>
      <w:pPr>
        <w:sectPr>
          <w:pgSz w:w="11900" w:h="16838" w:orient="portrait"/>
          <w:cols w:equalWidth="0" w:num="1">
            <w:col w:w="10219"/>
          </w:cols>
          <w:pgMar w:left="240" w:top="631" w:right="1440" w:bottom="1440" w:gutter="0" w:footer="0" w:header="0"/>
        </w:sectPr>
      </w:pPr>
    </w:p>
    <w:bookmarkStart w:id="38" w:name="page39"/>
    <w:bookmarkEnd w:id="38"/>
    <w:p>
      <w:pPr>
        <w:jc w:val="right"/>
        <w:ind w:right="2719"/>
        <w:spacing w:after="0"/>
        <w:rPr>
          <w:sz w:val="20"/>
          <w:szCs w:val="20"/>
          <w:color w:val="auto"/>
        </w:rPr>
      </w:pPr>
      <w:r>
        <w:rPr>
          <w:rFonts w:ascii="Courier New" w:cs="Courier New" w:eastAsia="Courier New" w:hAnsi="Courier New"/>
          <w:sz w:val="16"/>
          <w:szCs w:val="16"/>
          <w:color w:val="auto"/>
        </w:rPr>
        <w:t>6</w:t>
      </w:r>
    </w:p>
    <w:p>
      <w:pPr>
        <w:spacing w:after="0" w:line="179" w:lineRule="exact"/>
        <w:rPr>
          <w:sz w:val="20"/>
          <w:szCs w:val="20"/>
          <w:color w:val="auto"/>
        </w:rPr>
      </w:pPr>
    </w:p>
    <w:p>
      <w:pPr>
        <w:ind w:left="4" w:right="2899"/>
        <w:spacing w:after="0" w:line="259" w:lineRule="auto"/>
        <w:rPr>
          <w:sz w:val="20"/>
          <w:szCs w:val="20"/>
          <w:color w:val="auto"/>
        </w:rPr>
      </w:pPr>
      <w:r>
        <w:rPr>
          <w:rFonts w:ascii="Courier New" w:cs="Courier New" w:eastAsia="Courier New" w:hAnsi="Courier New"/>
          <w:sz w:val="15"/>
          <w:szCs w:val="15"/>
          <w:color w:val="auto"/>
        </w:rPr>
        <w:t>Registration Statement must be filed and a Prospectus must be delivered by the Initial Purchasers in connection with any offering or sale of Registrable Securities, the Company shall use its reasonable best efforts to cause to be filed as soon as practicable after such determination, date or notice of such opinion of counsel is given to the Company, as the case may be, a Shelf Registration Statement providing for the sale by the Holders of all of the Registrable Securities and to have such Shelf Registration Statement declared effective by the SEC. In the event the Company is required to file a Shelf Registration Statement solely as a result of the matters referred to in clause</w:t>
      </w:r>
    </w:p>
    <w:p>
      <w:pPr>
        <w:spacing w:after="0" w:line="1" w:lineRule="exact"/>
        <w:rPr>
          <w:sz w:val="20"/>
          <w:szCs w:val="20"/>
          <w:color w:val="auto"/>
        </w:rPr>
      </w:pPr>
    </w:p>
    <w:p>
      <w:pPr>
        <w:ind w:left="4" w:right="2819" w:hanging="4"/>
        <w:spacing w:after="0" w:line="242" w:lineRule="auto"/>
        <w:tabs>
          <w:tab w:leader="none" w:pos="567"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preceding sentence, the Company shall use its reasonable best efforts to file and have declared effective by the SEC both an Exchange Offer Registration Statement pursuant to Section 2(a) with respect to all Registrable Securities and a Shelf Registration Statement (which may be a combined Registration Statement with the Exchange Offer Registration Statement) with respect to offers and sales of Registrable Securities held by the Initial Purchasers after completion of the Exchange Offer. The Company agrees to use its reasonable best efforts to keep the Shelf Registration Statement continuously effective until the expiration of the period referred to in Rule 144(k) with respect to the Registrable Securities or such shorter period that will terminate when all of the Registrable Securities covered by the Shelf Registration Statement have been sold pursuant to the Shelf Registration Statement. The Company further agrees to supplement or amend the Shelf Registration Statement if required by the rules, regulations or instructions applicable to the registration form used by the Company for such Shelf Registration Statement or by the 1933 Act or by any other rules and regulations thereunder for shelf registration or if reasonably requested by a Holder with respect to information relating to such Holder, and to use its reasonable best efforts to cause any such amendment to become effective and such Shelf Registration Statement to become usable as soon as thereafter practicable. The Company agrees to furnish to the Holders of Registrable Securities copies of any such supplement or amendment promptly after its being used or filed with the SEC.</w:t>
      </w:r>
    </w:p>
    <w:p>
      <w:pPr>
        <w:spacing w:after="0" w:line="97" w:lineRule="exact"/>
        <w:rPr>
          <w:rFonts w:ascii="Courier New" w:cs="Courier New" w:eastAsia="Courier New" w:hAnsi="Courier New"/>
          <w:sz w:val="16"/>
          <w:szCs w:val="16"/>
          <w:color w:val="auto"/>
        </w:rPr>
      </w:pPr>
    </w:p>
    <w:p>
      <w:pPr>
        <w:ind w:left="4" w:right="2819" w:firstLine="465"/>
        <w:spacing w:after="0" w:line="266" w:lineRule="auto"/>
        <w:tabs>
          <w:tab w:leader="none" w:pos="848"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all Registration Expenses in connection with the registration pursuant to Section 2(a) and Section 2(b). Each Holder shall pay all underwriting discounts and commissions and transfer taxes, if any, relating to the sale, or disposition of such Holder's Registrable Securities pursuant to the Shelf Registration Statement.</w:t>
      </w:r>
    </w:p>
    <w:p>
      <w:pPr>
        <w:spacing w:after="0" w:line="77" w:lineRule="exact"/>
        <w:rPr>
          <w:rFonts w:ascii="Courier New" w:cs="Courier New" w:eastAsia="Courier New" w:hAnsi="Courier New"/>
          <w:sz w:val="16"/>
          <w:szCs w:val="16"/>
          <w:color w:val="auto"/>
        </w:rPr>
      </w:pPr>
    </w:p>
    <w:p>
      <w:pPr>
        <w:ind w:left="4" w:right="2819" w:firstLine="465"/>
        <w:spacing w:after="0" w:line="269" w:lineRule="auto"/>
        <w:tabs>
          <w:tab w:leader="none" w:pos="848"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Exchange Offer Registration Statement pursuant to Section 2(a) hereof or a Shelf Registration Statement pursuant to Section 2(b) hereof will not be deemed to have become effective unless it has been declared effective by the SEC; provided, however, that, if, after it has been declared effective, the offering of Registrable Securities pursuant to a Shelf Registration Statement is interfered with by any stop order, injunction or other order or requirement of the SEC or any other governmental agency or court, such Registration Statement will be deemed not to have become effective during the period of such interference until the offering of Registrable Securities pursuant to such Registration Statement may legally resume.</w:t>
      </w:r>
    </w:p>
    <w:p>
      <w:pPr>
        <w:spacing w:after="0" w:line="79" w:lineRule="exact"/>
        <w:rPr>
          <w:rFonts w:ascii="Courier New" w:cs="Courier New" w:eastAsia="Courier New" w:hAnsi="Courier New"/>
          <w:sz w:val="15"/>
          <w:szCs w:val="15"/>
          <w:color w:val="auto"/>
        </w:rPr>
      </w:pPr>
    </w:p>
    <w:p>
      <w:pPr>
        <w:ind w:left="4" w:right="2819" w:firstLine="465"/>
        <w:spacing w:after="0" w:line="348" w:lineRule="auto"/>
        <w:tabs>
          <w:tab w:leader="none" w:pos="848"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cash interest (the "Additional Interest") shall be assessed as follows:</w:t>
      </w:r>
    </w:p>
    <w:p>
      <w:pPr>
        <w:spacing w:after="0" w:line="15" w:lineRule="exact"/>
        <w:rPr>
          <w:rFonts w:ascii="Courier New" w:cs="Courier New" w:eastAsia="Courier New" w:hAnsi="Courier New"/>
          <w:sz w:val="16"/>
          <w:szCs w:val="16"/>
          <w:color w:val="auto"/>
        </w:rPr>
      </w:pPr>
    </w:p>
    <w:p>
      <w:pPr>
        <w:ind w:left="464" w:right="2999" w:firstLine="474"/>
        <w:spacing w:after="0" w:line="293" w:lineRule="auto"/>
        <w:tabs>
          <w:tab w:leader="none" w:pos="1308" w:val="left"/>
        </w:tabs>
        <w:numPr>
          <w:ilvl w:val="2"/>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Exchange Offer Registration Statement or Shelf Registration Statement is not filed within 90 days following the Closing Date, then commencing on the 91st day</w:t>
      </w:r>
    </w:p>
    <w:p>
      <w:pPr>
        <w:sectPr>
          <w:pgSz w:w="11900" w:h="16838" w:orient="portrait"/>
          <w:cols w:equalWidth="0" w:num="1">
            <w:col w:w="10223"/>
          </w:cols>
          <w:pgMar w:left="236" w:top="631" w:right="1440" w:bottom="1440" w:gutter="0" w:footer="0" w:header="0"/>
        </w:sectPr>
      </w:pPr>
    </w:p>
    <w:bookmarkStart w:id="39" w:name="page40"/>
    <w:bookmarkEnd w:id="39"/>
    <w:p>
      <w:pPr>
        <w:jc w:val="right"/>
        <w:ind w:right="2719"/>
        <w:spacing w:after="0"/>
        <w:rPr>
          <w:sz w:val="20"/>
          <w:szCs w:val="20"/>
          <w:color w:val="auto"/>
        </w:rPr>
      </w:pPr>
      <w:r>
        <w:rPr>
          <w:rFonts w:ascii="Courier New" w:cs="Courier New" w:eastAsia="Courier New" w:hAnsi="Courier New"/>
          <w:sz w:val="16"/>
          <w:szCs w:val="16"/>
          <w:color w:val="auto"/>
        </w:rPr>
        <w:t>7</w:t>
      </w:r>
    </w:p>
    <w:p>
      <w:pPr>
        <w:spacing w:after="0" w:line="179" w:lineRule="exact"/>
        <w:rPr>
          <w:sz w:val="20"/>
          <w:szCs w:val="20"/>
          <w:color w:val="auto"/>
        </w:rPr>
      </w:pPr>
    </w:p>
    <w:p>
      <w:pPr>
        <w:ind w:left="464" w:right="3379"/>
        <w:spacing w:after="0" w:line="293" w:lineRule="auto"/>
        <w:rPr>
          <w:sz w:val="20"/>
          <w:szCs w:val="20"/>
          <w:color w:val="auto"/>
        </w:rPr>
      </w:pPr>
      <w:r>
        <w:rPr>
          <w:rFonts w:ascii="Courier New" w:cs="Courier New" w:eastAsia="Courier New" w:hAnsi="Courier New"/>
          <w:sz w:val="16"/>
          <w:szCs w:val="16"/>
          <w:color w:val="auto"/>
        </w:rPr>
        <w:t>after the Closing Date, Additional Interest shall be accrued on the Securities over and above the accrued interest at a rate of .25% per annum, or</w:t>
      </w:r>
    </w:p>
    <w:p>
      <w:pPr>
        <w:spacing w:after="0" w:line="58" w:lineRule="exact"/>
        <w:rPr>
          <w:sz w:val="20"/>
          <w:szCs w:val="20"/>
          <w:color w:val="auto"/>
        </w:rPr>
      </w:pPr>
    </w:p>
    <w:p>
      <w:pPr>
        <w:ind w:left="464" w:right="2899" w:firstLine="474"/>
        <w:spacing w:after="0" w:line="260" w:lineRule="auto"/>
        <w:tabs>
          <w:tab w:leader="none" w:pos="1402"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Exchange Offer Registration Statement or Shelf Registration Statement is filed pursuant to (i) above and is not declared effective within 180 days following the Closing Date, then commencing on the 181st day after the Closing Date, Additional Interest shall accrue on the Securities over and above the accrued interest at a rate of .25% per annum, or</w:t>
      </w:r>
    </w:p>
    <w:p>
      <w:pPr>
        <w:spacing w:after="0" w:line="84" w:lineRule="exact"/>
        <w:rPr>
          <w:rFonts w:ascii="Courier New" w:cs="Courier New" w:eastAsia="Courier New" w:hAnsi="Courier New"/>
          <w:sz w:val="16"/>
          <w:szCs w:val="16"/>
          <w:color w:val="auto"/>
        </w:rPr>
      </w:pPr>
    </w:p>
    <w:p>
      <w:pPr>
        <w:ind w:left="464" w:right="2819" w:firstLine="474"/>
        <w:spacing w:after="0" w:line="258" w:lineRule="auto"/>
        <w:tabs>
          <w:tab w:leader="none" w:pos="1495"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either (A) we have not exchanged Exchange Securities for all Securities validly tendered in accordance with the terms of the Exchange Offer on or prior to 30 business days after the date on which the Exchange Offer Registration Statement was declared effective, or (B) if applicable, the Shelf Registration Statement has been declared effective but such Shelf Registration Statement ceases to be effective at any time prior to the expiration of the holding period referred to in Rule 144(k), then Additional Interest shall accrue on the Securities over and above the accrued interest at a rate of .25% per annum immediately following the (x) 31st business day after such effective date, in the case of (A) above, or</w:t>
      </w:r>
    </w:p>
    <w:p>
      <w:pPr>
        <w:spacing w:after="0" w:line="5" w:lineRule="exact"/>
        <w:rPr>
          <w:rFonts w:ascii="Courier New" w:cs="Courier New" w:eastAsia="Courier New" w:hAnsi="Courier New"/>
          <w:sz w:val="15"/>
          <w:szCs w:val="15"/>
          <w:color w:val="auto"/>
        </w:rPr>
      </w:pPr>
    </w:p>
    <w:p>
      <w:pPr>
        <w:ind w:left="464" w:right="3099" w:firstLine="5"/>
        <w:spacing w:after="0" w:line="311" w:lineRule="auto"/>
        <w:tabs>
          <w:tab w:leader="none" w:pos="83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day such Shelf Registration Statement ceases to be effective in the case of (B) above;</w:t>
      </w:r>
    </w:p>
    <w:p>
      <w:pPr>
        <w:spacing w:after="0" w:line="43" w:lineRule="exact"/>
        <w:rPr>
          <w:sz w:val="20"/>
          <w:szCs w:val="20"/>
          <w:color w:val="auto"/>
        </w:rPr>
      </w:pPr>
    </w:p>
    <w:p>
      <w:pPr>
        <w:ind w:left="4" w:right="2819" w:firstLine="469"/>
        <w:spacing w:after="0" w:line="242" w:lineRule="auto"/>
        <w:rPr>
          <w:sz w:val="20"/>
          <w:szCs w:val="20"/>
          <w:color w:val="auto"/>
        </w:rPr>
      </w:pPr>
      <w:r>
        <w:rPr>
          <w:rFonts w:ascii="Courier New" w:cs="Courier New" w:eastAsia="Courier New" w:hAnsi="Courier New"/>
          <w:sz w:val="16"/>
          <w:szCs w:val="16"/>
          <w:color w:val="auto"/>
        </w:rPr>
        <w:t>provided, however, that the Additional Interest rate on the Securities may in no event exceed .25% per annum; and; provided, further, that (1) upon the filing of the Exchange Offer Registration Statement or Shelf Registration Statement (in the case of (i) above), (2) upon the effectiveness of the Exchange Offer Registration Statement or Shelf Registration Statement (in the case (ii) above), or (3) upon the exchange of Exchange Notes for all Registrable Securities tendered or upon the effectiveness of the Shelf Registration Statement which had ceased to remain effective prior to the expiration of the holding period referred to in Rule 144(k) (in the case of</w:t>
      </w:r>
    </w:p>
    <w:p>
      <w:pPr>
        <w:spacing w:after="0" w:line="7" w:lineRule="exact"/>
        <w:rPr>
          <w:sz w:val="20"/>
          <w:szCs w:val="20"/>
          <w:color w:val="auto"/>
        </w:rPr>
      </w:pPr>
    </w:p>
    <w:p>
      <w:pPr>
        <w:ind w:left="4" w:right="2899" w:hanging="4"/>
        <w:spacing w:after="0" w:line="311" w:lineRule="auto"/>
        <w:tabs>
          <w:tab w:leader="none" w:pos="567"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Additional Interest on the Securities as a result of such clause (i), (ii) or (iii) shall cease to accrue.</w:t>
      </w:r>
    </w:p>
    <w:p>
      <w:pPr>
        <w:spacing w:after="0" w:line="43"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Any amount of Additional Interest due pursuant to clauses (i), (ii) or</w:t>
      </w:r>
    </w:p>
    <w:p>
      <w:pPr>
        <w:spacing w:after="0" w:line="27" w:lineRule="exact"/>
        <w:rPr>
          <w:sz w:val="20"/>
          <w:szCs w:val="20"/>
          <w:color w:val="auto"/>
        </w:rPr>
      </w:pPr>
    </w:p>
    <w:p>
      <w:pPr>
        <w:ind w:left="4" w:right="2899" w:hanging="4"/>
        <w:spacing w:after="0" w:line="250" w:lineRule="auto"/>
        <w:tabs>
          <w:tab w:leader="none" w:pos="567"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will be payable in cash, on the same original payment dates of the Securities. The amounts of Additional Interest will be determined by multiplying the applicable Additional Interest rate by the principal amount of the Securities, multiplied by a fraction, the numerator of which is the number of days such Additional Interest rate was applicable during such period (determined on the basis of a 360-day year comprised of twelve 30-day months) and the denominator of which is 360.</w:t>
      </w:r>
    </w:p>
    <w:p>
      <w:pPr>
        <w:spacing w:after="0" w:line="93" w:lineRule="exact"/>
        <w:rPr>
          <w:rFonts w:ascii="Courier New" w:cs="Courier New" w:eastAsia="Courier New" w:hAnsi="Courier New"/>
          <w:sz w:val="16"/>
          <w:szCs w:val="16"/>
          <w:color w:val="auto"/>
        </w:rPr>
      </w:pPr>
    </w:p>
    <w:p>
      <w:pPr>
        <w:ind w:left="4" w:right="2819" w:firstLine="465"/>
        <w:spacing w:after="0" w:line="254" w:lineRule="auto"/>
        <w:tabs>
          <w:tab w:leader="none" w:pos="848"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remedies available to the Initial Purchasers and the Holders, the Company acknowledges that any failure by the Company to comply with its obligations under Section 2(a) and Section 2(b) hereof may result in material irreparable injury to the Initial Purchasers or the Holders for which there is no adequate remedy at law, that it will not be possible to measure damages for such injuries precisely and that, in the event of any such failure, the Initial Purchasers or any Holder may obtain such relief as may be required to</w:t>
      </w:r>
    </w:p>
    <w:p>
      <w:pPr>
        <w:sectPr>
          <w:pgSz w:w="11900" w:h="16838" w:orient="portrait"/>
          <w:cols w:equalWidth="0" w:num="1">
            <w:col w:w="10223"/>
          </w:cols>
          <w:pgMar w:left="236" w:top="631" w:right="1440" w:bottom="1440" w:gutter="0" w:footer="0" w:header="0"/>
        </w:sectPr>
      </w:pPr>
    </w:p>
    <w:bookmarkStart w:id="40" w:name="page41"/>
    <w:bookmarkEnd w:id="40"/>
    <w:p>
      <w:pPr>
        <w:jc w:val="right"/>
        <w:ind w:right="2719"/>
        <w:spacing w:after="0"/>
        <w:rPr>
          <w:sz w:val="20"/>
          <w:szCs w:val="20"/>
          <w:color w:val="auto"/>
        </w:rPr>
      </w:pPr>
      <w:r>
        <w:rPr>
          <w:rFonts w:ascii="Courier New" w:cs="Courier New" w:eastAsia="Courier New" w:hAnsi="Courier New"/>
          <w:sz w:val="16"/>
          <w:szCs w:val="16"/>
          <w:color w:val="auto"/>
        </w:rPr>
        <w:t>8</w:t>
      </w:r>
    </w:p>
    <w:p>
      <w:pPr>
        <w:spacing w:after="0" w:line="179" w:lineRule="exact"/>
        <w:rPr>
          <w:sz w:val="20"/>
          <w:szCs w:val="20"/>
          <w:color w:val="auto"/>
        </w:rPr>
      </w:pPr>
    </w:p>
    <w:p>
      <w:pPr>
        <w:ind w:right="2819"/>
        <w:spacing w:after="0" w:line="266" w:lineRule="auto"/>
        <w:rPr>
          <w:sz w:val="20"/>
          <w:szCs w:val="20"/>
          <w:color w:val="auto"/>
        </w:rPr>
      </w:pPr>
      <w:r>
        <w:rPr>
          <w:rFonts w:ascii="Courier New" w:cs="Courier New" w:eastAsia="Courier New" w:hAnsi="Courier New"/>
          <w:sz w:val="16"/>
          <w:szCs w:val="16"/>
          <w:color w:val="auto"/>
        </w:rPr>
        <w:t>specifically enforce the Company's obligations under Section 2(a) and Section 2(b) hereof; provided that, in the case of any terms of this Agreement for which Additional Interest pursuant to Section 2(e) is expressly provided as a remedy of a violation of such terms, such Additional Interest shall be the sole monetary damages for such violation.</w:t>
      </w:r>
    </w:p>
    <w:p>
      <w:pPr>
        <w:spacing w:after="0" w:line="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3. Registration Procedures.</w:t>
      </w:r>
    </w:p>
    <w:p>
      <w:pPr>
        <w:spacing w:after="0" w:line="179" w:lineRule="exact"/>
        <w:rPr>
          <w:sz w:val="20"/>
          <w:szCs w:val="20"/>
          <w:color w:val="auto"/>
        </w:rPr>
      </w:pPr>
    </w:p>
    <w:p>
      <w:pPr>
        <w:ind w:right="2999" w:firstLine="469"/>
        <w:spacing w:after="0" w:line="293" w:lineRule="auto"/>
        <w:rPr>
          <w:sz w:val="20"/>
          <w:szCs w:val="20"/>
          <w:color w:val="auto"/>
        </w:rPr>
      </w:pPr>
      <w:r>
        <w:rPr>
          <w:rFonts w:ascii="Courier New" w:cs="Courier New" w:eastAsia="Courier New" w:hAnsi="Courier New"/>
          <w:sz w:val="16"/>
          <w:szCs w:val="16"/>
          <w:color w:val="auto"/>
        </w:rPr>
        <w:t>In connection with the obligations of the Company with respect to the Registration Statements pursuant to Section 2(a) and Section 2(b) hereof, the Company shall as expeditiously as practicable:</w:t>
      </w:r>
    </w:p>
    <w:p>
      <w:pPr>
        <w:spacing w:after="0" w:line="58" w:lineRule="exact"/>
        <w:rPr>
          <w:sz w:val="20"/>
          <w:szCs w:val="20"/>
          <w:color w:val="auto"/>
        </w:rPr>
      </w:pPr>
    </w:p>
    <w:p>
      <w:pPr>
        <w:ind w:right="2819" w:firstLine="465"/>
        <w:spacing w:after="0" w:line="252" w:lineRule="auto"/>
        <w:tabs>
          <w:tab w:leader="none" w:pos="844"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SEC a Registration Statement on the appropriate form under the 1933 Act, which form (x) shall be selected by the Company and (y) shall, in the case of a Shelf Registration, be available for the sale of the Registrable Securities by the selling Holders thereof and (z) shall comply as to form in all material respects with the requirements of the applicable form and include all financial statements required by the SEC to be filed therewith, and use its reasonable best efforts to cause such Registration Statement to become effective and remain effective in accordance with Section 2 hereof;</w:t>
      </w:r>
    </w:p>
    <w:p>
      <w:pPr>
        <w:spacing w:after="0" w:line="90" w:lineRule="exact"/>
        <w:rPr>
          <w:rFonts w:ascii="Courier New" w:cs="Courier New" w:eastAsia="Courier New" w:hAnsi="Courier New"/>
          <w:sz w:val="16"/>
          <w:szCs w:val="16"/>
          <w:color w:val="auto"/>
        </w:rPr>
      </w:pPr>
    </w:p>
    <w:p>
      <w:pPr>
        <w:ind w:right="2819" w:firstLine="465"/>
        <w:spacing w:after="0" w:line="254" w:lineRule="auto"/>
        <w:tabs>
          <w:tab w:leader="none" w:pos="844"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SEC such amendments and post-effective amendments to each Registration Statement as may be necessary to keep such Registration Statement effective for the applicable period and cause each Prospectus to be supplemented by any required Prospectus supplement and, as so supplemented, to be filed pursuant to Rule 424 under the 1933 Act; to keep each Prospectus current during the period described under Section 4(3) and Rule 174 under the 1933 Act that is applicable to transactions by brokers or dealers with respect to the Registrable Securities or Exchange Securities;</w:t>
      </w:r>
    </w:p>
    <w:p>
      <w:pPr>
        <w:spacing w:after="0" w:line="88" w:lineRule="exact"/>
        <w:rPr>
          <w:rFonts w:ascii="Courier New" w:cs="Courier New" w:eastAsia="Courier New" w:hAnsi="Courier New"/>
          <w:sz w:val="16"/>
          <w:szCs w:val="16"/>
          <w:color w:val="auto"/>
        </w:rPr>
      </w:pPr>
    </w:p>
    <w:p>
      <w:pPr>
        <w:ind w:right="2819" w:firstLine="465"/>
        <w:spacing w:after="0" w:line="247" w:lineRule="auto"/>
        <w:tabs>
          <w:tab w:leader="none" w:pos="844"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Shelf Registration, furnish to each Holder of Registrable Securities, to counsel for the Initial Purchasers, to counsel for the Holders and to each Underwriter of an Underwritten Offering of Registrable Securities, if any, without charge, as many copies of each Prospectus, including each preliminary Prospectus, and any amendment or supplement thereto and such other documents as such Holder or such counsel named above or Underwriter may reasonably request, in order to facilitate the public sale or other disposition of the Registrable Securities; and the Company consents to the use of such Prospectus and any amendment or supplement thereto in accordance with applicable law by each of the selling Holders of Registrable Securities and any such Underwriters in connection with the offering and sale of the Registrable Securities covered by and in the manner described in such Prospectus or any amendment or supplement thereto in accordance with applicable law;</w:t>
      </w:r>
    </w:p>
    <w:p>
      <w:pPr>
        <w:spacing w:after="0" w:line="94" w:lineRule="exact"/>
        <w:rPr>
          <w:rFonts w:ascii="Courier New" w:cs="Courier New" w:eastAsia="Courier New" w:hAnsi="Courier New"/>
          <w:sz w:val="16"/>
          <w:szCs w:val="16"/>
          <w:color w:val="auto"/>
        </w:rPr>
      </w:pPr>
    </w:p>
    <w:p>
      <w:pPr>
        <w:ind w:right="2819" w:firstLine="465"/>
        <w:spacing w:after="0" w:line="293" w:lineRule="auto"/>
        <w:tabs>
          <w:tab w:leader="none" w:pos="844"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reasonable best efforts to register or qualify the Registrable Securities under all applicable state securities or "blue sky" laws of such jurisdictions as</w:t>
      </w:r>
    </w:p>
    <w:p>
      <w:pPr>
        <w:sectPr>
          <w:pgSz w:w="11900" w:h="16838" w:orient="portrait"/>
          <w:cols w:equalWidth="0" w:num="1">
            <w:col w:w="10219"/>
          </w:cols>
          <w:pgMar w:left="240" w:top="631" w:right="1440" w:bottom="1440" w:gutter="0" w:footer="0" w:header="0"/>
        </w:sectPr>
      </w:pPr>
    </w:p>
    <w:bookmarkStart w:id="41" w:name="page42"/>
    <w:bookmarkEnd w:id="41"/>
    <w:p>
      <w:pPr>
        <w:jc w:val="right"/>
        <w:ind w:right="2719"/>
        <w:spacing w:after="0"/>
        <w:rPr>
          <w:sz w:val="20"/>
          <w:szCs w:val="20"/>
          <w:color w:val="auto"/>
        </w:rPr>
      </w:pPr>
      <w:r>
        <w:rPr>
          <w:rFonts w:ascii="Courier New" w:cs="Courier New" w:eastAsia="Courier New" w:hAnsi="Courier New"/>
          <w:sz w:val="16"/>
          <w:szCs w:val="16"/>
          <w:color w:val="auto"/>
        </w:rPr>
        <w:t>9</w:t>
      </w:r>
    </w:p>
    <w:p>
      <w:pPr>
        <w:spacing w:after="0" w:line="179" w:lineRule="exact"/>
        <w:rPr>
          <w:sz w:val="20"/>
          <w:szCs w:val="20"/>
          <w:color w:val="auto"/>
        </w:rPr>
      </w:pPr>
    </w:p>
    <w:p>
      <w:pPr>
        <w:ind w:right="2819"/>
        <w:spacing w:after="0" w:line="266" w:lineRule="auto"/>
        <w:rPr>
          <w:sz w:val="20"/>
          <w:szCs w:val="20"/>
          <w:color w:val="auto"/>
        </w:rPr>
      </w:pPr>
      <w:r>
        <w:rPr>
          <w:rFonts w:ascii="Courier New" w:cs="Courier New" w:eastAsia="Courier New" w:hAnsi="Courier New"/>
          <w:sz w:val="15"/>
          <w:szCs w:val="15"/>
          <w:color w:val="auto"/>
        </w:rPr>
        <w:t>any Holder of Registrable Securities covered by a Registration Statement shall reasonably request in writing by the time the applicable Registration Statement is declared effective by the SEC, to cooperate with such Holders in connection with any filings required to be made with the National Association of Securities Dealers, Inc. and do any and all other acts and things which may be reasonably necessary or advisable to enable such Holder to consummate the disposition in each such jurisdiction of such Registrable Securities owned by such Holder; provided, however, that the Company shall not be required to (i) qualify as a foreign corporation or as a dealer in securities in any jurisdiction where it would not otherwise be required to qualify but for this Section 3(d), (ii) give any general consent to service of process or (iii) subject itself to taxation in any such jurisdiction if it is not so subject;</w:t>
      </w:r>
    </w:p>
    <w:p>
      <w:pPr>
        <w:spacing w:after="0" w:line="85" w:lineRule="exact"/>
        <w:rPr>
          <w:sz w:val="20"/>
          <w:szCs w:val="20"/>
          <w:color w:val="auto"/>
        </w:rPr>
      </w:pPr>
    </w:p>
    <w:p>
      <w:pPr>
        <w:ind w:right="2819" w:firstLine="465"/>
        <w:spacing w:after="0" w:line="243" w:lineRule="auto"/>
        <w:tabs>
          <w:tab w:leader="none" w:pos="84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Shelf Registration, notify each Holder of Registrable Securities, counsel for the Holders and counsel for the Initial Purchasers promptly and, if requested by any such Holder or counsel, confirm such advice in writing (i) when a Registration Statement has become effective and when any post-effective amendment thereto has been filed and becomes effective, (ii) of any request by the SEC or any state securities authority for amendments and supplements to a Registration Statement and Prospectus or for additional information after the Registration Statement has become effective, (iii) of the issuance by the SEC or any state securities authority of any stop order suspending the effectiveness of a Registration Statement or the initiation of any proceedings for that purpose, (iv) if, between the effective date of a Registration Statement and the closing of any sale of Registrable Securities covered thereby, the representations and warranties of the Company contained in any underwriting agreement, securities sales agreement or other similar agreement if any, relating to the offering cease to be true and correct in all material respects or if the Company receives any notification with respect to the suspension of the qualification of the Registrable Securities for sale in any jurisdiction or the initiation of any proceeding for such purpose, (v) of the happening of any event during the period a Registration Statement is effective which makes any statement made in such Registration Statement or the related Prospectus untrue in any material respect or which requires the making of any changes in such Registration Statement or Prospectus in order to make the statements therein not misleading and (vi) of any determination by the Company that a post-effective amendment to a Registration Statement would be appropriate;</w:t>
      </w:r>
    </w:p>
    <w:p>
      <w:pPr>
        <w:spacing w:after="0" w:line="101" w:lineRule="exact"/>
        <w:rPr>
          <w:rFonts w:ascii="Courier New" w:cs="Courier New" w:eastAsia="Courier New" w:hAnsi="Courier New"/>
          <w:sz w:val="16"/>
          <w:szCs w:val="16"/>
          <w:color w:val="auto"/>
        </w:rPr>
      </w:pPr>
    </w:p>
    <w:p>
      <w:pPr>
        <w:ind w:right="2999" w:firstLine="465"/>
        <w:spacing w:after="0" w:line="275" w:lineRule="auto"/>
        <w:tabs>
          <w:tab w:leader="none" w:pos="84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every reasonable effort to obtain the withdrawal of any order suspending the effectiveness of a Registration Statement at the earliest possible moment and provide immediate notice to each Holder of the withdrawal of any such order;</w:t>
      </w:r>
    </w:p>
    <w:p>
      <w:pPr>
        <w:spacing w:after="0" w:line="71" w:lineRule="exact"/>
        <w:rPr>
          <w:rFonts w:ascii="Courier New" w:cs="Courier New" w:eastAsia="Courier New" w:hAnsi="Courier New"/>
          <w:sz w:val="16"/>
          <w:szCs w:val="16"/>
          <w:color w:val="auto"/>
        </w:rPr>
      </w:pPr>
    </w:p>
    <w:p>
      <w:pPr>
        <w:ind w:right="3179" w:firstLine="465"/>
        <w:spacing w:after="0" w:line="266" w:lineRule="auto"/>
        <w:tabs>
          <w:tab w:leader="none" w:pos="84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Shelf Registration, furnish to each Holder of Registrable Securities, without charge, at least one conformed copy of each Registration Statement and any post-effective amendment thereto (without documents incorporated therein by reference or exhibits thereto, unless requested);</w:t>
      </w:r>
    </w:p>
    <w:p>
      <w:pPr>
        <w:spacing w:after="0" w:line="77" w:lineRule="exact"/>
        <w:rPr>
          <w:rFonts w:ascii="Courier New" w:cs="Courier New" w:eastAsia="Courier New" w:hAnsi="Courier New"/>
          <w:sz w:val="16"/>
          <w:szCs w:val="16"/>
          <w:color w:val="auto"/>
        </w:rPr>
      </w:pPr>
    </w:p>
    <w:p>
      <w:pPr>
        <w:ind w:right="3279" w:firstLine="465"/>
        <w:spacing w:after="0" w:line="293" w:lineRule="auto"/>
        <w:tabs>
          <w:tab w:leader="none" w:pos="84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Shelf Registration, cooperate with the selling Holders of Registrable Securities to facilitate the timely preparation and delivery of certificates representing</w:t>
      </w:r>
    </w:p>
    <w:p>
      <w:pPr>
        <w:sectPr>
          <w:pgSz w:w="11900" w:h="16838" w:orient="portrait"/>
          <w:cols w:equalWidth="0" w:num="1">
            <w:col w:w="10219"/>
          </w:cols>
          <w:pgMar w:left="240" w:top="631" w:right="1440" w:bottom="1440" w:gutter="0" w:footer="0" w:header="0"/>
        </w:sectPr>
      </w:pPr>
    </w:p>
    <w:bookmarkStart w:id="42" w:name="page43"/>
    <w:bookmarkEnd w:id="42"/>
    <w:p>
      <w:pPr>
        <w:jc w:val="right"/>
        <w:ind w:right="2719"/>
        <w:spacing w:after="0"/>
        <w:rPr>
          <w:sz w:val="20"/>
          <w:szCs w:val="20"/>
          <w:color w:val="auto"/>
        </w:rPr>
      </w:pPr>
      <w:r>
        <w:rPr>
          <w:rFonts w:ascii="Courier New" w:cs="Courier New" w:eastAsia="Courier New" w:hAnsi="Courier New"/>
          <w:sz w:val="16"/>
          <w:szCs w:val="16"/>
          <w:color w:val="auto"/>
        </w:rPr>
        <w:t>10</w:t>
      </w:r>
    </w:p>
    <w:p>
      <w:pPr>
        <w:spacing w:after="0" w:line="179" w:lineRule="exact"/>
        <w:rPr>
          <w:sz w:val="20"/>
          <w:szCs w:val="20"/>
          <w:color w:val="auto"/>
        </w:rPr>
      </w:pPr>
    </w:p>
    <w:p>
      <w:pPr>
        <w:ind w:right="2819"/>
        <w:spacing w:after="0" w:line="266" w:lineRule="auto"/>
        <w:rPr>
          <w:sz w:val="20"/>
          <w:szCs w:val="20"/>
          <w:color w:val="auto"/>
        </w:rPr>
      </w:pPr>
      <w:r>
        <w:rPr>
          <w:rFonts w:ascii="Courier New" w:cs="Courier New" w:eastAsia="Courier New" w:hAnsi="Courier New"/>
          <w:sz w:val="16"/>
          <w:szCs w:val="16"/>
          <w:color w:val="auto"/>
        </w:rPr>
        <w:t>Registrable Securities to be sold and not bearing any restrictive legends and enable such Registrable Securities to be in such denominations (consistent with the provisions of the Indenture) and registered in such names as the selling Holders may reasonably request at least one day prior to the closing of any sale of Registrable Securities;</w:t>
      </w:r>
    </w:p>
    <w:p>
      <w:pPr>
        <w:spacing w:after="0" w:line="78" w:lineRule="exact"/>
        <w:rPr>
          <w:sz w:val="20"/>
          <w:szCs w:val="20"/>
          <w:color w:val="auto"/>
        </w:rPr>
      </w:pPr>
    </w:p>
    <w:p>
      <w:pPr>
        <w:ind w:right="2819" w:firstLine="465"/>
        <w:spacing w:after="0" w:line="265" w:lineRule="auto"/>
        <w:tabs>
          <w:tab w:leader="none" w:pos="84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Shelf Registration, upon the occurrence of any event contemplated by Section 3(e)(v) hereof, use its reasonable best efforts to prepare and file with the SEC a supplement or post-effective amendment to a Registration Statement or the related Prospectus or any document incorporated therein by reference or file any other required document so that, as thereafter delivered to the purchasers of the Registrable Securities, such Prospectus will not contain any untrue statement of a material fact or omit to state a material fact necessary to make the statements therein, in light of the circumstances under which they were made, not misleading. The Company agrees to notify the Holders to suspend use of the Prospectus as promptly as practicable after the occurrence of such an event, and the Holders hereby agree to suspend use of the Prospectus until the Company has amended or supplemented the Prospectus to correct such misstatement or omission;</w:t>
      </w:r>
    </w:p>
    <w:p>
      <w:pPr>
        <w:spacing w:after="0" w:line="86" w:lineRule="exact"/>
        <w:rPr>
          <w:rFonts w:ascii="Courier New" w:cs="Courier New" w:eastAsia="Courier New" w:hAnsi="Courier New"/>
          <w:sz w:val="15"/>
          <w:szCs w:val="15"/>
          <w:color w:val="auto"/>
        </w:rPr>
      </w:pPr>
    </w:p>
    <w:p>
      <w:pPr>
        <w:ind w:right="2819" w:firstLine="465"/>
        <w:spacing w:after="0" w:line="261" w:lineRule="auto"/>
        <w:tabs>
          <w:tab w:leader="none" w:pos="84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reasonable time prior to the filing of any Registration Statement, any Prospectus, any amendment to a Registration Statement or amendment or supplement to a Prospectus or any document which is to be incorporated by reference into a Registration Statement or a Prospectus after initial filing of a Registration Statement, provide copies of such document to the Initial Purchasers and their counsel (and, in the case of a Shelf Registration Statement, the Holders and their counsel) and make such of the representatives of the Company as shall be reasonably requested by the Initial Purchasers or their counsel (and, in the case of a Shelf Registration Statement, the Holders or their counsel) available for discussion of such document, and shall not at any time file or make any amendment to the Registration Statement, any Prospectus or any amendment of or supplement to a Registration Statement or a Prospectus or any document which is to be incorporated by reference into a Registration Statement or a Prospectus, of which the Initial Purchasers and their counsel (and, in the case of a Shelf Registration Statement, the Holders and their counsel) shall not have previously been advised and furnished a copy or to which the Initial Purchasers or their counsel (and, in the case of a Shelf Registration Statement, the Holders or their counsel) shall object, unless the Company and its counsel reasonably determine that it is required by law to file such amendment or supplement;</w:t>
      </w:r>
    </w:p>
    <w:p>
      <w:pPr>
        <w:spacing w:after="0" w:line="276" w:lineRule="exact"/>
        <w:rPr>
          <w:rFonts w:ascii="Courier New" w:cs="Courier New" w:eastAsia="Courier New" w:hAnsi="Courier New"/>
          <w:sz w:val="15"/>
          <w:szCs w:val="15"/>
          <w:color w:val="auto"/>
        </w:rPr>
      </w:pPr>
    </w:p>
    <w:p>
      <w:pPr>
        <w:ind w:right="3379" w:firstLine="465"/>
        <w:spacing w:after="0" w:line="293" w:lineRule="auto"/>
        <w:tabs>
          <w:tab w:leader="none" w:pos="84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 CUSIP number for all Exchange Securities or Registrable Securities, as the case may be, not later than the effective date of a Registration Statement;</w:t>
      </w:r>
    </w:p>
    <w:p>
      <w:pPr>
        <w:spacing w:after="0" w:line="57" w:lineRule="exact"/>
        <w:rPr>
          <w:rFonts w:ascii="Courier New" w:cs="Courier New" w:eastAsia="Courier New" w:hAnsi="Courier New"/>
          <w:sz w:val="16"/>
          <w:szCs w:val="16"/>
          <w:color w:val="auto"/>
        </w:rPr>
      </w:pPr>
    </w:p>
    <w:p>
      <w:pPr>
        <w:ind w:right="2819" w:firstLine="465"/>
        <w:spacing w:after="0" w:line="254" w:lineRule="auto"/>
        <w:tabs>
          <w:tab w:leader="none" w:pos="84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the Indenture to be qualified under the Trust Indenture Act of 1939, as amended (the "TIA"), in connection with the registration of the Exchange Securities or Registrable Securities, as the case may be, cooperate with the Trustee and the Holders to effect such changes to the Indenture as may be required for the Indenture to be so qualified in accordance with the terms of the TIA and execute, and use its reasonable best efforts to cause the Trustee to execute, all documents as may be required to effect such changes and all other forms</w:t>
      </w:r>
    </w:p>
    <w:p>
      <w:pPr>
        <w:sectPr>
          <w:pgSz w:w="11900" w:h="16838" w:orient="portrait"/>
          <w:cols w:equalWidth="0" w:num="1">
            <w:col w:w="10219"/>
          </w:cols>
          <w:pgMar w:left="240" w:top="631" w:right="1440" w:bottom="1440" w:gutter="0" w:footer="0" w:header="0"/>
        </w:sectPr>
      </w:pPr>
    </w:p>
    <w:bookmarkStart w:id="43" w:name="page44"/>
    <w:bookmarkEnd w:id="43"/>
    <w:p>
      <w:pPr>
        <w:jc w:val="right"/>
        <w:ind w:right="2719"/>
        <w:spacing w:after="0"/>
        <w:rPr>
          <w:sz w:val="20"/>
          <w:szCs w:val="20"/>
          <w:color w:val="auto"/>
        </w:rPr>
      </w:pPr>
      <w:r>
        <w:rPr>
          <w:rFonts w:ascii="Courier New" w:cs="Courier New" w:eastAsia="Courier New" w:hAnsi="Courier New"/>
          <w:sz w:val="16"/>
          <w:szCs w:val="16"/>
          <w:color w:val="auto"/>
        </w:rPr>
        <w:t>11</w:t>
      </w:r>
    </w:p>
    <w:p>
      <w:pPr>
        <w:spacing w:after="0" w:line="179" w:lineRule="exact"/>
        <w:rPr>
          <w:sz w:val="20"/>
          <w:szCs w:val="20"/>
          <w:color w:val="auto"/>
        </w:rPr>
      </w:pPr>
    </w:p>
    <w:p>
      <w:pPr>
        <w:ind w:right="2999"/>
        <w:spacing w:after="0" w:line="348" w:lineRule="auto"/>
        <w:rPr>
          <w:sz w:val="20"/>
          <w:szCs w:val="20"/>
          <w:color w:val="auto"/>
        </w:rPr>
      </w:pPr>
      <w:r>
        <w:rPr>
          <w:rFonts w:ascii="Courier New" w:cs="Courier New" w:eastAsia="Courier New" w:hAnsi="Courier New"/>
          <w:sz w:val="16"/>
          <w:szCs w:val="16"/>
          <w:color w:val="auto"/>
        </w:rPr>
        <w:t>and documents required to be filed with the SEC to enable the Indenture to be so qualified in a timely manner;</w:t>
      </w:r>
    </w:p>
    <w:p>
      <w:pPr>
        <w:spacing w:after="0" w:line="15" w:lineRule="exact"/>
        <w:rPr>
          <w:sz w:val="20"/>
          <w:szCs w:val="20"/>
          <w:color w:val="auto"/>
        </w:rPr>
      </w:pPr>
    </w:p>
    <w:p>
      <w:pPr>
        <w:ind w:right="2819" w:firstLine="465"/>
        <w:spacing w:after="0" w:line="252" w:lineRule="auto"/>
        <w:tabs>
          <w:tab w:leader="none" w:pos="84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Shelf Registration, make available for inspection by a representative of the Holders of the Registrable Securities, any Underwriter participating in any disposition pursuant to such Shelf Registration Statement, and attorneys and accountants designated by the Holders, at reasonable times and in a reasonable manner, all financial and other records, pertinent documents and properties of the Company, and cause the respective officers, directors and employees of the Company to supply all information reasonably requested by any such representative, Underwriter, attorney or accountant in connection with a Shelf Registration Statement;</w:t>
      </w:r>
    </w:p>
    <w:p>
      <w:pPr>
        <w:spacing w:after="0" w:line="90" w:lineRule="exact"/>
        <w:rPr>
          <w:rFonts w:ascii="Courier New" w:cs="Courier New" w:eastAsia="Courier New" w:hAnsi="Courier New"/>
          <w:sz w:val="16"/>
          <w:szCs w:val="16"/>
          <w:color w:val="auto"/>
        </w:rPr>
      </w:pPr>
    </w:p>
    <w:p>
      <w:pPr>
        <w:ind w:right="2999" w:firstLine="465"/>
        <w:spacing w:after="0" w:line="260" w:lineRule="auto"/>
        <w:tabs>
          <w:tab w:leader="none" w:pos="84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Shelf Registration, if similar securities issued by the Company are then listed on any securities exchange or any automated quotation system, use its reasonable best efforts to cause all Registrable Securities to be listed on such securities exchange or automated quotation system if requested by the Majority Holders, to the extent such Registrable Securities satisfy applicable listing requirements;</w:t>
      </w:r>
    </w:p>
    <w:p>
      <w:pPr>
        <w:spacing w:after="0" w:line="84" w:lineRule="exact"/>
        <w:rPr>
          <w:rFonts w:ascii="Courier New" w:cs="Courier New" w:eastAsia="Courier New" w:hAnsi="Courier New"/>
          <w:sz w:val="16"/>
          <w:szCs w:val="16"/>
          <w:color w:val="auto"/>
        </w:rPr>
      </w:pPr>
    </w:p>
    <w:p>
      <w:pPr>
        <w:ind w:right="3099" w:firstLine="465"/>
        <w:spacing w:after="0" w:line="275" w:lineRule="auto"/>
        <w:tabs>
          <w:tab w:leader="none" w:pos="84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reasonable best efforts to cause the Exchange Securities or Registrable Securities, as the case may be, to be rated by two nationally recognized statistical rating organizations (as such term is defined in Rule 436(g)(2) under the 1933 Act);</w:t>
      </w:r>
    </w:p>
    <w:p>
      <w:pPr>
        <w:spacing w:after="0" w:line="71" w:lineRule="exact"/>
        <w:rPr>
          <w:rFonts w:ascii="Courier New" w:cs="Courier New" w:eastAsia="Courier New" w:hAnsi="Courier New"/>
          <w:sz w:val="16"/>
          <w:szCs w:val="16"/>
          <w:color w:val="auto"/>
        </w:rPr>
      </w:pPr>
    </w:p>
    <w:p>
      <w:pPr>
        <w:ind w:right="2819" w:firstLine="465"/>
        <w:spacing w:after="0" w:line="257" w:lineRule="auto"/>
        <w:tabs>
          <w:tab w:leader="none" w:pos="84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reasonably requested by any Holder of Registrable Securities covered by a Registration Statement, (i) promptly incorporate in a Prospectus supplement or post-effective amendment such information with respect to such Holder as such Holder reasonably requests to be included therein and (ii) make all required filings of such Prospectus supplement or such post-effective amendment as soon as the Company has received notification of the matters to be incorporated in such filing; and</w:t>
      </w:r>
    </w:p>
    <w:p>
      <w:pPr>
        <w:spacing w:after="0" w:line="84" w:lineRule="exact"/>
        <w:rPr>
          <w:rFonts w:ascii="Courier New" w:cs="Courier New" w:eastAsia="Courier New" w:hAnsi="Courier New"/>
          <w:sz w:val="16"/>
          <w:szCs w:val="16"/>
          <w:color w:val="auto"/>
        </w:rPr>
      </w:pPr>
    </w:p>
    <w:p>
      <w:pPr>
        <w:ind w:right="2819" w:firstLine="465"/>
        <w:spacing w:after="0" w:line="244" w:lineRule="auto"/>
        <w:tabs>
          <w:tab w:leader="none" w:pos="84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Shelf Registration, enter into such customary agreements and take all such other actions in connection therewith (including those requested by the Majority Holders of the Registrable Securities being sold) in order to expedite or facilitate the disposition of such Registrable Securities including, but not limited to, an Underwritten Offering and in such connection, (i) to the extent possible, make such representations and warranties to the Holders and any Underwriters of such Registrable Securities with respect to the business of the Company and its subsidiaries, the Registration Statement, Prospectus and documents incorporated by reference or deemed incorporated by reference, if any, in each case, in form, substance, and scope as are customarily made by issuers to underwriters in underwritten offerings and confirm the same, if and when reasonably requested, (ii) obtain opinions of counsel to the Company (which counsel and opinions, in form, scope and substance, shall be reasonably satisfactory to the Holders and such Underwriters and their respective counsel) addressed to each selling Holder and Underwriter of Registrable Securities, covering the matters customarily covered in opinions requested in underwritten offerings, (iii) obtain "cold comfort" letters from the independent certified public accountants of the Company (and, if necessary, any other certified public</w:t>
      </w:r>
    </w:p>
    <w:p>
      <w:pPr>
        <w:sectPr>
          <w:pgSz w:w="11900" w:h="16838" w:orient="portrait"/>
          <w:cols w:equalWidth="0" w:num="1">
            <w:col w:w="10219"/>
          </w:cols>
          <w:pgMar w:left="240" w:top="631" w:right="1440" w:bottom="1440" w:gutter="0" w:footer="0" w:header="0"/>
        </w:sectPr>
      </w:pPr>
    </w:p>
    <w:bookmarkStart w:id="44" w:name="page45"/>
    <w:bookmarkEnd w:id="44"/>
    <w:p>
      <w:pPr>
        <w:ind w:left="7320"/>
        <w:spacing w:after="0"/>
        <w:rPr>
          <w:sz w:val="20"/>
          <w:szCs w:val="20"/>
          <w:color w:val="auto"/>
        </w:rPr>
      </w:pPr>
      <w:r>
        <w:rPr>
          <w:rFonts w:ascii="Courier New" w:cs="Courier New" w:eastAsia="Courier New" w:hAnsi="Courier New"/>
          <w:sz w:val="15"/>
          <w:szCs w:val="15"/>
          <w:color w:val="auto"/>
        </w:rPr>
        <w:t>12</w:t>
      </w:r>
    </w:p>
    <w:p>
      <w:pPr>
        <w:spacing w:after="0" w:line="191" w:lineRule="exact"/>
        <w:rPr>
          <w:sz w:val="20"/>
          <w:szCs w:val="20"/>
          <w:color w:val="auto"/>
        </w:rPr>
      </w:pPr>
    </w:p>
    <w:p>
      <w:pPr>
        <w:ind w:right="2819"/>
        <w:spacing w:after="0" w:line="266" w:lineRule="auto"/>
        <w:rPr>
          <w:sz w:val="20"/>
          <w:szCs w:val="20"/>
          <w:color w:val="auto"/>
        </w:rPr>
      </w:pPr>
      <w:r>
        <w:rPr>
          <w:rFonts w:ascii="Courier New" w:cs="Courier New" w:eastAsia="Courier New" w:hAnsi="Courier New"/>
          <w:sz w:val="15"/>
          <w:szCs w:val="15"/>
          <w:color w:val="auto"/>
        </w:rPr>
        <w:t>accountant of any subsidiary of the Company, or of any business acquired by the Company for which financial statements and financial data are or are required to be included in the Registration Statement) addressed to each selling Holder and Underwriter of Registrable Securities, such letters to be in customary form and covering matters of the type customarily covered in "cold comfort" letters in connection with underwritten offerings, and (v) deliver such documents and certificates as may be reasonably requested by the Majority Holders in principal amount of the Registrable Securities being sold or the Underwriters, and which are customarily delivered in underwritten offerings, to evidence the continued validity of the representations and warranties of the Company made pursuant to clause (i) above and to evidence compliance with any customary conditions contained in an underwriting agreement.</w:t>
      </w:r>
    </w:p>
    <w:p>
      <w:pPr>
        <w:spacing w:after="0" w:line="85" w:lineRule="exact"/>
        <w:rPr>
          <w:sz w:val="20"/>
          <w:szCs w:val="20"/>
          <w:color w:val="auto"/>
        </w:rPr>
      </w:pPr>
    </w:p>
    <w:p>
      <w:pPr>
        <w:ind w:right="2899" w:firstLine="469"/>
        <w:spacing w:after="0" w:line="266" w:lineRule="auto"/>
        <w:rPr>
          <w:sz w:val="20"/>
          <w:szCs w:val="20"/>
          <w:color w:val="auto"/>
        </w:rPr>
      </w:pPr>
      <w:r>
        <w:rPr>
          <w:rFonts w:ascii="Courier New" w:cs="Courier New" w:eastAsia="Courier New" w:hAnsi="Courier New"/>
          <w:sz w:val="16"/>
          <w:szCs w:val="16"/>
          <w:color w:val="auto"/>
        </w:rPr>
        <w:t>In the case of a Shelf Registration Statement, the Company may require each Holder of Registrable Securities to furnish to the Company such information regarding the Holder and the proposed distribution by such Holder of such Registrable Securities as the Company may from time to time reasonably request in writing.</w:t>
      </w:r>
    </w:p>
    <w:p>
      <w:pPr>
        <w:spacing w:after="0" w:line="78" w:lineRule="exact"/>
        <w:rPr>
          <w:sz w:val="20"/>
          <w:szCs w:val="20"/>
          <w:color w:val="auto"/>
        </w:rPr>
      </w:pPr>
    </w:p>
    <w:p>
      <w:pPr>
        <w:ind w:right="2819" w:firstLine="469"/>
        <w:spacing w:after="0" w:line="244" w:lineRule="auto"/>
        <w:rPr>
          <w:sz w:val="20"/>
          <w:szCs w:val="20"/>
          <w:color w:val="auto"/>
        </w:rPr>
      </w:pPr>
      <w:r>
        <w:rPr>
          <w:rFonts w:ascii="Courier New" w:cs="Courier New" w:eastAsia="Courier New" w:hAnsi="Courier New"/>
          <w:sz w:val="16"/>
          <w:szCs w:val="16"/>
          <w:color w:val="auto"/>
        </w:rPr>
        <w:t>In the case of a Shelf Registration Statement, each Holder agrees that, upon receipt of any notice from the Company of the happening of any event of the kind described in Section 3(e)(v) hereof, such Holder will forthwith discontinue disposition of Registrable Securities pursuant to a Registration Statement until such Holder's receipt of the copies of the supplemented or amended Prospectus contemplated by Section 3(i) hereof, and, if so directed by the Company, such Holder will deliver to the Company (at its expense) all copies in its possession, other than permanent file copies then in such Holder's possession, of the Prospectus covering such Registrable Securities current at the time of receipt of such notice. If the Company shall give any such notice to suspend the disposition of Registrable Securities pursuant to a Registration Statement, the Company shall extend the period during which the Registration Statement shall be maintained effective pursuant to this Agreement by the number of days during the period from and including the date of the giving of such notice to and including the date when the Holders shall have received copies of the supplemented or amended Prospectus necessary to resume such dispositions. The Company may not give any such notice more than once during any three month period or more than three times in any twelve month period and the period in which the disposition of Registrable Securities is suspended shall not exceed 30 days.</w:t>
      </w:r>
    </w:p>
    <w:p>
      <w:pPr>
        <w:spacing w:after="0" w:line="102" w:lineRule="exact"/>
        <w:rPr>
          <w:sz w:val="20"/>
          <w:szCs w:val="20"/>
          <w:color w:val="auto"/>
        </w:rPr>
      </w:pPr>
    </w:p>
    <w:p>
      <w:pPr>
        <w:ind w:right="2819" w:firstLine="469"/>
        <w:spacing w:after="0" w:line="260" w:lineRule="auto"/>
        <w:rPr>
          <w:sz w:val="20"/>
          <w:szCs w:val="20"/>
          <w:color w:val="auto"/>
        </w:rPr>
      </w:pPr>
      <w:r>
        <w:rPr>
          <w:rFonts w:ascii="Courier New" w:cs="Courier New" w:eastAsia="Courier New" w:hAnsi="Courier New"/>
          <w:sz w:val="16"/>
          <w:szCs w:val="16"/>
          <w:color w:val="auto"/>
        </w:rPr>
        <w:t>The Holders of Registrable Securities covered by a Shelf Registration Statement who desire to do so may sell such Registrable Securities in an Underwritten Offering. In any such Underwritten Offering, the investment banker or investment bankers and manager or managers (the "Underwriters") that will administer the offering will be selected by the Majority Holders of the Registrable Securities included in such offering.</w:t>
      </w:r>
    </w:p>
    <w:p>
      <w:pPr>
        <w:spacing w:after="0" w:line="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4. Participation of Broker-Dealers in Exchange Offer.</w:t>
      </w:r>
    </w:p>
    <w:p>
      <w:pPr>
        <w:spacing w:after="0" w:line="179" w:lineRule="exact"/>
        <w:rPr>
          <w:sz w:val="20"/>
          <w:szCs w:val="20"/>
          <w:color w:val="auto"/>
        </w:rPr>
      </w:pPr>
    </w:p>
    <w:p>
      <w:pPr>
        <w:ind w:right="2819" w:firstLine="465"/>
        <w:spacing w:after="0" w:line="275" w:lineRule="auto"/>
        <w:tabs>
          <w:tab w:leader="none" w:pos="84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Staff of the SEC has taken the position that any broker-dealer that receives Exchange Securities for its own account in the Exchange Offer in exchange for Securities that were acquired by such broker-dealer as a result of market-making or other trading</w:t>
      </w:r>
    </w:p>
    <w:p>
      <w:pPr>
        <w:sectPr>
          <w:pgSz w:w="11900" w:h="16838" w:orient="portrait"/>
          <w:cols w:equalWidth="0" w:num="1">
            <w:col w:w="10219"/>
          </w:cols>
          <w:pgMar w:left="240" w:top="631" w:right="1440" w:bottom="1440" w:gutter="0" w:footer="0" w:header="0"/>
        </w:sectPr>
      </w:pPr>
    </w:p>
    <w:bookmarkStart w:id="45" w:name="page46"/>
    <w:bookmarkEnd w:id="45"/>
    <w:p>
      <w:pPr>
        <w:jc w:val="right"/>
        <w:ind w:right="2719"/>
        <w:spacing w:after="0"/>
        <w:rPr>
          <w:sz w:val="20"/>
          <w:szCs w:val="20"/>
          <w:color w:val="auto"/>
        </w:rPr>
      </w:pPr>
      <w:r>
        <w:rPr>
          <w:rFonts w:ascii="Courier New" w:cs="Courier New" w:eastAsia="Courier New" w:hAnsi="Courier New"/>
          <w:sz w:val="16"/>
          <w:szCs w:val="16"/>
          <w:color w:val="auto"/>
        </w:rPr>
        <w:t>13</w:t>
      </w:r>
    </w:p>
    <w:p>
      <w:pPr>
        <w:spacing w:after="0" w:line="179" w:lineRule="exact"/>
        <w:rPr>
          <w:sz w:val="20"/>
          <w:szCs w:val="20"/>
          <w:color w:val="auto"/>
        </w:rPr>
      </w:pPr>
    </w:p>
    <w:p>
      <w:pPr>
        <w:ind w:right="2899"/>
        <w:spacing w:after="0" w:line="275" w:lineRule="auto"/>
        <w:rPr>
          <w:sz w:val="20"/>
          <w:szCs w:val="20"/>
          <w:color w:val="auto"/>
        </w:rPr>
      </w:pPr>
      <w:r>
        <w:rPr>
          <w:rFonts w:ascii="Courier New" w:cs="Courier New" w:eastAsia="Courier New" w:hAnsi="Courier New"/>
          <w:sz w:val="16"/>
          <w:szCs w:val="16"/>
          <w:color w:val="auto"/>
        </w:rPr>
        <w:t>activities (a "Participating Broker-Dealer"), may be deemed to be an "underwriter" within the meaning of the 1933 Act and must deliver a Prospectus meeting the requirements of the 1933 Act in connection with any resale of such Exchange Securities.</w:t>
      </w:r>
    </w:p>
    <w:p>
      <w:pPr>
        <w:spacing w:after="0" w:line="71" w:lineRule="exact"/>
        <w:rPr>
          <w:sz w:val="20"/>
          <w:szCs w:val="20"/>
          <w:color w:val="auto"/>
        </w:rPr>
      </w:pPr>
    </w:p>
    <w:p>
      <w:pPr>
        <w:ind w:right="2819" w:firstLine="469"/>
        <w:spacing w:after="0" w:line="251" w:lineRule="auto"/>
        <w:rPr>
          <w:sz w:val="20"/>
          <w:szCs w:val="20"/>
          <w:color w:val="auto"/>
        </w:rPr>
      </w:pPr>
      <w:r>
        <w:rPr>
          <w:rFonts w:ascii="Courier New" w:cs="Courier New" w:eastAsia="Courier New" w:hAnsi="Courier New"/>
          <w:sz w:val="16"/>
          <w:szCs w:val="16"/>
          <w:color w:val="auto"/>
        </w:rPr>
        <w:t>The Company understands that it is the Staff's position that if the Prospectus contained in the Exchange Offer Registration Statement includes a plan of distribution containing a statement to the above effect and the means by which Participating Broker-Dealers may resell the Exchange Securities, without naming the Participating Broker-Dealers or specifying the amount of Exchange Securities owned by them, such Prospectus may be delivered by Participating Broker-Dealers to satisfy their Prospectus delivery obligation under the 1933 Act in connection with resales of Exchange Securities for their own accounts, so long as the Prospectus otherwise meets the requirements of the 1933 Act.</w:t>
      </w:r>
    </w:p>
    <w:p>
      <w:pPr>
        <w:spacing w:after="0" w:line="89" w:lineRule="exact"/>
        <w:rPr>
          <w:sz w:val="20"/>
          <w:szCs w:val="20"/>
          <w:color w:val="auto"/>
        </w:rPr>
      </w:pPr>
    </w:p>
    <w:p>
      <w:pPr>
        <w:ind w:right="2819" w:firstLine="465"/>
        <w:spacing w:after="0" w:line="252" w:lineRule="auto"/>
        <w:tabs>
          <w:tab w:leader="none" w:pos="84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light of the above, notwithstanding the other provisions of this Agreement, the Company agrees that the provisions of this Agreement as they relate to a Shelf Registration shall also apply to an Exchange Offer Registration to the extent, and with such reasonable modifications thereto as may be reasonably requested by the Initial Purchasers or by one or more Participating Broker-Dealers, in each case as provided in clause (ii) below, in order to expedite or facilitate the disposition of any Exchange Securities by Participating Broker-Dealers consistent with the positions of the Staff recited in Section 4(a) above; provided that:</w:t>
      </w:r>
    </w:p>
    <w:p>
      <w:pPr>
        <w:spacing w:after="0" w:line="90" w:lineRule="exact"/>
        <w:rPr>
          <w:rFonts w:ascii="Courier New" w:cs="Courier New" w:eastAsia="Courier New" w:hAnsi="Courier New"/>
          <w:sz w:val="16"/>
          <w:szCs w:val="16"/>
          <w:color w:val="auto"/>
        </w:rPr>
      </w:pPr>
    </w:p>
    <w:p>
      <w:pPr>
        <w:ind w:left="460" w:right="2819" w:firstLine="474"/>
        <w:spacing w:after="0" w:line="254" w:lineRule="auto"/>
        <w:tabs>
          <w:tab w:leader="none" w:pos="1304"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amend or supplement the Prospectus contained in the Exchange Offer Registration Statement, as would otherwise be contemplated by Section 3(i), after 180 days after the last Exchange Date (as such period may be extended pursuant to the penultimate paragraph of Section 3 of this Agreement) and Participating Broker-Dealers shall not be authorized by the Company to deliver and shall not deliver such Prospectus after such period in connection with the resales contemplated by this Section 4; and</w:t>
      </w:r>
    </w:p>
    <w:p>
      <w:pPr>
        <w:spacing w:after="0" w:line="88" w:lineRule="exact"/>
        <w:rPr>
          <w:rFonts w:ascii="Courier New" w:cs="Courier New" w:eastAsia="Courier New" w:hAnsi="Courier New"/>
          <w:sz w:val="16"/>
          <w:szCs w:val="16"/>
          <w:color w:val="auto"/>
        </w:rPr>
      </w:pPr>
    </w:p>
    <w:p>
      <w:pPr>
        <w:ind w:left="460" w:right="2819" w:firstLine="474"/>
        <w:spacing w:after="0" w:line="245" w:lineRule="auto"/>
        <w:tabs>
          <w:tab w:leader="none" w:pos="1398"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application of the Shelf Registration procedures set forth in Section 3 of this Agreement to an Exchange Offer Registration, to the extent not required by the positions of the Staff of the SEC or the 1933 Act and the rules and regulations thereunder, will be in conformity with the reasonable request to the Company by the Initial Purchasers or with the reasonable request in writing to the Company by one or more broker-dealers who certify to the Initial Purchasers and the Company in writing that they anticipate that they will be Participating Broker-Dealers; and provided further that, in connection with such application of the Shelf Registration procedures set forth in Section 3 to an Exchange Offer Registration, the Company shall be obligated (x) to deal only with one entity representing the Participating Broker-Dealers, which shall be Morgan Stanley &amp; Co. Incorporated unless it elects not to act as such representative, (y) to pay the fees and expenses of only one counsel representing the Participating Broker-Dealers, which may be counsel to the Initial Purchasers and (z) to cause to be delivered only one, if any, "cold comfort" letter with respect to the Prospectus in the form existing on the last</w:t>
      </w:r>
    </w:p>
    <w:p>
      <w:pPr>
        <w:sectPr>
          <w:pgSz w:w="11900" w:h="16838" w:orient="portrait"/>
          <w:cols w:equalWidth="0" w:num="1">
            <w:col w:w="10219"/>
          </w:cols>
          <w:pgMar w:left="240" w:top="631" w:right="1440" w:bottom="1440" w:gutter="0" w:footer="0" w:header="0"/>
        </w:sectPr>
      </w:pPr>
    </w:p>
    <w:bookmarkStart w:id="46" w:name="page47"/>
    <w:bookmarkEnd w:id="46"/>
    <w:p>
      <w:pPr>
        <w:ind w:left="6860"/>
        <w:spacing w:after="0"/>
        <w:rPr>
          <w:sz w:val="20"/>
          <w:szCs w:val="20"/>
          <w:color w:val="auto"/>
        </w:rPr>
      </w:pPr>
      <w:r>
        <w:rPr>
          <w:rFonts w:ascii="Courier New" w:cs="Courier New" w:eastAsia="Courier New" w:hAnsi="Courier New"/>
          <w:sz w:val="15"/>
          <w:szCs w:val="15"/>
          <w:color w:val="auto"/>
        </w:rPr>
        <w:t>14</w:t>
      </w:r>
    </w:p>
    <w:p>
      <w:pPr>
        <w:spacing w:after="0" w:line="191" w:lineRule="exact"/>
        <w:rPr>
          <w:sz w:val="20"/>
          <w:szCs w:val="20"/>
          <w:color w:val="auto"/>
        </w:rPr>
      </w:pPr>
    </w:p>
    <w:p>
      <w:pPr>
        <w:ind w:right="2819"/>
        <w:spacing w:after="0" w:line="382" w:lineRule="auto"/>
        <w:rPr>
          <w:sz w:val="20"/>
          <w:szCs w:val="20"/>
          <w:color w:val="auto"/>
        </w:rPr>
      </w:pPr>
      <w:r>
        <w:rPr>
          <w:rFonts w:ascii="Courier New" w:cs="Courier New" w:eastAsia="Courier New" w:hAnsi="Courier New"/>
          <w:sz w:val="15"/>
          <w:szCs w:val="15"/>
          <w:color w:val="auto"/>
        </w:rPr>
        <w:t>Exchange Date and with respect to each subsequent amendment or supplement, if any, effected during the period specified in clause (i) above.</w:t>
      </w:r>
    </w:p>
    <w:p>
      <w:pPr>
        <w:ind w:left="-460" w:right="2999" w:firstLine="465"/>
        <w:spacing w:after="0" w:line="293" w:lineRule="auto"/>
        <w:tabs>
          <w:tab w:leader="none" w:pos="384"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Purchasers shall have no liability to the Company or any Holder with respect to any request that it may make pursuant to Section 4(b) above.</w:t>
      </w:r>
    </w:p>
    <w:p>
      <w:pPr>
        <w:spacing w:after="0" w:line="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Indemnification and Contribution.</w:t>
      </w:r>
    </w:p>
    <w:p>
      <w:pPr>
        <w:spacing w:after="0" w:line="179" w:lineRule="exact"/>
        <w:rPr>
          <w:sz w:val="20"/>
          <w:szCs w:val="20"/>
          <w:color w:val="auto"/>
        </w:rPr>
      </w:pPr>
    </w:p>
    <w:p>
      <w:pPr>
        <w:ind w:left="-460" w:right="2819" w:firstLine="465"/>
        <w:spacing w:after="0" w:line="257" w:lineRule="auto"/>
        <w:tabs>
          <w:tab w:leader="none" w:pos="38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indemnify and hold harmless the Initial Purchasers, each Holder and each Person, if any, who controls any Initial Purchaser or any Holder within the meaning of either Section 15 of the 1933 Act or Section 20 of the 1934 Act, or is under common control with, or is controlled by, any Initial Purchaser or any Holder, from and against all losses, claims, damages and liabilities (including, without limitation, any legal or other expenses reasonably incurred by the Initial Purchasers, any Holder or any such controlling or affiliated Person in connection with defending or investigating any such action or claim) caused by any untrue statement or alleged untrue statement of a material fact contained in any Registration Statement (or any amendment thereto) pursuant to which Exchange Securities or Registrable Securities were registered under the 1933 Act, including all documents incorporated therein by reference, or caused by any omission or alleged omission to state therein a material fact required to be stated therein or necessary to make the statements therein not misleading, or caused by any untrue statement or alleged untrue statement of a material fact contained in any Prospectus (as amended or supplemented if the Company shall have furnished any amendments or supplements thereto), or caused by any omission or alleged omission to state therein a material fact necessary to make the statements therein in light of the circumstances under which they were made not misleading, except insofar as such losses, claims, damages or liabilities are caused by any such untrue statement or omission or alleged untrue statement or omission based upon information relating to the Initial Purchasers or any Holder furnished to the Company in writing by or through Morgan Stanley &amp; Co. Incorporated or any selling Holder expressly for use therein; provided that the Company shall not be liable to any Initial Purchaser, any Holder or any such controlling or affiliated Person to the extent that any such losses, claims, damages or liabilities ("Losses") arise out of or are based upon an untrue statement or alleged untrue statement of a material fact or omission or alleged omission if either (A)(i) such Initial Purchaser or Holder was required by law to send or deliver, and failed to send or deliver, a copy of the Prospectus with or prior to delivery of written confirmation of the sale by such Initial Purchaser or Holder to the person asserting the claims from which such Losses arise and (ii) the Prospectus previously delivered by the Company to the Initial Purchaser would have corrected such untrue statement or alleged untrue statement or omission or alleged omission, (B)(x) such untrue statement or alleged untrue statement or omission or alleged omission is corrected in an amendment to the Prospectus and (y) having been previously furnished by or on behalf of the Company with copies of the Prospectus as so amended or supplemented, such Initial Purchaser or Holder failed to send or deliver a copy of such amendment to the Prospectus with or prior to the delivery of written confirmation of the sale of a Registrable Security to the person asserting the claim from which such Losses arise or (C)(i) such Holder disposed of Registrable Securities to the person asserting the claim from which such Losses arise pursuant to a Registration</w:t>
      </w:r>
    </w:p>
    <w:p>
      <w:pPr>
        <w:sectPr>
          <w:pgSz w:w="11900" w:h="16838" w:orient="portrait"/>
          <w:cols w:equalWidth="0" w:num="1">
            <w:col w:w="9759"/>
          </w:cols>
          <w:pgMar w:left="700" w:top="631" w:right="1440" w:bottom="1440" w:gutter="0" w:footer="0" w:header="0"/>
        </w:sectPr>
      </w:pPr>
    </w:p>
    <w:bookmarkStart w:id="47" w:name="page48"/>
    <w:bookmarkEnd w:id="47"/>
    <w:p>
      <w:pPr>
        <w:jc w:val="right"/>
        <w:ind w:right="2719"/>
        <w:spacing w:after="0"/>
        <w:rPr>
          <w:sz w:val="20"/>
          <w:szCs w:val="20"/>
          <w:color w:val="auto"/>
        </w:rPr>
      </w:pPr>
      <w:r>
        <w:rPr>
          <w:rFonts w:ascii="Courier New" w:cs="Courier New" w:eastAsia="Courier New" w:hAnsi="Courier New"/>
          <w:sz w:val="16"/>
          <w:szCs w:val="16"/>
          <w:color w:val="auto"/>
        </w:rPr>
        <w:t>15</w:t>
      </w:r>
    </w:p>
    <w:p>
      <w:pPr>
        <w:spacing w:after="0" w:line="179" w:lineRule="exact"/>
        <w:rPr>
          <w:sz w:val="20"/>
          <w:szCs w:val="20"/>
          <w:color w:val="auto"/>
        </w:rPr>
      </w:pPr>
    </w:p>
    <w:p>
      <w:pPr>
        <w:ind w:right="2819"/>
        <w:spacing w:after="0" w:line="247" w:lineRule="auto"/>
        <w:rPr>
          <w:sz w:val="20"/>
          <w:szCs w:val="20"/>
          <w:color w:val="auto"/>
        </w:rPr>
      </w:pPr>
      <w:r>
        <w:rPr>
          <w:rFonts w:ascii="Courier New" w:cs="Courier New" w:eastAsia="Courier New" w:hAnsi="Courier New"/>
          <w:sz w:val="16"/>
          <w:szCs w:val="16"/>
          <w:color w:val="auto"/>
        </w:rPr>
        <w:t>Statement and sent or delivered, or was required by law to send or deliver, a Prospectus to such person in connection with such disposition, (ii) such Holder received a suspension notice as provided in Section 3(q) hereof in writing at least four business days prior to the date of such disposition and (iii) such untrue statement or alleged untrue statement or omission or alleged omission was the reason for such suspension notice. In connection with any Underwritten Offering permitted by Section 3, the Company will also indemnify the Underwriters, if any, selling brokers, dealers and similar securities industry professionals participating in the distribution, their officers and directors and each Person who controls such Persons (within the meaning of the 1933 Act and the 1934 Act) to the same extent as provided above with respect to the indemnification of the Holders, if requested in connection with any Registration Statement.</w:t>
      </w:r>
    </w:p>
    <w:p>
      <w:pPr>
        <w:spacing w:after="0" w:line="100" w:lineRule="exact"/>
        <w:rPr>
          <w:sz w:val="20"/>
          <w:szCs w:val="20"/>
          <w:color w:val="auto"/>
        </w:rPr>
      </w:pPr>
    </w:p>
    <w:p>
      <w:pPr>
        <w:ind w:right="2819" w:firstLine="465"/>
        <w:spacing w:after="0" w:line="261" w:lineRule="auto"/>
        <w:tabs>
          <w:tab w:leader="none" w:pos="844"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agrees, severally and not jointly, to indemnify and hold harmless the Company, the Initial Purchasers and the other selling Holders, and each of their respective directors, officers who sign the Registration Statement and each Person, if any, who controls the Company, any Initial Purchasers and any other selling Holder within the meaning of either Section 15 of the 1933 Act or Section 20 of the 1934 Act, or is under common control with, or is controlled by the Company, the Initial Purchasers or any other selling Holder to the same extent as the foregoing indemnity from the Company to the Initial Purchasers and the Holders, but only (i) with reference to information relating to such Holder furnished to the Company in writing by such Holder expressly for use in any Registration Statement (or any amendment thereto) or any Prospectus (or any amendment or supplement thereto) and (ii) with respect to any Losses that may arise as a result of the disposition by such Holder of Registrable Securities to the person asserting the claim from which such Losses arise pursuant to a Registration Statement if such Holder sent or delivered, or was required by law to send or deliver, a Prospectus in connection with such disposition, such Holder received a suspension notice as provided in Section 3(q) hereof in writing at least four business days prior to the date of such disposition and the untrue statement or alleged untrue statement or omission or alleged omission was the reason for the suspension notice.</w:t>
      </w:r>
    </w:p>
    <w:p>
      <w:pPr>
        <w:spacing w:after="0" w:line="92" w:lineRule="exact"/>
        <w:rPr>
          <w:rFonts w:ascii="Courier New" w:cs="Courier New" w:eastAsia="Courier New" w:hAnsi="Courier New"/>
          <w:sz w:val="15"/>
          <w:szCs w:val="15"/>
          <w:color w:val="auto"/>
        </w:rPr>
      </w:pPr>
    </w:p>
    <w:p>
      <w:pPr>
        <w:ind w:right="2819" w:firstLine="465"/>
        <w:spacing w:after="0" w:line="244" w:lineRule="auto"/>
        <w:tabs>
          <w:tab w:leader="none" w:pos="844"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any proceeding (including any governmental investigation) shall be instituted involving any Person in respect of which indemnity may be sought pursuant to either paragraph (a) or paragraph (b) above, such Person (the "indemnified party") shall promptly notify the Person against whom such indemnity may be sought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w:t>
      </w:r>
    </w:p>
    <w:p>
      <w:pPr>
        <w:sectPr>
          <w:pgSz w:w="11900" w:h="16838" w:orient="portrait"/>
          <w:cols w:equalWidth="0" w:num="1">
            <w:col w:w="10219"/>
          </w:cols>
          <w:pgMar w:left="240" w:top="631" w:right="1440" w:bottom="1440" w:gutter="0" w:footer="0" w:header="0"/>
        </w:sectPr>
      </w:pPr>
    </w:p>
    <w:bookmarkStart w:id="48" w:name="page49"/>
    <w:bookmarkEnd w:id="48"/>
    <w:p>
      <w:pPr>
        <w:jc w:val="right"/>
        <w:ind w:right="2819"/>
        <w:spacing w:after="0"/>
        <w:rPr>
          <w:sz w:val="20"/>
          <w:szCs w:val="20"/>
          <w:color w:val="auto"/>
        </w:rPr>
      </w:pPr>
      <w:r>
        <w:rPr>
          <w:rFonts w:ascii="Courier New" w:cs="Courier New" w:eastAsia="Courier New" w:hAnsi="Courier New"/>
          <w:sz w:val="16"/>
          <w:szCs w:val="16"/>
          <w:color w:val="auto"/>
        </w:rPr>
        <w:t>16</w:t>
      </w:r>
    </w:p>
    <w:p>
      <w:pPr>
        <w:spacing w:after="0" w:line="179" w:lineRule="exact"/>
        <w:rPr>
          <w:sz w:val="20"/>
          <w:szCs w:val="20"/>
          <w:color w:val="auto"/>
        </w:rPr>
      </w:pPr>
    </w:p>
    <w:p>
      <w:pPr>
        <w:ind w:right="2819"/>
        <w:spacing w:after="0" w:line="259" w:lineRule="auto"/>
        <w:rPr>
          <w:sz w:val="20"/>
          <w:szCs w:val="20"/>
          <w:color w:val="auto"/>
        </w:rPr>
      </w:pPr>
      <w:r>
        <w:rPr>
          <w:rFonts w:ascii="Courier New" w:cs="Courier New" w:eastAsia="Courier New" w:hAnsi="Courier New"/>
          <w:sz w:val="15"/>
          <w:szCs w:val="15"/>
          <w:color w:val="auto"/>
        </w:rPr>
        <w:t>proceedings in the same jurisdiction, be liable for (a) the fees and expenses of more than one separate firm (in addition to any local counsel) for the Initial Purchasers and all Persons, if any, who control any Initial Purchaser within the meaning of either Section 15 of the 1933 Act or Section 20 of the 1934 Act, (b) the fees and expenses of more than one separate firm (in addition to any local counsel) for the Company, its directors, its officers who sign the Registration Statement and each Person, if any, who controls the Company within the meaning of either such Section and (c) the fees and expenses of more than one separate firm (in addition to any local counsel) for all Holders and all Persons, if any, who control any Holders within the meaning of either such Section, and that all such fees and expenses shall be reimbursed as they are incurred. In such case involving the Initial Purchasers and Persons who control the Initial Purchasers, such firm shall be designated in writing by Morgan Stanley &amp; Co. Incorporated. In such case involving the Holders and such Persons who control Holders, such firm shall be designated in writing by the Majority Holders. In all other cases, such firm shall be designated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such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83" w:lineRule="exact"/>
        <w:rPr>
          <w:sz w:val="20"/>
          <w:szCs w:val="20"/>
          <w:color w:val="auto"/>
        </w:rPr>
      </w:pPr>
    </w:p>
    <w:p>
      <w:pPr>
        <w:ind w:right="2819" w:firstLine="465"/>
        <w:spacing w:after="0" w:line="262" w:lineRule="auto"/>
        <w:tabs>
          <w:tab w:leader="none" w:pos="844"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indemnification provided for in paragraph (a) or paragraph (b) of this Section 5 is unavailable to an indemnified party or insufficient in respect of any losses, claims, damages or liabilities, then each indemnifying party under such paragraph, in lieu of indemnifying such indemnified party thereunder, shall contribute to the amount paid or payable by such indemnified party as a result of such losses, claims, damages or liabilities in such proportion as is appropriate to reflect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fault of the Company and the Holders shall be determined by reference to, among other things, whether the untrue or alleged untrue statement of a material fact or the omission or alleged omission to state a material fact relates to information supplied by the Company or by the Holders and the parties' relative intent, knowledge, access to information and opportunity to correct or prevent such statement or omission. The Holders' respective obligations to contribute pursuant to this Section 5(d) are several in proportion to the respective principal amount of Registrable Securities of such Holder that were registered pursuant to a Registration Statement.</w:t>
      </w:r>
    </w:p>
    <w:p>
      <w:pPr>
        <w:spacing w:after="0" w:line="83" w:lineRule="exact"/>
        <w:rPr>
          <w:rFonts w:ascii="Courier New" w:cs="Courier New" w:eastAsia="Courier New" w:hAnsi="Courier New"/>
          <w:sz w:val="15"/>
          <w:szCs w:val="15"/>
          <w:color w:val="auto"/>
        </w:rPr>
      </w:pPr>
    </w:p>
    <w:p>
      <w:pPr>
        <w:ind w:right="2819" w:firstLine="465"/>
        <w:spacing w:after="0" w:line="266" w:lineRule="auto"/>
        <w:tabs>
          <w:tab w:leader="none" w:pos="84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Holder agree that it would not be just or equitable if contribution pursuant to this Section 5 were determined by pro rata allocation or by any other method of allocation that does not take account of the equitable considerations referred to in paragraph (d) above. The amount paid or payable by an indemnified party as a result of the</w:t>
      </w:r>
    </w:p>
    <w:p>
      <w:pPr>
        <w:sectPr>
          <w:pgSz w:w="11900" w:h="16838" w:orient="portrait"/>
          <w:cols w:equalWidth="0" w:num="1">
            <w:col w:w="10219"/>
          </w:cols>
          <w:pgMar w:left="240" w:top="631" w:right="1440" w:bottom="1440" w:gutter="0" w:footer="0" w:header="0"/>
        </w:sectPr>
      </w:pPr>
    </w:p>
    <w:bookmarkStart w:id="49" w:name="page50"/>
    <w:bookmarkEnd w:id="49"/>
    <w:p>
      <w:pPr>
        <w:jc w:val="right"/>
        <w:ind w:right="2819"/>
        <w:spacing w:after="0"/>
        <w:rPr>
          <w:sz w:val="20"/>
          <w:szCs w:val="20"/>
          <w:color w:val="auto"/>
        </w:rPr>
      </w:pPr>
      <w:r>
        <w:rPr>
          <w:rFonts w:ascii="Courier New" w:cs="Courier New" w:eastAsia="Courier New" w:hAnsi="Courier New"/>
          <w:sz w:val="16"/>
          <w:szCs w:val="16"/>
          <w:color w:val="auto"/>
        </w:rPr>
        <w:t>17</w:t>
      </w:r>
    </w:p>
    <w:p>
      <w:pPr>
        <w:spacing w:after="0" w:line="179" w:lineRule="exact"/>
        <w:rPr>
          <w:sz w:val="20"/>
          <w:szCs w:val="20"/>
          <w:color w:val="auto"/>
        </w:rPr>
      </w:pPr>
    </w:p>
    <w:p>
      <w:pPr>
        <w:ind w:right="2819"/>
        <w:spacing w:after="0" w:line="246" w:lineRule="auto"/>
        <w:rPr>
          <w:sz w:val="20"/>
          <w:szCs w:val="20"/>
          <w:color w:val="auto"/>
        </w:rPr>
      </w:pPr>
      <w:r>
        <w:rPr>
          <w:rFonts w:ascii="Courier New" w:cs="Courier New" w:eastAsia="Courier New" w:hAnsi="Courier New"/>
          <w:sz w:val="16"/>
          <w:szCs w:val="16"/>
          <w:color w:val="auto"/>
        </w:rPr>
        <w:t>losses, claims, damages and liabilities referred to in paragraph (d) above shall be deemed to include, subject to the limitations set forth above, any legal or other expenses reasonably incurred by such indemnified party in connection with investigating or defending any such action or claim. Notwithstanding the provisions of this Section 5, no Holder shall be required to indemnify or contribute any amount in excess of the amount by which the total price at which Registrable Securities were sold by such Holder exceeds the amount of any damages that such Holder has otherwise been required to pay by reason of such untrue or alleged untrue statement or omission or alleged omission. No Person guilty of fraudulent misrepresentation (within the meaning of Section 11(f) of the 1933 Act) shall be entitled to contribution from any Person who was not guilty of such fraudulent misrepresentation. The remedies provided for in this Section 5 are not exclusive and shall not limit any rights or remedies which may otherwise be available to any indemnified party at law or in equity.</w:t>
      </w:r>
    </w:p>
    <w:p>
      <w:pPr>
        <w:spacing w:after="0" w:line="99" w:lineRule="exact"/>
        <w:rPr>
          <w:sz w:val="20"/>
          <w:szCs w:val="20"/>
          <w:color w:val="auto"/>
        </w:rPr>
      </w:pPr>
    </w:p>
    <w:p>
      <w:pPr>
        <w:ind w:right="2819" w:firstLine="469"/>
        <w:spacing w:after="0" w:line="254" w:lineRule="auto"/>
        <w:rPr>
          <w:sz w:val="20"/>
          <w:szCs w:val="20"/>
          <w:color w:val="auto"/>
        </w:rPr>
      </w:pPr>
      <w:r>
        <w:rPr>
          <w:rFonts w:ascii="Courier New" w:cs="Courier New" w:eastAsia="Courier New" w:hAnsi="Courier New"/>
          <w:sz w:val="16"/>
          <w:szCs w:val="16"/>
          <w:color w:val="auto"/>
        </w:rPr>
        <w:t>The indemnity and contribution provisions contained in this Section 5 shall remain operative and in full force and effect regardless of (i) any termination of this Agreement, (ii) any investigation made by or on behalf of the Initial Purchasers, any Holder or any Person controlling any Initial Purchaser or any Holder, or by or on behalf of the Company, its officers or directors or any Person controlling the Company, (iii) acceptance of any of the Exchange Securities and (iv) any sale of Registrable Securities pursuant to a Shelf Registration Statement.</w:t>
      </w:r>
    </w:p>
    <w:p>
      <w:pPr>
        <w:spacing w:after="0" w:line="8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6. Miscellaneous.</w:t>
      </w:r>
    </w:p>
    <w:p>
      <w:pPr>
        <w:spacing w:after="0" w:line="179" w:lineRule="exact"/>
        <w:rPr>
          <w:sz w:val="20"/>
          <w:szCs w:val="20"/>
          <w:color w:val="auto"/>
        </w:rPr>
      </w:pPr>
    </w:p>
    <w:p>
      <w:pPr>
        <w:ind w:right="2819" w:firstLine="465"/>
        <w:spacing w:after="0" w:line="261" w:lineRule="auto"/>
        <w:tabs>
          <w:tab w:leader="none" w:pos="84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144 and Rule 144A. For so long as the Company is subject to the reporting requirements of Section 13 or 15 of the 1934 Act, the Company covenants that it will file the reports required to be filed by it under the 1933 Act and Section 13(a) or 15(d) of the 1934 Act and the rules and regulations adopted by the SEC thereunder. If the Company ceases to be so required to file such reports, the Company covenants that it will upon the request of any Holder of Registrable Securities (a) make publicly available such information as is necessary to permit sales pursuant to Rule 144 under the 1933 Act, (b) deliver such information to a prospective purchaser as is necessary to permit sales pursuant to Rule 144A under the 1933 Act and it will take such further action as any Holder of Registrable Securities may reasonably request, and (c) take such further action that is reasonable in the circumstances, in each case, to the extent required from time to time to enable such Holder to sell its Registrable Securities without registration under the 1933 Act within the limitation of the exemptions provided by (i) Rule 144 under the 1933 Act, as such Rule may be amended from time to time, (ii) Rule 144A under the 1933 Act, as such Rule may be amended from time to time, or (iii) any similar rules or regulations hereafter adopted by the SEC. Upon the request of any Holder of Registrable Securities, the Company will deliver to such Holder a written statement as to whether it has complied with such requirements.</w:t>
      </w:r>
    </w:p>
    <w:p>
      <w:pPr>
        <w:spacing w:after="0" w:line="276" w:lineRule="exact"/>
        <w:rPr>
          <w:rFonts w:ascii="Courier New" w:cs="Courier New" w:eastAsia="Courier New" w:hAnsi="Courier New"/>
          <w:sz w:val="15"/>
          <w:szCs w:val="15"/>
          <w:color w:val="auto"/>
        </w:rPr>
      </w:pPr>
    </w:p>
    <w:p>
      <w:pPr>
        <w:ind w:right="2819" w:firstLine="465"/>
        <w:spacing w:after="0" w:line="266" w:lineRule="auto"/>
        <w:tabs>
          <w:tab w:leader="none" w:pos="84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Inconsistent Agreements. The Company has not entered into, and on or after the date of this Agreement will not enter into, any agreement which is inconsistent with the rights granted to the Holders of Registrable Securities in this Agreement or otherwise conflicts with the provisions hereof. The rights granted to the Holders hereunder do not in any</w:t>
      </w:r>
    </w:p>
    <w:p>
      <w:pPr>
        <w:sectPr>
          <w:pgSz w:w="11900" w:h="16838" w:orient="portrait"/>
          <w:cols w:equalWidth="0" w:num="1">
            <w:col w:w="10219"/>
          </w:cols>
          <w:pgMar w:left="240" w:top="631" w:right="1440" w:bottom="1440" w:gutter="0" w:footer="0" w:header="0"/>
        </w:sectPr>
      </w:pPr>
    </w:p>
    <w:bookmarkStart w:id="50" w:name="page51"/>
    <w:bookmarkEnd w:id="50"/>
    <w:p>
      <w:pPr>
        <w:jc w:val="right"/>
        <w:ind w:right="2819"/>
        <w:spacing w:after="0"/>
        <w:rPr>
          <w:sz w:val="20"/>
          <w:szCs w:val="20"/>
          <w:color w:val="auto"/>
        </w:rPr>
      </w:pPr>
      <w:r>
        <w:rPr>
          <w:rFonts w:ascii="Courier New" w:cs="Courier New" w:eastAsia="Courier New" w:hAnsi="Courier New"/>
          <w:sz w:val="16"/>
          <w:szCs w:val="16"/>
          <w:color w:val="auto"/>
        </w:rPr>
        <w:t>18</w:t>
      </w:r>
    </w:p>
    <w:p>
      <w:pPr>
        <w:spacing w:after="0" w:line="179" w:lineRule="exact"/>
        <w:rPr>
          <w:sz w:val="20"/>
          <w:szCs w:val="20"/>
          <w:color w:val="auto"/>
        </w:rPr>
      </w:pPr>
    </w:p>
    <w:p>
      <w:pPr>
        <w:ind w:right="2819"/>
        <w:spacing w:after="0" w:line="293" w:lineRule="auto"/>
        <w:rPr>
          <w:sz w:val="20"/>
          <w:szCs w:val="20"/>
          <w:color w:val="auto"/>
        </w:rPr>
      </w:pPr>
      <w:r>
        <w:rPr>
          <w:rFonts w:ascii="Courier New" w:cs="Courier New" w:eastAsia="Courier New" w:hAnsi="Courier New"/>
          <w:sz w:val="16"/>
          <w:szCs w:val="16"/>
          <w:color w:val="auto"/>
        </w:rPr>
        <w:t>way conflict with and are not inconsistent with the rights granted to the holders of the Company's other issued and outstanding securities under any such agreements.</w:t>
      </w:r>
    </w:p>
    <w:p>
      <w:pPr>
        <w:spacing w:after="0" w:line="58" w:lineRule="exact"/>
        <w:rPr>
          <w:sz w:val="20"/>
          <w:szCs w:val="20"/>
          <w:color w:val="auto"/>
        </w:rPr>
      </w:pPr>
    </w:p>
    <w:p>
      <w:pPr>
        <w:ind w:right="2819" w:firstLine="465"/>
        <w:spacing w:after="0" w:line="251" w:lineRule="auto"/>
        <w:tabs>
          <w:tab w:leader="none" w:pos="844"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and Waivers. The provisions of this Agreement, including the provisions of this sentence, may not be amended, modified or supplemented, and waivers or consents to departures from the provisions hereof may not be given unless the Company has obtained the written consent of Holders of at least a majority in aggregate principal amount of the outstanding Registrable Securities affected by such amendment, modification, supplement, waiver or consent; provided, however, that no amendment, modification, supplement, waiver or consent to any departure from the provisions of Section 5 hereof shall be effective as against any Holder of Registrable Securities unless consented to in writing by such Holder.</w:t>
      </w:r>
    </w:p>
    <w:p>
      <w:pPr>
        <w:spacing w:after="0" w:line="88" w:lineRule="exact"/>
        <w:rPr>
          <w:rFonts w:ascii="Courier New" w:cs="Courier New" w:eastAsia="Courier New" w:hAnsi="Courier New"/>
          <w:sz w:val="16"/>
          <w:szCs w:val="16"/>
          <w:color w:val="auto"/>
        </w:rPr>
      </w:pPr>
    </w:p>
    <w:p>
      <w:pPr>
        <w:ind w:right="2819" w:firstLine="465"/>
        <w:spacing w:after="0" w:line="251" w:lineRule="auto"/>
        <w:tabs>
          <w:tab w:leader="none" w:pos="844"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provided for or permitted hereunder shall be made in writing by hand-delivery, registered first-class mail, telex, telecopier, or any courier guaranteeing overnight delivery (i) if to a Holder, at the most current address given by such Holder to the Company by means of a notice given in accordance with the provisions of this Section 6(d), which address initially is, with respect to the Initial Purchasers, the address listed in the Offering Memorandum; and (ii) if to the Company, initially at the Company's address set forth in the Purchase Agreement and thereafter at such other address, notice of which is given in accordance with the provisions of this Section 6(d).</w:t>
      </w:r>
    </w:p>
    <w:p>
      <w:pPr>
        <w:spacing w:after="0" w:line="89" w:lineRule="exact"/>
        <w:rPr>
          <w:sz w:val="20"/>
          <w:szCs w:val="20"/>
          <w:color w:val="auto"/>
        </w:rPr>
      </w:pPr>
    </w:p>
    <w:p>
      <w:pPr>
        <w:ind w:right="2899" w:firstLine="469"/>
        <w:spacing w:after="0" w:line="260" w:lineRule="auto"/>
        <w:rPr>
          <w:sz w:val="20"/>
          <w:szCs w:val="20"/>
          <w:color w:val="auto"/>
        </w:rPr>
      </w:pPr>
      <w:r>
        <w:rPr>
          <w:rFonts w:ascii="Courier New" w:cs="Courier New" w:eastAsia="Courier New" w:hAnsi="Courier New"/>
          <w:sz w:val="16"/>
          <w:szCs w:val="16"/>
          <w:color w:val="auto"/>
        </w:rPr>
        <w:t>All such notices and communications shall be deemed to have been duly given: at the time delivered by hand, if personally delivered; five business days after being deposited in the mail, postage prepaid, if mailed; when answered back, if telexed; when receipt is acknowledged, if telecopied; and on the next business day if timely delivered to an air courier guaranteeing overnight delivery.</w:t>
      </w:r>
    </w:p>
    <w:p>
      <w:pPr>
        <w:spacing w:after="0" w:line="84" w:lineRule="exact"/>
        <w:rPr>
          <w:sz w:val="20"/>
          <w:szCs w:val="20"/>
          <w:color w:val="auto"/>
        </w:rPr>
      </w:pPr>
    </w:p>
    <w:p>
      <w:pPr>
        <w:ind w:right="3179" w:firstLine="469"/>
        <w:spacing w:after="0" w:line="293" w:lineRule="auto"/>
        <w:rPr>
          <w:sz w:val="20"/>
          <w:szCs w:val="20"/>
          <w:color w:val="auto"/>
        </w:rPr>
      </w:pPr>
      <w:r>
        <w:rPr>
          <w:rFonts w:ascii="Courier New" w:cs="Courier New" w:eastAsia="Courier New" w:hAnsi="Courier New"/>
          <w:sz w:val="16"/>
          <w:szCs w:val="16"/>
          <w:color w:val="auto"/>
        </w:rPr>
        <w:t>Copies of all such notices, demands, or other communications shall be concurrently delivered by the Person giving the same to the Trustee, at the address specified in the Indenture.</w:t>
      </w:r>
    </w:p>
    <w:p>
      <w:pPr>
        <w:spacing w:after="0" w:line="58" w:lineRule="exact"/>
        <w:rPr>
          <w:sz w:val="20"/>
          <w:szCs w:val="20"/>
          <w:color w:val="auto"/>
        </w:rPr>
      </w:pPr>
    </w:p>
    <w:p>
      <w:pPr>
        <w:ind w:right="2819" w:firstLine="465"/>
        <w:spacing w:after="0" w:line="246" w:lineRule="auto"/>
        <w:tabs>
          <w:tab w:leader="none" w:pos="84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This Agreement shall inure to the benefit of and be binding upon the successors, assigns and transferees of each of the parties, including, without limitation and without the need for an express assignment, subsequent Holders; provided that nothing herein shall be deemed to permit any assignment, transfer or other disposition of Registrable Securities in violation of the terms of the Purchase Agreement. If any transferee of any Holder shall acquire Registrable Securities, in any manner, whether by operation of law or otherwise, such Registrable Securities shall be held subject to all of the terms of this Agreement, and by taking and holding such Registrable Securities such Person shall be conclusively deemed to have agreed to be bound by and to perform all of the terms and provisions of this Agreement and such Person shall be entitled to receive the benefits hereof. The Initial Purchasers (in their capacity as Initial Purchasers) shall have no liability or obligation to the Company with respect to any failure by a Holder to comply with, or any breach by any Holder of, any of the obligations of such Holder under this Agreement.</w:t>
      </w:r>
    </w:p>
    <w:p>
      <w:pPr>
        <w:sectPr>
          <w:pgSz w:w="11900" w:h="16838" w:orient="portrait"/>
          <w:cols w:equalWidth="0" w:num="1">
            <w:col w:w="10219"/>
          </w:cols>
          <w:pgMar w:left="240" w:top="631" w:right="1440" w:bottom="1440" w:gutter="0" w:footer="0" w:header="0"/>
        </w:sectPr>
      </w:pPr>
    </w:p>
    <w:bookmarkStart w:id="51" w:name="page52"/>
    <w:bookmarkEnd w:id="51"/>
    <w:p>
      <w:pPr>
        <w:jc w:val="right"/>
        <w:ind w:right="2719"/>
        <w:spacing w:after="0"/>
        <w:rPr>
          <w:sz w:val="20"/>
          <w:szCs w:val="20"/>
          <w:color w:val="auto"/>
        </w:rPr>
      </w:pPr>
      <w:r>
        <w:rPr>
          <w:rFonts w:ascii="Courier New" w:cs="Courier New" w:eastAsia="Courier New" w:hAnsi="Courier New"/>
          <w:sz w:val="16"/>
          <w:szCs w:val="16"/>
          <w:color w:val="auto"/>
        </w:rPr>
        <w:t>19</w:t>
      </w:r>
    </w:p>
    <w:p>
      <w:pPr>
        <w:spacing w:after="0" w:line="179" w:lineRule="exact"/>
        <w:rPr>
          <w:sz w:val="20"/>
          <w:szCs w:val="20"/>
          <w:color w:val="auto"/>
        </w:rPr>
      </w:pPr>
    </w:p>
    <w:p>
      <w:pPr>
        <w:ind w:right="2819" w:firstLine="465"/>
        <w:spacing w:after="0" w:line="275" w:lineRule="auto"/>
        <w:tabs>
          <w:tab w:leader="none" w:pos="84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and Sales of Securities. The Company shall not, and shall use its reasonable best efforts to cause its affiliates (as defined in Rule 405 under the 1933 Act) not to, purchase and then resell or otherwise transfer any Securities.</w:t>
      </w:r>
    </w:p>
    <w:p>
      <w:pPr>
        <w:spacing w:after="0" w:line="71" w:lineRule="exact"/>
        <w:rPr>
          <w:rFonts w:ascii="Courier New" w:cs="Courier New" w:eastAsia="Courier New" w:hAnsi="Courier New"/>
          <w:sz w:val="16"/>
          <w:szCs w:val="16"/>
          <w:color w:val="auto"/>
        </w:rPr>
      </w:pPr>
    </w:p>
    <w:p>
      <w:pPr>
        <w:ind w:right="2899" w:firstLine="465"/>
        <w:spacing w:after="0" w:line="260" w:lineRule="auto"/>
        <w:tabs>
          <w:tab w:leader="none" w:pos="84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Beneficiary. The Holders shall be third party beneficiaries to the agreements made hereunder between the Company, on the one hand, and the Initial Purchasers, on the other hand, and shall have the right to enforce such agreements directly to the extent it deems such enforcement necessary or advisable to protect its rights or the rights of Holders hereunder.</w:t>
      </w:r>
    </w:p>
    <w:p>
      <w:pPr>
        <w:spacing w:after="0" w:line="84" w:lineRule="exact"/>
        <w:rPr>
          <w:rFonts w:ascii="Courier New" w:cs="Courier New" w:eastAsia="Courier New" w:hAnsi="Courier New"/>
          <w:sz w:val="16"/>
          <w:szCs w:val="16"/>
          <w:color w:val="auto"/>
        </w:rPr>
      </w:pPr>
    </w:p>
    <w:p>
      <w:pPr>
        <w:ind w:right="2899" w:firstLine="465"/>
        <w:spacing w:after="0" w:line="275" w:lineRule="auto"/>
        <w:tabs>
          <w:tab w:leader="none" w:pos="84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71" w:lineRule="exact"/>
        <w:rPr>
          <w:rFonts w:ascii="Courier New" w:cs="Courier New" w:eastAsia="Courier New" w:hAnsi="Courier New"/>
          <w:sz w:val="16"/>
          <w:szCs w:val="16"/>
          <w:color w:val="auto"/>
        </w:rPr>
      </w:pPr>
    </w:p>
    <w:p>
      <w:pPr>
        <w:ind w:right="3279" w:firstLine="465"/>
        <w:spacing w:after="0" w:line="382" w:lineRule="auto"/>
        <w:tabs>
          <w:tab w:leader="none" w:pos="84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in this Agreement are for convenience of reference only and shall not limit or otherwise affect the meaning hereof.</w:t>
      </w:r>
    </w:p>
    <w:p>
      <w:pPr>
        <w:ind w:right="2819" w:firstLine="465"/>
        <w:spacing w:after="0" w:line="293" w:lineRule="auto"/>
        <w:tabs>
          <w:tab w:leader="none" w:pos="84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and the rights and duties of the parties hereunder shall be governed by, and construed in accordance with, the laws of the State of New York.</w:t>
      </w:r>
    </w:p>
    <w:p>
      <w:pPr>
        <w:spacing w:after="0" w:line="57" w:lineRule="exact"/>
        <w:rPr>
          <w:rFonts w:ascii="Courier New" w:cs="Courier New" w:eastAsia="Courier New" w:hAnsi="Courier New"/>
          <w:sz w:val="16"/>
          <w:szCs w:val="16"/>
          <w:color w:val="auto"/>
        </w:rPr>
      </w:pPr>
    </w:p>
    <w:p>
      <w:pPr>
        <w:ind w:right="2819" w:firstLine="465"/>
        <w:spacing w:after="0" w:line="266" w:lineRule="auto"/>
        <w:tabs>
          <w:tab w:leader="none" w:pos="84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ectPr>
          <w:pgSz w:w="11900" w:h="16838" w:orient="portrait"/>
          <w:cols w:equalWidth="0" w:num="1">
            <w:col w:w="10219"/>
          </w:cols>
          <w:pgMar w:left="240" w:top="631" w:right="1440" w:bottom="1440" w:gutter="0" w:footer="0" w:header="0"/>
        </w:sectPr>
      </w:pPr>
    </w:p>
    <w:bookmarkStart w:id="52" w:name="page53"/>
    <w:bookmarkEnd w:id="52"/>
    <w:p>
      <w:pPr>
        <w:jc w:val="right"/>
        <w:ind w:right="2719"/>
        <w:spacing w:after="0"/>
        <w:rPr>
          <w:sz w:val="20"/>
          <w:szCs w:val="20"/>
          <w:color w:val="auto"/>
        </w:rPr>
      </w:pPr>
      <w:r>
        <w:rPr>
          <w:rFonts w:ascii="Courier New" w:cs="Courier New" w:eastAsia="Courier New" w:hAnsi="Courier New"/>
          <w:sz w:val="16"/>
          <w:szCs w:val="16"/>
          <w:color w:val="auto"/>
        </w:rPr>
        <w:t>20</w:t>
      </w:r>
    </w:p>
    <w:p>
      <w:pPr>
        <w:spacing w:after="0" w:line="179" w:lineRule="exact"/>
        <w:rPr>
          <w:sz w:val="20"/>
          <w:szCs w:val="20"/>
          <w:color w:val="auto"/>
        </w:rPr>
      </w:pPr>
    </w:p>
    <w:p>
      <w:pPr>
        <w:ind w:right="3179" w:firstLine="469"/>
        <w:spacing w:after="0" w:line="348" w:lineRule="auto"/>
        <w:rPr>
          <w:sz w:val="20"/>
          <w:szCs w:val="20"/>
          <w:color w:val="auto"/>
        </w:rPr>
      </w:pPr>
      <w:r>
        <w:rPr>
          <w:rFonts w:ascii="Courier New" w:cs="Courier New" w:eastAsia="Courier New" w:hAnsi="Courier New"/>
          <w:sz w:val="16"/>
          <w:szCs w:val="16"/>
          <w:color w:val="auto"/>
        </w:rPr>
        <w:t>IN WITNESS WHEREOF, the parties have executed this Agreement as of the date first written above.</w:t>
      </w:r>
    </w:p>
    <w:p>
      <w:pPr>
        <w:spacing w:after="0" w:line="1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TEXAS INSTRUMENTS INCORPORATED</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 /s/ WILLIAM A. AYLESWORTH</w:t>
      </w:r>
    </w:p>
    <w:p>
      <w:pPr>
        <w:spacing w:after="0" w:line="2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w:t>
      </w:r>
    </w:p>
    <w:p>
      <w:pPr>
        <w:ind w:left="3460"/>
        <w:spacing w:after="0"/>
        <w:tabs>
          <w:tab w:leader="none" w:pos="4100" w:val="left"/>
        </w:tabs>
        <w:rPr>
          <w:sz w:val="20"/>
          <w:szCs w:val="20"/>
          <w:color w:val="auto"/>
        </w:rPr>
      </w:pPr>
      <w:r>
        <w:rPr>
          <w:rFonts w:ascii="Courier New" w:cs="Courier New" w:eastAsia="Courier New" w:hAnsi="Courier New"/>
          <w:sz w:val="16"/>
          <w:szCs w:val="16"/>
          <w:color w:val="auto"/>
        </w:rPr>
        <w:t>Name:</w:t>
        <w:tab/>
        <w:t>William A. Aylesworth</w:t>
      </w:r>
    </w:p>
    <w:p>
      <w:pPr>
        <w:ind w:left="3460"/>
        <w:spacing w:after="0"/>
        <w:rPr>
          <w:sz w:val="20"/>
          <w:szCs w:val="20"/>
          <w:color w:val="auto"/>
        </w:rPr>
      </w:pPr>
      <w:r>
        <w:rPr>
          <w:rFonts w:ascii="Courier New" w:cs="Courier New" w:eastAsia="Courier New" w:hAnsi="Courier New"/>
          <w:sz w:val="15"/>
          <w:szCs w:val="15"/>
          <w:color w:val="auto"/>
        </w:rPr>
        <w:t>Title: Senior Vice President, Treasurer and</w:t>
      </w:r>
    </w:p>
    <w:p>
      <w:pPr>
        <w:spacing w:after="0" w:line="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Chief Financial Officer</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Confirmed and accepted as of the date</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above written: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MORGAN STANLEY &amp; CO. INCORPORATED</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SALOMON SMITH BARNEY INC</w:t>
      </w:r>
    </w:p>
    <w:p>
      <w:pPr>
        <w:spacing w:after="0"/>
        <w:rPr>
          <w:sz w:val="20"/>
          <w:szCs w:val="20"/>
          <w:color w:val="auto"/>
        </w:rPr>
      </w:pPr>
      <w:r>
        <w:rPr>
          <w:rFonts w:ascii="Courier New" w:cs="Courier New" w:eastAsia="Courier New" w:hAnsi="Courier New"/>
          <w:sz w:val="16"/>
          <w:szCs w:val="16"/>
          <w:color w:val="auto"/>
        </w:rPr>
        <w:t>ABN AMRO INCORPORATED</w:t>
      </w:r>
    </w:p>
    <w:p>
      <w:pPr>
        <w:spacing w:after="0"/>
        <w:rPr>
          <w:sz w:val="20"/>
          <w:szCs w:val="20"/>
          <w:color w:val="auto"/>
        </w:rPr>
      </w:pPr>
      <w:r>
        <w:rPr>
          <w:rFonts w:ascii="Courier New" w:cs="Courier New" w:eastAsia="Courier New" w:hAnsi="Courier New"/>
          <w:sz w:val="16"/>
          <w:szCs w:val="16"/>
          <w:color w:val="auto"/>
        </w:rPr>
        <w:t>BANC OF AMERICA SECURITIES LLC</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MORGAN STANLEY &amp; CO. INCORPORATED</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HAROLD HENDERSHOT III</w:t>
      </w:r>
    </w:p>
    <w:p>
      <w:pPr>
        <w:spacing w:after="0" w:line="2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ind w:left="280"/>
        <w:spacing w:after="0"/>
        <w:tabs>
          <w:tab w:leader="none" w:pos="920" w:val="left"/>
        </w:tabs>
        <w:rPr>
          <w:sz w:val="20"/>
          <w:szCs w:val="20"/>
          <w:color w:val="auto"/>
        </w:rPr>
      </w:pPr>
      <w:r>
        <w:rPr>
          <w:rFonts w:ascii="Courier New" w:cs="Courier New" w:eastAsia="Courier New" w:hAnsi="Courier New"/>
          <w:sz w:val="16"/>
          <w:szCs w:val="16"/>
          <w:color w:val="auto"/>
        </w:rPr>
        <w:t>Name:</w:t>
        <w:tab/>
        <w:t>Harold Hendershot III</w:t>
      </w:r>
    </w:p>
    <w:p>
      <w:pPr>
        <w:ind w:left="28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10219"/>
          </w:cols>
          <w:pgMar w:left="240" w:top="631" w:right="1440" w:bottom="1440" w:gutter="0" w:footer="0" w:header="0"/>
        </w:sectPr>
      </w:pPr>
    </w:p>
    <w:bookmarkStart w:id="53" w:name="page54"/>
    <w:bookmarkEnd w:id="53"/>
    <w:p>
      <w:pPr>
        <w:jc w:val="right"/>
        <w:ind w:right="2719"/>
        <w:spacing w:after="0"/>
        <w:rPr>
          <w:sz w:val="20"/>
          <w:szCs w:val="20"/>
          <w:color w:val="auto"/>
        </w:rPr>
      </w:pPr>
      <w:r>
        <w:rPr>
          <w:rFonts w:ascii="Courier New" w:cs="Courier New" w:eastAsia="Courier New" w:hAnsi="Courier New"/>
          <w:sz w:val="16"/>
          <w:szCs w:val="16"/>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212-450-4000</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784"/>
        <w:spacing w:after="0"/>
        <w:rPr>
          <w:sz w:val="20"/>
          <w:szCs w:val="20"/>
          <w:color w:val="auto"/>
        </w:rPr>
      </w:pPr>
      <w:r>
        <w:rPr>
          <w:rFonts w:ascii="Courier New" w:cs="Courier New" w:eastAsia="Courier New" w:hAnsi="Courier New"/>
          <w:sz w:val="16"/>
          <w:szCs w:val="16"/>
          <w:color w:val="auto"/>
        </w:rPr>
        <w:t>October 15, 1999</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Texas Instruments Incorporated</w:t>
      </w:r>
    </w:p>
    <w:p>
      <w:pPr>
        <w:spacing w:after="0" w:line="2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8505 Forest Lane</w:t>
      </w:r>
    </w:p>
    <w:p>
      <w:pPr>
        <w:ind w:left="4"/>
        <w:spacing w:after="0"/>
        <w:rPr>
          <w:sz w:val="20"/>
          <w:szCs w:val="20"/>
          <w:color w:val="auto"/>
        </w:rPr>
      </w:pPr>
      <w:r>
        <w:rPr>
          <w:rFonts w:ascii="Courier New" w:cs="Courier New" w:eastAsia="Courier New" w:hAnsi="Courier New"/>
          <w:sz w:val="16"/>
          <w:szCs w:val="16"/>
          <w:color w:val="auto"/>
        </w:rPr>
        <w:t>P.O. Box 660199</w:t>
      </w:r>
    </w:p>
    <w:p>
      <w:pPr>
        <w:ind w:left="4"/>
        <w:spacing w:after="0"/>
        <w:rPr>
          <w:sz w:val="20"/>
          <w:szCs w:val="20"/>
          <w:color w:val="auto"/>
        </w:rPr>
      </w:pPr>
      <w:r>
        <w:rPr>
          <w:rFonts w:ascii="Courier New" w:cs="Courier New" w:eastAsia="Courier New" w:hAnsi="Courier New"/>
          <w:sz w:val="16"/>
          <w:szCs w:val="16"/>
          <w:color w:val="auto"/>
        </w:rPr>
        <w:t>Dallas, Texas 75266-0199</w:t>
      </w:r>
    </w:p>
    <w:p>
      <w:pPr>
        <w:spacing w:after="0" w:line="15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Ladies and Gentlemen:</w:t>
      </w:r>
    </w:p>
    <w:p>
      <w:pPr>
        <w:spacing w:after="0" w:line="179" w:lineRule="exact"/>
        <w:rPr>
          <w:sz w:val="20"/>
          <w:szCs w:val="20"/>
          <w:color w:val="auto"/>
        </w:rPr>
      </w:pPr>
    </w:p>
    <w:p>
      <w:pPr>
        <w:ind w:left="4" w:right="2899" w:firstLine="750"/>
        <w:spacing w:after="0" w:line="266" w:lineRule="auto"/>
        <w:rPr>
          <w:sz w:val="20"/>
          <w:szCs w:val="20"/>
          <w:color w:val="auto"/>
        </w:rPr>
      </w:pPr>
      <w:r>
        <w:rPr>
          <w:rFonts w:ascii="Courier New" w:cs="Courier New" w:eastAsia="Courier New" w:hAnsi="Courier New"/>
          <w:sz w:val="16"/>
          <w:szCs w:val="16"/>
          <w:color w:val="auto"/>
        </w:rPr>
        <w:t>We have acted as special counsel to Texas Instruments Incorporated, a Delaware corporation (the "Company"), in connection with the Company's offer (the "Exchange Offer") to exchange its 7% Senior Exchange Notes Due August 15, 2004 (the "New Notes") for any and all of its outstanding 7% Senior Notes Due August 15, 2004 (the "Old Notes").</w:t>
      </w:r>
    </w:p>
    <w:p>
      <w:pPr>
        <w:spacing w:after="0" w:line="78" w:lineRule="exact"/>
        <w:rPr>
          <w:sz w:val="20"/>
          <w:szCs w:val="20"/>
          <w:color w:val="auto"/>
        </w:rPr>
      </w:pPr>
    </w:p>
    <w:p>
      <w:pPr>
        <w:ind w:left="4" w:right="2819" w:firstLine="750"/>
        <w:spacing w:after="0" w:line="275" w:lineRule="auto"/>
        <w:rPr>
          <w:sz w:val="20"/>
          <w:szCs w:val="20"/>
          <w:color w:val="auto"/>
        </w:rPr>
      </w:pPr>
      <w:r>
        <w:rPr>
          <w:rFonts w:ascii="Courier New" w:cs="Courier New" w:eastAsia="Courier New" w:hAnsi="Courier New"/>
          <w:sz w:val="16"/>
          <w:szCs w:val="16"/>
          <w:color w:val="auto"/>
        </w:rPr>
        <w:t>We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71" w:lineRule="exact"/>
        <w:rPr>
          <w:sz w:val="20"/>
          <w:szCs w:val="20"/>
          <w:color w:val="auto"/>
        </w:rPr>
      </w:pPr>
    </w:p>
    <w:p>
      <w:pPr>
        <w:ind w:left="4" w:right="2819" w:firstLine="750"/>
        <w:spacing w:after="0" w:line="260" w:lineRule="auto"/>
        <w:rPr>
          <w:sz w:val="20"/>
          <w:szCs w:val="20"/>
          <w:color w:val="auto"/>
        </w:rPr>
      </w:pPr>
      <w:r>
        <w:rPr>
          <w:rFonts w:ascii="Courier New" w:cs="Courier New" w:eastAsia="Courier New" w:hAnsi="Courier New"/>
          <w:sz w:val="15"/>
          <w:szCs w:val="15"/>
          <w:color w:val="auto"/>
        </w:rPr>
        <w:t>Upon the basis of the foregoing and assuming the due execution and delivery of the New Notes, we are of the opinion that the New Notes, when authenticated, issued and delivered in exchange for the Old Notes in accordance with the Exchange Offer and the Indenture will be valid and binding obligations of the Company enforceable against the Company in accordance with their terms, except (i) as such enforcement may be limited by bankruptcy, insolvency, fraudulent conveyance or similar laws affecting creditors' rights generally,</w:t>
      </w:r>
    </w:p>
    <w:p>
      <w:pPr>
        <w:spacing w:after="0" w:line="2" w:lineRule="exact"/>
        <w:rPr>
          <w:sz w:val="20"/>
          <w:szCs w:val="20"/>
          <w:color w:val="auto"/>
        </w:rPr>
      </w:pPr>
    </w:p>
    <w:p>
      <w:pPr>
        <w:ind w:left="4" w:right="2819" w:hanging="4"/>
        <w:spacing w:after="0" w:line="263" w:lineRule="auto"/>
        <w:tabs>
          <w:tab w:leader="none" w:pos="47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such enforcement may be limited by general principles of equity, regardless of whether enforcement is sought in a proceeding at law or in equity and (iii) to the extent that a waiver of rights under any usury or stay law may be unenforceable.</w:t>
      </w:r>
    </w:p>
    <w:p>
      <w:pPr>
        <w:spacing w:after="0" w:line="79" w:lineRule="exact"/>
        <w:rPr>
          <w:sz w:val="20"/>
          <w:szCs w:val="20"/>
          <w:color w:val="auto"/>
        </w:rPr>
      </w:pPr>
    </w:p>
    <w:p>
      <w:pPr>
        <w:ind w:left="4" w:right="2719" w:firstLine="750"/>
        <w:spacing w:after="0" w:line="387" w:lineRule="auto"/>
        <w:rPr>
          <w:sz w:val="20"/>
          <w:szCs w:val="20"/>
          <w:color w:val="auto"/>
        </w:rPr>
      </w:pPr>
      <w:r>
        <w:rPr>
          <w:rFonts w:ascii="Courier New" w:cs="Courier New" w:eastAsia="Courier New" w:hAnsi="Courier New"/>
          <w:sz w:val="15"/>
          <w:szCs w:val="15"/>
          <w:color w:val="auto"/>
        </w:rPr>
        <w:t>We are members of the Bar of the State of New York and the foregoing opinion is limited to the laws of the State of New York, the federal laws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
        <w:spacing w:after="0"/>
        <w:tabs>
          <w:tab w:leader="none" w:pos="3643" w:val="left"/>
          <w:tab w:leader="none" w:pos="5983" w:val="left"/>
        </w:tabs>
        <w:rPr>
          <w:sz w:val="20"/>
          <w:szCs w:val="20"/>
          <w:color w:val="auto"/>
        </w:rPr>
      </w:pPr>
      <w:r>
        <w:rPr>
          <w:rFonts w:ascii="Courier New" w:cs="Courier New" w:eastAsia="Courier New" w:hAnsi="Courier New"/>
          <w:sz w:val="16"/>
          <w:szCs w:val="16"/>
          <w:color w:val="auto"/>
        </w:rPr>
        <w:t>Texas Instruments Incorporated</w:t>
      </w:r>
      <w:r>
        <w:rPr>
          <w:sz w:val="20"/>
          <w:szCs w:val="20"/>
          <w:color w:val="auto"/>
        </w:rPr>
        <w:tab/>
      </w: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5"/>
          <w:szCs w:val="15"/>
          <w:color w:val="auto"/>
        </w:rPr>
        <w:t>October 15, 1999</w:t>
      </w:r>
    </w:p>
    <w:p>
      <w:pPr>
        <w:spacing w:after="0" w:line="360" w:lineRule="exact"/>
        <w:rPr>
          <w:sz w:val="20"/>
          <w:szCs w:val="20"/>
          <w:color w:val="auto"/>
        </w:rPr>
      </w:pPr>
    </w:p>
    <w:p>
      <w:pPr>
        <w:ind w:left="4" w:right="3479"/>
        <w:spacing w:after="0" w:line="348" w:lineRule="auto"/>
        <w:rPr>
          <w:sz w:val="20"/>
          <w:szCs w:val="20"/>
          <w:color w:val="auto"/>
        </w:rPr>
      </w:pPr>
      <w:r>
        <w:rPr>
          <w:rFonts w:ascii="Courier New" w:cs="Courier New" w:eastAsia="Courier New" w:hAnsi="Courier New"/>
          <w:sz w:val="16"/>
          <w:szCs w:val="16"/>
          <w:color w:val="auto"/>
        </w:rPr>
        <w:t>United States of America and the General Corporation Law of the State of Delaware.</w:t>
      </w:r>
    </w:p>
    <w:p>
      <w:pPr>
        <w:spacing w:after="0" w:line="15" w:lineRule="exact"/>
        <w:rPr>
          <w:sz w:val="20"/>
          <w:szCs w:val="20"/>
          <w:color w:val="auto"/>
        </w:rPr>
      </w:pPr>
    </w:p>
    <w:p>
      <w:pPr>
        <w:ind w:left="4" w:right="2899" w:firstLine="750"/>
        <w:spacing w:after="0" w:line="266"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relating to the Exchange Offer. We also consent to the references to us under the captions "Legal Matters" and "Certain United States Tax Consequences of the Exchange Offer" in the Prospectus contained in such Registration Statement.</w:t>
      </w:r>
    </w:p>
    <w:p>
      <w:pPr>
        <w:spacing w:after="0" w:line="78" w:lineRule="exact"/>
        <w:rPr>
          <w:sz w:val="20"/>
          <w:szCs w:val="20"/>
          <w:color w:val="auto"/>
        </w:rPr>
      </w:pPr>
    </w:p>
    <w:p>
      <w:pPr>
        <w:ind w:left="4" w:right="2999" w:firstLine="750"/>
        <w:spacing w:after="0" w:line="266" w:lineRule="auto"/>
        <w:rPr>
          <w:sz w:val="20"/>
          <w:szCs w:val="20"/>
          <w:color w:val="auto"/>
        </w:rPr>
      </w:pPr>
      <w:r>
        <w:rPr>
          <w:rFonts w:ascii="Courier New" w:cs="Courier New" w:eastAsia="Courier New" w:hAnsi="Courier New"/>
          <w:sz w:val="16"/>
          <w:szCs w:val="16"/>
          <w:color w:val="auto"/>
        </w:rPr>
        <w:t>This opinion is rendered solely to you in connection with the above matter. This opinion may not be relied upon by you for any other purpose or relied upon by or furnished to any other person without our prior written consent except that Citibank, N.A., as Exchange Agent for the Exchange Offer, may rely upon this opinion as if it were addressed directly to it.</w:t>
      </w:r>
    </w:p>
    <w:p>
      <w:pPr>
        <w:spacing w:after="0" w:line="258"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Very truly yours,</w:t>
      </w:r>
    </w:p>
    <w:p>
      <w:pPr>
        <w:spacing w:after="0" w:line="179"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/s/ Davis Polk &amp; Wardwell</w:t>
      </w:r>
    </w:p>
    <w:p>
      <w:pPr>
        <w:sectPr>
          <w:pgSz w:w="11900" w:h="16838" w:orient="portrait"/>
          <w:cols w:equalWidth="0" w:num="1">
            <w:col w:w="10223"/>
          </w:cols>
          <w:pgMar w:left="236" w:top="294" w:right="1440"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64"/>
        </w:trPr>
        <w:tc>
          <w:tcPr>
            <w:tcW w:w="26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3"/>
          </w:tcPr>
          <w:p>
            <w:pPr>
              <w:jc w:val="right"/>
              <w:ind w:right="242"/>
              <w:spacing w:after="0"/>
              <w:rPr>
                <w:sz w:val="20"/>
                <w:szCs w:val="20"/>
                <w:color w:val="auto"/>
              </w:rPr>
            </w:pPr>
            <w:r>
              <w:rPr>
                <w:rFonts w:ascii="Courier New" w:cs="Courier New" w:eastAsia="Courier New" w:hAnsi="Courier New"/>
                <w:sz w:val="16"/>
                <w:szCs w:val="16"/>
                <w:color w:val="auto"/>
              </w:rPr>
              <w:t>EXHIBIT 12.1</w:t>
            </w: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100" w:type="dxa"/>
            <w:vAlign w:val="bottom"/>
            <w:gridSpan w:val="3"/>
          </w:tcPr>
          <w:p>
            <w:pPr>
              <w:jc w:val="center"/>
              <w:ind w:left="1429"/>
              <w:spacing w:after="0"/>
              <w:rPr>
                <w:sz w:val="20"/>
                <w:szCs w:val="20"/>
                <w:color w:val="auto"/>
              </w:rPr>
            </w:pPr>
            <w:r>
              <w:rPr>
                <w:rFonts w:ascii="Courier New" w:cs="Courier New" w:eastAsia="Courier New" w:hAnsi="Courier New"/>
                <w:sz w:val="16"/>
                <w:szCs w:val="16"/>
                <w:color w:val="auto"/>
                <w:w w:val="97"/>
              </w:rPr>
              <w:t>TEXAS INSTRUMENTS INCORPORATED AND SUBSIDIARIES</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00" w:type="dxa"/>
            <w:vAlign w:val="bottom"/>
            <w:gridSpan w:val="3"/>
          </w:tcPr>
          <w:p>
            <w:pPr>
              <w:jc w:val="center"/>
              <w:ind w:left="1429"/>
              <w:spacing w:after="0"/>
              <w:rPr>
                <w:sz w:val="20"/>
                <w:szCs w:val="20"/>
                <w:color w:val="auto"/>
              </w:rPr>
            </w:pPr>
            <w:r>
              <w:rPr>
                <w:rFonts w:ascii="Courier New" w:cs="Courier New" w:eastAsia="Courier New" w:hAnsi="Courier New"/>
                <w:sz w:val="16"/>
                <w:szCs w:val="16"/>
                <w:color w:val="auto"/>
                <w:w w:val="97"/>
              </w:rPr>
              <w:t>COMPUTATION OF RATIO OF EARNINGS TO FIXED CHARGES</w:t>
            </w: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2620" w:type="dxa"/>
            <w:vAlign w:val="bottom"/>
          </w:tcPr>
          <w:p>
            <w:pPr>
              <w:spacing w:after="0"/>
              <w:rPr>
                <w:sz w:val="24"/>
                <w:szCs w:val="24"/>
                <w:color w:val="auto"/>
              </w:rPr>
            </w:pPr>
          </w:p>
        </w:tc>
        <w:tc>
          <w:tcPr>
            <w:tcW w:w="2580" w:type="dxa"/>
            <w:vAlign w:val="bottom"/>
          </w:tcPr>
          <w:p>
            <w:pPr>
              <w:jc w:val="center"/>
              <w:ind w:right="142"/>
              <w:spacing w:after="0"/>
              <w:rPr>
                <w:sz w:val="20"/>
                <w:szCs w:val="20"/>
                <w:color w:val="auto"/>
              </w:rPr>
            </w:pPr>
            <w:r>
              <w:rPr>
                <w:rFonts w:ascii="Courier New" w:cs="Courier New" w:eastAsia="Courier New" w:hAnsi="Courier New"/>
                <w:sz w:val="16"/>
                <w:szCs w:val="16"/>
                <w:color w:val="auto"/>
                <w:w w:val="97"/>
              </w:rPr>
              <w:t>(Dollars in millions)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6"/>
              </w:rPr>
              <w:t>For Six Months</w:t>
            </w: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Ended June 30</w:t>
            </w: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3480" w:type="dxa"/>
            <w:vAlign w:val="bottom"/>
            <w:gridSpan w:val="2"/>
            <w:vMerge w:val="restart"/>
          </w:tcPr>
          <w:p>
            <w:pPr>
              <w:ind w:left="2440"/>
              <w:spacing w:after="0"/>
              <w:rPr>
                <w:sz w:val="20"/>
                <w:szCs w:val="20"/>
                <w:color w:val="auto"/>
              </w:rPr>
            </w:pPr>
            <w:r>
              <w:rPr>
                <w:rFonts w:ascii="Courier New" w:cs="Courier New" w:eastAsia="Courier New" w:hAnsi="Courier New"/>
                <w:sz w:val="16"/>
                <w:szCs w:val="16"/>
                <w:color w:val="auto"/>
              </w:rPr>
              <w:t>1994</w:t>
            </w:r>
          </w:p>
        </w:tc>
        <w:tc>
          <w:tcPr>
            <w:tcW w:w="80" w:type="dxa"/>
            <w:vAlign w:val="bottom"/>
          </w:tcPr>
          <w:p>
            <w:pPr>
              <w:spacing w:after="0"/>
              <w:rPr>
                <w:sz w:val="15"/>
                <w:szCs w:val="15"/>
                <w:color w:val="auto"/>
              </w:rPr>
            </w:pPr>
          </w:p>
        </w:tc>
        <w:tc>
          <w:tcPr>
            <w:tcW w:w="94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w w:val="93"/>
              </w:rPr>
              <w:t>1995</w:t>
            </w:r>
          </w:p>
        </w:tc>
        <w:tc>
          <w:tcPr>
            <w:tcW w:w="100" w:type="dxa"/>
            <w:vAlign w:val="bottom"/>
          </w:tcPr>
          <w:p>
            <w:pPr>
              <w:spacing w:after="0"/>
              <w:rPr>
                <w:sz w:val="15"/>
                <w:szCs w:val="15"/>
                <w:color w:val="auto"/>
              </w:rPr>
            </w:pPr>
          </w:p>
        </w:tc>
        <w:tc>
          <w:tcPr>
            <w:tcW w:w="60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w w:val="93"/>
              </w:rPr>
              <w:t>1996</w:t>
            </w:r>
          </w:p>
        </w:tc>
        <w:tc>
          <w:tcPr>
            <w:tcW w:w="340" w:type="dxa"/>
            <w:vAlign w:val="bottom"/>
          </w:tcPr>
          <w:p>
            <w:pPr>
              <w:spacing w:after="0"/>
              <w:rPr>
                <w:sz w:val="15"/>
                <w:szCs w:val="15"/>
                <w:color w:val="auto"/>
              </w:rPr>
            </w:pPr>
          </w:p>
        </w:tc>
        <w:tc>
          <w:tcPr>
            <w:tcW w:w="7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w w:val="93"/>
              </w:rPr>
              <w:t>1997</w:t>
            </w:r>
          </w:p>
        </w:tc>
        <w:tc>
          <w:tcPr>
            <w:tcW w:w="320" w:type="dxa"/>
            <w:vAlign w:val="bottom"/>
          </w:tcPr>
          <w:p>
            <w:pPr>
              <w:spacing w:after="0"/>
              <w:rPr>
                <w:sz w:val="15"/>
                <w:szCs w:val="15"/>
                <w:color w:val="auto"/>
              </w:rPr>
            </w:pPr>
          </w:p>
        </w:tc>
        <w:tc>
          <w:tcPr>
            <w:tcW w:w="6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w w:val="93"/>
              </w:rPr>
              <w:t>1998</w:t>
            </w:r>
          </w:p>
        </w:tc>
        <w:tc>
          <w:tcPr>
            <w:tcW w:w="3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34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1998</w:t>
            </w:r>
          </w:p>
        </w:tc>
        <w:tc>
          <w:tcPr>
            <w:tcW w:w="320" w:type="dxa"/>
            <w:vAlign w:val="bottom"/>
          </w:tcPr>
          <w:p>
            <w:pPr>
              <w:spacing w:after="0"/>
              <w:rPr>
                <w:sz w:val="22"/>
                <w:szCs w:val="22"/>
                <w:color w:val="auto"/>
              </w:rPr>
            </w:pP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1999</w:t>
            </w:r>
          </w:p>
        </w:tc>
        <w:tc>
          <w:tcPr>
            <w:tcW w:w="0" w:type="dxa"/>
            <w:vAlign w:val="bottom"/>
          </w:tcPr>
          <w:p>
            <w:pPr>
              <w:spacing w:after="0"/>
              <w:rPr>
                <w:sz w:val="1"/>
                <w:szCs w:val="1"/>
                <w:color w:val="auto"/>
              </w:rPr>
            </w:pPr>
          </w:p>
        </w:tc>
      </w:tr>
      <w:tr>
        <w:trPr>
          <w:trHeight w:val="277"/>
        </w:trPr>
        <w:tc>
          <w:tcPr>
            <w:tcW w:w="5200" w:type="dxa"/>
            <w:vAlign w:val="bottom"/>
            <w:gridSpan w:val="2"/>
          </w:tcPr>
          <w:p>
            <w:pPr>
              <w:spacing w:after="0"/>
              <w:rPr>
                <w:sz w:val="20"/>
                <w:szCs w:val="20"/>
                <w:color w:val="auto"/>
              </w:rPr>
            </w:pPr>
            <w:r>
              <w:rPr>
                <w:rFonts w:ascii="Courier New" w:cs="Courier New" w:eastAsia="Courier New" w:hAnsi="Courier New"/>
                <w:sz w:val="16"/>
                <w:szCs w:val="16"/>
                <w:color w:val="auto"/>
              </w:rPr>
              <w:t>Income from continuing operations before</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income taxes and fixed charges: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Income before extraordinary item and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interest expense on loans, capitalized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interest amortized, and provision for</w:t>
            </w:r>
          </w:p>
        </w:tc>
        <w:tc>
          <w:tcPr>
            <w:tcW w:w="90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943</w:t>
            </w:r>
          </w:p>
        </w:tc>
        <w:tc>
          <w:tcPr>
            <w:tcW w:w="8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6"/>
              </w:rPr>
              <w:t>$</w:t>
            </w:r>
          </w:p>
        </w:tc>
        <w:tc>
          <w:tcPr>
            <w:tcW w:w="94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w w:val="95"/>
              </w:rPr>
              <w:t>1,530</w:t>
            </w:r>
          </w:p>
        </w:tc>
        <w:tc>
          <w:tcPr>
            <w:tcW w:w="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60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65</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825</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710</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140</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904</w:t>
            </w:r>
          </w:p>
        </w:tc>
        <w:tc>
          <w:tcPr>
            <w:tcW w:w="0" w:type="dxa"/>
            <w:vAlign w:val="bottom"/>
          </w:tcPr>
          <w:p>
            <w:pPr>
              <w:spacing w:after="0"/>
              <w:rPr>
                <w:sz w:val="1"/>
                <w:szCs w:val="1"/>
                <w:color w:val="auto"/>
              </w:rPr>
            </w:pPr>
          </w:p>
        </w:tc>
      </w:tr>
      <w:tr>
        <w:trPr>
          <w:trHeight w:val="180"/>
        </w:trPr>
        <w:tc>
          <w:tcPr>
            <w:tcW w:w="2620" w:type="dxa"/>
            <w:vAlign w:val="bottom"/>
          </w:tcPr>
          <w:p>
            <w:pPr>
              <w:ind w:left="840"/>
              <w:spacing w:after="0"/>
              <w:rPr>
                <w:sz w:val="20"/>
                <w:szCs w:val="20"/>
                <w:color w:val="auto"/>
              </w:rPr>
            </w:pPr>
            <w:r>
              <w:rPr>
                <w:rFonts w:ascii="Courier New" w:cs="Courier New" w:eastAsia="Courier New" w:hAnsi="Courier New"/>
                <w:sz w:val="9"/>
                <w:szCs w:val="9"/>
                <w:color w:val="auto"/>
                <w:w w:val="77"/>
              </w:rPr>
              <w:t>income taxes..............................</w:t>
            </w:r>
          </w:p>
        </w:tc>
        <w:tc>
          <w:tcPr>
            <w:tcW w:w="2580" w:type="dxa"/>
            <w:vAlign w:val="bottom"/>
          </w:tcPr>
          <w:p>
            <w:pPr>
              <w:ind w:left="2440"/>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Add interest attributable to rental and lease</w:t>
            </w:r>
          </w:p>
        </w:tc>
        <w:tc>
          <w:tcPr>
            <w:tcW w:w="90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40</w:t>
            </w:r>
          </w:p>
        </w:tc>
        <w:tc>
          <w:tcPr>
            <w:tcW w:w="80" w:type="dxa"/>
            <w:vAlign w:val="bottom"/>
          </w:tcPr>
          <w:p>
            <w:pPr>
              <w:spacing w:after="0"/>
              <w:rPr>
                <w:sz w:val="15"/>
                <w:szCs w:val="15"/>
                <w:color w:val="auto"/>
              </w:rPr>
            </w:pPr>
          </w:p>
        </w:tc>
        <w:tc>
          <w:tcPr>
            <w:tcW w:w="94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41</w:t>
            </w:r>
          </w:p>
        </w:tc>
        <w:tc>
          <w:tcPr>
            <w:tcW w:w="100" w:type="dxa"/>
            <w:vAlign w:val="bottom"/>
          </w:tcPr>
          <w:p>
            <w:pPr>
              <w:spacing w:after="0"/>
              <w:rPr>
                <w:sz w:val="15"/>
                <w:szCs w:val="15"/>
                <w:color w:val="auto"/>
              </w:rPr>
            </w:pPr>
          </w:p>
        </w:tc>
        <w:tc>
          <w:tcPr>
            <w:tcW w:w="60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44</w:t>
            </w:r>
          </w:p>
        </w:tc>
        <w:tc>
          <w:tcPr>
            <w:tcW w:w="340" w:type="dxa"/>
            <w:vAlign w:val="bottom"/>
          </w:tcPr>
          <w:p>
            <w:pPr>
              <w:spacing w:after="0"/>
              <w:rPr>
                <w:sz w:val="15"/>
                <w:szCs w:val="15"/>
                <w:color w:val="auto"/>
              </w:rPr>
            </w:pPr>
          </w:p>
        </w:tc>
        <w:tc>
          <w:tcPr>
            <w:tcW w:w="70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44</w:t>
            </w:r>
          </w:p>
        </w:tc>
        <w:tc>
          <w:tcPr>
            <w:tcW w:w="320" w:type="dxa"/>
            <w:vAlign w:val="bottom"/>
          </w:tcPr>
          <w:p>
            <w:pPr>
              <w:spacing w:after="0"/>
              <w:rPr>
                <w:sz w:val="15"/>
                <w:szCs w:val="15"/>
                <w:color w:val="auto"/>
              </w:rPr>
            </w:pPr>
          </w:p>
        </w:tc>
        <w:tc>
          <w:tcPr>
            <w:tcW w:w="6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41</w:t>
            </w:r>
          </w:p>
        </w:tc>
        <w:tc>
          <w:tcPr>
            <w:tcW w:w="320" w:type="dxa"/>
            <w:vAlign w:val="bottom"/>
          </w:tcPr>
          <w:p>
            <w:pPr>
              <w:spacing w:after="0"/>
              <w:rPr>
                <w:sz w:val="15"/>
                <w:szCs w:val="15"/>
                <w:color w:val="auto"/>
              </w:rPr>
            </w:pPr>
          </w:p>
        </w:tc>
        <w:tc>
          <w:tcPr>
            <w:tcW w:w="6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20</w:t>
            </w:r>
          </w:p>
        </w:tc>
        <w:tc>
          <w:tcPr>
            <w:tcW w:w="320" w:type="dxa"/>
            <w:vAlign w:val="bottom"/>
          </w:tcPr>
          <w:p>
            <w:pPr>
              <w:spacing w:after="0"/>
              <w:rPr>
                <w:sz w:val="15"/>
                <w:szCs w:val="15"/>
                <w:color w:val="auto"/>
              </w:rPr>
            </w:pPr>
          </w:p>
        </w:tc>
        <w:tc>
          <w:tcPr>
            <w:tcW w:w="4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19</w:t>
            </w:r>
          </w:p>
        </w:tc>
        <w:tc>
          <w:tcPr>
            <w:tcW w:w="0" w:type="dxa"/>
            <w:vAlign w:val="bottom"/>
          </w:tcPr>
          <w:p>
            <w:pPr>
              <w:spacing w:after="0"/>
              <w:rPr>
                <w:sz w:val="1"/>
                <w:szCs w:val="1"/>
                <w:color w:val="auto"/>
              </w:rPr>
            </w:pPr>
          </w:p>
        </w:tc>
      </w:tr>
      <w:tr>
        <w:trPr>
          <w:trHeight w:val="180"/>
        </w:trPr>
        <w:tc>
          <w:tcPr>
            <w:tcW w:w="520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expense...................................</w:t>
            </w: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9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22"/>
                <w:szCs w:val="22"/>
                <w:color w:val="auto"/>
              </w:rPr>
            </w:pP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w:t>
            </w:r>
          </w:p>
        </w:tc>
        <w:tc>
          <w:tcPr>
            <w:tcW w:w="100" w:type="dxa"/>
            <w:vAlign w:val="bottom"/>
          </w:tcPr>
          <w:p>
            <w:pPr>
              <w:spacing w:after="0"/>
              <w:rPr>
                <w:sz w:val="22"/>
                <w:szCs w:val="22"/>
                <w:color w:val="auto"/>
              </w:rPr>
            </w:pPr>
          </w:p>
        </w:tc>
        <w:tc>
          <w:tcPr>
            <w:tcW w:w="6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22"/>
                <w:szCs w:val="22"/>
                <w:color w:val="auto"/>
              </w:rPr>
            </w:pP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2"/>
                <w:szCs w:val="22"/>
                <w:color w:val="auto"/>
              </w:rPr>
            </w:pPr>
          </w:p>
        </w:tc>
        <w:tc>
          <w:tcPr>
            <w:tcW w:w="6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2"/>
                <w:szCs w:val="22"/>
                <w:color w:val="auto"/>
              </w:rPr>
            </w:pPr>
          </w:p>
        </w:tc>
        <w:tc>
          <w:tcPr>
            <w:tcW w:w="6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2"/>
                <w:szCs w:val="22"/>
                <w:color w:val="auto"/>
              </w:rPr>
            </w:pP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277"/>
        </w:trPr>
        <w:tc>
          <w:tcPr>
            <w:tcW w:w="2620" w:type="dxa"/>
            <w:vAlign w:val="bottom"/>
          </w:tcPr>
          <w:p>
            <w:pPr>
              <w:spacing w:after="0"/>
              <w:rPr>
                <w:sz w:val="24"/>
                <w:szCs w:val="24"/>
                <w:color w:val="auto"/>
              </w:rPr>
            </w:pPr>
          </w:p>
        </w:tc>
        <w:tc>
          <w:tcPr>
            <w:tcW w:w="2580" w:type="dxa"/>
            <w:vAlign w:val="bottom"/>
          </w:tcPr>
          <w:p>
            <w:pPr>
              <w:ind w:left="24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983</w:t>
            </w:r>
          </w:p>
        </w:tc>
        <w:tc>
          <w:tcPr>
            <w:tcW w:w="8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1,571</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869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751</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160</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923</w:t>
            </w:r>
          </w:p>
        </w:tc>
        <w:tc>
          <w:tcPr>
            <w:tcW w:w="0" w:type="dxa"/>
            <w:vAlign w:val="bottom"/>
          </w:tcPr>
          <w:p>
            <w:pPr>
              <w:spacing w:after="0"/>
              <w:rPr>
                <w:sz w:val="1"/>
                <w:szCs w:val="1"/>
                <w:color w:val="auto"/>
              </w:rPr>
            </w:pPr>
          </w:p>
        </w:tc>
      </w:tr>
      <w:tr>
        <w:trPr>
          <w:trHeight w:val="264"/>
        </w:trPr>
        <w:tc>
          <w:tcPr>
            <w:tcW w:w="2620" w:type="dxa"/>
            <w:vAlign w:val="bottom"/>
            <w:vMerge w:val="restart"/>
          </w:tcPr>
          <w:p>
            <w:pPr>
              <w:spacing w:after="0"/>
              <w:rPr>
                <w:sz w:val="20"/>
                <w:szCs w:val="20"/>
                <w:color w:val="auto"/>
              </w:rPr>
            </w:pPr>
            <w:r>
              <w:rPr>
                <w:rFonts w:ascii="Courier New" w:cs="Courier New" w:eastAsia="Courier New" w:hAnsi="Courier New"/>
                <w:sz w:val="16"/>
                <w:szCs w:val="16"/>
                <w:color w:val="auto"/>
              </w:rPr>
              <w:t>Fixed charges:</w:t>
            </w:r>
          </w:p>
        </w:tc>
        <w:tc>
          <w:tcPr>
            <w:tcW w:w="2580" w:type="dxa"/>
            <w:vAlign w:val="bottom"/>
          </w:tcPr>
          <w:p>
            <w:pPr>
              <w:spacing w:after="0"/>
              <w:rPr>
                <w:sz w:val="22"/>
                <w:szCs w:val="22"/>
                <w:color w:val="auto"/>
              </w:rPr>
            </w:pPr>
          </w:p>
        </w:tc>
        <w:tc>
          <w:tcPr>
            <w:tcW w:w="9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22"/>
                <w:szCs w:val="22"/>
                <w:color w:val="auto"/>
              </w:rPr>
            </w:pP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w:t>
            </w:r>
          </w:p>
        </w:tc>
        <w:tc>
          <w:tcPr>
            <w:tcW w:w="100" w:type="dxa"/>
            <w:vAlign w:val="bottom"/>
          </w:tcPr>
          <w:p>
            <w:pPr>
              <w:spacing w:after="0"/>
              <w:rPr>
                <w:sz w:val="22"/>
                <w:szCs w:val="22"/>
                <w:color w:val="auto"/>
              </w:rPr>
            </w:pPr>
          </w:p>
        </w:tc>
        <w:tc>
          <w:tcPr>
            <w:tcW w:w="6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22"/>
                <w:szCs w:val="22"/>
                <w:color w:val="auto"/>
              </w:rPr>
            </w:pP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2"/>
                <w:szCs w:val="22"/>
                <w:color w:val="auto"/>
              </w:rPr>
            </w:pPr>
          </w:p>
        </w:tc>
        <w:tc>
          <w:tcPr>
            <w:tcW w:w="6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2"/>
                <w:szCs w:val="22"/>
                <w:color w:val="auto"/>
              </w:rPr>
            </w:pPr>
          </w:p>
        </w:tc>
        <w:tc>
          <w:tcPr>
            <w:tcW w:w="6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2"/>
                <w:szCs w:val="22"/>
                <w:color w:val="auto"/>
              </w:rPr>
            </w:pP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97"/>
        </w:trPr>
        <w:tc>
          <w:tcPr>
            <w:tcW w:w="2620" w:type="dxa"/>
            <w:vAlign w:val="bottom"/>
            <w:vMerge w:val="continue"/>
          </w:tcPr>
          <w:p>
            <w:pPr>
              <w:spacing w:after="0"/>
              <w:rPr>
                <w:sz w:val="8"/>
                <w:szCs w:val="8"/>
                <w:color w:val="auto"/>
              </w:rPr>
            </w:pPr>
          </w:p>
        </w:tc>
        <w:tc>
          <w:tcPr>
            <w:tcW w:w="2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Total interest on loans (expensed and</w:t>
            </w:r>
          </w:p>
        </w:tc>
        <w:tc>
          <w:tcPr>
            <w:tcW w:w="90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58</w:t>
            </w:r>
          </w:p>
        </w:tc>
        <w:tc>
          <w:tcPr>
            <w:tcW w:w="8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6"/>
              </w:rPr>
              <w:t>$</w:t>
            </w:r>
          </w:p>
        </w:tc>
        <w:tc>
          <w:tcPr>
            <w:tcW w:w="94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69</w:t>
            </w:r>
          </w:p>
        </w:tc>
        <w:tc>
          <w:tcPr>
            <w:tcW w:w="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60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108</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114</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85</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43</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180"/>
        </w:trPr>
        <w:tc>
          <w:tcPr>
            <w:tcW w:w="2620" w:type="dxa"/>
            <w:vAlign w:val="bottom"/>
          </w:tcPr>
          <w:p>
            <w:pPr>
              <w:ind w:left="560"/>
              <w:spacing w:after="0"/>
              <w:rPr>
                <w:sz w:val="20"/>
                <w:szCs w:val="20"/>
                <w:color w:val="auto"/>
              </w:rPr>
            </w:pPr>
            <w:r>
              <w:rPr>
                <w:rFonts w:ascii="Courier New" w:cs="Courier New" w:eastAsia="Courier New" w:hAnsi="Courier New"/>
                <w:sz w:val="10"/>
                <w:szCs w:val="10"/>
                <w:color w:val="auto"/>
                <w:w w:val="75"/>
              </w:rPr>
              <w:t>capitalized).................................</w:t>
            </w:r>
          </w:p>
        </w:tc>
        <w:tc>
          <w:tcPr>
            <w:tcW w:w="2580" w:type="dxa"/>
            <w:vAlign w:val="bottom"/>
          </w:tcPr>
          <w:p>
            <w:pPr>
              <w:ind w:left="2440"/>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Interest attributable to rental and lease</w:t>
            </w:r>
          </w:p>
        </w:tc>
        <w:tc>
          <w:tcPr>
            <w:tcW w:w="90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40</w:t>
            </w:r>
          </w:p>
        </w:tc>
        <w:tc>
          <w:tcPr>
            <w:tcW w:w="80" w:type="dxa"/>
            <w:vAlign w:val="bottom"/>
          </w:tcPr>
          <w:p>
            <w:pPr>
              <w:spacing w:after="0"/>
              <w:rPr>
                <w:sz w:val="15"/>
                <w:szCs w:val="15"/>
                <w:color w:val="auto"/>
              </w:rPr>
            </w:pPr>
          </w:p>
        </w:tc>
        <w:tc>
          <w:tcPr>
            <w:tcW w:w="94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41</w:t>
            </w:r>
          </w:p>
        </w:tc>
        <w:tc>
          <w:tcPr>
            <w:tcW w:w="100" w:type="dxa"/>
            <w:vAlign w:val="bottom"/>
          </w:tcPr>
          <w:p>
            <w:pPr>
              <w:spacing w:after="0"/>
              <w:rPr>
                <w:sz w:val="15"/>
                <w:szCs w:val="15"/>
                <w:color w:val="auto"/>
              </w:rPr>
            </w:pPr>
          </w:p>
        </w:tc>
        <w:tc>
          <w:tcPr>
            <w:tcW w:w="60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44</w:t>
            </w:r>
          </w:p>
        </w:tc>
        <w:tc>
          <w:tcPr>
            <w:tcW w:w="340" w:type="dxa"/>
            <w:vAlign w:val="bottom"/>
          </w:tcPr>
          <w:p>
            <w:pPr>
              <w:spacing w:after="0"/>
              <w:rPr>
                <w:sz w:val="15"/>
                <w:szCs w:val="15"/>
                <w:color w:val="auto"/>
              </w:rPr>
            </w:pPr>
          </w:p>
        </w:tc>
        <w:tc>
          <w:tcPr>
            <w:tcW w:w="70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44</w:t>
            </w:r>
          </w:p>
        </w:tc>
        <w:tc>
          <w:tcPr>
            <w:tcW w:w="320" w:type="dxa"/>
            <w:vAlign w:val="bottom"/>
          </w:tcPr>
          <w:p>
            <w:pPr>
              <w:spacing w:after="0"/>
              <w:rPr>
                <w:sz w:val="15"/>
                <w:szCs w:val="15"/>
                <w:color w:val="auto"/>
              </w:rPr>
            </w:pPr>
          </w:p>
        </w:tc>
        <w:tc>
          <w:tcPr>
            <w:tcW w:w="6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41</w:t>
            </w:r>
          </w:p>
        </w:tc>
        <w:tc>
          <w:tcPr>
            <w:tcW w:w="320" w:type="dxa"/>
            <w:vAlign w:val="bottom"/>
          </w:tcPr>
          <w:p>
            <w:pPr>
              <w:spacing w:after="0"/>
              <w:rPr>
                <w:sz w:val="15"/>
                <w:szCs w:val="15"/>
                <w:color w:val="auto"/>
              </w:rPr>
            </w:pPr>
          </w:p>
        </w:tc>
        <w:tc>
          <w:tcPr>
            <w:tcW w:w="6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20</w:t>
            </w:r>
          </w:p>
        </w:tc>
        <w:tc>
          <w:tcPr>
            <w:tcW w:w="320" w:type="dxa"/>
            <w:vAlign w:val="bottom"/>
          </w:tcPr>
          <w:p>
            <w:pPr>
              <w:spacing w:after="0"/>
              <w:rPr>
                <w:sz w:val="15"/>
                <w:szCs w:val="15"/>
                <w:color w:val="auto"/>
              </w:rPr>
            </w:pPr>
          </w:p>
        </w:tc>
        <w:tc>
          <w:tcPr>
            <w:tcW w:w="4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19</w:t>
            </w:r>
          </w:p>
        </w:tc>
        <w:tc>
          <w:tcPr>
            <w:tcW w:w="0" w:type="dxa"/>
            <w:vAlign w:val="bottom"/>
          </w:tcPr>
          <w:p>
            <w:pPr>
              <w:spacing w:after="0"/>
              <w:rPr>
                <w:sz w:val="1"/>
                <w:szCs w:val="1"/>
                <w:color w:val="auto"/>
              </w:rPr>
            </w:pPr>
          </w:p>
        </w:tc>
      </w:tr>
      <w:tr>
        <w:trPr>
          <w:trHeight w:val="180"/>
        </w:trPr>
        <w:tc>
          <w:tcPr>
            <w:tcW w:w="2620" w:type="dxa"/>
            <w:vAlign w:val="bottom"/>
          </w:tcPr>
          <w:p>
            <w:pPr>
              <w:ind w:left="560"/>
              <w:spacing w:after="0"/>
              <w:rPr>
                <w:sz w:val="20"/>
                <w:szCs w:val="20"/>
                <w:color w:val="auto"/>
              </w:rPr>
            </w:pPr>
            <w:r>
              <w:rPr>
                <w:rFonts w:ascii="Courier New" w:cs="Courier New" w:eastAsia="Courier New" w:hAnsi="Courier New"/>
                <w:sz w:val="4"/>
                <w:szCs w:val="4"/>
                <w:color w:val="auto"/>
                <w:w w:val="95"/>
              </w:rPr>
              <w:t>expense......................................</w:t>
            </w:r>
            <w:r>
              <w:rPr>
                <w:rFonts w:ascii="Courier New" w:cs="Courier New" w:eastAsia="Courier New" w:hAnsi="Courier New"/>
                <w:sz w:val="7"/>
                <w:szCs w:val="7"/>
                <w:color w:val="auto"/>
                <w:w w:val="95"/>
                <w:vertAlign w:val="subscript"/>
              </w:rPr>
              <w:t>......................................</w:t>
            </w:r>
          </w:p>
        </w:tc>
        <w:tc>
          <w:tcPr>
            <w:tcW w:w="2580" w:type="dxa"/>
            <w:vAlign w:val="bottom"/>
            <w:vMerge w:val="restart"/>
          </w:tcPr>
          <w:p>
            <w:pPr>
              <w:ind w:left="2440"/>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continue"/>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6"/>
              </w:rPr>
              <w:t>$</w:t>
            </w:r>
          </w:p>
        </w:tc>
        <w:tc>
          <w:tcPr>
            <w:tcW w:w="940" w:type="dxa"/>
            <w:vAlign w:val="bottom"/>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600" w:type="dxa"/>
            <w:vAlign w:val="bottom"/>
            <w:vMerge w:val="continue"/>
          </w:tcPr>
          <w:p>
            <w:pPr>
              <w:spacing w:after="0"/>
              <w:rPr>
                <w:sz w:val="15"/>
                <w:szCs w:val="15"/>
                <w:color w:val="auto"/>
              </w:rPr>
            </w:pP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vMerge w:val="continue"/>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vMerge w:val="continue"/>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vMerge w:val="continue"/>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2580" w:type="dxa"/>
            <w:vAlign w:val="bottom"/>
            <w:vMerge w:val="continue"/>
          </w:tcPr>
          <w:p>
            <w:pPr>
              <w:spacing w:after="0"/>
              <w:rPr>
                <w:sz w:val="15"/>
                <w:szCs w:val="15"/>
                <w:color w:val="auto"/>
              </w:rPr>
            </w:pPr>
          </w:p>
        </w:tc>
        <w:tc>
          <w:tcPr>
            <w:tcW w:w="9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98</w:t>
            </w:r>
          </w:p>
        </w:tc>
        <w:tc>
          <w:tcPr>
            <w:tcW w:w="80" w:type="dxa"/>
            <w:vAlign w:val="bottom"/>
            <w:vMerge w:val="continue"/>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110</w:t>
            </w:r>
          </w:p>
        </w:tc>
        <w:tc>
          <w:tcPr>
            <w:tcW w:w="100" w:type="dxa"/>
            <w:vAlign w:val="bottom"/>
            <w:vMerge w:val="continue"/>
          </w:tcPr>
          <w:p>
            <w:pPr>
              <w:spacing w:after="0"/>
              <w:rPr>
                <w:sz w:val="15"/>
                <w:szCs w:val="15"/>
                <w:color w:val="auto"/>
              </w:rPr>
            </w:pPr>
          </w:p>
        </w:tc>
        <w:tc>
          <w:tcPr>
            <w:tcW w:w="6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152</w:t>
            </w:r>
          </w:p>
        </w:tc>
        <w:tc>
          <w:tcPr>
            <w:tcW w:w="340" w:type="dxa"/>
            <w:vAlign w:val="bottom"/>
            <w:vMerge w:val="continue"/>
          </w:tcPr>
          <w:p>
            <w:pPr>
              <w:spacing w:after="0"/>
              <w:rPr>
                <w:sz w:val="15"/>
                <w:szCs w:val="15"/>
                <w:color w:val="auto"/>
              </w:rPr>
            </w:pP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158</w:t>
            </w:r>
          </w:p>
        </w:tc>
        <w:tc>
          <w:tcPr>
            <w:tcW w:w="320" w:type="dxa"/>
            <w:vAlign w:val="bottom"/>
            <w:vMerge w:val="continue"/>
          </w:tcPr>
          <w:p>
            <w:pPr>
              <w:spacing w:after="0"/>
              <w:rPr>
                <w:sz w:val="15"/>
                <w:szCs w:val="15"/>
                <w:color w:val="auto"/>
              </w:rPr>
            </w:pPr>
          </w:p>
        </w:tc>
        <w:tc>
          <w:tcPr>
            <w:tcW w:w="6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126</w:t>
            </w:r>
          </w:p>
        </w:tc>
        <w:tc>
          <w:tcPr>
            <w:tcW w:w="320" w:type="dxa"/>
            <w:vAlign w:val="bottom"/>
            <w:vMerge w:val="continue"/>
          </w:tcPr>
          <w:p>
            <w:pPr>
              <w:spacing w:after="0"/>
              <w:rPr>
                <w:sz w:val="15"/>
                <w:szCs w:val="15"/>
                <w:color w:val="auto"/>
              </w:rPr>
            </w:pPr>
          </w:p>
        </w:tc>
        <w:tc>
          <w:tcPr>
            <w:tcW w:w="6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63</w:t>
            </w:r>
          </w:p>
        </w:tc>
        <w:tc>
          <w:tcPr>
            <w:tcW w:w="320" w:type="dxa"/>
            <w:vAlign w:val="bottom"/>
            <w:vMerge w:val="continue"/>
          </w:tcPr>
          <w:p>
            <w:pPr>
              <w:spacing w:after="0"/>
              <w:rPr>
                <w:sz w:val="15"/>
                <w:szCs w:val="15"/>
                <w:color w:val="auto"/>
              </w:rPr>
            </w:pP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59</w:t>
            </w: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9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22"/>
                <w:szCs w:val="22"/>
                <w:color w:val="auto"/>
              </w:rPr>
            </w:pP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w:t>
            </w:r>
          </w:p>
        </w:tc>
        <w:tc>
          <w:tcPr>
            <w:tcW w:w="100" w:type="dxa"/>
            <w:vAlign w:val="bottom"/>
          </w:tcPr>
          <w:p>
            <w:pPr>
              <w:spacing w:after="0"/>
              <w:rPr>
                <w:sz w:val="22"/>
                <w:szCs w:val="22"/>
                <w:color w:val="auto"/>
              </w:rPr>
            </w:pPr>
          </w:p>
        </w:tc>
        <w:tc>
          <w:tcPr>
            <w:tcW w:w="6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22"/>
                <w:szCs w:val="22"/>
                <w:color w:val="auto"/>
              </w:rPr>
            </w:pP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2"/>
                <w:szCs w:val="22"/>
                <w:color w:val="auto"/>
              </w:rPr>
            </w:pPr>
          </w:p>
        </w:tc>
        <w:tc>
          <w:tcPr>
            <w:tcW w:w="6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2"/>
                <w:szCs w:val="22"/>
                <w:color w:val="auto"/>
              </w:rPr>
            </w:pPr>
          </w:p>
        </w:tc>
        <w:tc>
          <w:tcPr>
            <w:tcW w:w="6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2"/>
                <w:szCs w:val="22"/>
                <w:color w:val="auto"/>
              </w:rPr>
            </w:pP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277"/>
        </w:trPr>
        <w:tc>
          <w:tcPr>
            <w:tcW w:w="5200" w:type="dxa"/>
            <w:vAlign w:val="bottom"/>
            <w:gridSpan w:val="2"/>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9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10.0</w:t>
            </w:r>
          </w:p>
        </w:tc>
        <w:tc>
          <w:tcPr>
            <w:tcW w:w="80" w:type="dxa"/>
            <w:vAlign w:val="bottom"/>
          </w:tcPr>
          <w:p>
            <w:pPr>
              <w:spacing w:after="0"/>
              <w:rPr>
                <w:sz w:val="24"/>
                <w:szCs w:val="24"/>
                <w:color w:val="auto"/>
              </w:rPr>
            </w:pP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14.3</w:t>
            </w:r>
          </w:p>
        </w:tc>
        <w:tc>
          <w:tcPr>
            <w:tcW w:w="100" w:type="dxa"/>
            <w:vAlign w:val="bottom"/>
          </w:tcPr>
          <w:p>
            <w:pPr>
              <w:spacing w:after="0"/>
              <w:rPr>
                <w:sz w:val="24"/>
                <w:szCs w:val="24"/>
                <w:color w:val="auto"/>
              </w:rPr>
            </w:pPr>
          </w:p>
        </w:tc>
        <w:tc>
          <w:tcPr>
            <w:tcW w:w="6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24"/>
                <w:szCs w:val="24"/>
                <w:color w:val="auto"/>
              </w:rPr>
            </w:pP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5.5</w:t>
            </w:r>
          </w:p>
        </w:tc>
        <w:tc>
          <w:tcPr>
            <w:tcW w:w="320" w:type="dxa"/>
            <w:vAlign w:val="bottom"/>
          </w:tcPr>
          <w:p>
            <w:pPr>
              <w:spacing w:after="0"/>
              <w:rPr>
                <w:sz w:val="24"/>
                <w:szCs w:val="24"/>
                <w:color w:val="auto"/>
              </w:rPr>
            </w:pPr>
          </w:p>
        </w:tc>
        <w:tc>
          <w:tcPr>
            <w:tcW w:w="6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6.0</w:t>
            </w:r>
          </w:p>
        </w:tc>
        <w:tc>
          <w:tcPr>
            <w:tcW w:w="320" w:type="dxa"/>
            <w:vAlign w:val="bottom"/>
          </w:tcPr>
          <w:p>
            <w:pPr>
              <w:spacing w:after="0"/>
              <w:rPr>
                <w:sz w:val="24"/>
                <w:szCs w:val="24"/>
                <w:color w:val="auto"/>
              </w:rPr>
            </w:pPr>
          </w:p>
        </w:tc>
        <w:tc>
          <w:tcPr>
            <w:tcW w:w="6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w:t>
            </w:r>
          </w:p>
        </w:tc>
        <w:tc>
          <w:tcPr>
            <w:tcW w:w="320" w:type="dxa"/>
            <w:vAlign w:val="bottom"/>
          </w:tcPr>
          <w:p>
            <w:pPr>
              <w:spacing w:after="0"/>
              <w:rPr>
                <w:sz w:val="24"/>
                <w:szCs w:val="24"/>
                <w:color w:val="auto"/>
              </w:rPr>
            </w:pP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15.6</w:t>
            </w: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9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22"/>
                <w:szCs w:val="22"/>
                <w:color w:val="auto"/>
              </w:rPr>
            </w:pP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w:t>
            </w:r>
          </w:p>
        </w:tc>
        <w:tc>
          <w:tcPr>
            <w:tcW w:w="100" w:type="dxa"/>
            <w:vAlign w:val="bottom"/>
          </w:tcPr>
          <w:p>
            <w:pPr>
              <w:spacing w:after="0"/>
              <w:rPr>
                <w:sz w:val="22"/>
                <w:szCs w:val="22"/>
                <w:color w:val="auto"/>
              </w:rPr>
            </w:pPr>
          </w:p>
        </w:tc>
        <w:tc>
          <w:tcPr>
            <w:tcW w:w="6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22"/>
                <w:szCs w:val="22"/>
                <w:color w:val="auto"/>
              </w:rPr>
            </w:pP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2"/>
                <w:szCs w:val="22"/>
                <w:color w:val="auto"/>
              </w:rPr>
            </w:pPr>
          </w:p>
        </w:tc>
        <w:tc>
          <w:tcPr>
            <w:tcW w:w="6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2"/>
                <w:szCs w:val="22"/>
                <w:color w:val="auto"/>
              </w:rPr>
            </w:pPr>
          </w:p>
        </w:tc>
        <w:tc>
          <w:tcPr>
            <w:tcW w:w="6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2"/>
                <w:szCs w:val="22"/>
                <w:color w:val="auto"/>
              </w:rPr>
            </w:pP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361"/>
        </w:trPr>
        <w:tc>
          <w:tcPr>
            <w:tcW w:w="2620" w:type="dxa"/>
            <w:vAlign w:val="bottom"/>
          </w:tcPr>
          <w:p>
            <w:pPr>
              <w:ind w:left="940"/>
              <w:spacing w:after="0"/>
              <w:rPr>
                <w:sz w:val="20"/>
                <w:szCs w:val="20"/>
                <w:color w:val="auto"/>
              </w:rPr>
            </w:pPr>
            <w:r>
              <w:rPr>
                <w:rFonts w:ascii="Courier New" w:cs="Courier New" w:eastAsia="Courier New" w:hAnsi="Courier New"/>
                <w:sz w:val="16"/>
                <w:szCs w:val="16"/>
                <w:color w:val="auto"/>
              </w:rPr>
              <w:t>*Not meaningful.</w:t>
            </w:r>
          </w:p>
        </w:tc>
        <w:tc>
          <w:tcPr>
            <w:tcW w:w="45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7"/>
              </w:rPr>
              <w:t>The coverage deficiency was $43 million in 1996.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94" w:right="139" w:bottom="1440" w:gutter="0" w:footer="0" w:header="0"/>
        </w:sectPr>
      </w:pPr>
    </w:p>
    <w:bookmarkStart w:id="55" w:name="page56"/>
    <w:bookmarkEnd w:id="55"/>
    <w:p>
      <w:pPr>
        <w:jc w:val="right"/>
        <w:ind w:right="2719"/>
        <w:spacing w:after="0"/>
        <w:rPr>
          <w:sz w:val="20"/>
          <w:szCs w:val="20"/>
          <w:color w:val="auto"/>
        </w:rPr>
      </w:pPr>
      <w:r>
        <w:rPr>
          <w:rFonts w:ascii="Courier New" w:cs="Courier New" w:eastAsia="Courier New" w:hAnsi="Courier New"/>
          <w:sz w:val="16"/>
          <w:szCs w:val="16"/>
          <w:color w:val="auto"/>
        </w:rPr>
        <w:t>EXHIBIT 23.2</w:t>
      </w:r>
    </w:p>
    <w:p>
      <w:pPr>
        <w:spacing w:after="0" w:line="17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CONSENT OF INDEPENDENT AUDITORS</w:t>
      </w:r>
    </w:p>
    <w:p>
      <w:pPr>
        <w:spacing w:after="0" w:line="179"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6"/>
          <w:szCs w:val="16"/>
          <w:color w:val="auto"/>
        </w:rPr>
        <w:t>We consent to the reference to our firm under the caption "Independent Auditors" in the Registration Statement (Form S-4) and related Prospectus of Texas Instruments Incorporated and to the incorporation by reference therein of our report dated January 19, 1999, with respect to the consolidated financial statements and schedule of Texas Instruments Incorporated included in its Annual Report on Form 10-K/A (Amendment No. 1) for the year ended December 31, 1998, filed with the Securities and Exchange Commission.</w:t>
      </w:r>
    </w:p>
    <w:p>
      <w:pPr>
        <w:spacing w:after="0" w:line="84"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/s/ ERNST &amp; YOUNG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13, 1999</w:t>
      </w:r>
    </w:p>
    <w:p>
      <w:pPr>
        <w:sectPr>
          <w:pgSz w:w="11900" w:h="16838" w:orient="portrait"/>
          <w:cols w:equalWidth="0" w:num="1">
            <w:col w:w="10219"/>
          </w:cols>
          <w:pgMar w:left="240" w:top="294" w:right="1440" w:bottom="1440" w:gutter="0" w:footer="0" w:header="0"/>
        </w:sectPr>
      </w:pPr>
    </w:p>
    <w:bookmarkStart w:id="56" w:name="page57"/>
    <w:bookmarkEnd w:id="56"/>
    <w:p>
      <w:pPr>
        <w:spacing w:after="0" w:line="35"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79"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Washington, D.C. 20549</w:t>
      </w:r>
    </w:p>
    <w:p>
      <w:pPr>
        <w:spacing w:after="0" w:line="179" w:lineRule="exact"/>
        <w:rPr>
          <w:sz w:val="20"/>
          <w:szCs w:val="20"/>
          <w:color w:val="auto"/>
        </w:rPr>
      </w:pPr>
    </w:p>
    <w:p>
      <w:pPr>
        <w:ind w:left="26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FORM T-1</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STATEMENT OF ELIGIBILITY</w:t>
      </w:r>
    </w:p>
    <w:p>
      <w:pPr>
        <w:spacing w:after="0" w:line="26"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UNDER THE TRUST INDENTURE ACT OF 1939 OF A</w:t>
      </w:r>
    </w:p>
    <w:p>
      <w:pPr>
        <w:jc w:val="center"/>
        <w:ind w:right="2715"/>
        <w:spacing w:after="0"/>
        <w:rPr>
          <w:sz w:val="20"/>
          <w:szCs w:val="20"/>
          <w:color w:val="auto"/>
        </w:rPr>
      </w:pPr>
      <w:r>
        <w:rPr>
          <w:rFonts w:ascii="Courier New" w:cs="Courier New" w:eastAsia="Courier New" w:hAnsi="Courier New"/>
          <w:sz w:val="16"/>
          <w:szCs w:val="16"/>
          <w:color w:val="auto"/>
        </w:rPr>
        <w:t>CORPORATION DESIGNATED TO ACT AS TRUSTEE</w:t>
      </w:r>
    </w:p>
    <w:p>
      <w:pPr>
        <w:spacing w:after="0" w:line="151" w:lineRule="exact"/>
        <w:rPr>
          <w:sz w:val="20"/>
          <w:szCs w:val="20"/>
          <w:color w:val="auto"/>
        </w:rPr>
      </w:pPr>
    </w:p>
    <w:p>
      <w:pPr>
        <w:jc w:val="center"/>
        <w:ind w:right="2635"/>
        <w:spacing w:after="0"/>
        <w:rPr>
          <w:sz w:val="20"/>
          <w:szCs w:val="20"/>
          <w:color w:val="auto"/>
        </w:rPr>
      </w:pPr>
      <w:r>
        <w:rPr>
          <w:rFonts w:ascii="Courier New" w:cs="Courier New" w:eastAsia="Courier New" w:hAnsi="Courier New"/>
          <w:sz w:val="16"/>
          <w:szCs w:val="16"/>
          <w:color w:val="auto"/>
        </w:rPr>
        <w:t>Check if an application to determine eligibility of a Trustee</w:t>
      </w:r>
    </w:p>
    <w:p>
      <w:pPr>
        <w:spacing w:after="0" w:line="27"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pursuant to Section 305(b)(2) ____</w:t>
      </w:r>
    </w:p>
    <w:p>
      <w:pPr>
        <w:spacing w:after="0" w:line="151" w:lineRule="exact"/>
        <w:rPr>
          <w:sz w:val="20"/>
          <w:szCs w:val="20"/>
          <w:color w:val="auto"/>
        </w:rPr>
      </w:pPr>
    </w:p>
    <w:tbl>
      <w:tblPr>
        <w:tblLayout w:type="fixed"/>
        <w:tblInd w:w="4" w:type="dxa"/>
        <w:tblCellMar>
          <w:top w:w="0" w:type="dxa"/>
          <w:left w:w="0" w:type="dxa"/>
          <w:bottom w:w="0" w:type="dxa"/>
          <w:right w:w="0" w:type="dxa"/>
        </w:tblCellMar>
      </w:tblPr>
      <w:tr>
        <w:trPr>
          <w:trHeight w:val="264"/>
        </w:trPr>
        <w:tc>
          <w:tcPr>
            <w:tcW w:w="5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020" w:type="dxa"/>
            <w:vAlign w:val="bottom"/>
          </w:tcPr>
          <w:p>
            <w:pPr>
              <w:ind w:left="3100"/>
              <w:spacing w:after="0"/>
              <w:rPr>
                <w:sz w:val="20"/>
                <w:szCs w:val="20"/>
                <w:color w:val="auto"/>
              </w:rPr>
            </w:pPr>
            <w:r>
              <w:rPr>
                <w:rFonts w:ascii="Courier New" w:cs="Courier New" w:eastAsia="Courier New" w:hAnsi="Courier New"/>
                <w:sz w:val="16"/>
                <w:szCs w:val="16"/>
                <w:color w:val="auto"/>
              </w:rPr>
              <w:t>CITIBANK, N.A.</w:t>
            </w:r>
          </w:p>
        </w:tc>
        <w:tc>
          <w:tcPr>
            <w:tcW w:w="18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its charter)</w:t>
            </w:r>
          </w:p>
        </w:tc>
        <w:tc>
          <w:tcPr>
            <w:tcW w:w="0" w:type="dxa"/>
            <w:vAlign w:val="bottom"/>
          </w:tcPr>
          <w:p>
            <w:pPr>
              <w:spacing w:after="0"/>
              <w:rPr>
                <w:sz w:val="1"/>
                <w:szCs w:val="1"/>
                <w:color w:val="auto"/>
              </w:rPr>
            </w:pPr>
          </w:p>
        </w:tc>
      </w:tr>
      <w:tr>
        <w:trPr>
          <w:trHeight w:val="264"/>
        </w:trPr>
        <w:tc>
          <w:tcPr>
            <w:tcW w:w="5020" w:type="dxa"/>
            <w:vAlign w:val="bottom"/>
          </w:tcPr>
          <w:p>
            <w:pPr>
              <w:jc w:val="right"/>
              <w:spacing w:after="0"/>
              <w:rPr>
                <w:sz w:val="20"/>
                <w:szCs w:val="20"/>
                <w:color w:val="auto"/>
              </w:rPr>
            </w:pPr>
            <w:r>
              <w:rPr>
                <w:rFonts w:ascii="Courier New" w:cs="Courier New" w:eastAsia="Courier New" w:hAnsi="Courier New"/>
                <w:sz w:val="16"/>
                <w:szCs w:val="16"/>
                <w:color w:val="auto"/>
              </w:rPr>
              <w:t>(Exact name of trustee as specified in</w:t>
            </w:r>
          </w:p>
        </w:tc>
        <w:tc>
          <w:tcPr>
            <w:tcW w:w="1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020" w:type="dxa"/>
            <w:vAlign w:val="bottom"/>
          </w:tcPr>
          <w:p>
            <w:pPr>
              <w:spacing w:after="0"/>
              <w:rPr>
                <w:sz w:val="24"/>
                <w:szCs w:val="24"/>
                <w:color w:val="auto"/>
              </w:rPr>
            </w:pP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13-5266470</w:t>
            </w: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(I.R.S. employer</w:t>
            </w: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2"/>
                <w:szCs w:val="22"/>
                <w:color w:val="auto"/>
              </w:rPr>
            </w:pP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w w:val="96"/>
              </w:rPr>
              <w:t>identification no.)</w:t>
            </w:r>
          </w:p>
        </w:tc>
        <w:tc>
          <w:tcPr>
            <w:tcW w:w="0" w:type="dxa"/>
            <w:vAlign w:val="bottom"/>
          </w:tcPr>
          <w:p>
            <w:pPr>
              <w:spacing w:after="0"/>
              <w:rPr>
                <w:sz w:val="1"/>
                <w:szCs w:val="1"/>
                <w:color w:val="auto"/>
              </w:rPr>
            </w:pPr>
          </w:p>
        </w:tc>
      </w:tr>
      <w:tr>
        <w:trPr>
          <w:trHeight w:val="277"/>
        </w:trPr>
        <w:tc>
          <w:tcPr>
            <w:tcW w:w="5020" w:type="dxa"/>
            <w:vAlign w:val="bottom"/>
          </w:tcPr>
          <w:p>
            <w:pPr>
              <w:spacing w:after="0"/>
              <w:rPr>
                <w:sz w:val="20"/>
                <w:szCs w:val="20"/>
                <w:color w:val="auto"/>
              </w:rPr>
            </w:pPr>
            <w:r>
              <w:rPr>
                <w:rFonts w:ascii="Courier New" w:cs="Courier New" w:eastAsia="Courier New" w:hAnsi="Courier New"/>
                <w:sz w:val="16"/>
                <w:szCs w:val="16"/>
                <w:color w:val="auto"/>
              </w:rPr>
              <w:t>399 Park Avenue, New York, New York</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10043</w:t>
            </w: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0"/>
                <w:szCs w:val="20"/>
                <w:color w:val="auto"/>
              </w:rPr>
            </w:pPr>
            <w:r>
              <w:rPr>
                <w:rFonts w:ascii="Courier New" w:cs="Courier New" w:eastAsia="Courier New" w:hAnsi="Courier New"/>
                <w:sz w:val="16"/>
                <w:szCs w:val="16"/>
                <w:color w:val="auto"/>
              </w:rPr>
              <w:t>(Address of principal executive office)</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(Zip Code)</w:t>
            </w:r>
          </w:p>
        </w:tc>
        <w:tc>
          <w:tcPr>
            <w:tcW w:w="0" w:type="dxa"/>
            <w:vAlign w:val="bottom"/>
          </w:tcPr>
          <w:p>
            <w:pPr>
              <w:spacing w:after="0"/>
              <w:rPr>
                <w:sz w:val="1"/>
                <w:szCs w:val="1"/>
                <w:color w:val="auto"/>
              </w:rPr>
            </w:pPr>
          </w:p>
        </w:tc>
      </w:tr>
      <w:tr>
        <w:trPr>
          <w:trHeight w:val="361"/>
        </w:trPr>
        <w:tc>
          <w:tcPr>
            <w:tcW w:w="5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2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75-0289970</w:t>
            </w:r>
          </w:p>
        </w:tc>
        <w:tc>
          <w:tcPr>
            <w:tcW w:w="0" w:type="dxa"/>
            <w:vAlign w:val="bottom"/>
          </w:tcPr>
          <w:p>
            <w:pPr>
              <w:spacing w:after="0"/>
              <w:rPr>
                <w:sz w:val="1"/>
                <w:szCs w:val="1"/>
                <w:color w:val="auto"/>
              </w:rPr>
            </w:pP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(State or other jurisdiction of</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(I.R.S. employer</w:t>
            </w: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0"/>
                <w:szCs w:val="20"/>
                <w:color w:val="auto"/>
              </w:rPr>
            </w:pPr>
            <w:r>
              <w:rPr>
                <w:rFonts w:ascii="Courier New" w:cs="Courier New" w:eastAsia="Courier New" w:hAnsi="Courier New"/>
                <w:sz w:val="16"/>
                <w:szCs w:val="16"/>
                <w:color w:val="auto"/>
              </w:rPr>
              <w:t>incorporation or organization)</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w w:val="96"/>
              </w:rPr>
              <w:t>identification no.)</w:t>
            </w:r>
          </w:p>
        </w:tc>
        <w:tc>
          <w:tcPr>
            <w:tcW w:w="0" w:type="dxa"/>
            <w:vAlign w:val="bottom"/>
          </w:tcPr>
          <w:p>
            <w:pPr>
              <w:spacing w:after="0"/>
              <w:rPr>
                <w:sz w:val="1"/>
                <w:szCs w:val="1"/>
                <w:color w:val="auto"/>
              </w:rPr>
            </w:pPr>
          </w:p>
        </w:tc>
      </w:tr>
      <w:tr>
        <w:trPr>
          <w:trHeight w:val="277"/>
        </w:trPr>
        <w:tc>
          <w:tcPr>
            <w:tcW w:w="5020" w:type="dxa"/>
            <w:vAlign w:val="bottom"/>
          </w:tcPr>
          <w:p>
            <w:pPr>
              <w:spacing w:after="0"/>
              <w:rPr>
                <w:sz w:val="20"/>
                <w:szCs w:val="20"/>
                <w:color w:val="auto"/>
              </w:rPr>
            </w:pPr>
            <w:r>
              <w:rPr>
                <w:rFonts w:ascii="Courier New" w:cs="Courier New" w:eastAsia="Courier New" w:hAnsi="Courier New"/>
                <w:sz w:val="16"/>
                <w:szCs w:val="16"/>
                <w:color w:val="auto"/>
              </w:rPr>
              <w:t>8505 Forest Lane</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P.O. Box 660199</w:t>
            </w:r>
          </w:p>
        </w:tc>
        <w:tc>
          <w:tcPr>
            <w:tcW w:w="18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75266-0199</w:t>
            </w:r>
          </w:p>
        </w:tc>
        <w:tc>
          <w:tcPr>
            <w:tcW w:w="0" w:type="dxa"/>
            <w:vAlign w:val="bottom"/>
          </w:tcPr>
          <w:p>
            <w:pPr>
              <w:spacing w:after="0"/>
              <w:rPr>
                <w:sz w:val="1"/>
                <w:szCs w:val="1"/>
                <w:color w:val="auto"/>
              </w:rPr>
            </w:pP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Dallas, Texas</w:t>
            </w: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0"/>
                <w:szCs w:val="20"/>
                <w:color w:val="auto"/>
              </w:rPr>
            </w:pPr>
            <w:r>
              <w:rPr>
                <w:rFonts w:ascii="Courier New" w:cs="Courier New" w:eastAsia="Courier New" w:hAnsi="Courier New"/>
                <w:sz w:val="16"/>
                <w:szCs w:val="16"/>
                <w:color w:val="auto"/>
              </w:rPr>
              <w:t>(Address of principal executive offices)</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(Zip Code)</w:t>
            </w:r>
          </w:p>
        </w:tc>
        <w:tc>
          <w:tcPr>
            <w:tcW w:w="0" w:type="dxa"/>
            <w:vAlign w:val="bottom"/>
          </w:tcPr>
          <w:p>
            <w:pPr>
              <w:spacing w:after="0"/>
              <w:rPr>
                <w:sz w:val="1"/>
                <w:szCs w:val="1"/>
                <w:color w:val="auto"/>
              </w:rPr>
            </w:pPr>
          </w:p>
        </w:tc>
      </w:tr>
      <w:tr>
        <w:trPr>
          <w:trHeight w:val="361"/>
        </w:trPr>
        <w:tc>
          <w:tcPr>
            <w:tcW w:w="5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020" w:type="dxa"/>
            <w:vAlign w:val="bottom"/>
          </w:tcPr>
          <w:p>
            <w:pPr>
              <w:ind w:left="3100"/>
              <w:spacing w:after="0"/>
              <w:rPr>
                <w:sz w:val="20"/>
                <w:szCs w:val="20"/>
                <w:color w:val="auto"/>
              </w:rPr>
            </w:pPr>
            <w:r>
              <w:rPr>
                <w:rFonts w:ascii="Courier New" w:cs="Courier New" w:eastAsia="Courier New" w:hAnsi="Courier New"/>
                <w:sz w:val="16"/>
                <w:szCs w:val="16"/>
                <w:color w:val="auto"/>
              </w:rPr>
              <w:t>Debt Securities</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164"/>
        <w:spacing w:after="0"/>
        <w:rPr>
          <w:sz w:val="20"/>
          <w:szCs w:val="20"/>
          <w:color w:val="auto"/>
        </w:rPr>
      </w:pPr>
      <w:r>
        <w:rPr>
          <w:rFonts w:ascii="Courier New" w:cs="Courier New" w:eastAsia="Courier New" w:hAnsi="Courier New"/>
          <w:sz w:val="16"/>
          <w:szCs w:val="16"/>
          <w:color w:val="auto"/>
        </w:rPr>
        <w:t>(Title of the indenture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4" w:hanging="564"/>
        <w:spacing w:after="0"/>
        <w:tabs>
          <w:tab w:leader="none" w:pos="564"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Texas Instruments Incorporated 6.875% Notes due 07/15/2000</w:t>
      </w:r>
    </w:p>
    <w:p>
      <w:pPr>
        <w:spacing w:after="0" w:line="27" w:lineRule="exact"/>
        <w:rPr>
          <w:rFonts w:ascii="Courier New" w:cs="Courier New" w:eastAsia="Courier New" w:hAnsi="Courier New"/>
          <w:sz w:val="16"/>
          <w:szCs w:val="16"/>
          <w:color w:val="auto"/>
        </w:rPr>
      </w:pPr>
    </w:p>
    <w:p>
      <w:pPr>
        <w:ind w:left="564" w:hanging="564"/>
        <w:spacing w:after="0"/>
        <w:tabs>
          <w:tab w:leader="none" w:pos="564"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Texas Instruments Incorporated 7.000% Notes due 08/15/2004</w:t>
      </w:r>
    </w:p>
    <w:p>
      <w:pPr>
        <w:spacing w:after="0" w:line="151"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General Information.</w:t>
      </w:r>
    </w:p>
    <w:p>
      <w:pPr>
        <w:spacing w:after="0" w:line="179" w:lineRule="exact"/>
        <w:rPr>
          <w:sz w:val="20"/>
          <w:szCs w:val="20"/>
          <w:color w:val="auto"/>
        </w:rPr>
      </w:pPr>
    </w:p>
    <w:p>
      <w:pPr>
        <w:ind w:left="1124"/>
        <w:spacing w:after="0"/>
        <w:rPr>
          <w:sz w:val="20"/>
          <w:szCs w:val="20"/>
          <w:color w:val="auto"/>
        </w:rPr>
      </w:pPr>
      <w:r>
        <w:rPr>
          <w:rFonts w:ascii="Courier New" w:cs="Courier New" w:eastAsia="Courier New" w:hAnsi="Courier New"/>
          <w:sz w:val="16"/>
          <w:szCs w:val="16"/>
          <w:color w:val="auto"/>
        </w:rPr>
        <w:t>Furnish the following information as to the trustee:</w:t>
      </w:r>
    </w:p>
    <w:p>
      <w:pPr>
        <w:spacing w:after="0" w:line="179" w:lineRule="exact"/>
        <w:rPr>
          <w:sz w:val="20"/>
          <w:szCs w:val="20"/>
          <w:color w:val="auto"/>
        </w:rPr>
      </w:pPr>
    </w:p>
    <w:p>
      <w:pPr>
        <w:ind w:left="1884" w:right="3759" w:hanging="383"/>
        <w:spacing w:after="0" w:line="348" w:lineRule="auto"/>
        <w:tabs>
          <w:tab w:leader="none" w:pos="188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 each examining or supervising authority to which it is subject.</w:t>
      </w:r>
    </w:p>
    <w:p>
      <w:pPr>
        <w:sectPr>
          <w:pgSz w:w="11900" w:h="16874" w:orient="portrait"/>
          <w:cols w:equalWidth="0" w:num="1">
            <w:col w:w="10223"/>
          </w:cols>
          <w:pgMar w:left="236" w:top="294" w:right="1440" w:bottom="0" w:gutter="0" w:footer="0" w:header="0"/>
        </w:sectPr>
      </w:pPr>
    </w:p>
    <w:p>
      <w:pPr>
        <w:spacing w:after="0" w:line="15" w:lineRule="exact"/>
        <w:rPr>
          <w:sz w:val="20"/>
          <w:szCs w:val="20"/>
          <w:color w:val="auto"/>
        </w:rPr>
      </w:pPr>
    </w:p>
    <w:p>
      <w:pPr>
        <w:ind w:left="1884"/>
        <w:spacing w:after="0"/>
        <w:rPr>
          <w:sz w:val="20"/>
          <w:szCs w:val="20"/>
          <w:color w:val="auto"/>
        </w:rPr>
      </w:pPr>
      <w:r>
        <w:rPr>
          <w:rFonts w:ascii="Courier New" w:cs="Courier New" w:eastAsia="Courier New" w:hAnsi="Courier New"/>
          <w:sz w:val="15"/>
          <w:szCs w:val="15"/>
          <w:color w:val="auto"/>
        </w:rPr>
        <w:t>Name</w:t>
      </w:r>
    </w:p>
    <w:p>
      <w:pPr>
        <w:spacing w:after="0" w:line="38" w:lineRule="exact"/>
        <w:rPr>
          <w:sz w:val="20"/>
          <w:szCs w:val="20"/>
          <w:color w:val="auto"/>
        </w:rPr>
      </w:pPr>
    </w:p>
    <w:p>
      <w:pPr>
        <w:ind w:left="1884"/>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Address</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3" w:lineRule="exact"/>
        <w:rPr>
          <w:sz w:val="20"/>
          <w:szCs w:val="20"/>
          <w:color w:val="auto"/>
        </w:rPr>
      </w:pPr>
    </w:p>
    <w:p>
      <w:pPr>
        <w:sectPr>
          <w:pgSz w:w="11900" w:h="16874" w:orient="portrait"/>
          <w:cols w:equalWidth="0" w:num="2">
            <w:col w:w="5564" w:space="720"/>
            <w:col w:w="3939"/>
          </w:cols>
          <w:pgMar w:left="236" w:top="294" w:right="1440" w:bottom="0" w:gutter="0" w:footer="0" w:header="0"/>
          <w:type w:val="continuous"/>
        </w:sectPr>
      </w:pPr>
    </w:p>
    <w:p>
      <w:pPr>
        <w:ind w:left="1884"/>
        <w:spacing w:after="0"/>
        <w:rPr>
          <w:sz w:val="20"/>
          <w:szCs w:val="20"/>
          <w:color w:val="auto"/>
        </w:rPr>
      </w:pPr>
      <w:r>
        <w:rPr>
          <w:rFonts w:ascii="Courier New" w:cs="Courier New" w:eastAsia="Courier New" w:hAnsi="Courier New"/>
          <w:sz w:val="15"/>
          <w:szCs w:val="15"/>
          <w:color w:val="auto"/>
        </w:rPr>
        <w:t>Comptroller of the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Washington, D.C.</w:t>
      </w:r>
    </w:p>
    <w:p>
      <w:pPr>
        <w:spacing w:after="0" w:line="191" w:lineRule="exact"/>
        <w:rPr>
          <w:sz w:val="20"/>
          <w:szCs w:val="20"/>
          <w:color w:val="auto"/>
        </w:rPr>
      </w:pPr>
    </w:p>
    <w:p>
      <w:pPr>
        <w:sectPr>
          <w:pgSz w:w="11900" w:h="16874" w:orient="portrait"/>
          <w:cols w:equalWidth="0" w:num="2">
            <w:col w:w="5284" w:space="720"/>
            <w:col w:w="4219"/>
          </w:cols>
          <w:pgMar w:left="236" w:top="294" w:right="1440" w:bottom="0" w:gutter="0" w:footer="0" w:header="0"/>
          <w:type w:val="continuous"/>
        </w:sectPr>
      </w:pPr>
    </w:p>
    <w:p>
      <w:pPr>
        <w:ind w:left="1884" w:right="400"/>
        <w:spacing w:after="0" w:line="293" w:lineRule="auto"/>
        <w:rPr>
          <w:sz w:val="20"/>
          <w:szCs w:val="20"/>
          <w:color w:val="auto"/>
        </w:rPr>
      </w:pPr>
      <w:r>
        <w:rPr>
          <w:rFonts w:ascii="Courier New" w:cs="Courier New" w:eastAsia="Courier New" w:hAnsi="Courier New"/>
          <w:sz w:val="16"/>
          <w:szCs w:val="16"/>
          <w:color w:val="auto"/>
        </w:rPr>
        <w:t>Federal Reserve Bank of New York 33 Liberty Street New York, 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New York, NY</w:t>
      </w:r>
    </w:p>
    <w:p>
      <w:pPr>
        <w:spacing w:after="0" w:line="551" w:lineRule="exact"/>
        <w:rPr>
          <w:sz w:val="20"/>
          <w:szCs w:val="20"/>
          <w:color w:val="auto"/>
        </w:rPr>
      </w:pPr>
    </w:p>
    <w:p>
      <w:pPr>
        <w:sectPr>
          <w:pgSz w:w="11900" w:h="16874" w:orient="portrait"/>
          <w:cols w:equalWidth="0" w:num="2">
            <w:col w:w="5284" w:space="720"/>
            <w:col w:w="4219"/>
          </w:cols>
          <w:pgMar w:left="236" w:top="294" w:right="1440" w:bottom="0" w:gutter="0" w:footer="0" w:header="0"/>
          <w:type w:val="continuous"/>
        </w:sectPr>
      </w:pPr>
    </w:p>
    <w:p>
      <w:pPr>
        <w:ind w:left="1884"/>
        <w:spacing w:after="0"/>
        <w:rPr>
          <w:sz w:val="20"/>
          <w:szCs w:val="20"/>
          <w:color w:val="auto"/>
        </w:rPr>
      </w:pPr>
      <w:r>
        <w:rPr>
          <w:rFonts w:ascii="Courier New" w:cs="Courier New" w:eastAsia="Courier New" w:hAnsi="Courier New"/>
          <w:sz w:val="15"/>
          <w:szCs w:val="15"/>
          <w:color w:val="auto"/>
        </w:rPr>
        <w:t>Federal Deposit Insurance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Washington, D.C.</w:t>
      </w:r>
    </w:p>
    <w:p>
      <w:pPr>
        <w:spacing w:after="0" w:line="191" w:lineRule="exact"/>
        <w:rPr>
          <w:sz w:val="20"/>
          <w:szCs w:val="20"/>
          <w:color w:val="auto"/>
        </w:rPr>
      </w:pPr>
    </w:p>
    <w:p>
      <w:pPr>
        <w:sectPr>
          <w:pgSz w:w="11900" w:h="16874" w:orient="portrait"/>
          <w:cols w:equalWidth="0" w:num="2">
            <w:col w:w="5344" w:space="660"/>
            <w:col w:w="4219"/>
          </w:cols>
          <w:pgMar w:left="236" w:top="294" w:right="1440" w:bottom="0" w:gutter="0" w:footer="0" w:header="0"/>
          <w:type w:val="continuous"/>
        </w:sectPr>
      </w:pPr>
    </w:p>
    <w:p>
      <w:pPr>
        <w:ind w:left="1884" w:right="2719" w:hanging="383"/>
        <w:spacing w:after="0" w:line="477" w:lineRule="auto"/>
        <w:tabs>
          <w:tab w:leader="none" w:pos="1884"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it is authorized to exercise corporate trust powers. Yes.</w:t>
      </w:r>
    </w:p>
    <w:p>
      <w:pPr>
        <w:spacing w:after="0" w:line="1"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Affiliates with Obligor.</w:t>
      </w:r>
    </w:p>
    <w:p>
      <w:pPr>
        <w:spacing w:after="0" w:line="179" w:lineRule="exact"/>
        <w:rPr>
          <w:sz w:val="20"/>
          <w:szCs w:val="20"/>
          <w:color w:val="auto"/>
        </w:rPr>
      </w:pPr>
    </w:p>
    <w:p>
      <w:pPr>
        <w:ind w:left="4" w:right="3179" w:firstLine="938"/>
        <w:spacing w:after="0" w:line="348" w:lineRule="auto"/>
        <w:rPr>
          <w:sz w:val="20"/>
          <w:szCs w:val="20"/>
          <w:color w:val="auto"/>
        </w:rPr>
      </w:pPr>
      <w:r>
        <w:rPr>
          <w:rFonts w:ascii="Courier New" w:cs="Courier New" w:eastAsia="Courier New" w:hAnsi="Courier New"/>
          <w:sz w:val="16"/>
          <w:szCs w:val="16"/>
          <w:color w:val="auto"/>
        </w:rPr>
        <w:t>If the obligor is an affiliate of the trustee, describe each such affiliation.</w:t>
      </w:r>
    </w:p>
    <w:p>
      <w:pPr>
        <w:spacing w:after="0" w:line="15" w:lineRule="exact"/>
        <w:rPr>
          <w:sz w:val="20"/>
          <w:szCs w:val="20"/>
          <w:color w:val="auto"/>
        </w:rPr>
      </w:pPr>
    </w:p>
    <w:p>
      <w:pPr>
        <w:ind w:left="1504"/>
        <w:spacing w:after="0"/>
        <w:rPr>
          <w:sz w:val="20"/>
          <w:szCs w:val="20"/>
          <w:color w:val="auto"/>
        </w:rPr>
      </w:pPr>
      <w:r>
        <w:rPr>
          <w:rFonts w:ascii="Courier New" w:cs="Courier New" w:eastAsia="Courier New" w:hAnsi="Courier New"/>
          <w:sz w:val="16"/>
          <w:szCs w:val="16"/>
          <w:color w:val="auto"/>
        </w:rPr>
        <w:t>None.</w:t>
      </w:r>
    </w:p>
    <w:p>
      <w:pPr>
        <w:spacing w:after="0" w:line="179" w:lineRule="exact"/>
        <w:rPr>
          <w:sz w:val="20"/>
          <w:szCs w:val="20"/>
          <w:color w:val="auto"/>
        </w:rPr>
      </w:pPr>
    </w:p>
    <w:p>
      <w:pPr>
        <w:ind w:left="4"/>
        <w:spacing w:after="0"/>
        <w:tabs>
          <w:tab w:leader="none" w:pos="923" w:val="left"/>
        </w:tabs>
        <w:rPr>
          <w:sz w:val="20"/>
          <w:szCs w:val="20"/>
          <w:color w:val="auto"/>
        </w:rPr>
      </w:pPr>
      <w:r>
        <w:rPr>
          <w:rFonts w:ascii="Courier New" w:cs="Courier New" w:eastAsia="Courier New" w:hAnsi="Courier New"/>
          <w:sz w:val="16"/>
          <w:szCs w:val="16"/>
          <w:color w:val="auto"/>
        </w:rPr>
        <w:t>Item 16.</w:t>
      </w:r>
      <w:r>
        <w:rPr>
          <w:sz w:val="20"/>
          <w:szCs w:val="20"/>
          <w:color w:val="auto"/>
        </w:rPr>
        <w:tab/>
      </w:r>
      <w:r>
        <w:rPr>
          <w:rFonts w:ascii="Courier New" w:cs="Courier New" w:eastAsia="Courier New" w:hAnsi="Courier New"/>
          <w:sz w:val="15"/>
          <w:szCs w:val="15"/>
          <w:color w:val="auto"/>
        </w:rPr>
        <w:t>List of Exhibits.</w:t>
      </w:r>
    </w:p>
    <w:p>
      <w:pPr>
        <w:spacing w:after="0" w:line="179" w:lineRule="exact"/>
        <w:rPr>
          <w:sz w:val="20"/>
          <w:szCs w:val="20"/>
          <w:color w:val="auto"/>
        </w:rPr>
      </w:pPr>
    </w:p>
    <w:p>
      <w:pPr>
        <w:ind w:left="4" w:right="3659" w:firstLine="938"/>
        <w:spacing w:after="0" w:line="348" w:lineRule="auto"/>
        <w:rPr>
          <w:sz w:val="20"/>
          <w:szCs w:val="20"/>
          <w:color w:val="auto"/>
        </w:rPr>
      </w:pPr>
      <w:r>
        <w:rPr>
          <w:rFonts w:ascii="Courier New" w:cs="Courier New" w:eastAsia="Courier New" w:hAnsi="Courier New"/>
          <w:sz w:val="16"/>
          <w:szCs w:val="16"/>
          <w:color w:val="auto"/>
        </w:rPr>
        <w:t>List below all exhibits filed as a part of this Statement of Eligibility.</w:t>
      </w:r>
    </w:p>
    <w:p>
      <w:pPr>
        <w:spacing w:after="0" w:line="15" w:lineRule="exact"/>
        <w:rPr>
          <w:sz w:val="20"/>
          <w:szCs w:val="20"/>
          <w:color w:val="auto"/>
        </w:rPr>
      </w:pPr>
    </w:p>
    <w:p>
      <w:pPr>
        <w:ind w:left="1504" w:right="3099"/>
        <w:spacing w:after="0" w:line="293" w:lineRule="auto"/>
        <w:rPr>
          <w:sz w:val="20"/>
          <w:szCs w:val="20"/>
          <w:color w:val="auto"/>
        </w:rPr>
      </w:pPr>
      <w:r>
        <w:rPr>
          <w:rFonts w:ascii="Courier New" w:cs="Courier New" w:eastAsia="Courier New" w:hAnsi="Courier New"/>
          <w:sz w:val="16"/>
          <w:szCs w:val="16"/>
          <w:color w:val="auto"/>
        </w:rPr>
        <w:t>Exhibits identified in parentheses below, on file with the Commission, are incorporated herein by reference as exhibits hereto.</w:t>
      </w:r>
    </w:p>
    <w:p>
      <w:pPr>
        <w:spacing w:after="0" w:line="58" w:lineRule="exact"/>
        <w:rPr>
          <w:sz w:val="20"/>
          <w:szCs w:val="20"/>
          <w:color w:val="auto"/>
        </w:rPr>
      </w:pPr>
    </w:p>
    <w:p>
      <w:pPr>
        <w:ind w:left="1884"/>
        <w:spacing w:after="0"/>
        <w:rPr>
          <w:sz w:val="20"/>
          <w:szCs w:val="20"/>
          <w:color w:val="auto"/>
        </w:rPr>
      </w:pPr>
      <w:r>
        <w:rPr>
          <w:rFonts w:ascii="Courier New" w:cs="Courier New" w:eastAsia="Courier New" w:hAnsi="Courier New"/>
          <w:sz w:val="15"/>
          <w:szCs w:val="15"/>
          <w:color w:val="auto"/>
        </w:rPr>
        <w:t>Exhibit 1 - Copy of Articles of Association of the Trustee,</w:t>
      </w:r>
    </w:p>
    <w:p>
      <w:pPr>
        <w:sectPr>
          <w:pgSz w:w="11900" w:h="16874" w:orient="portrait"/>
          <w:cols w:equalWidth="0" w:num="1">
            <w:col w:w="10223"/>
          </w:cols>
          <w:pgMar w:left="236" w:top="294" w:right="1440" w:bottom="0" w:gutter="0" w:footer="0" w:header="0"/>
          <w:type w:val="continuous"/>
        </w:sectPr>
      </w:pPr>
    </w:p>
    <w:bookmarkStart w:id="57" w:name="page58"/>
    <w:bookmarkEnd w:id="57"/>
    <w:p>
      <w:pPr>
        <w:ind w:left="680" w:right="3559"/>
        <w:spacing w:after="0" w:line="348" w:lineRule="auto"/>
        <w:rPr>
          <w:sz w:val="20"/>
          <w:szCs w:val="20"/>
          <w:color w:val="auto"/>
        </w:rPr>
      </w:pPr>
      <w:r>
        <w:rPr>
          <w:rFonts w:ascii="Courier New" w:cs="Courier New" w:eastAsia="Courier New" w:hAnsi="Courier New"/>
          <w:sz w:val="16"/>
          <w:szCs w:val="16"/>
          <w:color w:val="auto"/>
        </w:rPr>
        <w:t>as now in effect. (Exhibit 1 to T-1 to Registration Statement No. 2-79983)</w:t>
      </w:r>
    </w:p>
    <w:p>
      <w:pPr>
        <w:spacing w:after="0" w:line="376"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14" w:right="1440" w:bottom="1440" w:gutter="0" w:footer="0" w:header="0"/>
        </w:sectPr>
      </w:pPr>
    </w:p>
    <w:bookmarkStart w:id="58" w:name="page59"/>
    <w:bookmarkEnd w:id="58"/>
    <w:p>
      <w:pPr>
        <w:ind w:left="680" w:right="2819"/>
        <w:spacing w:after="0" w:line="293" w:lineRule="auto"/>
        <w:rPr>
          <w:sz w:val="20"/>
          <w:szCs w:val="20"/>
          <w:color w:val="auto"/>
        </w:rPr>
      </w:pPr>
      <w:r>
        <w:rPr>
          <w:rFonts w:ascii="Courier New" w:cs="Courier New" w:eastAsia="Courier New" w:hAnsi="Courier New"/>
          <w:sz w:val="16"/>
          <w:szCs w:val="16"/>
          <w:color w:val="auto"/>
        </w:rPr>
        <w:t>Exhibit 2 - Copy of certificate of authority of the Trustee to commence business. (Exhibit 2 to T-1 of Registration Statement No. 2-29577).</w:t>
      </w:r>
    </w:p>
    <w:p>
      <w:pPr>
        <w:spacing w:after="0" w:line="58" w:lineRule="exact"/>
        <w:rPr>
          <w:sz w:val="20"/>
          <w:szCs w:val="20"/>
          <w:color w:val="auto"/>
        </w:rPr>
      </w:pPr>
    </w:p>
    <w:p>
      <w:pPr>
        <w:ind w:left="680" w:right="2719"/>
        <w:spacing w:after="0" w:line="293" w:lineRule="auto"/>
        <w:rPr>
          <w:sz w:val="20"/>
          <w:szCs w:val="20"/>
          <w:color w:val="auto"/>
        </w:rPr>
      </w:pPr>
      <w:r>
        <w:rPr>
          <w:rFonts w:ascii="Courier New" w:cs="Courier New" w:eastAsia="Courier New" w:hAnsi="Courier New"/>
          <w:sz w:val="16"/>
          <w:szCs w:val="16"/>
          <w:color w:val="auto"/>
        </w:rPr>
        <w:t>Exhibit 3 - Copy of authorization of the Trustee to exercise corporate trust powers. (Exhibit 3 to T-1 to Registration Statement No. 2-55519)</w:t>
      </w:r>
    </w:p>
    <w:p>
      <w:pPr>
        <w:spacing w:after="0" w:line="58" w:lineRule="exact"/>
        <w:rPr>
          <w:sz w:val="20"/>
          <w:szCs w:val="20"/>
          <w:color w:val="auto"/>
        </w:rPr>
      </w:pPr>
    </w:p>
    <w:p>
      <w:pPr>
        <w:ind w:left="680" w:right="2999"/>
        <w:spacing w:after="0" w:line="382" w:lineRule="auto"/>
        <w:rPr>
          <w:sz w:val="20"/>
          <w:szCs w:val="20"/>
          <w:color w:val="auto"/>
        </w:rPr>
      </w:pPr>
      <w:r>
        <w:rPr>
          <w:rFonts w:ascii="Courier New" w:cs="Courier New" w:eastAsia="Courier New" w:hAnsi="Courier New"/>
          <w:sz w:val="15"/>
          <w:szCs w:val="15"/>
          <w:color w:val="auto"/>
        </w:rPr>
        <w:t>Exhibit 4 - Copy of existing By-Laws of the Trustee. (Exhibit 4 to T-1 to Registration Statement No. 33-34988)</w:t>
      </w:r>
    </w:p>
    <w:p>
      <w:pPr>
        <w:ind w:left="680"/>
        <w:spacing w:after="0"/>
        <w:rPr>
          <w:sz w:val="20"/>
          <w:szCs w:val="20"/>
          <w:color w:val="auto"/>
        </w:rPr>
      </w:pPr>
      <w:r>
        <w:rPr>
          <w:rFonts w:ascii="Courier New" w:cs="Courier New" w:eastAsia="Courier New" w:hAnsi="Courier New"/>
          <w:sz w:val="16"/>
          <w:szCs w:val="16"/>
          <w:color w:val="auto"/>
        </w:rPr>
        <w:t>Exhibit 5 - Not applicable.</w:t>
      </w:r>
    </w:p>
    <w:p>
      <w:pPr>
        <w:spacing w:after="0" w:line="179" w:lineRule="exact"/>
        <w:rPr>
          <w:sz w:val="20"/>
          <w:szCs w:val="20"/>
          <w:color w:val="auto"/>
        </w:rPr>
      </w:pPr>
    </w:p>
    <w:p>
      <w:pPr>
        <w:ind w:left="680" w:right="2719"/>
        <w:spacing w:after="0" w:line="293" w:lineRule="auto"/>
        <w:rPr>
          <w:sz w:val="20"/>
          <w:szCs w:val="20"/>
          <w:color w:val="auto"/>
        </w:rPr>
      </w:pPr>
      <w:r>
        <w:rPr>
          <w:rFonts w:ascii="Courier New" w:cs="Courier New" w:eastAsia="Courier New" w:hAnsi="Courier New"/>
          <w:sz w:val="16"/>
          <w:szCs w:val="16"/>
          <w:color w:val="auto"/>
        </w:rPr>
        <w:t>Exhibit 6 - The consent of the Trustee required by Section 321(b) of the Trust Indenture Act of 1939. (Exhibit 6 to T-1 to Registration Statement No. 33-19227)</w:t>
      </w:r>
    </w:p>
    <w:p>
      <w:pPr>
        <w:spacing w:after="0" w:line="58" w:lineRule="exact"/>
        <w:rPr>
          <w:sz w:val="20"/>
          <w:szCs w:val="20"/>
          <w:color w:val="auto"/>
        </w:rPr>
      </w:pPr>
    </w:p>
    <w:p>
      <w:pPr>
        <w:ind w:left="680" w:right="3379"/>
        <w:spacing w:after="0" w:line="348" w:lineRule="auto"/>
        <w:rPr>
          <w:sz w:val="20"/>
          <w:szCs w:val="20"/>
          <w:color w:val="auto"/>
        </w:rPr>
      </w:pPr>
      <w:r>
        <w:rPr>
          <w:rFonts w:ascii="Courier New" w:cs="Courier New" w:eastAsia="Courier New" w:hAnsi="Courier New"/>
          <w:sz w:val="16"/>
          <w:szCs w:val="16"/>
          <w:color w:val="auto"/>
        </w:rPr>
        <w:t>Exhibit 7 - Copy of the latest Report of Condition of Citibank, N.A. (as of June 30, 1999 - attached)</w:t>
      </w:r>
    </w:p>
    <w:p>
      <w:pPr>
        <w:spacing w:after="0" w:line="1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Exhibit 8 - Not applicable.</w:t>
      </w:r>
    </w:p>
    <w:p>
      <w:pPr>
        <w:spacing w:after="0" w:line="179"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Exhibit 9 - Not applicable.</w:t>
      </w:r>
    </w:p>
    <w:p>
      <w:pPr>
        <w:spacing w:after="0" w:line="360"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991" w:right="1440" w:bottom="1440" w:gutter="0" w:footer="0" w:header="0"/>
        </w:sectPr>
      </w:pPr>
    </w:p>
    <w:bookmarkStart w:id="59" w:name="page60"/>
    <w:bookmarkEnd w:id="59"/>
    <w:p>
      <w:pPr>
        <w:ind w:left="3380"/>
        <w:spacing w:after="0"/>
        <w:rPr>
          <w:sz w:val="20"/>
          <w:szCs w:val="20"/>
          <w:color w:val="auto"/>
        </w:rPr>
      </w:pPr>
      <w:r>
        <w:rPr>
          <w:rFonts w:ascii="Courier New" w:cs="Courier New" w:eastAsia="Courier New" w:hAnsi="Courier New"/>
          <w:sz w:val="16"/>
          <w:szCs w:val="16"/>
          <w:color w:val="auto"/>
        </w:rPr>
        <w:t>SIGNATURE</w:t>
      </w:r>
    </w:p>
    <w:p>
      <w:pPr>
        <w:spacing w:after="0" w:line="179" w:lineRule="exact"/>
        <w:rPr>
          <w:sz w:val="20"/>
          <w:szCs w:val="20"/>
          <w:color w:val="auto"/>
        </w:rPr>
      </w:pPr>
    </w:p>
    <w:p>
      <w:pPr>
        <w:ind w:right="2899" w:firstLine="844"/>
        <w:spacing w:after="0" w:line="260" w:lineRule="auto"/>
        <w:rPr>
          <w:sz w:val="20"/>
          <w:szCs w:val="20"/>
          <w:color w:val="auto"/>
        </w:rPr>
      </w:pPr>
      <w:r>
        <w:rPr>
          <w:rFonts w:ascii="Courier New" w:cs="Courier New" w:eastAsia="Courier New" w:hAnsi="Courier New"/>
          <w:sz w:val="16"/>
          <w:szCs w:val="16"/>
          <w:color w:val="auto"/>
        </w:rPr>
        <w:t>Pursuant to the requirements of the Trust Indenture Act of 1939, the Trustee, Citibank, N.A., a national banking association organized and existing under the laws of the United States of America, has duly caused this statement of eligibility to be signed on its behalf by the undersigned, thereunto duly authorized, all in The City of New York and State of New York, on the 14th day of October, 1999.</w:t>
      </w:r>
    </w:p>
    <w:p>
      <w:pPr>
        <w:spacing w:after="0" w:line="84"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CITIBANK, N.A.</w:t>
      </w:r>
    </w:p>
    <w:p>
      <w:pPr>
        <w:spacing w:after="0" w:line="360"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By: /s/ CINDY TSANG</w:t>
      </w:r>
    </w:p>
    <w:p>
      <w:pPr>
        <w:spacing w:after="0" w:line="26"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ind w:left="3280"/>
        <w:spacing w:after="0"/>
        <w:rPr>
          <w:sz w:val="20"/>
          <w:szCs w:val="20"/>
          <w:color w:val="auto"/>
        </w:rPr>
      </w:pPr>
      <w:r>
        <w:rPr>
          <w:rFonts w:ascii="Courier New" w:cs="Courier New" w:eastAsia="Courier New" w:hAnsi="Courier New"/>
          <w:sz w:val="16"/>
          <w:szCs w:val="16"/>
          <w:color w:val="auto"/>
        </w:rPr>
        <w:t>Cindy Tsang</w:t>
      </w:r>
    </w:p>
    <w:p>
      <w:pPr>
        <w:ind w:left="3280"/>
        <w:spacing w:after="0"/>
        <w:rPr>
          <w:sz w:val="20"/>
          <w:szCs w:val="20"/>
          <w:color w:val="auto"/>
        </w:rPr>
      </w:pPr>
      <w:r>
        <w:rPr>
          <w:rFonts w:ascii="Courier New" w:cs="Courier New" w:eastAsia="Courier New" w:hAnsi="Courier New"/>
          <w:sz w:val="16"/>
          <w:szCs w:val="16"/>
          <w:color w:val="auto"/>
        </w:rPr>
        <w:t>Assistant Vice President</w:t>
      </w:r>
    </w:p>
    <w:p>
      <w:pPr>
        <w:spacing w:after="0" w:line="33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11" w:right="1440" w:bottom="1440" w:gutter="0" w:footer="0" w:header="0"/>
        </w:sectPr>
      </w:pPr>
    </w:p>
    <w:bookmarkStart w:id="60" w:name="page61"/>
    <w:bookmarkEnd w:id="60"/>
    <w:p>
      <w:pPr>
        <w:ind w:left="6384"/>
        <w:spacing w:after="0"/>
        <w:rPr>
          <w:sz w:val="20"/>
          <w:szCs w:val="20"/>
          <w:color w:val="auto"/>
        </w:rPr>
      </w:pPr>
      <w:r>
        <w:rPr>
          <w:rFonts w:ascii="Courier New" w:cs="Courier New" w:eastAsia="Courier New" w:hAnsi="Courier New"/>
          <w:sz w:val="16"/>
          <w:szCs w:val="16"/>
          <w:color w:val="auto"/>
        </w:rPr>
        <w:t>Exhibit 99.1</w:t>
      </w:r>
    </w:p>
    <w:p>
      <w:pPr>
        <w:spacing w:after="0" w:line="179" w:lineRule="exact"/>
        <w:rPr>
          <w:sz w:val="20"/>
          <w:szCs w:val="20"/>
          <w:color w:val="auto"/>
        </w:rPr>
      </w:pPr>
    </w:p>
    <w:p>
      <w:pPr>
        <w:ind w:left="2824"/>
        <w:spacing w:after="0"/>
        <w:rPr>
          <w:sz w:val="20"/>
          <w:szCs w:val="20"/>
          <w:color w:val="auto"/>
        </w:rPr>
      </w:pPr>
      <w:r>
        <w:rPr>
          <w:rFonts w:ascii="Courier New" w:cs="Courier New" w:eastAsia="Courier New" w:hAnsi="Courier New"/>
          <w:sz w:val="16"/>
          <w:szCs w:val="16"/>
          <w:color w:val="auto"/>
        </w:rPr>
        <w:t>LETTER OF TRANSMITTAL</w:t>
      </w:r>
    </w:p>
    <w:p>
      <w:pPr>
        <w:spacing w:after="0" w:line="179" w:lineRule="exact"/>
        <w:rPr>
          <w:sz w:val="20"/>
          <w:szCs w:val="20"/>
          <w:color w:val="auto"/>
        </w:rPr>
      </w:pPr>
    </w:p>
    <w:p>
      <w:pPr>
        <w:ind w:left="2344"/>
        <w:spacing w:after="0"/>
        <w:rPr>
          <w:sz w:val="20"/>
          <w:szCs w:val="20"/>
          <w:color w:val="auto"/>
        </w:rPr>
      </w:pPr>
      <w:r>
        <w:rPr>
          <w:rFonts w:ascii="Courier New" w:cs="Courier New" w:eastAsia="Courier New" w:hAnsi="Courier New"/>
          <w:sz w:val="16"/>
          <w:szCs w:val="16"/>
          <w:color w:val="auto"/>
        </w:rPr>
        <w:t>TEXAS INSTRUMENTS INCORPORATED</w:t>
      </w:r>
    </w:p>
    <w:p>
      <w:pPr>
        <w:spacing w:after="0" w:line="179" w:lineRule="exact"/>
        <w:rPr>
          <w:sz w:val="20"/>
          <w:szCs w:val="20"/>
          <w:color w:val="auto"/>
        </w:rPr>
      </w:pPr>
    </w:p>
    <w:p>
      <w:pPr>
        <w:ind w:left="2824"/>
        <w:spacing w:after="0"/>
        <w:rPr>
          <w:sz w:val="20"/>
          <w:szCs w:val="20"/>
          <w:color w:val="auto"/>
        </w:rPr>
      </w:pPr>
      <w:r>
        <w:rPr>
          <w:rFonts w:ascii="Courier New" w:cs="Courier New" w:eastAsia="Courier New" w:hAnsi="Courier New"/>
          <w:sz w:val="16"/>
          <w:szCs w:val="16"/>
          <w:color w:val="auto"/>
        </w:rPr>
        <w:t>Offer to Exchange Its</w:t>
      </w:r>
    </w:p>
    <w:p>
      <w:pPr>
        <w:spacing w:after="0" w:line="26"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7% Senior Exchange Notes Due August 15, 2004</w:t>
      </w:r>
    </w:p>
    <w:p>
      <w:pPr>
        <w:ind w:left="2164"/>
        <w:spacing w:after="0"/>
        <w:rPr>
          <w:sz w:val="20"/>
          <w:szCs w:val="20"/>
          <w:color w:val="auto"/>
        </w:rPr>
      </w:pPr>
      <w:r>
        <w:rPr>
          <w:rFonts w:ascii="Courier New" w:cs="Courier New" w:eastAsia="Courier New" w:hAnsi="Courier New"/>
          <w:sz w:val="16"/>
          <w:szCs w:val="16"/>
          <w:color w:val="auto"/>
        </w:rPr>
        <w:t>For Any and All of Its Outstanding</w:t>
      </w:r>
    </w:p>
    <w:p>
      <w:pPr>
        <w:ind w:left="2164"/>
        <w:spacing w:after="0"/>
        <w:rPr>
          <w:sz w:val="20"/>
          <w:szCs w:val="20"/>
          <w:color w:val="auto"/>
        </w:rPr>
      </w:pPr>
      <w:r>
        <w:rPr>
          <w:rFonts w:ascii="Courier New" w:cs="Courier New" w:eastAsia="Courier New" w:hAnsi="Courier New"/>
          <w:sz w:val="16"/>
          <w:szCs w:val="16"/>
          <w:color w:val="auto"/>
        </w:rPr>
        <w:t>7% Senior Notes Due August 15, 2004</w:t>
      </w:r>
    </w:p>
    <w:p>
      <w:pPr>
        <w:spacing w:after="0" w:line="151" w:lineRule="exact"/>
        <w:rPr>
          <w:sz w:val="20"/>
          <w:szCs w:val="20"/>
          <w:color w:val="auto"/>
        </w:rPr>
      </w:pPr>
    </w:p>
    <w:p>
      <w:pPr>
        <w:ind w:left="2524"/>
        <w:spacing w:after="0"/>
        <w:rPr>
          <w:sz w:val="20"/>
          <w:szCs w:val="20"/>
          <w:color w:val="auto"/>
        </w:rPr>
      </w:pPr>
      <w:r>
        <w:rPr>
          <w:rFonts w:ascii="Courier New" w:cs="Courier New" w:eastAsia="Courier New" w:hAnsi="Courier New"/>
          <w:sz w:val="16"/>
          <w:szCs w:val="16"/>
          <w:color w:val="auto"/>
        </w:rPr>
        <w:t>Pursuant to the Prospectus</w:t>
      </w:r>
    </w:p>
    <w:p>
      <w:pPr>
        <w:spacing w:after="0" w:line="27"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Dated o, 1999</w:t>
      </w:r>
    </w:p>
    <w:p>
      <w:pPr>
        <w:spacing w:after="0" w:line="151" w:lineRule="exact"/>
        <w:rPr>
          <w:sz w:val="20"/>
          <w:szCs w:val="20"/>
          <w:color w:val="auto"/>
        </w:rPr>
      </w:pPr>
    </w:p>
    <w:p>
      <w:pPr>
        <w:ind w:left="184" w:hanging="184"/>
        <w:spacing w:after="0"/>
        <w:tabs>
          <w:tab w:leader="none" w:pos="18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 w:lineRule="exact"/>
        <w:rPr>
          <w:rFonts w:ascii="Courier New" w:cs="Courier New" w:eastAsia="Courier New" w:hAnsi="Courier New"/>
          <w:sz w:val="15"/>
          <w:szCs w:val="15"/>
          <w:color w:val="auto"/>
        </w:rPr>
      </w:pPr>
    </w:p>
    <w:p>
      <w:pPr>
        <w:ind w:left="1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THE EXCHANGE OFFER AND WITHDRAWAL RIGHTS WILL EXPIRE AT 5:00 P.M., NEW YORK</w:t>
      </w:r>
    </w:p>
    <w:p>
      <w:pPr>
        <w:ind w:left="1604"/>
        <w:spacing w:after="0"/>
        <w:rPr>
          <w:sz w:val="20"/>
          <w:szCs w:val="20"/>
          <w:color w:val="auto"/>
        </w:rPr>
      </w:pPr>
      <w:r>
        <w:rPr>
          <w:rFonts w:ascii="Courier New" w:cs="Courier New" w:eastAsia="Courier New" w:hAnsi="Courier New"/>
          <w:sz w:val="16"/>
          <w:szCs w:val="16"/>
          <w:color w:val="auto"/>
        </w:rPr>
        <w:t>CITY TIME, ON o, UNLESS THE OFFER IS EXTENDED.</w:t>
      </w:r>
    </w:p>
    <w:p>
      <w:pPr>
        <w:ind w:left="4"/>
        <w:spacing w:after="0"/>
        <w:rPr>
          <w:sz w:val="20"/>
          <w:szCs w:val="20"/>
          <w:color w:val="auto"/>
        </w:rPr>
      </w:pPr>
      <w:r>
        <w:rPr>
          <w:rFonts w:ascii="Courier New" w:cs="Courier New" w:eastAsia="Courier New" w:hAnsi="Courier New"/>
          <w:sz w:val="15"/>
          <w:szCs w:val="15"/>
          <w:color w:val="auto"/>
        </w:rPr>
        <w:t>- --------------------------------------------------------------------------------</w:t>
      </w:r>
    </w:p>
    <w:p>
      <w:pPr>
        <w:spacing w:after="0" w:line="163"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THE EXCHANGE AGENT FOR THE EXCHANGE OFFER IS:</w:t>
      </w:r>
    </w:p>
    <w:p>
      <w:pPr>
        <w:spacing w:after="0" w:line="27" w:lineRule="exact"/>
        <w:rPr>
          <w:sz w:val="20"/>
          <w:szCs w:val="20"/>
          <w:color w:val="auto"/>
        </w:rPr>
      </w:pPr>
    </w:p>
    <w:tbl>
      <w:tblPr>
        <w:tblLayout w:type="fixed"/>
        <w:tblInd w:w="4" w:type="dxa"/>
        <w:tblCellMar>
          <w:top w:w="0" w:type="dxa"/>
          <w:left w:w="0" w:type="dxa"/>
          <w:bottom w:w="0" w:type="dxa"/>
          <w:right w:w="0" w:type="dxa"/>
        </w:tblCellMar>
      </w:tblPr>
      <w:tr>
        <w:trPr>
          <w:trHeight w:val="264"/>
        </w:trPr>
        <w:tc>
          <w:tcPr>
            <w:tcW w:w="3040" w:type="dxa"/>
            <w:vAlign w:val="bottom"/>
          </w:tcPr>
          <w:p>
            <w:pPr>
              <w:spacing w:after="0"/>
              <w:rPr>
                <w:sz w:val="22"/>
                <w:szCs w:val="22"/>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Citibank, N.A.</w:t>
            </w:r>
          </w:p>
        </w:tc>
      </w:tr>
      <w:tr>
        <w:trPr>
          <w:trHeight w:val="333"/>
        </w:trPr>
        <w:tc>
          <w:tcPr>
            <w:tcW w:w="3040" w:type="dxa"/>
            <w:vAlign w:val="bottom"/>
          </w:tcPr>
          <w:p>
            <w:pPr>
              <w:jc w:val="center"/>
              <w:spacing w:after="0"/>
              <w:rPr>
                <w:sz w:val="20"/>
                <w:szCs w:val="20"/>
                <w:color w:val="auto"/>
              </w:rPr>
            </w:pPr>
            <w:r>
              <w:rPr>
                <w:rFonts w:ascii="Courier New" w:cs="Courier New" w:eastAsia="Courier New" w:hAnsi="Courier New"/>
                <w:sz w:val="16"/>
                <w:szCs w:val="16"/>
                <w:color w:val="auto"/>
                <w:w w:val="97"/>
              </w:rPr>
              <w:t>By Registered or Certified Mail:</w:t>
            </w:r>
          </w:p>
        </w:tc>
        <w:tc>
          <w:tcPr>
            <w:tcW w:w="4360" w:type="dxa"/>
            <w:vAlign w:val="bottom"/>
          </w:tcPr>
          <w:p>
            <w:pPr>
              <w:ind w:left="1560"/>
              <w:spacing w:after="0"/>
              <w:rPr>
                <w:sz w:val="20"/>
                <w:szCs w:val="20"/>
                <w:color w:val="auto"/>
              </w:rPr>
            </w:pPr>
            <w:r>
              <w:rPr>
                <w:rFonts w:ascii="Courier New" w:cs="Courier New" w:eastAsia="Courier New" w:hAnsi="Courier New"/>
                <w:sz w:val="16"/>
                <w:szCs w:val="16"/>
                <w:color w:val="auto"/>
                <w:w w:val="96"/>
              </w:rPr>
              <w:t>By Overnight Delivery or Hand:</w:t>
            </w:r>
          </w:p>
        </w:tc>
      </w:tr>
      <w:tr>
        <w:trPr>
          <w:trHeight w:val="277"/>
        </w:trPr>
        <w:tc>
          <w:tcPr>
            <w:tcW w:w="3040" w:type="dxa"/>
            <w:vAlign w:val="bottom"/>
          </w:tcPr>
          <w:p>
            <w:pPr>
              <w:jc w:val="center"/>
              <w:spacing w:after="0"/>
              <w:rPr>
                <w:sz w:val="20"/>
                <w:szCs w:val="20"/>
                <w:color w:val="auto"/>
              </w:rPr>
            </w:pPr>
            <w:r>
              <w:rPr>
                <w:rFonts w:ascii="Courier New" w:cs="Courier New" w:eastAsia="Courier New" w:hAnsi="Courier New"/>
                <w:sz w:val="16"/>
                <w:szCs w:val="16"/>
                <w:color w:val="auto"/>
                <w:w w:val="98"/>
              </w:rPr>
              <w:t>Citibank, N.A.</w:t>
            </w:r>
          </w:p>
        </w:tc>
        <w:tc>
          <w:tcPr>
            <w:tcW w:w="4360" w:type="dxa"/>
            <w:vAlign w:val="bottom"/>
          </w:tcPr>
          <w:p>
            <w:pPr>
              <w:jc w:val="center"/>
              <w:ind w:left="1662"/>
              <w:spacing w:after="0"/>
              <w:rPr>
                <w:sz w:val="20"/>
                <w:szCs w:val="20"/>
                <w:color w:val="auto"/>
              </w:rPr>
            </w:pPr>
            <w:r>
              <w:rPr>
                <w:rFonts w:ascii="Courier New" w:cs="Courier New" w:eastAsia="Courier New" w:hAnsi="Courier New"/>
                <w:sz w:val="16"/>
                <w:szCs w:val="16"/>
                <w:color w:val="auto"/>
                <w:w w:val="96"/>
              </w:rPr>
              <w:t>Citibank, N.A.</w:t>
            </w:r>
          </w:p>
        </w:tc>
      </w:tr>
      <w:tr>
        <w:trPr>
          <w:trHeight w:val="180"/>
        </w:trPr>
        <w:tc>
          <w:tcPr>
            <w:tcW w:w="3040" w:type="dxa"/>
            <w:vAlign w:val="bottom"/>
          </w:tcPr>
          <w:p>
            <w:pPr>
              <w:jc w:val="center"/>
              <w:spacing w:after="0"/>
              <w:rPr>
                <w:sz w:val="20"/>
                <w:szCs w:val="20"/>
                <w:color w:val="auto"/>
              </w:rPr>
            </w:pPr>
            <w:r>
              <w:rPr>
                <w:rFonts w:ascii="Courier New" w:cs="Courier New" w:eastAsia="Courier New" w:hAnsi="Courier New"/>
                <w:sz w:val="16"/>
                <w:szCs w:val="16"/>
                <w:color w:val="auto"/>
                <w:w w:val="97"/>
              </w:rPr>
              <w:t>Corporate Trust Window</w:t>
            </w:r>
          </w:p>
        </w:tc>
        <w:tc>
          <w:tcPr>
            <w:tcW w:w="4360" w:type="dxa"/>
            <w:vAlign w:val="bottom"/>
          </w:tcPr>
          <w:p>
            <w:pPr>
              <w:jc w:val="center"/>
              <w:ind w:left="1662"/>
              <w:spacing w:after="0"/>
              <w:rPr>
                <w:sz w:val="20"/>
                <w:szCs w:val="20"/>
                <w:color w:val="auto"/>
              </w:rPr>
            </w:pPr>
            <w:r>
              <w:rPr>
                <w:rFonts w:ascii="Courier New" w:cs="Courier New" w:eastAsia="Courier New" w:hAnsi="Courier New"/>
                <w:sz w:val="16"/>
                <w:szCs w:val="16"/>
                <w:color w:val="auto"/>
                <w:w w:val="97"/>
              </w:rPr>
              <w:t>Corporate Trust Window</w:t>
            </w:r>
          </w:p>
        </w:tc>
      </w:tr>
      <w:tr>
        <w:trPr>
          <w:trHeight w:val="180"/>
        </w:trPr>
        <w:tc>
          <w:tcPr>
            <w:tcW w:w="3040" w:type="dxa"/>
            <w:vAlign w:val="bottom"/>
          </w:tcPr>
          <w:p>
            <w:pPr>
              <w:jc w:val="center"/>
              <w:spacing w:after="0"/>
              <w:rPr>
                <w:sz w:val="20"/>
                <w:szCs w:val="20"/>
                <w:color w:val="auto"/>
              </w:rPr>
            </w:pPr>
            <w:r>
              <w:rPr>
                <w:rFonts w:ascii="Courier New" w:cs="Courier New" w:eastAsia="Courier New" w:hAnsi="Courier New"/>
                <w:sz w:val="16"/>
                <w:szCs w:val="16"/>
                <w:color w:val="auto"/>
                <w:w w:val="97"/>
              </w:rPr>
              <w:t>111 Wall Street, 5th Floor</w:t>
            </w:r>
          </w:p>
        </w:tc>
        <w:tc>
          <w:tcPr>
            <w:tcW w:w="4360" w:type="dxa"/>
            <w:vAlign w:val="bottom"/>
          </w:tcPr>
          <w:p>
            <w:pPr>
              <w:jc w:val="center"/>
              <w:ind w:left="1682"/>
              <w:spacing w:after="0"/>
              <w:rPr>
                <w:sz w:val="20"/>
                <w:szCs w:val="20"/>
                <w:color w:val="auto"/>
              </w:rPr>
            </w:pPr>
            <w:r>
              <w:rPr>
                <w:rFonts w:ascii="Courier New" w:cs="Courier New" w:eastAsia="Courier New" w:hAnsi="Courier New"/>
                <w:sz w:val="16"/>
                <w:szCs w:val="16"/>
                <w:color w:val="auto"/>
                <w:w w:val="97"/>
              </w:rPr>
              <w:t>111 Wall Street, 5th Floor</w:t>
            </w:r>
          </w:p>
        </w:tc>
      </w:tr>
      <w:tr>
        <w:trPr>
          <w:trHeight w:val="180"/>
        </w:trPr>
        <w:tc>
          <w:tcPr>
            <w:tcW w:w="3040" w:type="dxa"/>
            <w:vAlign w:val="bottom"/>
          </w:tcPr>
          <w:p>
            <w:pPr>
              <w:jc w:val="center"/>
              <w:spacing w:after="0"/>
              <w:rPr>
                <w:sz w:val="20"/>
                <w:szCs w:val="20"/>
                <w:color w:val="auto"/>
              </w:rPr>
            </w:pPr>
            <w:r>
              <w:rPr>
                <w:rFonts w:ascii="Courier New" w:cs="Courier New" w:eastAsia="Courier New" w:hAnsi="Courier New"/>
                <w:sz w:val="16"/>
                <w:szCs w:val="16"/>
                <w:color w:val="auto"/>
                <w:w w:val="97"/>
              </w:rPr>
              <w:t>New York, New York 10043</w:t>
            </w:r>
          </w:p>
        </w:tc>
        <w:tc>
          <w:tcPr>
            <w:tcW w:w="4360" w:type="dxa"/>
            <w:vAlign w:val="bottom"/>
          </w:tcPr>
          <w:p>
            <w:pPr>
              <w:jc w:val="center"/>
              <w:ind w:left="1662"/>
              <w:spacing w:after="0"/>
              <w:rPr>
                <w:sz w:val="20"/>
                <w:szCs w:val="20"/>
                <w:color w:val="auto"/>
              </w:rPr>
            </w:pPr>
            <w:r>
              <w:rPr>
                <w:rFonts w:ascii="Courier New" w:cs="Courier New" w:eastAsia="Courier New" w:hAnsi="Courier New"/>
                <w:sz w:val="16"/>
                <w:szCs w:val="16"/>
                <w:color w:val="auto"/>
                <w:w w:val="98"/>
              </w:rPr>
              <w:t>New York, New York 10043</w:t>
            </w:r>
          </w:p>
        </w:tc>
      </w:tr>
      <w:tr>
        <w:trPr>
          <w:trHeight w:val="264"/>
        </w:trPr>
        <w:tc>
          <w:tcPr>
            <w:tcW w:w="304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Attn: Douglas Tienken</w:t>
            </w:r>
          </w:p>
        </w:tc>
        <w:tc>
          <w:tcPr>
            <w:tcW w:w="4360" w:type="dxa"/>
            <w:vAlign w:val="bottom"/>
          </w:tcPr>
          <w:p>
            <w:pPr>
              <w:ind w:left="2020"/>
              <w:spacing w:after="0"/>
              <w:rPr>
                <w:sz w:val="20"/>
                <w:szCs w:val="20"/>
                <w:color w:val="auto"/>
              </w:rPr>
            </w:pPr>
            <w:r>
              <w:rPr>
                <w:rFonts w:ascii="Courier New" w:cs="Courier New" w:eastAsia="Courier New" w:hAnsi="Courier New"/>
                <w:sz w:val="16"/>
                <w:szCs w:val="16"/>
                <w:color w:val="auto"/>
              </w:rPr>
              <w:t>Attn: Douglas Tienken</w:t>
            </w:r>
          </w:p>
        </w:tc>
      </w:tr>
      <w:tr>
        <w:trPr>
          <w:trHeight w:val="277"/>
        </w:trPr>
        <w:tc>
          <w:tcPr>
            <w:tcW w:w="304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6"/>
              </w:rPr>
              <w:t>To Confirm by Telephone</w:t>
            </w:r>
          </w:p>
        </w:tc>
        <w:tc>
          <w:tcPr>
            <w:tcW w:w="4360" w:type="dxa"/>
            <w:vAlign w:val="bottom"/>
          </w:tcPr>
          <w:p>
            <w:pPr>
              <w:jc w:val="center"/>
              <w:ind w:left="1662"/>
              <w:spacing w:after="0"/>
              <w:rPr>
                <w:sz w:val="20"/>
                <w:szCs w:val="20"/>
                <w:color w:val="auto"/>
              </w:rPr>
            </w:pPr>
            <w:r>
              <w:rPr>
                <w:rFonts w:ascii="Courier New" w:cs="Courier New" w:eastAsia="Courier New" w:hAnsi="Courier New"/>
                <w:sz w:val="16"/>
                <w:szCs w:val="16"/>
                <w:color w:val="auto"/>
                <w:w w:val="98"/>
              </w:rPr>
              <w:t>Facsimile Transmissions:</w:t>
            </w:r>
          </w:p>
        </w:tc>
      </w:tr>
      <w:tr>
        <w:trPr>
          <w:trHeight w:val="180"/>
        </w:trPr>
        <w:tc>
          <w:tcPr>
            <w:tcW w:w="304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or for Information:</w:t>
            </w:r>
          </w:p>
        </w:tc>
        <w:tc>
          <w:tcPr>
            <w:tcW w:w="4360" w:type="dxa"/>
            <w:vAlign w:val="bottom"/>
          </w:tcPr>
          <w:p>
            <w:pPr>
              <w:jc w:val="center"/>
              <w:ind w:left="1662"/>
              <w:spacing w:after="0"/>
              <w:rPr>
                <w:sz w:val="20"/>
                <w:szCs w:val="20"/>
                <w:color w:val="auto"/>
              </w:rPr>
            </w:pPr>
            <w:r>
              <w:rPr>
                <w:rFonts w:ascii="Courier New" w:cs="Courier New" w:eastAsia="Courier New" w:hAnsi="Courier New"/>
                <w:sz w:val="16"/>
                <w:szCs w:val="16"/>
                <w:color w:val="auto"/>
                <w:w w:val="96"/>
              </w:rPr>
              <w:t>(212) 657-4009</w:t>
            </w:r>
          </w:p>
        </w:tc>
      </w:tr>
      <w:tr>
        <w:trPr>
          <w:trHeight w:val="264"/>
        </w:trPr>
        <w:tc>
          <w:tcPr>
            <w:tcW w:w="304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(212) 657-8476</w:t>
            </w:r>
          </w:p>
        </w:tc>
        <w:tc>
          <w:tcPr>
            <w:tcW w:w="4360" w:type="dxa"/>
            <w:vAlign w:val="bottom"/>
          </w:tcPr>
          <w:p>
            <w:pPr>
              <w:spacing w:after="0"/>
              <w:rPr>
                <w:sz w:val="22"/>
                <w:szCs w:val="22"/>
                <w:color w:val="auto"/>
              </w:rPr>
            </w:pPr>
          </w:p>
        </w:tc>
      </w:tr>
    </w:tbl>
    <w:p>
      <w:pPr>
        <w:spacing w:after="0" w:line="97" w:lineRule="exact"/>
        <w:rPr>
          <w:sz w:val="20"/>
          <w:szCs w:val="20"/>
          <w:color w:val="auto"/>
        </w:rPr>
      </w:pPr>
    </w:p>
    <w:p>
      <w:pPr>
        <w:jc w:val="both"/>
        <w:ind w:left="4" w:right="3099" w:firstLine="563"/>
        <w:spacing w:after="0" w:line="321" w:lineRule="auto"/>
        <w:rPr>
          <w:sz w:val="20"/>
          <w:szCs w:val="20"/>
          <w:color w:val="auto"/>
        </w:rPr>
      </w:pPr>
      <w:r>
        <w:rPr>
          <w:rFonts w:ascii="Courier New" w:cs="Courier New" w:eastAsia="Courier New" w:hAnsi="Courier New"/>
          <w:sz w:val="15"/>
          <w:szCs w:val="15"/>
          <w:color w:val="auto"/>
        </w:rPr>
        <w:t>DELIVERY OF THIS LETTER OF TRANSMITTAL TO AN ADDRESS OTHER THAN AS SET FORTH ABOVE OR TRANSMISSION OF THIS LETTER OF TRANSMITTAL VIA FACSIMILE TO A NUMBER OTHER THAN AS SET FORTH ABOVE DOES NOT CONSTITUTE A VALID DELIVERY.</w:t>
      </w:r>
    </w:p>
    <w:p>
      <w:pPr>
        <w:spacing w:after="0" w:line="40" w:lineRule="exact"/>
        <w:rPr>
          <w:sz w:val="20"/>
          <w:szCs w:val="20"/>
          <w:color w:val="auto"/>
        </w:rPr>
      </w:pPr>
    </w:p>
    <w:p>
      <w:pPr>
        <w:jc w:val="both"/>
        <w:ind w:left="4" w:right="3099" w:firstLine="563"/>
        <w:spacing w:after="0" w:line="348" w:lineRule="auto"/>
        <w:rPr>
          <w:sz w:val="20"/>
          <w:szCs w:val="20"/>
          <w:color w:val="auto"/>
        </w:rPr>
      </w:pPr>
      <w:r>
        <w:rPr>
          <w:rFonts w:ascii="Courier New" w:cs="Courier New" w:eastAsia="Courier New" w:hAnsi="Courier New"/>
          <w:sz w:val="16"/>
          <w:szCs w:val="16"/>
          <w:color w:val="auto"/>
        </w:rPr>
        <w:t>THE INSTRUCTIONS CONTAINED HEREIN SHOULD BE READ CAREFULLY BEFORE THIS LETTER OF TRANSMITTAL IS COMPLETED.</w:t>
      </w:r>
    </w:p>
    <w:p>
      <w:pPr>
        <w:spacing w:after="0" w:line="15" w:lineRule="exact"/>
        <w:rPr>
          <w:sz w:val="20"/>
          <w:szCs w:val="20"/>
          <w:color w:val="auto"/>
        </w:rPr>
      </w:pPr>
    </w:p>
    <w:p>
      <w:pPr>
        <w:ind w:left="4" w:right="2819" w:firstLine="563"/>
        <w:spacing w:after="0" w:line="348" w:lineRule="auto"/>
        <w:rPr>
          <w:sz w:val="20"/>
          <w:szCs w:val="20"/>
          <w:color w:val="auto"/>
        </w:rPr>
      </w:pPr>
      <w:r>
        <w:rPr>
          <w:rFonts w:ascii="Courier New" w:cs="Courier New" w:eastAsia="Courier New" w:hAnsi="Courier New"/>
          <w:sz w:val="16"/>
          <w:szCs w:val="16"/>
          <w:color w:val="auto"/>
        </w:rPr>
        <w:t>Capitalized terms used but not defined herein shall have the same meaning given them in the Prospectus (as defined below).</w:t>
      </w:r>
    </w:p>
    <w:p>
      <w:pPr>
        <w:spacing w:after="0" w:line="15" w:lineRule="exact"/>
        <w:rPr>
          <w:sz w:val="20"/>
          <w:szCs w:val="20"/>
          <w:color w:val="auto"/>
        </w:rPr>
      </w:pPr>
    </w:p>
    <w:p>
      <w:pPr>
        <w:ind w:left="4" w:right="2819" w:firstLine="563"/>
        <w:spacing w:after="0" w:line="260" w:lineRule="auto"/>
        <w:rPr>
          <w:sz w:val="20"/>
          <w:szCs w:val="20"/>
          <w:color w:val="auto"/>
        </w:rPr>
      </w:pPr>
      <w:r>
        <w:rPr>
          <w:rFonts w:ascii="Courier New" w:cs="Courier New" w:eastAsia="Courier New" w:hAnsi="Courier New"/>
          <w:sz w:val="16"/>
          <w:szCs w:val="16"/>
          <w:color w:val="auto"/>
        </w:rPr>
        <w:t>This Letter of Transmittal is to be completed by holders of Old Notes (as defined below) if Old Notes are to be forwarded herewith. If tenders of Old Notes are to be made by book-entry transfer to an account maintained by Citibank, N.A. (the "Exchange Agent") at The Depository Trust Company ("DTC") pursuant to the procedures set forth in "The Exchange Offer--Book-Entry Transfer" in the Prospectus and in accordance with the Automated Tender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 w:right="2719"/>
        <w:spacing w:after="0" w:line="293" w:lineRule="auto"/>
        <w:rPr>
          <w:sz w:val="20"/>
          <w:szCs w:val="20"/>
          <w:color w:val="auto"/>
        </w:rPr>
      </w:pPr>
      <w:r>
        <w:rPr>
          <w:rFonts w:ascii="Courier New" w:cs="Courier New" w:eastAsia="Courier New" w:hAnsi="Courier New"/>
          <w:sz w:val="16"/>
          <w:szCs w:val="16"/>
          <w:color w:val="auto"/>
        </w:rPr>
        <w:t>Offer Program ("ATOP") established by DTC, a tendering holder will become bound by the terms and conditions hereof in accordance with the procedures established under ATOP.</w:t>
      </w:r>
    </w:p>
    <w:p>
      <w:pPr>
        <w:spacing w:after="0" w:line="58" w:lineRule="exact"/>
        <w:rPr>
          <w:sz w:val="20"/>
          <w:szCs w:val="20"/>
          <w:color w:val="auto"/>
        </w:rPr>
      </w:pPr>
    </w:p>
    <w:p>
      <w:pPr>
        <w:ind w:left="4" w:right="2719" w:firstLine="563"/>
        <w:spacing w:after="0" w:line="252" w:lineRule="auto"/>
        <w:rPr>
          <w:sz w:val="20"/>
          <w:szCs w:val="20"/>
          <w:color w:val="auto"/>
        </w:rPr>
      </w:pPr>
      <w:r>
        <w:rPr>
          <w:rFonts w:ascii="Courier New" w:cs="Courier New" w:eastAsia="Courier New" w:hAnsi="Courier New"/>
          <w:sz w:val="16"/>
          <w:szCs w:val="16"/>
          <w:color w:val="auto"/>
        </w:rPr>
        <w:t>Holders of Old Notes whose certificates (the "certificates") for such Old Notes are not immediately available or who cannot deliver their certificates and all other required documents to the Exchange Agent on or prior to the expiration date (as defined in the Prospectus) or who cannot complete the procedures for book-entry transfer on a timely basis, must tender their Old Notes according to the guaranteed delivery procedures set forth in "The Exchange Offer--Guaranteed Delivery Procedures" in the Prospectus. SEE INSTRUCTION 1. DELIVERY OF DOCUMENTS TO DTC IN ACCORDANCE WITH ITS PROCEDURES DOES NOT CONSTITUTE DELIVERY TO THE EXCHANGE AGENT.</w:t>
      </w:r>
    </w:p>
    <w:p>
      <w:pPr>
        <w:spacing w:after="0" w:line="271"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3"/>
          </w:cols>
          <w:pgMar w:left="236" w:top="294" w:right="1440" w:bottom="1440" w:gutter="0" w:footer="0" w:header="0"/>
        </w:sectPr>
      </w:pPr>
    </w:p>
    <w:bookmarkStart w:id="61" w:name="page62"/>
    <w:bookmarkEnd w:id="61"/>
    <w:p>
      <w:pPr>
        <w:jc w:val="center"/>
        <w:ind w:right="3276"/>
        <w:spacing w:after="0"/>
        <w:rPr>
          <w:sz w:val="20"/>
          <w:szCs w:val="20"/>
          <w:color w:val="auto"/>
        </w:rPr>
      </w:pPr>
      <w:r>
        <w:rPr>
          <w:rFonts w:ascii="Courier New" w:cs="Courier New" w:eastAsia="Courier New" w:hAnsi="Courier New"/>
          <w:sz w:val="16"/>
          <w:szCs w:val="16"/>
          <w:color w:val="auto"/>
        </w:rPr>
        <w:t>NOTE: SIGNATURES MUST BE PROVIDED BELOW</w:t>
      </w:r>
    </w:p>
    <w:p>
      <w:pPr>
        <w:spacing w:after="0" w:line="27" w:lineRule="exact"/>
        <w:rPr>
          <w:sz w:val="20"/>
          <w:szCs w:val="20"/>
          <w:color w:val="auto"/>
        </w:rPr>
      </w:pPr>
    </w:p>
    <w:p>
      <w:pPr>
        <w:jc w:val="center"/>
        <w:ind w:right="3276"/>
        <w:spacing w:after="0"/>
        <w:rPr>
          <w:sz w:val="20"/>
          <w:szCs w:val="20"/>
          <w:color w:val="auto"/>
        </w:rPr>
      </w:pPr>
      <w:r>
        <w:rPr>
          <w:rFonts w:ascii="Courier New" w:cs="Courier New" w:eastAsia="Courier New" w:hAnsi="Courier New"/>
          <w:sz w:val="16"/>
          <w:szCs w:val="16"/>
          <w:color w:val="auto"/>
        </w:rPr>
        <w:t>PLEASE READ THE ACCOMPANYING INSTRUCTIONS CAREFULLY</w:t>
      </w:r>
    </w:p>
    <w:p>
      <w:pPr>
        <w:spacing w:after="0" w:line="332" w:lineRule="exact"/>
        <w:rPr>
          <w:sz w:val="20"/>
          <w:szCs w:val="20"/>
          <w:color w:val="auto"/>
        </w:rPr>
      </w:pPr>
    </w:p>
    <w:p>
      <w:pPr>
        <w:jc w:val="center"/>
        <w:ind w:right="376"/>
        <w:spacing w:after="0"/>
        <w:rPr>
          <w:sz w:val="20"/>
          <w:szCs w:val="20"/>
          <w:color w:val="auto"/>
        </w:rPr>
      </w:pPr>
      <w:r>
        <w:rPr>
          <w:rFonts w:ascii="Courier New" w:cs="Courier New" w:eastAsia="Courier New" w:hAnsi="Courier New"/>
          <w:sz w:val="16"/>
          <w:szCs w:val="16"/>
          <w:color w:val="auto"/>
        </w:rPr>
        <w:t>ALL TENDERING HOLDERS COMPLETE THIS BOX:</w:t>
      </w:r>
    </w:p>
    <w:p>
      <w:pPr>
        <w:spacing w:after="0" w:line="27" w:lineRule="exact"/>
        <w:rPr>
          <w:sz w:val="20"/>
          <w:szCs w:val="20"/>
          <w:color w:val="auto"/>
        </w:rPr>
      </w:pPr>
    </w:p>
    <w:p>
      <w:pPr>
        <w:ind w:left="184" w:hanging="184"/>
        <w:spacing w:after="0"/>
        <w:tabs>
          <w:tab w:leader="none" w:pos="184"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37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DESCRIPTION OF OLD NOTES TENDERED</w:t>
      </w:r>
    </w:p>
    <w:p>
      <w:pPr>
        <w:ind w:left="184" w:hanging="184"/>
        <w:spacing w:after="0"/>
        <w:tabs>
          <w:tab w:leader="none" w:pos="184"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4"/>
        <w:spacing w:after="0"/>
        <w:tabs>
          <w:tab w:leader="none" w:pos="6543" w:val="left"/>
        </w:tabs>
        <w:rPr>
          <w:sz w:val="20"/>
          <w:szCs w:val="20"/>
          <w:color w:val="auto"/>
        </w:rPr>
      </w:pPr>
      <w:r>
        <w:rPr>
          <w:rFonts w:ascii="Courier New" w:cs="Courier New" w:eastAsia="Courier New" w:hAnsi="Courier New"/>
          <w:sz w:val="16"/>
          <w:szCs w:val="16"/>
          <w:color w:val="auto"/>
        </w:rPr>
        <w:t>Name(s) and address(es) of Registered Holder(s)</w:t>
      </w:r>
      <w:r>
        <w:rPr>
          <w:sz w:val="20"/>
          <w:szCs w:val="20"/>
          <w:color w:val="auto"/>
        </w:rPr>
        <w:tab/>
      </w:r>
      <w:r>
        <w:rPr>
          <w:rFonts w:ascii="Courier New" w:cs="Courier New" w:eastAsia="Courier New" w:hAnsi="Courier New"/>
          <w:sz w:val="15"/>
          <w:szCs w:val="15"/>
          <w:color w:val="auto"/>
        </w:rPr>
        <w:t>Old Notes Tendered</w:t>
      </w:r>
    </w:p>
    <w:p>
      <w:pPr>
        <w:ind w:left="1024"/>
        <w:spacing w:after="0"/>
        <w:tabs>
          <w:tab w:leader="none" w:pos="5703" w:val="left"/>
        </w:tabs>
        <w:rPr>
          <w:sz w:val="20"/>
          <w:szCs w:val="20"/>
          <w:color w:val="auto"/>
        </w:rPr>
      </w:pPr>
      <w:r>
        <w:rPr>
          <w:rFonts w:ascii="Courier New" w:cs="Courier New" w:eastAsia="Courier New" w:hAnsi="Courier New"/>
          <w:sz w:val="16"/>
          <w:szCs w:val="16"/>
          <w:color w:val="auto"/>
        </w:rPr>
        <w:t>(Please fill in, if blank)</w:t>
      </w:r>
      <w:r>
        <w:rPr>
          <w:sz w:val="20"/>
          <w:szCs w:val="20"/>
          <w:color w:val="auto"/>
        </w:rPr>
        <w:tab/>
      </w:r>
      <w:r>
        <w:rPr>
          <w:rFonts w:ascii="Courier New" w:cs="Courier New" w:eastAsia="Courier New" w:hAnsi="Courier New"/>
          <w:sz w:val="15"/>
          <w:szCs w:val="15"/>
          <w:color w:val="auto"/>
        </w:rPr>
        <w:t>(attach additional list if necessary)</w:t>
      </w:r>
    </w:p>
    <w:p>
      <w:pPr>
        <w:ind w:left="4"/>
        <w:spacing w:after="0"/>
        <w:rPr>
          <w:sz w:val="20"/>
          <w:szCs w:val="20"/>
          <w:color w:val="auto"/>
        </w:rPr>
      </w:pPr>
      <w:r>
        <w:rPr>
          <w:rFonts w:ascii="Courier New" w:cs="Courier New" w:eastAsia="Courier New" w:hAnsi="Courier New"/>
          <w:sz w:val="15"/>
          <w:szCs w:val="15"/>
          <w:color w:val="auto"/>
        </w:rPr>
        <w:t>- ------------------------------------------------------------------------------------------------------------------</w:t>
      </w:r>
    </w:p>
    <w:p>
      <w:pPr>
        <w:spacing w:after="0" w:line="162" w:lineRule="exact"/>
        <w:rPr>
          <w:sz w:val="20"/>
          <w:szCs w:val="20"/>
          <w:color w:val="auto"/>
        </w:rPr>
      </w:pPr>
    </w:p>
    <w:tbl>
      <w:tblPr>
        <w:tblLayout w:type="fixed"/>
        <w:tblInd w:w="4884" w:type="dxa"/>
        <w:tblCellMar>
          <w:top w:w="0" w:type="dxa"/>
          <w:left w:w="0" w:type="dxa"/>
          <w:bottom w:w="0" w:type="dxa"/>
          <w:right w:w="0" w:type="dxa"/>
        </w:tblCellMar>
      </w:tblPr>
      <w:tr>
        <w:trPr>
          <w:trHeight w:val="181"/>
        </w:trPr>
        <w:tc>
          <w:tcPr>
            <w:tcW w:w="13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w w:val="94"/>
              </w:rPr>
              <w:t>Certificate</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Principal</w:t>
            </w:r>
          </w:p>
        </w:tc>
        <w:tc>
          <w:tcPr>
            <w:tcW w:w="9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Amount</w:t>
            </w:r>
          </w:p>
        </w:tc>
        <w:tc>
          <w:tcPr>
            <w:tcW w:w="126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Principal</w:t>
            </w:r>
          </w:p>
        </w:tc>
        <w:tc>
          <w:tcPr>
            <w:tcW w:w="980" w:type="dxa"/>
            <w:vAlign w:val="bottom"/>
          </w:tcPr>
          <w:p>
            <w:pPr>
              <w:ind w:left="60"/>
              <w:spacing w:after="0"/>
              <w:rPr>
                <w:sz w:val="20"/>
                <w:szCs w:val="20"/>
                <w:color w:val="auto"/>
              </w:rPr>
            </w:pPr>
            <w:r>
              <w:rPr>
                <w:rFonts w:ascii="Courier New" w:cs="Courier New" w:eastAsia="Courier New" w:hAnsi="Courier New"/>
                <w:sz w:val="16"/>
                <w:szCs w:val="16"/>
                <w:color w:val="auto"/>
              </w:rPr>
              <w:t>Amount of</w:t>
            </w:r>
          </w:p>
        </w:tc>
        <w:tc>
          <w:tcPr>
            <w:tcW w:w="0" w:type="dxa"/>
            <w:vAlign w:val="bottom"/>
          </w:tcPr>
          <w:p>
            <w:pPr>
              <w:spacing w:after="0"/>
              <w:rPr>
                <w:sz w:val="1"/>
                <w:szCs w:val="1"/>
                <w:color w:val="auto"/>
              </w:rPr>
            </w:pPr>
          </w:p>
        </w:tc>
      </w:tr>
      <w:tr>
        <w:trPr>
          <w:trHeight w:val="180"/>
        </w:trPr>
        <w:tc>
          <w:tcPr>
            <w:tcW w:w="13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00" w:type="dxa"/>
            <w:vAlign w:val="bottom"/>
          </w:tcPr>
          <w:p>
            <w:pPr>
              <w:ind w:left="380"/>
              <w:spacing w:after="0"/>
              <w:rPr>
                <w:sz w:val="20"/>
                <w:szCs w:val="20"/>
                <w:color w:val="auto"/>
              </w:rPr>
            </w:pPr>
            <w:r>
              <w:rPr>
                <w:rFonts w:ascii="Courier New" w:cs="Courier New" w:eastAsia="Courier New" w:hAnsi="Courier New"/>
                <w:sz w:val="16"/>
                <w:szCs w:val="16"/>
                <w:color w:val="auto"/>
              </w:rPr>
              <w:t>Old</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Notes</w:t>
            </w:r>
          </w:p>
        </w:tc>
        <w:tc>
          <w:tcPr>
            <w:tcW w:w="980" w:type="dxa"/>
            <w:vAlign w:val="bottom"/>
          </w:tcPr>
          <w:p>
            <w:pPr>
              <w:ind w:left="60"/>
              <w:spacing w:after="0"/>
              <w:rPr>
                <w:sz w:val="20"/>
                <w:szCs w:val="20"/>
                <w:color w:val="auto"/>
              </w:rPr>
            </w:pPr>
            <w:r>
              <w:rPr>
                <w:rFonts w:ascii="Courier New" w:cs="Courier New" w:eastAsia="Courier New" w:hAnsi="Courier New"/>
                <w:sz w:val="16"/>
                <w:szCs w:val="16"/>
                <w:color w:val="auto"/>
              </w:rPr>
              <w:t>Tendered</w:t>
            </w:r>
          </w:p>
        </w:tc>
        <w:tc>
          <w:tcPr>
            <w:tcW w:w="0" w:type="dxa"/>
            <w:vAlign w:val="bottom"/>
          </w:tcPr>
          <w:p>
            <w:pPr>
              <w:spacing w:after="0"/>
              <w:rPr>
                <w:sz w:val="1"/>
                <w:szCs w:val="1"/>
                <w:color w:val="auto"/>
              </w:rPr>
            </w:pPr>
          </w:p>
        </w:tc>
      </w:tr>
      <w:tr>
        <w:trPr>
          <w:trHeight w:val="208"/>
        </w:trPr>
        <w:tc>
          <w:tcPr>
            <w:tcW w:w="13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Number(s)*</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of Old</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Notes*</w:t>
            </w:r>
          </w:p>
        </w:tc>
        <w:tc>
          <w:tcPr>
            <w:tcW w:w="700" w:type="dxa"/>
            <w:vAlign w:val="bottom"/>
          </w:tcPr>
          <w:p>
            <w:pPr>
              <w:ind w:left="380"/>
              <w:spacing w:after="0"/>
              <w:rPr>
                <w:sz w:val="20"/>
                <w:szCs w:val="20"/>
                <w:color w:val="auto"/>
              </w:rPr>
            </w:pPr>
            <w:r>
              <w:rPr>
                <w:rFonts w:ascii="Courier New" w:cs="Courier New" w:eastAsia="Courier New" w:hAnsi="Courier New"/>
                <w:sz w:val="16"/>
                <w:szCs w:val="16"/>
                <w:color w:val="auto"/>
              </w:rPr>
              <w:t>(if</w:t>
            </w:r>
          </w:p>
        </w:tc>
        <w:tc>
          <w:tcPr>
            <w:tcW w:w="15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less than all)**</w:t>
            </w:r>
          </w:p>
        </w:tc>
        <w:tc>
          <w:tcPr>
            <w:tcW w:w="0" w:type="dxa"/>
            <w:vAlign w:val="bottom"/>
          </w:tcPr>
          <w:p>
            <w:pPr>
              <w:spacing w:after="0"/>
              <w:rPr>
                <w:sz w:val="1"/>
                <w:szCs w:val="1"/>
                <w:color w:val="auto"/>
              </w:rPr>
            </w:pPr>
          </w:p>
        </w:tc>
      </w:tr>
    </w:tbl>
    <w:p>
      <w:pPr>
        <w:ind w:left="184" w:hanging="184"/>
        <w:spacing w:after="0"/>
        <w:tabs>
          <w:tab w:leader="none" w:pos="18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2"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 w:lineRule="exact"/>
        <w:rPr>
          <w:rFonts w:ascii="Courier New" w:cs="Courier New" w:eastAsia="Courier New" w:hAnsi="Courier New"/>
          <w:sz w:val="15"/>
          <w:szCs w:val="15"/>
          <w:color w:val="auto"/>
        </w:rPr>
      </w:pPr>
    </w:p>
    <w:p>
      <w:pPr>
        <w:ind w:left="48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Total Amount</w:t>
      </w:r>
    </w:p>
    <w:p>
      <w:pPr>
        <w:ind w:left="50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Tendered</w:t>
      </w:r>
    </w:p>
    <w:p>
      <w:pPr>
        <w:ind w:left="184" w:hanging="184"/>
        <w:spacing w:after="0"/>
        <w:tabs>
          <w:tab w:leader="none" w:pos="18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Need not be completed by book-entry holders.</w:t>
      </w:r>
    </w:p>
    <w:p>
      <w:pPr>
        <w:spacing w:after="0" w:line="151" w:lineRule="exact"/>
        <w:rPr>
          <w:rFonts w:ascii="Courier New" w:cs="Courier New" w:eastAsia="Courier New" w:hAnsi="Courier New"/>
          <w:sz w:val="15"/>
          <w:szCs w:val="15"/>
          <w:color w:val="auto"/>
        </w:rPr>
      </w:pPr>
    </w:p>
    <w:p>
      <w:pPr>
        <w:ind w:left="464" w:right="3380" w:hanging="464"/>
        <w:spacing w:after="0" w:line="293" w:lineRule="auto"/>
        <w:tabs>
          <w:tab w:leader="none" w:pos="464"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Old Notes may be tendered in whole or in part in denominations of $1,000 and integral multiples thereof. All Old Notes held shall be deemed tendered unless a lesser number is specified in this column.</w:t>
      </w:r>
    </w:p>
    <w:p>
      <w:pPr>
        <w:spacing w:after="0" w:line="200" w:lineRule="exact"/>
        <w:rPr>
          <w:sz w:val="20"/>
          <w:szCs w:val="20"/>
          <w:color w:val="auto"/>
        </w:rPr>
      </w:pPr>
    </w:p>
    <w:p>
      <w:pPr>
        <w:spacing w:after="0" w:line="218" w:lineRule="exact"/>
        <w:rPr>
          <w:sz w:val="20"/>
          <w:szCs w:val="20"/>
          <w:color w:val="auto"/>
        </w:rPr>
      </w:pPr>
    </w:p>
    <w:p>
      <w:pPr>
        <w:ind w:left="1124"/>
        <w:spacing w:after="0"/>
        <w:rPr>
          <w:sz w:val="20"/>
          <w:szCs w:val="20"/>
          <w:color w:val="auto"/>
        </w:rPr>
      </w:pPr>
      <w:r>
        <w:rPr>
          <w:rFonts w:ascii="Courier New" w:cs="Courier New" w:eastAsia="Courier New" w:hAnsi="Courier New"/>
          <w:sz w:val="16"/>
          <w:szCs w:val="16"/>
          <w:color w:val="auto"/>
        </w:rPr>
        <w:t>(BOXES BELOW TO BE CHECKED BY ELIGIBLE INSTITUTIONS ONLY)</w:t>
      </w:r>
    </w:p>
    <w:p>
      <w:pPr>
        <w:spacing w:after="0" w:line="179" w:lineRule="exact"/>
        <w:rPr>
          <w:sz w:val="20"/>
          <w:szCs w:val="20"/>
          <w:color w:val="auto"/>
        </w:rPr>
      </w:pPr>
    </w:p>
    <w:p>
      <w:pPr>
        <w:ind w:left="464" w:right="3380" w:hanging="464"/>
        <w:spacing w:after="0" w:line="293" w:lineRule="auto"/>
        <w:tabs>
          <w:tab w:leader="none" w:pos="182"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HERE IF TENDERED OLD NOTES ARE BEING DELIVERED BY BOOK-ENTRY TRANSFER MADE TO THE ACCOUNT MAINTAINED BY THE EXCHANGE AGENT WITH DTC AND COMPLETE THE FOLLOWING:</w:t>
      </w:r>
    </w:p>
    <w:p>
      <w:pPr>
        <w:spacing w:after="0" w:line="58"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Name of Tendering Institution _____________________________________________</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DTC Account Number ________________________________________________________</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Transaction Code Number ___________________________________________________</w:t>
      </w:r>
    </w:p>
    <w:p>
      <w:pPr>
        <w:spacing w:after="0" w:line="179" w:lineRule="exact"/>
        <w:rPr>
          <w:sz w:val="20"/>
          <w:szCs w:val="20"/>
          <w:color w:val="auto"/>
        </w:rPr>
      </w:pPr>
    </w:p>
    <w:p>
      <w:pPr>
        <w:ind w:left="464" w:right="3480" w:hanging="464"/>
        <w:spacing w:after="0" w:line="321" w:lineRule="auto"/>
        <w:tabs>
          <w:tab w:leader="none" w:pos="18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HERE AND ENCLOSE A PHOTOCOPY OF THE NOTICE OF GUARANTEED DELIVERY IF TENDERED OLD NOTES ARE BEING DELIVERED PURSUANT TO A NOTICE OF GUARANTEED DELIVERY PREVIOUSLY SENT TO THE EXCHANGE AGENT AND COMPLETE THE FOLLOWING:</w:t>
      </w:r>
    </w:p>
    <w:p>
      <w:pPr>
        <w:spacing w:after="0" w:line="40"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Name of Registered Holder(s) ______________________________________________</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Window Ticket Number (if any) _____________________________________________</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Date of Execution of Notice of Guaranteed Delivery ________________________</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Name of Institution which Guaranteed ______________________________________</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If Guaranteed Delivery is to be made by Book-Entry Transfer:</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Name of Tendering Institution _____________________________________________</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DTC Account Number ________________________________________________________</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Transaction Code Number ___________________________________________________</w:t>
      </w:r>
    </w:p>
    <w:p>
      <w:pPr>
        <w:spacing w:after="0" w:line="179" w:lineRule="exact"/>
        <w:rPr>
          <w:sz w:val="20"/>
          <w:szCs w:val="20"/>
          <w:color w:val="auto"/>
        </w:rPr>
      </w:pPr>
    </w:p>
    <w:p>
      <w:pPr>
        <w:ind w:left="464" w:right="3560" w:hanging="464"/>
        <w:spacing w:after="0" w:line="387" w:lineRule="auto"/>
        <w:tabs>
          <w:tab w:leader="none" w:pos="18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HERE IF TENDERED BY BOOK-ENTRY TRANSFER AND NON-EXCHANGED OLD NOTES ARE TO BE RETURNED BY CREDITING THE DTC ACCOUNT NUMBER SET FORTH ABOVE.</w:t>
      </w:r>
    </w:p>
    <w:p>
      <w:pPr>
        <w:spacing w:after="0" w:line="174"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884"/>
          </w:cols>
          <w:pgMar w:left="236" w:top="991" w:right="779" w:bottom="1440" w:gutter="0" w:footer="0" w:header="0"/>
        </w:sectPr>
      </w:pPr>
    </w:p>
    <w:bookmarkStart w:id="62" w:name="page63"/>
    <w:bookmarkEnd w:id="62"/>
    <w:p>
      <w:pPr>
        <w:ind w:left="464" w:right="2819" w:hanging="464"/>
        <w:spacing w:after="0" w:line="299" w:lineRule="auto"/>
        <w:tabs>
          <w:tab w:leader="none" w:pos="182"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HERE IF YOU ARE A BROKER-DEALER WHO ACQUIRED THE OLD NOTES FOR ITS OWN ACCOUNT AS A RESULT OF MARKET MAKING OR OTHER TRADING ACTIVITIES (A "PARTICIPATING BROKER-DEALER") AND WISH TO RECEIVE 10 ADDITIONAL COPIES OF THE PROSPECTUS AND 10 COPIES OF ANY AMENDMENTS OR SUPPLEMENTS THERETO.</w:t>
      </w:r>
    </w:p>
    <w:p>
      <w:pPr>
        <w:spacing w:after="0" w:line="55"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Name: _____________________________________________________________________</w:t>
      </w:r>
    </w:p>
    <w:p>
      <w:pPr>
        <w:spacing w:after="0" w:line="191"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Address: __________________________________________________________________</w:t>
      </w:r>
    </w:p>
    <w:p>
      <w:pPr>
        <w:spacing w:after="0" w:line="191" w:lineRule="exact"/>
        <w:rPr>
          <w:sz w:val="20"/>
          <w:szCs w:val="20"/>
          <w:color w:val="auto"/>
        </w:rPr>
      </w:pPr>
    </w:p>
    <w:p>
      <w:pPr>
        <w:ind w:left="1304"/>
        <w:spacing w:after="0"/>
        <w:rPr>
          <w:sz w:val="20"/>
          <w:szCs w:val="20"/>
          <w:color w:val="auto"/>
        </w:rPr>
      </w:pPr>
      <w:r>
        <w:rPr>
          <w:rFonts w:ascii="Courier New" w:cs="Courier New" w:eastAsia="Courier New" w:hAnsi="Courier New"/>
          <w:sz w:val="15"/>
          <w:szCs w:val="15"/>
          <w:color w:val="auto"/>
        </w:rPr>
        <w:t>__________________________________________________________________</w:t>
      </w:r>
    </w:p>
    <w:p>
      <w:pPr>
        <w:spacing w:after="0" w:line="200" w:lineRule="exact"/>
        <w:rPr>
          <w:sz w:val="20"/>
          <w:szCs w:val="20"/>
          <w:color w:val="auto"/>
        </w:rPr>
      </w:pPr>
    </w:p>
    <w:p>
      <w:pPr>
        <w:spacing w:after="0" w:line="352"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3"/>
          </w:cols>
          <w:pgMar w:left="236" w:top="811"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6"/>
          <w:szCs w:val="16"/>
          <w:color w:val="auto"/>
        </w:rPr>
        <w:t>Ladies and Gentlemen:</w:t>
      </w:r>
    </w:p>
    <w:p>
      <w:pPr>
        <w:spacing w:after="0" w:line="179" w:lineRule="exact"/>
        <w:rPr>
          <w:sz w:val="20"/>
          <w:szCs w:val="20"/>
          <w:color w:val="auto"/>
        </w:rPr>
      </w:pPr>
    </w:p>
    <w:p>
      <w:pPr>
        <w:ind w:right="2719" w:firstLine="563"/>
        <w:spacing w:after="0" w:line="269" w:lineRule="auto"/>
        <w:rPr>
          <w:sz w:val="20"/>
          <w:szCs w:val="20"/>
          <w:color w:val="auto"/>
        </w:rPr>
      </w:pPr>
      <w:r>
        <w:rPr>
          <w:rFonts w:ascii="Courier New" w:cs="Courier New" w:eastAsia="Courier New" w:hAnsi="Courier New"/>
          <w:sz w:val="15"/>
          <w:szCs w:val="15"/>
          <w:color w:val="auto"/>
        </w:rPr>
        <w:t>The undersigned hereby tenders to Texas Instruments Incorporated, a Delaware corporation (the "Company"), the principal amount of the Company's 7% Senior Notes Due August 15, 2004 (the "Old Notes") specified above in exchange for a like aggregate principal amount of the Company's 7% Senior Exchange Notes Due August 15, 2004 (the "New Notes"), upon the terms and subject to the conditions set forth in the Prospectus dated o, 1999 (as the same may be amended or supplemented from time to time, the "Prospectus"), receipt of which is acknowledged, and in this Letter of Transmittal (which, together with the Prospectus, constitute the "Exchange Offer"). The Exchange Offer has been registered under the Securities Act of 1933, as amended (the "Securities Act").</w:t>
      </w:r>
    </w:p>
    <w:p>
      <w:pPr>
        <w:spacing w:after="0" w:line="80" w:lineRule="exact"/>
        <w:rPr>
          <w:sz w:val="20"/>
          <w:szCs w:val="20"/>
          <w:color w:val="auto"/>
        </w:rPr>
      </w:pPr>
    </w:p>
    <w:p>
      <w:pPr>
        <w:ind w:right="2719" w:firstLine="563"/>
        <w:spacing w:after="0" w:line="244" w:lineRule="auto"/>
        <w:rPr>
          <w:sz w:val="20"/>
          <w:szCs w:val="20"/>
          <w:color w:val="auto"/>
        </w:rPr>
      </w:pPr>
      <w:r>
        <w:rPr>
          <w:rFonts w:ascii="Courier New" w:cs="Courier New" w:eastAsia="Courier New" w:hAnsi="Courier New"/>
          <w:sz w:val="16"/>
          <w:szCs w:val="16"/>
          <w:color w:val="auto"/>
        </w:rPr>
        <w:t>Subject to and effective upon the acceptance for exchange of all or any portion of the Old Notes tendered herewith in accordance with the terms and conditions of the Exchange Offer (including, if the Exchange Offer is extended or amended, the terms and conditions of any such extension or amendment), the undersigned hereby sells, assigns and transfers to or upon the order of the Company all right, title and interest in and to such Old Notes as are being tendered herewith. The undersigned hereby irrevocably constitutes and appoints the Exchange Agent as its agent and attorney-in-fact (with full knowledge that the Exchange Agent is also acting as agent of the Company in connection with the Exchange Offer) with respect to the tendered Old Notes, with full power of substitution (such power of attorney being deemed to be an irrevocable power coupled with an interest), subject only to the right of withdrawal described in the Prospectus, to (i) deliver certificates for Old Notes to the Company together with all accompanying evidences of transfer and authenticity to, or upon the order of, the Company, upon receipt by the Exchange Agent, as the undersigned's agent, of the New Notes to be issued in exchange for such Old Notes, (ii) present certificates for such Old Notes for transfer, and to transfer the Old Notes on the books of the Company, and (iii) receive for the account of the Company all benefits and otherwise exercise all rights of beneficial ownership of such Old Notes, all in accordance with the terms and conditions of the Exchange Offer.</w:t>
      </w:r>
    </w:p>
    <w:p>
      <w:pPr>
        <w:spacing w:after="0" w:line="99" w:lineRule="exact"/>
        <w:rPr>
          <w:sz w:val="20"/>
          <w:szCs w:val="20"/>
          <w:color w:val="auto"/>
        </w:rPr>
      </w:pPr>
    </w:p>
    <w:p>
      <w:pPr>
        <w:ind w:right="2719" w:firstLine="563"/>
        <w:spacing w:after="0" w:line="248" w:lineRule="auto"/>
        <w:rPr>
          <w:sz w:val="20"/>
          <w:szCs w:val="20"/>
          <w:color w:val="auto"/>
        </w:rPr>
      </w:pPr>
      <w:r>
        <w:rPr>
          <w:rFonts w:ascii="Courier New" w:cs="Courier New" w:eastAsia="Courier New" w:hAnsi="Courier New"/>
          <w:sz w:val="16"/>
          <w:szCs w:val="16"/>
          <w:color w:val="auto"/>
        </w:rPr>
        <w:t>THE UNDERSIGNED HEREBY REPRESENTS AND WARRANTS THAT THE UNDERSIGNED HAS FULL POWER AND AUTHORITY TO TENDER, EXCHANGE, SELL, ASSIGN AND TRANSFER THE OLD NOTES TENDERED HEREBY AND THAT, WHEN THE SAME ARE ACCEPTED FOR EXCHANGE, THE COMPANY WILL ACQUIRE GOOD, MARKETABLE AND UNENCUMBERED TITLE THERETO, FREE AND CLEAR OF ALL LIENS, RESTRICTIONS, CHARGES AND ENCUMBRANCES, AND THAT THE OLD NOTES TENDERED HEREBY ARE NOT SUBJECT TO ANY ADVERSE CLAIMS OR PROXIES. THE UNDERSIGNED WILL, UPON REQUEST, EXECUTE AND DELIVER ANY ADDITIONAL DOCUMENTS DEEMED BY THE COMPANY OR THE EXCHANGE AGENT TO BE NECESSARY OR DESIRABLE TO COMPLETE THE EXCHANGE, ASSIGNMENT AND TRANSFER OF THE OLD NOTES TENDERED HEREBY, AND THE UNDERSIGNED WILL COMPLY WITH ITS OBLIGATIONS UNDER THE REGISTRATION RIGHTS AGREEMENT. THE UNDERSIGNED HAS READ AND AGREES TO ALL OF THE TERMS OF THE EXCHANGE OFFER.</w:t>
      </w:r>
    </w:p>
    <w:p>
      <w:pPr>
        <w:spacing w:after="0" w:line="97" w:lineRule="exact"/>
        <w:rPr>
          <w:sz w:val="20"/>
          <w:szCs w:val="20"/>
          <w:color w:val="auto"/>
        </w:rPr>
      </w:pPr>
    </w:p>
    <w:p>
      <w:pPr>
        <w:ind w:right="2899" w:firstLine="563"/>
        <w:spacing w:after="0" w:line="266" w:lineRule="auto"/>
        <w:rPr>
          <w:sz w:val="20"/>
          <w:szCs w:val="20"/>
          <w:color w:val="auto"/>
        </w:rPr>
      </w:pPr>
      <w:r>
        <w:rPr>
          <w:rFonts w:ascii="Courier New" w:cs="Courier New" w:eastAsia="Courier New" w:hAnsi="Courier New"/>
          <w:sz w:val="16"/>
          <w:szCs w:val="16"/>
          <w:color w:val="auto"/>
        </w:rPr>
        <w:t>The name(s) and address(es) of the registered holder(s) of the Old Notes tendered hereby should be printed above, if they are not already set forth above, as they appear on the certificates representing such Old Notes. The certificate number(s) and the Old Notes that the undersigned wishes to tender should be indicated in the appropriate boxes above.</w:t>
      </w:r>
    </w:p>
    <w:p>
      <w:pPr>
        <w:spacing w:after="0" w:line="78" w:lineRule="exact"/>
        <w:rPr>
          <w:sz w:val="20"/>
          <w:szCs w:val="20"/>
          <w:color w:val="auto"/>
        </w:rPr>
      </w:pPr>
    </w:p>
    <w:p>
      <w:pPr>
        <w:ind w:right="2719" w:firstLine="563"/>
        <w:spacing w:after="0" w:line="257" w:lineRule="auto"/>
        <w:rPr>
          <w:sz w:val="20"/>
          <w:szCs w:val="20"/>
          <w:color w:val="auto"/>
        </w:rPr>
      </w:pPr>
      <w:r>
        <w:rPr>
          <w:rFonts w:ascii="Courier New" w:cs="Courier New" w:eastAsia="Courier New" w:hAnsi="Courier New"/>
          <w:sz w:val="16"/>
          <w:szCs w:val="16"/>
          <w:color w:val="auto"/>
        </w:rPr>
        <w:t>If any tendered Old Notes are not exchanged pursuant to the Exchange Offer for any reason, or if certificates are submitted for more Old Notes than are tendered or accepted for exchange, certificates for such unaccepted or nonexchanged Old Notes will be returned (or, in the case of Old Notes tendered by book-entry transfer, such Old Notes will be credited to an account maintained at DTC), without expense to the tendering holder, promptly following the expiration or termination of the Exchange Offer.</w:t>
      </w:r>
    </w:p>
    <w:p>
      <w:pPr>
        <w:spacing w:after="0" w:line="84" w:lineRule="exact"/>
        <w:rPr>
          <w:sz w:val="20"/>
          <w:szCs w:val="20"/>
          <w:color w:val="auto"/>
        </w:rPr>
      </w:pPr>
    </w:p>
    <w:p>
      <w:pPr>
        <w:ind w:right="2719" w:firstLine="563"/>
        <w:spacing w:after="0" w:line="248" w:lineRule="auto"/>
        <w:rPr>
          <w:sz w:val="20"/>
          <w:szCs w:val="20"/>
          <w:color w:val="auto"/>
        </w:rPr>
      </w:pPr>
      <w:r>
        <w:rPr>
          <w:rFonts w:ascii="Courier New" w:cs="Courier New" w:eastAsia="Courier New" w:hAnsi="Courier New"/>
          <w:sz w:val="16"/>
          <w:szCs w:val="16"/>
          <w:color w:val="auto"/>
        </w:rPr>
        <w:t>The undersigned understands that tenders of Old Notes pursuant to any one of the procedures described in "The Exchange Offer--Procedures for Tendering Old Notes" in the Prospectus and in the instructions hereto will, upon the Company's acceptance for exchange of such tendered Old Notes, constitute a binding agreement between the undersigned and the Company upon the terms and subject to the conditions of the Exchange Offer. In all cases in which a Participant elects to accept the Exchange Offer by transmitting an express acknowledgment in accordance with the established ATOP procedures, such Participant shall be bound by all of the terms and conditions of this Letter of Transmittal. The undersigned recognizes that, under certain circumstances set forth in the Prospectus, the Company may not be required to accept for exchange any of the Old Notes tendered hereby.</w:t>
      </w:r>
    </w:p>
    <w:p>
      <w:pPr>
        <w:spacing w:after="0" w:line="97" w:lineRule="exact"/>
        <w:rPr>
          <w:sz w:val="20"/>
          <w:szCs w:val="20"/>
          <w:color w:val="auto"/>
        </w:rPr>
      </w:pPr>
    </w:p>
    <w:p>
      <w:pPr>
        <w:ind w:right="2719" w:firstLine="563"/>
        <w:spacing w:after="0" w:line="269" w:lineRule="auto"/>
        <w:rPr>
          <w:sz w:val="20"/>
          <w:szCs w:val="20"/>
          <w:color w:val="auto"/>
        </w:rPr>
      </w:pPr>
      <w:r>
        <w:rPr>
          <w:rFonts w:ascii="Courier New" w:cs="Courier New" w:eastAsia="Courier New" w:hAnsi="Courier New"/>
          <w:sz w:val="15"/>
          <w:szCs w:val="15"/>
          <w:color w:val="auto"/>
        </w:rPr>
        <w:t>Unless otherwise indicated herein in the box entitled "Special Issuance Instructions" below, the undersigned hereby directs that the New Notes be issued in the name(s) of the undersigned or, in the case of a book-entry transfer of Old Notes, that such New Notes be credited to the account indicated above maintained at DTC. If applicable, substitute certificates representing Old Notes not exchanged or not accepted for exchange will be issued to the undersigned or, in the case of a book-entry transfer of Old Notes, will be credited to the account indicated above maintained at DTC. Similarly, unless otherwise indicated under "Special Delivery Instructions," please deliver New Notes to the undersigned at the address shown below the undersigned's signature.</w:t>
      </w:r>
    </w:p>
    <w:p>
      <w:pPr>
        <w:sectPr>
          <w:pgSz w:w="11900" w:h="16838" w:orient="portrait"/>
          <w:cols w:equalWidth="0" w:num="1">
            <w:col w:w="10219"/>
          </w:cols>
          <w:pgMar w:left="240" w:top="991" w:right="1440" w:bottom="0" w:gutter="0" w:footer="0" w:header="0"/>
        </w:sectPr>
      </w:pPr>
    </w:p>
    <w:bookmarkStart w:id="64" w:name="page65"/>
    <w:bookmarkEnd w:id="64"/>
    <w:p>
      <w:pPr>
        <w:ind w:left="25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114" w:right="1440" w:bottom="1440" w:gutter="0" w:footer="0" w:header="0"/>
        </w:sectPr>
      </w:pPr>
    </w:p>
    <w:bookmarkStart w:id="65" w:name="page66"/>
    <w:bookmarkEnd w:id="65"/>
    <w:p>
      <w:pPr>
        <w:ind w:right="2719" w:firstLine="563"/>
        <w:spacing w:after="0" w:line="348" w:lineRule="auto"/>
        <w:rPr>
          <w:sz w:val="20"/>
          <w:szCs w:val="20"/>
          <w:color w:val="auto"/>
        </w:rPr>
      </w:pPr>
      <w:r>
        <w:rPr>
          <w:rFonts w:ascii="Courier New" w:cs="Courier New" w:eastAsia="Courier New" w:hAnsi="Courier New"/>
          <w:sz w:val="16"/>
          <w:szCs w:val="16"/>
          <w:color w:val="auto"/>
        </w:rPr>
        <w:t>By tendering Old Notes and executing, or otherwise becoming bound by, this Letter of Transmittal, the undersigned hereby represents and agrees that</w:t>
      </w:r>
    </w:p>
    <w:p>
      <w:pPr>
        <w:spacing w:after="0" w:line="15" w:lineRule="exact"/>
        <w:rPr>
          <w:sz w:val="20"/>
          <w:szCs w:val="20"/>
          <w:color w:val="auto"/>
        </w:rPr>
      </w:pPr>
    </w:p>
    <w:p>
      <w:pPr>
        <w:ind w:left="940" w:hanging="381"/>
        <w:spacing w:after="0"/>
        <w:tabs>
          <w:tab w:leader="none" w:pos="9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is not an "affiliate" of the Company,</w:t>
      </w:r>
    </w:p>
    <w:p>
      <w:pPr>
        <w:spacing w:after="0" w:line="179" w:lineRule="exact"/>
        <w:rPr>
          <w:rFonts w:ascii="Courier New" w:cs="Courier New" w:eastAsia="Courier New" w:hAnsi="Courier New"/>
          <w:sz w:val="16"/>
          <w:szCs w:val="16"/>
          <w:color w:val="auto"/>
        </w:rPr>
      </w:pPr>
    </w:p>
    <w:p>
      <w:pPr>
        <w:ind w:right="2719" w:firstLine="559"/>
        <w:spacing w:after="0" w:line="348" w:lineRule="auto"/>
        <w:tabs>
          <w:tab w:leader="none" w:pos="103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New Notes to be received by the undersigned are being acquired in the ordinary course of its business, and</w:t>
      </w:r>
    </w:p>
    <w:p>
      <w:pPr>
        <w:spacing w:after="0" w:line="15" w:lineRule="exact"/>
        <w:rPr>
          <w:rFonts w:ascii="Courier New" w:cs="Courier New" w:eastAsia="Courier New" w:hAnsi="Courier New"/>
          <w:sz w:val="16"/>
          <w:szCs w:val="16"/>
          <w:color w:val="auto"/>
        </w:rPr>
      </w:pPr>
    </w:p>
    <w:p>
      <w:pPr>
        <w:ind w:right="2819" w:firstLine="559"/>
        <w:spacing w:after="0" w:line="293" w:lineRule="auto"/>
        <w:tabs>
          <w:tab w:leader="none" w:pos="1126"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has no arrangement or understanding with any person to participate in a distribution (within the meaning of the Securities Act) of such New Notes.</w:t>
      </w:r>
    </w:p>
    <w:p>
      <w:pPr>
        <w:spacing w:after="0" w:line="58" w:lineRule="exact"/>
        <w:rPr>
          <w:sz w:val="20"/>
          <w:szCs w:val="20"/>
          <w:color w:val="auto"/>
        </w:rPr>
      </w:pPr>
    </w:p>
    <w:p>
      <w:pPr>
        <w:ind w:right="2719" w:firstLine="563"/>
        <w:spacing w:after="0" w:line="247" w:lineRule="auto"/>
        <w:rPr>
          <w:sz w:val="20"/>
          <w:szCs w:val="20"/>
          <w:color w:val="auto"/>
        </w:rPr>
      </w:pPr>
      <w:r>
        <w:rPr>
          <w:rFonts w:ascii="Courier New" w:cs="Courier New" w:eastAsia="Courier New" w:hAnsi="Courier New"/>
          <w:sz w:val="16"/>
          <w:szCs w:val="16"/>
          <w:color w:val="auto"/>
        </w:rPr>
        <w:t>By tendering Old Notes pursuant to the exchange offer and executing, or otherwise becoming bound by, this Letter of Transmittal, a holder of Old Notes which is a broker-dealer represents and agrees, consistent with certain interpretive letters issued by the staff of the Division of Corporation Finance of the Securities and Exchange Commission to third parties, that (a) such Old Notes held by the broker-dealer are held only as a nominee, or (b) such Old Notes were acquired by such broker-dealer for its own account as a result of market-making activities or other trading activities and it will deliver the prospectus (as amended or supplemented from time to time) meeting the requirements of the Securities Act in connection with any resale of such New Notes (provided that, by so acknowledging and by delivering a prospectus, such broker-dealer will not be deemed to admit that it is an "underwriter" within the meaning of the Securities Act).</w:t>
      </w:r>
    </w:p>
    <w:p>
      <w:pPr>
        <w:spacing w:after="0" w:line="100" w:lineRule="exact"/>
        <w:rPr>
          <w:sz w:val="20"/>
          <w:szCs w:val="20"/>
          <w:color w:val="auto"/>
        </w:rPr>
      </w:pPr>
    </w:p>
    <w:p>
      <w:pPr>
        <w:ind w:right="2719" w:firstLine="563"/>
        <w:spacing w:after="0" w:line="259" w:lineRule="auto"/>
        <w:rPr>
          <w:sz w:val="20"/>
          <w:szCs w:val="20"/>
          <w:color w:val="auto"/>
        </w:rPr>
      </w:pPr>
      <w:r>
        <w:rPr>
          <w:rFonts w:ascii="Courier New" w:cs="Courier New" w:eastAsia="Courier New" w:hAnsi="Courier New"/>
          <w:sz w:val="15"/>
          <w:szCs w:val="15"/>
          <w:color w:val="auto"/>
        </w:rPr>
        <w:t>The Company has agreed that, subject to the provisions of the Registration Rights Agreement, the Prospectus, as it may be amended or supplemented from time to time, may be used by a participating broker-dealer (as defined below) in connection with resales of New Notes received in exchange for Old Notes, where such Old Notes were acquired by such participating broker-dealer for its own account as a result of market-making activities or other trading activities, for a period ending 135 days after the expiration date (subject to extension under certain limited circumstances) or, if earlier, when all such New Notes have been disposed of by such participating broker-dealer. In that regard, each broker dealer who acquired Old Notes for its own account as a result of market-making or other trading activities (a "participating broker-dealer"), by tendering such Old Notes and executing, or otherwise becoming bound by, this Letter of Transmittal, agrees that, upon receipt of notice from the Company of the occurrence of any event or the discovery of any fact which makes any statement contained in the Prospectus untrue in any material respect or which causes the Prospectus to omit to state a material fact necessary in order to make the statements contained therein, in light of the circumstances under which they were made, not misleading or of the occurrence of certain other events specified in the Registration Rights Agreement, such participating broker-dealer will suspend the sale of New Notes pursuant to the Prospectus until the Company has amended or supplemented the Prospectus to correct such misstatement or omission and has furnished copies of the amended or supplemented Prospectus to the participating broker-dealer or the Company has given notice that the sale of the New Notes may be resumed, as the case may be. If the Company gives such notice to suspend the sale of the New Notes, it shall extend the 135-day period referred to above during which participating broker-dealers are entitled to use the Prospectus in connection with the resale of New Notes by the number of days during the period from and including the date of the giving of such notice to and including the date when participating broker-dealers shall have received copies of the supplemented or amended Prospectus necessary to permit resales of the New Notes or to and including the date on which the Company has given notice that the sale of New Notes may be resumed, as the case may be.</w:t>
      </w:r>
    </w:p>
    <w:p>
      <w:pPr>
        <w:spacing w:after="0" w:line="268" w:lineRule="exact"/>
        <w:rPr>
          <w:sz w:val="20"/>
          <w:szCs w:val="20"/>
          <w:color w:val="auto"/>
        </w:rPr>
      </w:pPr>
    </w:p>
    <w:p>
      <w:pPr>
        <w:ind w:right="2719" w:firstLine="563"/>
        <w:spacing w:after="0" w:line="260" w:lineRule="auto"/>
        <w:rPr>
          <w:sz w:val="20"/>
          <w:szCs w:val="20"/>
          <w:color w:val="auto"/>
        </w:rPr>
      </w:pPr>
      <w:r>
        <w:rPr>
          <w:rFonts w:ascii="Courier New" w:cs="Courier New" w:eastAsia="Courier New" w:hAnsi="Courier New"/>
          <w:sz w:val="16"/>
          <w:szCs w:val="16"/>
          <w:color w:val="auto"/>
        </w:rPr>
        <w:t>All authority herein conferred or agreed to be conferred in this Letter of Transmittal shall survive the death or incapacity of the undersigned and any obligation of the undersigned hereunder shall be binding upon the heirs, executors, administrators, personal representatives, trustees in bankruptcy, legal representatives successors and assigns of the undersigned. Except as stated in the Prospectus, this tender is irrevocable.</w:t>
      </w:r>
    </w:p>
    <w:p>
      <w:pPr>
        <w:spacing w:after="0" w:line="26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991" w:right="1440" w:bottom="1440" w:gutter="0" w:footer="0" w:header="0"/>
        </w:sectPr>
      </w:pPr>
    </w:p>
    <w:bookmarkStart w:id="66" w:name="page67"/>
    <w:bookmarkEnd w:id="66"/>
    <w:p>
      <w:pPr>
        <w:jc w:val="center"/>
        <w:ind w:right="2615"/>
        <w:spacing w:after="0"/>
        <w:rPr>
          <w:sz w:val="20"/>
          <w:szCs w:val="20"/>
          <w:color w:val="auto"/>
        </w:rPr>
      </w:pPr>
      <w:r>
        <w:rPr>
          <w:rFonts w:ascii="Courier New" w:cs="Courier New" w:eastAsia="Courier New" w:hAnsi="Courier New"/>
          <w:sz w:val="16"/>
          <w:szCs w:val="16"/>
          <w:color w:val="auto"/>
        </w:rPr>
        <w:t>HOLDER(S) SIGN HERE</w:t>
      </w:r>
    </w:p>
    <w:p>
      <w:pPr>
        <w:spacing w:after="0" w:line="179" w:lineRule="exact"/>
        <w:rPr>
          <w:sz w:val="20"/>
          <w:szCs w:val="20"/>
          <w:color w:val="auto"/>
        </w:rPr>
      </w:pPr>
    </w:p>
    <w:p>
      <w:pPr>
        <w:jc w:val="center"/>
        <w:ind w:right="2615"/>
        <w:spacing w:after="0"/>
        <w:rPr>
          <w:sz w:val="20"/>
          <w:szCs w:val="20"/>
          <w:color w:val="auto"/>
        </w:rPr>
      </w:pPr>
      <w:r>
        <w:rPr>
          <w:rFonts w:ascii="Courier New" w:cs="Courier New" w:eastAsia="Courier New" w:hAnsi="Courier New"/>
          <w:sz w:val="16"/>
          <w:szCs w:val="16"/>
          <w:color w:val="auto"/>
        </w:rPr>
        <w:t>(See Instructions 2, 5 and 6)</w:t>
      </w:r>
    </w:p>
    <w:p>
      <w:pPr>
        <w:spacing w:after="0" w:line="27"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 Signature(s) Must be Guaranteed if Required by Instruction 2)</w:t>
      </w:r>
    </w:p>
    <w:p>
      <w:pPr>
        <w:spacing w:after="0" w:line="151" w:lineRule="exact"/>
        <w:rPr>
          <w:sz w:val="20"/>
          <w:szCs w:val="20"/>
          <w:color w:val="auto"/>
        </w:rPr>
      </w:pPr>
    </w:p>
    <w:p>
      <w:pPr>
        <w:ind w:left="4" w:right="2819" w:firstLine="469"/>
        <w:spacing w:after="0" w:line="257" w:lineRule="auto"/>
        <w:rPr>
          <w:sz w:val="20"/>
          <w:szCs w:val="20"/>
          <w:color w:val="auto"/>
        </w:rPr>
      </w:pPr>
      <w:r>
        <w:rPr>
          <w:rFonts w:ascii="Courier New" w:cs="Courier New" w:eastAsia="Courier New" w:hAnsi="Courier New"/>
          <w:sz w:val="16"/>
          <w:szCs w:val="16"/>
          <w:color w:val="auto"/>
        </w:rPr>
        <w:t>Must be signed by registered holder(s) exactly as name(s) appear(s) on certificate(s) for the Old Notes hereby tendered or on a security position listing, or by any person(s) authorized to become the registered holder(s) by endorsements and documents transmitted herewith. If signature is by an attorney-in-fact, executor, administrator, trustee, guardian, officer of a corporation or another acting in a fiduciary or representative capacity, please set forth the signer's full title. See Instruction 5.</w:t>
      </w:r>
    </w:p>
    <w:p>
      <w:pPr>
        <w:spacing w:after="0" w:line="200" w:lineRule="exact"/>
        <w:rPr>
          <w:sz w:val="20"/>
          <w:szCs w:val="20"/>
          <w:color w:val="auto"/>
        </w:rPr>
      </w:pPr>
    </w:p>
    <w:p>
      <w:pPr>
        <w:spacing w:after="0" w:line="245" w:lineRule="exact"/>
        <w:rPr>
          <w:sz w:val="20"/>
          <w:szCs w:val="20"/>
          <w:color w:val="auto"/>
        </w:rPr>
      </w:pPr>
    </w:p>
    <w:p>
      <w:pPr>
        <w:ind w:left="184" w:hanging="184"/>
        <w:spacing w:after="0"/>
        <w:tabs>
          <w:tab w:leader="none" w:pos="18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 w:lineRule="exact"/>
        <w:rPr>
          <w:rFonts w:ascii="Courier New" w:cs="Courier New" w:eastAsia="Courier New" w:hAnsi="Courier New"/>
          <w:sz w:val="15"/>
          <w:szCs w:val="15"/>
          <w:color w:val="auto"/>
        </w:rPr>
      </w:pPr>
    </w:p>
    <w:p>
      <w:pPr>
        <w:ind w:left="25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(Signature(s) of Holder(s))</w:t>
      </w:r>
    </w:p>
    <w:p>
      <w:pPr>
        <w:spacing w:after="0" w:line="151"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366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 1999</w:t>
            </w:r>
          </w:p>
        </w:tc>
      </w:tr>
    </w:tbl>
    <w:p>
      <w:pPr>
        <w:ind w:left="464"/>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Name(s)</w:t>
      </w:r>
    </w:p>
    <w:p>
      <w:pPr>
        <w:spacing w:after="0" w:line="27"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ind w:left="184" w:hanging="184"/>
        <w:spacing w:after="0"/>
        <w:tabs>
          <w:tab w:leader="none" w:pos="18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 w:lineRule="exact"/>
        <w:rPr>
          <w:rFonts w:ascii="Courier New" w:cs="Courier New" w:eastAsia="Courier New" w:hAnsi="Courier New"/>
          <w:sz w:val="15"/>
          <w:szCs w:val="15"/>
          <w:color w:val="auto"/>
        </w:rPr>
      </w:pPr>
    </w:p>
    <w:p>
      <w:pPr>
        <w:ind w:left="31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w:t>
      </w:r>
    </w:p>
    <w:p>
      <w:pPr>
        <w:spacing w:after="0" w:line="15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Capacity:</w:t>
      </w:r>
    </w:p>
    <w:p>
      <w:pPr>
        <w:spacing w:after="0" w:line="26"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w:t>
      </w:r>
    </w:p>
    <w:p>
      <w:pPr>
        <w:ind w:left="2824"/>
        <w:spacing w:after="0"/>
        <w:rPr>
          <w:sz w:val="20"/>
          <w:szCs w:val="20"/>
          <w:color w:val="auto"/>
        </w:rPr>
      </w:pPr>
      <w:r>
        <w:rPr>
          <w:rFonts w:ascii="Courier New" w:cs="Courier New" w:eastAsia="Courier New" w:hAnsi="Courier New"/>
          <w:sz w:val="16"/>
          <w:szCs w:val="16"/>
          <w:color w:val="auto"/>
        </w:rPr>
        <w:t>(Include Full Title)</w:t>
      </w:r>
    </w:p>
    <w:p>
      <w:pPr>
        <w:spacing w:after="0" w:line="15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Address</w:t>
      </w:r>
    </w:p>
    <w:p>
      <w:pPr>
        <w:spacing w:after="0" w:line="27"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ind w:left="184" w:hanging="184"/>
        <w:spacing w:after="0"/>
        <w:tabs>
          <w:tab w:leader="none" w:pos="18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 w:lineRule="exact"/>
        <w:rPr>
          <w:rFonts w:ascii="Courier New" w:cs="Courier New" w:eastAsia="Courier New" w:hAnsi="Courier New"/>
          <w:sz w:val="15"/>
          <w:szCs w:val="15"/>
          <w:color w:val="auto"/>
        </w:rPr>
      </w:pPr>
    </w:p>
    <w:p>
      <w:pPr>
        <w:ind w:left="29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(Include Zip Code)</w:t>
      </w:r>
    </w:p>
    <w:p>
      <w:pPr>
        <w:spacing w:after="0" w:line="15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Area Code and Telephone Number</w:t>
      </w:r>
    </w:p>
    <w:p>
      <w:pPr>
        <w:spacing w:after="0" w:line="27"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ind w:left="184" w:hanging="184"/>
        <w:spacing w:after="0"/>
        <w:tabs>
          <w:tab w:leader="none" w:pos="18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 w:lineRule="exact"/>
        <w:rPr>
          <w:rFonts w:ascii="Courier New" w:cs="Courier New" w:eastAsia="Courier New" w:hAnsi="Courier New"/>
          <w:sz w:val="15"/>
          <w:szCs w:val="15"/>
          <w:color w:val="auto"/>
        </w:rPr>
      </w:pPr>
    </w:p>
    <w:p>
      <w:pPr>
        <w:ind w:left="15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(Tax Identification or Social Security Number(s))</w:t>
      </w:r>
    </w:p>
    <w:p>
      <w:pPr>
        <w:spacing w:after="0" w:line="332" w:lineRule="exact"/>
        <w:rPr>
          <w:sz w:val="20"/>
          <w:szCs w:val="20"/>
          <w:color w:val="auto"/>
        </w:rPr>
      </w:pPr>
    </w:p>
    <w:p>
      <w:pPr>
        <w:ind w:left="2624"/>
        <w:spacing w:after="0"/>
        <w:rPr>
          <w:sz w:val="20"/>
          <w:szCs w:val="20"/>
          <w:color w:val="auto"/>
        </w:rPr>
      </w:pPr>
      <w:r>
        <w:rPr>
          <w:rFonts w:ascii="Courier New" w:cs="Courier New" w:eastAsia="Courier New" w:hAnsi="Courier New"/>
          <w:sz w:val="16"/>
          <w:szCs w:val="16"/>
          <w:color w:val="auto"/>
        </w:rPr>
        <w:t>GUARANTEE OF SIGNATURE(S)</w:t>
      </w:r>
    </w:p>
    <w:p>
      <w:pPr>
        <w:spacing w:after="0" w:line="27" w:lineRule="exact"/>
        <w:rPr>
          <w:sz w:val="20"/>
          <w:szCs w:val="20"/>
          <w:color w:val="auto"/>
        </w:rPr>
      </w:pPr>
    </w:p>
    <w:p>
      <w:pPr>
        <w:ind w:left="2524"/>
        <w:spacing w:after="0"/>
        <w:rPr>
          <w:sz w:val="20"/>
          <w:szCs w:val="20"/>
          <w:color w:val="auto"/>
        </w:rPr>
      </w:pPr>
      <w:r>
        <w:rPr>
          <w:rFonts w:ascii="Courier New" w:cs="Courier New" w:eastAsia="Courier New" w:hAnsi="Courier New"/>
          <w:sz w:val="16"/>
          <w:szCs w:val="16"/>
          <w:color w:val="auto"/>
        </w:rPr>
        <w:t>(See Instructions 2 and 5)</w:t>
      </w:r>
    </w:p>
    <w:p>
      <w:pPr>
        <w:spacing w:after="0" w:line="15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Authorized Signature</w:t>
      </w:r>
    </w:p>
    <w:p>
      <w:pPr>
        <w:spacing w:after="0" w:line="27" w:lineRule="exact"/>
        <w:rPr>
          <w:sz w:val="20"/>
          <w:szCs w:val="20"/>
          <w:color w:val="auto"/>
        </w:rPr>
      </w:pPr>
    </w:p>
    <w:p>
      <w:pPr>
        <w:ind w:left="1964"/>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w:t>
      </w:r>
    </w:p>
    <w:p>
      <w:pPr>
        <w:spacing w:after="0" w:line="27"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ind w:left="184" w:hanging="184"/>
        <w:spacing w:after="0"/>
        <w:tabs>
          <w:tab w:leader="none" w:pos="18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 w:lineRule="exact"/>
        <w:rPr>
          <w:rFonts w:ascii="Courier New" w:cs="Courier New" w:eastAsia="Courier New" w:hAnsi="Courier New"/>
          <w:sz w:val="15"/>
          <w:szCs w:val="15"/>
          <w:color w:val="auto"/>
        </w:rPr>
      </w:pPr>
    </w:p>
    <w:p>
      <w:pPr>
        <w:ind w:left="31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w:t>
      </w:r>
    </w:p>
    <w:p>
      <w:pPr>
        <w:spacing w:after="0" w:line="151" w:lineRule="exact"/>
        <w:rPr>
          <w:sz w:val="20"/>
          <w:szCs w:val="20"/>
          <w:color w:val="auto"/>
        </w:rPr>
      </w:pPr>
    </w:p>
    <w:p>
      <w:pPr>
        <w:ind w:left="4"/>
        <w:spacing w:after="0"/>
        <w:tabs>
          <w:tab w:leader="none" w:pos="6923"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5"/>
          <w:szCs w:val="15"/>
          <w:color w:val="auto"/>
        </w:rPr>
        <w:t>, 1999</w:t>
      </w:r>
    </w:p>
    <w:p>
      <w:pPr>
        <w:spacing w:after="0" w:line="27"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Capacity or Title</w:t>
      </w:r>
    </w:p>
    <w:p>
      <w:pPr>
        <w:spacing w:after="0" w:line="27"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 of Firm</w:t>
      </w:r>
    </w:p>
    <w:p>
      <w:pPr>
        <w:spacing w:after="0" w:line="27"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Address</w:t>
      </w:r>
    </w:p>
    <w:p>
      <w:pPr>
        <w:spacing w:after="0" w:line="26"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w:t>
      </w:r>
    </w:p>
    <w:p>
      <w:pPr>
        <w:ind w:left="2904"/>
        <w:spacing w:after="0"/>
        <w:rPr>
          <w:sz w:val="20"/>
          <w:szCs w:val="20"/>
          <w:color w:val="auto"/>
        </w:rPr>
      </w:pPr>
      <w:r>
        <w:rPr>
          <w:rFonts w:ascii="Courier New" w:cs="Courier New" w:eastAsia="Courier New" w:hAnsi="Courier New"/>
          <w:sz w:val="16"/>
          <w:szCs w:val="16"/>
          <w:color w:val="auto"/>
        </w:rPr>
        <w:t>(Include Zip Code)</w:t>
      </w:r>
    </w:p>
    <w:p>
      <w:pPr>
        <w:spacing w:after="0" w:line="15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Area Code and Telephone Number</w:t>
      </w:r>
    </w:p>
    <w:p>
      <w:pPr>
        <w:spacing w:after="0" w:line="27"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w:t>
      </w:r>
    </w:p>
    <w:p>
      <w:pPr>
        <w:spacing w:after="0" w:line="33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3"/>
          </w:cols>
          <w:pgMar w:left="236" w:top="991" w:right="1440" w:bottom="1440" w:gutter="0" w:footer="0" w:header="0"/>
        </w:sectPr>
      </w:pPr>
    </w:p>
    <w:bookmarkStart w:id="67" w:name="page68"/>
    <w:bookmarkEnd w:id="67"/>
    <w:p>
      <w:pPr>
        <w:ind w:left="2444"/>
        <w:spacing w:after="0"/>
        <w:rPr>
          <w:sz w:val="20"/>
          <w:szCs w:val="20"/>
          <w:color w:val="auto"/>
        </w:rPr>
      </w:pPr>
      <w:r>
        <w:rPr>
          <w:rFonts w:ascii="Courier New" w:cs="Courier New" w:eastAsia="Courier New" w:hAnsi="Courier New"/>
          <w:sz w:val="16"/>
          <w:szCs w:val="16"/>
          <w:color w:val="auto"/>
        </w:rPr>
        <w:t>SPECIAL ISSUANCE INSTRUCTIONS</w:t>
      </w:r>
    </w:p>
    <w:p>
      <w:pPr>
        <w:spacing w:after="0" w:line="27" w:lineRule="exact"/>
        <w:rPr>
          <w:sz w:val="20"/>
          <w:szCs w:val="20"/>
          <w:color w:val="auto"/>
        </w:rPr>
      </w:pPr>
    </w:p>
    <w:p>
      <w:pPr>
        <w:ind w:left="2444"/>
        <w:spacing w:after="0"/>
        <w:rPr>
          <w:sz w:val="20"/>
          <w:szCs w:val="20"/>
          <w:color w:val="auto"/>
        </w:rPr>
      </w:pPr>
      <w:r>
        <w:rPr>
          <w:rFonts w:ascii="Courier New" w:cs="Courier New" w:eastAsia="Courier New" w:hAnsi="Courier New"/>
          <w:sz w:val="16"/>
          <w:szCs w:val="16"/>
          <w:color w:val="auto"/>
        </w:rPr>
        <w:t>(See Instructions 1, 5 and 6)</w:t>
      </w:r>
    </w:p>
    <w:p>
      <w:pPr>
        <w:spacing w:after="0" w:line="151" w:lineRule="exact"/>
        <w:rPr>
          <w:sz w:val="20"/>
          <w:szCs w:val="20"/>
          <w:color w:val="auto"/>
        </w:rPr>
      </w:pPr>
    </w:p>
    <w:p>
      <w:pPr>
        <w:jc w:val="both"/>
        <w:ind w:left="4" w:right="2719" w:firstLine="281"/>
        <w:spacing w:after="0" w:line="387" w:lineRule="auto"/>
        <w:rPr>
          <w:sz w:val="20"/>
          <w:szCs w:val="20"/>
          <w:color w:val="auto"/>
        </w:rPr>
      </w:pPr>
      <w:r>
        <w:rPr>
          <w:rFonts w:ascii="Courier New" w:cs="Courier New" w:eastAsia="Courier New" w:hAnsi="Courier New"/>
          <w:sz w:val="15"/>
          <w:szCs w:val="15"/>
          <w:color w:val="auto"/>
        </w:rPr>
        <w:t>To be completed ONLY if the New Notes are to be issued in the name of someone other than the registered holder of the Old Notes whose name(s) appear(s) above.</w:t>
      </w:r>
    </w:p>
    <w:p>
      <w:pPr>
        <w:spacing w:after="0" w:line="174"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Issue New Notes to:</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w:t>
      </w:r>
    </w:p>
    <w:p>
      <w:pPr>
        <w:spacing w:after="0" w:line="26"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w:t>
      </w:r>
    </w:p>
    <w:p>
      <w:pPr>
        <w:jc w:val="center"/>
        <w:ind w:right="2715"/>
        <w:spacing w:after="0"/>
        <w:rPr>
          <w:sz w:val="20"/>
          <w:szCs w:val="20"/>
          <w:color w:val="auto"/>
        </w:rPr>
      </w:pPr>
      <w:r>
        <w:rPr>
          <w:rFonts w:ascii="Courier New" w:cs="Courier New" w:eastAsia="Courier New" w:hAnsi="Courier New"/>
          <w:sz w:val="16"/>
          <w:szCs w:val="16"/>
          <w:color w:val="auto"/>
        </w:rPr>
        <w:t>(Please Print)</w:t>
      </w:r>
    </w:p>
    <w:p>
      <w:pPr>
        <w:spacing w:after="0" w:line="15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Address</w:t>
      </w:r>
    </w:p>
    <w:p>
      <w:pPr>
        <w:spacing w:after="0" w:line="27"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ind w:left="184" w:hanging="184"/>
        <w:spacing w:after="0"/>
        <w:tabs>
          <w:tab w:leader="none" w:pos="184"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 w:lineRule="exact"/>
        <w:rPr>
          <w:rFonts w:ascii="Courier New" w:cs="Courier New" w:eastAsia="Courier New" w:hAnsi="Courier New"/>
          <w:sz w:val="15"/>
          <w:szCs w:val="15"/>
          <w:color w:val="auto"/>
        </w:rPr>
      </w:pPr>
    </w:p>
    <w:p>
      <w:pPr>
        <w:ind w:left="29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(Include Zip Code)</w:t>
      </w:r>
    </w:p>
    <w:p>
      <w:pPr>
        <w:spacing w:after="0" w:line="151"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 w:lineRule="exact"/>
        <w:rPr>
          <w:rFonts w:ascii="Courier New" w:cs="Courier New" w:eastAsia="Courier New" w:hAnsi="Courier New"/>
          <w:sz w:val="15"/>
          <w:szCs w:val="15"/>
          <w:color w:val="auto"/>
        </w:rPr>
      </w:pPr>
    </w:p>
    <w:p>
      <w:pPr>
        <w:ind w:left="25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(Taxpayer Identification or</w:t>
      </w:r>
    </w:p>
    <w:p>
      <w:pPr>
        <w:ind w:left="27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Social Security Number)</w:t>
      </w:r>
    </w:p>
    <w:p>
      <w:pPr>
        <w:spacing w:after="0" w:line="151"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52" w:lineRule="exact"/>
        <w:rPr>
          <w:sz w:val="20"/>
          <w:szCs w:val="20"/>
          <w:color w:val="auto"/>
        </w:rPr>
      </w:pPr>
    </w:p>
    <w:p>
      <w:pPr>
        <w:ind w:left="2444"/>
        <w:spacing w:after="0"/>
        <w:rPr>
          <w:sz w:val="20"/>
          <w:szCs w:val="20"/>
          <w:color w:val="auto"/>
        </w:rPr>
      </w:pPr>
      <w:r>
        <w:rPr>
          <w:rFonts w:ascii="Courier New" w:cs="Courier New" w:eastAsia="Courier New" w:hAnsi="Courier New"/>
          <w:sz w:val="16"/>
          <w:szCs w:val="16"/>
          <w:color w:val="auto"/>
        </w:rPr>
        <w:t>SPECIAL DELIVERY INSTRUCTIONS</w:t>
      </w:r>
    </w:p>
    <w:p>
      <w:pPr>
        <w:spacing w:after="0" w:line="27" w:lineRule="exact"/>
        <w:rPr>
          <w:sz w:val="20"/>
          <w:szCs w:val="20"/>
          <w:color w:val="auto"/>
        </w:rPr>
      </w:pPr>
    </w:p>
    <w:p>
      <w:pPr>
        <w:ind w:left="2444"/>
        <w:spacing w:after="0"/>
        <w:rPr>
          <w:sz w:val="20"/>
          <w:szCs w:val="20"/>
          <w:color w:val="auto"/>
        </w:rPr>
      </w:pPr>
      <w:r>
        <w:rPr>
          <w:rFonts w:ascii="Courier New" w:cs="Courier New" w:eastAsia="Courier New" w:hAnsi="Courier New"/>
          <w:sz w:val="16"/>
          <w:szCs w:val="16"/>
          <w:color w:val="auto"/>
        </w:rPr>
        <w:t>(See Instructions 1, 5 and 6)</w:t>
      </w:r>
    </w:p>
    <w:p>
      <w:pPr>
        <w:spacing w:after="0" w:line="151" w:lineRule="exact"/>
        <w:rPr>
          <w:sz w:val="20"/>
          <w:szCs w:val="20"/>
          <w:color w:val="auto"/>
        </w:rPr>
      </w:pPr>
    </w:p>
    <w:p>
      <w:pPr>
        <w:ind w:left="4" w:right="2999" w:firstLine="281"/>
        <w:spacing w:after="0" w:line="293" w:lineRule="auto"/>
        <w:rPr>
          <w:sz w:val="20"/>
          <w:szCs w:val="20"/>
          <w:color w:val="auto"/>
        </w:rPr>
      </w:pPr>
      <w:r>
        <w:rPr>
          <w:rFonts w:ascii="Courier New" w:cs="Courier New" w:eastAsia="Courier New" w:hAnsi="Courier New"/>
          <w:sz w:val="16"/>
          <w:szCs w:val="16"/>
          <w:color w:val="auto"/>
        </w:rPr>
        <w:t>To be completed ONLY if New Notes are to be sent to someone other than the registered holder of the Old Notes whose name(s) appear(s) above, or to such registered holder(s) at an address other than that shown above.</w:t>
      </w:r>
    </w:p>
    <w:p>
      <w:pPr>
        <w:spacing w:after="0" w:line="238"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Mail New Notes To:</w:t>
      </w:r>
    </w:p>
    <w:p>
      <w:pPr>
        <w:spacing w:after="0" w:line="17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Name</w:t>
      </w:r>
    </w:p>
    <w:p>
      <w:pPr>
        <w:spacing w:after="0" w:line="26"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w:t>
      </w:r>
    </w:p>
    <w:p>
      <w:pPr>
        <w:jc w:val="center"/>
        <w:ind w:right="2715"/>
        <w:spacing w:after="0"/>
        <w:rPr>
          <w:sz w:val="20"/>
          <w:szCs w:val="20"/>
          <w:color w:val="auto"/>
        </w:rPr>
      </w:pPr>
      <w:r>
        <w:rPr>
          <w:rFonts w:ascii="Courier New" w:cs="Courier New" w:eastAsia="Courier New" w:hAnsi="Courier New"/>
          <w:sz w:val="16"/>
          <w:szCs w:val="16"/>
          <w:color w:val="auto"/>
        </w:rPr>
        <w:t>(Please Print)</w:t>
      </w:r>
    </w:p>
    <w:p>
      <w:pPr>
        <w:spacing w:after="0" w:line="15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91"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Address</w:t>
      </w:r>
    </w:p>
    <w:p>
      <w:pPr>
        <w:spacing w:after="0" w:line="27"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ind w:left="184" w:hanging="184"/>
        <w:spacing w:after="0"/>
        <w:tabs>
          <w:tab w:leader="none" w:pos="18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 w:lineRule="exact"/>
        <w:rPr>
          <w:rFonts w:ascii="Courier New" w:cs="Courier New" w:eastAsia="Courier New" w:hAnsi="Courier New"/>
          <w:sz w:val="15"/>
          <w:szCs w:val="15"/>
          <w:color w:val="auto"/>
        </w:rPr>
      </w:pPr>
    </w:p>
    <w:p>
      <w:pPr>
        <w:ind w:left="29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(Include Zip Code)</w:t>
      </w:r>
    </w:p>
    <w:p>
      <w:pPr>
        <w:spacing w:after="0" w:line="151"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 w:lineRule="exact"/>
        <w:rPr>
          <w:rFonts w:ascii="Courier New" w:cs="Courier New" w:eastAsia="Courier New" w:hAnsi="Courier New"/>
          <w:sz w:val="15"/>
          <w:szCs w:val="15"/>
          <w:color w:val="auto"/>
        </w:rPr>
      </w:pPr>
    </w:p>
    <w:p>
      <w:pPr>
        <w:ind w:left="25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(Taxpayer Identification or</w:t>
      </w:r>
    </w:p>
    <w:p>
      <w:pPr>
        <w:ind w:left="27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Social Security Number)</w:t>
      </w:r>
    </w:p>
    <w:p>
      <w:pPr>
        <w:spacing w:after="0" w:line="200" w:lineRule="exact"/>
        <w:rPr>
          <w:sz w:val="20"/>
          <w:szCs w:val="20"/>
          <w:color w:val="auto"/>
        </w:rPr>
      </w:pPr>
    </w:p>
    <w:p>
      <w:pPr>
        <w:spacing w:after="0" w:line="31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3"/>
          </w:cols>
          <w:pgMar w:left="236" w:top="811" w:right="1440" w:bottom="1440" w:gutter="0" w:footer="0" w:header="0"/>
        </w:sectPr>
      </w:pPr>
    </w:p>
    <w:bookmarkStart w:id="68" w:name="page69"/>
    <w:bookmarkEnd w:id="68"/>
    <w:p>
      <w:pPr>
        <w:jc w:val="center"/>
        <w:ind w:right="2715"/>
        <w:spacing w:after="0"/>
        <w:rPr>
          <w:sz w:val="20"/>
          <w:szCs w:val="20"/>
          <w:color w:val="auto"/>
        </w:rPr>
      </w:pPr>
      <w:r>
        <w:rPr>
          <w:rFonts w:ascii="Courier New" w:cs="Courier New" w:eastAsia="Courier New" w:hAnsi="Courier New"/>
          <w:sz w:val="16"/>
          <w:szCs w:val="16"/>
          <w:color w:val="auto"/>
        </w:rPr>
        <w:t>INSTRUCTIONS</w:t>
      </w:r>
    </w:p>
    <w:p>
      <w:pPr>
        <w:spacing w:after="0" w:line="27"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Forming Part of the Terms and Conditions of the Exchange Offer</w:t>
      </w:r>
    </w:p>
    <w:p>
      <w:pPr>
        <w:spacing w:after="0" w:line="151" w:lineRule="exact"/>
        <w:rPr>
          <w:sz w:val="20"/>
          <w:szCs w:val="20"/>
          <w:color w:val="auto"/>
        </w:rPr>
      </w:pPr>
    </w:p>
    <w:p>
      <w:pPr>
        <w:ind w:left="4" w:right="2719" w:firstLine="559"/>
        <w:spacing w:after="0" w:line="247" w:lineRule="auto"/>
        <w:tabs>
          <w:tab w:leader="none" w:pos="848"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LETTER OF TRANSMITTAL AND CERTIFICATES; GUARANTEED DELIVERY PROCEDURES. This Letter of Transmittal is to be completed if certificates are to be forwarded herewith. If tenders are to be made pursuant to the procedures for tender by book-entry transfer set forth in "The Exchange Offer--Book- Entry Transfer" in the Prospectus and in accordance with ATOP established by DTC, a tendering holder will become bound by the terms and conditions hereof in accordance with the procedures established under ATOP. Certificates, or timely confirmation of a book-entry transfer of such Old Notes into the Exchange Agent's account at DTC, as well as this Letter of Transmittal (or facsimile thereof), if required, properly completed and duly executed, with any required signature guarantees, must be received by the Exchange Agent at one of its addresses set forth herein on or prior to the expiration date. Old Notes may be tendered in whole or in part in the principal amount of $1,000 and integral multiples of $1,000.</w:t>
      </w:r>
    </w:p>
    <w:p>
      <w:pPr>
        <w:spacing w:after="0" w:line="94" w:lineRule="exact"/>
        <w:rPr>
          <w:sz w:val="20"/>
          <w:szCs w:val="20"/>
          <w:color w:val="auto"/>
        </w:rPr>
      </w:pPr>
    </w:p>
    <w:p>
      <w:pPr>
        <w:ind w:left="4" w:right="2719" w:firstLine="563"/>
        <w:spacing w:after="0" w:line="258" w:lineRule="auto"/>
        <w:rPr>
          <w:sz w:val="20"/>
          <w:szCs w:val="20"/>
          <w:color w:val="auto"/>
        </w:rPr>
      </w:pPr>
      <w:r>
        <w:rPr>
          <w:rFonts w:ascii="Courier New" w:cs="Courier New" w:eastAsia="Courier New" w:hAnsi="Courier New"/>
          <w:sz w:val="15"/>
          <w:szCs w:val="15"/>
          <w:color w:val="auto"/>
        </w:rPr>
        <w:t>Holders who wish to tender their Old Notes and (i) whose Old Notes are not immediately available or (ii) who cannot deliver their Old Notes and this Letter of Transmittal to the Exchange Agent on or prior to the expiration date or (iii) who cannot complete the procedures for delivery by book-entry transfer on a timely basis, may tender their Old Notes by properly completing and duly executing a Notice of Guaranteed Delivery pursuant to the guaranteed delivery procedures set forth in "The Exchange Offer--Guaranteed Delivery Procedures" in the Prospectus. Pursuant to such procedures: (i) such tender must be made by or through an Eligible Institution (as defined below); (ii) a properly completed and duly executed Letter of Transmittal (or facsimile) thereof and Notice of Guaranteed Delivery, substantially in the form made available by the Company, must be received by the Exchange Agent on or prior to the expiration date; and</w:t>
      </w:r>
    </w:p>
    <w:p>
      <w:pPr>
        <w:spacing w:after="0" w:line="1" w:lineRule="exact"/>
        <w:rPr>
          <w:sz w:val="20"/>
          <w:szCs w:val="20"/>
          <w:color w:val="auto"/>
        </w:rPr>
      </w:pPr>
    </w:p>
    <w:p>
      <w:pPr>
        <w:ind w:left="4" w:right="2819" w:hanging="4"/>
        <w:spacing w:after="0" w:line="253" w:lineRule="auto"/>
        <w:tabs>
          <w:tab w:leader="none" w:pos="567"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certificates (or a book-entry confirmation (as defined in the Prospectus)) representing all tendered Old Notes, in proper form for transfer, must be received by the Exchange Agent within five New York Stock Exchange trading days after the date of execution of such Notice of Guaranteed Delivery, all as provided in "The Exchange Offer--Guaranteed Delivery Procedures" in the Prospectus.</w:t>
      </w:r>
    </w:p>
    <w:p>
      <w:pPr>
        <w:spacing w:after="0" w:line="88" w:lineRule="exact"/>
        <w:rPr>
          <w:sz w:val="20"/>
          <w:szCs w:val="20"/>
          <w:color w:val="auto"/>
        </w:rPr>
      </w:pPr>
    </w:p>
    <w:p>
      <w:pPr>
        <w:ind w:left="4" w:right="2719" w:firstLine="563"/>
        <w:spacing w:after="0" w:line="251" w:lineRule="auto"/>
        <w:rPr>
          <w:sz w:val="20"/>
          <w:szCs w:val="20"/>
          <w:color w:val="auto"/>
        </w:rPr>
      </w:pPr>
      <w:r>
        <w:rPr>
          <w:rFonts w:ascii="Courier New" w:cs="Courier New" w:eastAsia="Courier New" w:hAnsi="Courier New"/>
          <w:sz w:val="16"/>
          <w:szCs w:val="16"/>
          <w:color w:val="auto"/>
        </w:rPr>
        <w:t>The Notice of Guaranteed Delivery may be delivered by hand or transmitted by telegram, telex, facsimile or mail to the Exchange Agent, and must include a guarantee by an Eligible Institution in the form set forth in such Notice. For Old Notes to be properly tendered pursuant to the guaranteed delivery procedure, the Exchange Agent must receive a Notice of Guaranteed Delivery on or prior to the expiration date. As used herein and in the Prospectus, "Eligible Institution" means a firm which is a member of a registered national securities exchange or a member of the National Association of Securities Dealers, Inc. or a commercial bank or trust company having an office or correspondent in the United States.</w:t>
      </w:r>
    </w:p>
    <w:p>
      <w:pPr>
        <w:spacing w:after="0" w:line="89" w:lineRule="exact"/>
        <w:rPr>
          <w:sz w:val="20"/>
          <w:szCs w:val="20"/>
          <w:color w:val="auto"/>
        </w:rPr>
      </w:pPr>
    </w:p>
    <w:p>
      <w:pPr>
        <w:ind w:left="4" w:right="2719" w:firstLine="563"/>
        <w:spacing w:after="0" w:line="260" w:lineRule="auto"/>
        <w:rPr>
          <w:sz w:val="20"/>
          <w:szCs w:val="20"/>
          <w:color w:val="auto"/>
        </w:rPr>
      </w:pPr>
      <w:r>
        <w:rPr>
          <w:rFonts w:ascii="Courier New" w:cs="Courier New" w:eastAsia="Courier New" w:hAnsi="Courier New"/>
          <w:sz w:val="16"/>
          <w:szCs w:val="16"/>
          <w:color w:val="auto"/>
        </w:rPr>
        <w:t>THE METHOD OF DELIVERY OF OLD NOTES, THIS LETTER OF TRANSMITTAL AND ALL OTHER REQUIRED DOCUMENTS IS AT THE ELECTION AND RISK OF THE TENDERING HOLDER. IF SUCH DELIVERY IS BY MAIL, IT IS RECOMMENDED THAT REGISTERED MAIL WITH RETURN RECEIPT REQUESTED, PROPERLY INSURED, BE USED. IN ALL CASES, SUFFICIENT TIME SHOULD BE ALLOWED TO ASSURE TIMELY DELIVERY. NO LETTERS OF TRANSMITTAL OR OLD NOTES SHOULD BE SENT TO THE COMPANY.</w:t>
      </w:r>
    </w:p>
    <w:p>
      <w:pPr>
        <w:spacing w:after="0" w:line="84" w:lineRule="exact"/>
        <w:rPr>
          <w:sz w:val="20"/>
          <w:szCs w:val="20"/>
          <w:color w:val="auto"/>
        </w:rPr>
      </w:pPr>
    </w:p>
    <w:p>
      <w:pPr>
        <w:ind w:left="4" w:right="2819" w:firstLine="563"/>
        <w:spacing w:after="0" w:line="275" w:lineRule="auto"/>
        <w:rPr>
          <w:sz w:val="20"/>
          <w:szCs w:val="20"/>
          <w:color w:val="auto"/>
        </w:rPr>
      </w:pPr>
      <w:r>
        <w:rPr>
          <w:rFonts w:ascii="Courier New" w:cs="Courier New" w:eastAsia="Courier New" w:hAnsi="Courier New"/>
          <w:sz w:val="16"/>
          <w:szCs w:val="16"/>
          <w:color w:val="auto"/>
        </w:rPr>
        <w:t>The Company will not accept any alternative, conditional or contingent tenders. Each tendering holder, by execution of a Letter of Transmittal (or facsimile thereof), or any Agent's Message in lieu thereof, waives any right to receive any notice of the acceptance of such tender.</w:t>
      </w:r>
    </w:p>
    <w:p>
      <w:pPr>
        <w:spacing w:after="0" w:line="71" w:lineRule="exact"/>
        <w:rPr>
          <w:sz w:val="20"/>
          <w:szCs w:val="20"/>
          <w:color w:val="auto"/>
        </w:rPr>
      </w:pPr>
    </w:p>
    <w:p>
      <w:pPr>
        <w:ind w:left="4" w:right="3279" w:firstLine="559"/>
        <w:spacing w:after="0" w:line="348" w:lineRule="auto"/>
        <w:tabs>
          <w:tab w:leader="none" w:pos="848"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 OF SIGNATURES. No signature guarantee on this Letter of Transmittal is required if:</w:t>
      </w:r>
    </w:p>
    <w:p>
      <w:pPr>
        <w:spacing w:after="0" w:line="15" w:lineRule="exact"/>
        <w:rPr>
          <w:rFonts w:ascii="Courier New" w:cs="Courier New" w:eastAsia="Courier New" w:hAnsi="Courier New"/>
          <w:sz w:val="16"/>
          <w:szCs w:val="16"/>
          <w:color w:val="auto"/>
        </w:rPr>
      </w:pPr>
    </w:p>
    <w:p>
      <w:pPr>
        <w:ind w:left="664" w:right="2719" w:firstLine="274"/>
        <w:spacing w:after="0" w:line="281" w:lineRule="auto"/>
        <w:tabs>
          <w:tab w:leader="none" w:pos="132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of Transmittal is signed by the registered holder (which term, for purposes of this document, shall include any participant in DTC whose name appears on a security position listing as the owner of the Old Notes) of Old Notes tendered herewith, unless such holder(s) has completed either the box entitled "Special Issuance Instructions" or the box entitled "Special Delivery Instructions" above, or</w:t>
      </w:r>
    </w:p>
    <w:p>
      <w:pPr>
        <w:spacing w:after="0" w:line="68" w:lineRule="exact"/>
        <w:rPr>
          <w:rFonts w:ascii="Courier New" w:cs="Courier New" w:eastAsia="Courier New" w:hAnsi="Courier New"/>
          <w:sz w:val="15"/>
          <w:szCs w:val="15"/>
          <w:color w:val="auto"/>
        </w:rPr>
      </w:pPr>
    </w:p>
    <w:p>
      <w:pPr>
        <w:ind w:left="664" w:right="2819" w:firstLine="274"/>
        <w:spacing w:after="0" w:line="348" w:lineRule="auto"/>
        <w:tabs>
          <w:tab w:leader="none" w:pos="1414"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Old Notes are tendered for the account of a firm that is an Eligible Institution.</w:t>
      </w:r>
    </w:p>
    <w:p>
      <w:pPr>
        <w:spacing w:after="0" w:line="376"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3"/>
          </w:cols>
          <w:pgMar w:left="236" w:top="991" w:right="1440" w:bottom="1440" w:gutter="0" w:footer="0" w:header="0"/>
        </w:sectPr>
      </w:pPr>
    </w:p>
    <w:bookmarkStart w:id="69" w:name="page70"/>
    <w:bookmarkEnd w:id="69"/>
    <w:p>
      <w:pPr>
        <w:ind w:right="3839" w:firstLine="563"/>
        <w:spacing w:after="0" w:line="348" w:lineRule="auto"/>
        <w:rPr>
          <w:sz w:val="20"/>
          <w:szCs w:val="20"/>
          <w:color w:val="auto"/>
        </w:rPr>
      </w:pPr>
      <w:r>
        <w:rPr>
          <w:rFonts w:ascii="Courier New" w:cs="Courier New" w:eastAsia="Courier New" w:hAnsi="Courier New"/>
          <w:sz w:val="16"/>
          <w:szCs w:val="16"/>
          <w:color w:val="auto"/>
        </w:rPr>
        <w:t>In all other cases, an Eligible Institution must guarantee the signature(s) on this Letter of Transmittal. See Instruction 5.</w:t>
      </w:r>
    </w:p>
    <w:p>
      <w:pPr>
        <w:spacing w:after="0" w:line="15" w:lineRule="exact"/>
        <w:rPr>
          <w:sz w:val="20"/>
          <w:szCs w:val="20"/>
          <w:color w:val="auto"/>
        </w:rPr>
      </w:pPr>
    </w:p>
    <w:p>
      <w:pPr>
        <w:ind w:left="840" w:hanging="281"/>
        <w:spacing w:after="0"/>
        <w:tabs>
          <w:tab w:leader="none" w:pos="8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INADEQUATE SPACE. If the space provided in the box captioned</w:t>
      </w:r>
    </w:p>
    <w:p>
      <w:pPr>
        <w:spacing w:after="0" w:line="27" w:lineRule="exact"/>
        <w:rPr>
          <w:rFonts w:ascii="Courier New" w:cs="Courier New" w:eastAsia="Courier New" w:hAnsi="Courier New"/>
          <w:sz w:val="16"/>
          <w:szCs w:val="16"/>
          <w:color w:val="auto"/>
        </w:rPr>
      </w:pPr>
    </w:p>
    <w:p>
      <w:pPr>
        <w:ind w:right="2899"/>
        <w:spacing w:after="0" w:line="26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Old Notes" is inadequate, the certificate number(s) and/or the principal amount of Old Notes and any other required information should be listed on a separate signed schedule which is attached to this Letter of Transmittal.</w:t>
      </w:r>
    </w:p>
    <w:p>
      <w:pPr>
        <w:spacing w:after="0" w:line="79" w:lineRule="exact"/>
        <w:rPr>
          <w:rFonts w:ascii="Courier New" w:cs="Courier New" w:eastAsia="Courier New" w:hAnsi="Courier New"/>
          <w:sz w:val="16"/>
          <w:szCs w:val="16"/>
          <w:color w:val="auto"/>
        </w:rPr>
      </w:pPr>
    </w:p>
    <w:p>
      <w:pPr>
        <w:ind w:right="2719" w:firstLine="559"/>
        <w:spacing w:after="0" w:line="251" w:lineRule="auto"/>
        <w:tabs>
          <w:tab w:leader="none" w:pos="844"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PARTIAL TENDERS AND WITHDRAWAL RIGHTS. Tenders of Old Notes will be accepted only in the principal amount of $1,000 and integral multiples thereof. If less than all the Old Notes evidenced by any certificate submitted are to be tendered, fill in the principal amount of Old Notes which are to be tendered in the box entitled "Principal Amount of Old Notes Tendered (if less than all)." In such case, new certificate(s) for the remainder of the Old Notes that were evidenced by your old certificate(s) will only be sent to the holder of the Old Note, promptly after the expiration date. All Old Notes represented by certificates delivered to the Exchange Agent will be deemed to have been tendered unless otherwise indicated.</w:t>
      </w:r>
    </w:p>
    <w:p>
      <w:pPr>
        <w:spacing w:after="0" w:line="89" w:lineRule="exact"/>
        <w:rPr>
          <w:sz w:val="20"/>
          <w:szCs w:val="20"/>
          <w:color w:val="auto"/>
        </w:rPr>
      </w:pPr>
    </w:p>
    <w:p>
      <w:pPr>
        <w:ind w:right="2719" w:firstLine="563"/>
        <w:spacing w:after="0" w:line="260" w:lineRule="auto"/>
        <w:rPr>
          <w:sz w:val="20"/>
          <w:szCs w:val="20"/>
          <w:color w:val="auto"/>
        </w:rPr>
      </w:pPr>
      <w:r>
        <w:rPr>
          <w:rFonts w:ascii="Courier New" w:cs="Courier New" w:eastAsia="Courier New" w:hAnsi="Courier New"/>
          <w:sz w:val="15"/>
          <w:szCs w:val="15"/>
          <w:color w:val="auto"/>
        </w:rPr>
        <w:t>Except as otherwise provided herein, tenders of Old Notes may be withdrawn at any time on or prior to the expiration date. In order for a withdrawal to be effective on or prior to that time, a written notice of withdrawal must be timely received by the Exchange Agent at one of its addresses set forth above or in the Prospectus on or prior to the expiration date. Any such notice of withdrawal must specify the name of the person who tendered the Old Notes to be withdrawn, identify the Old Notes to be withdrawn (including the principal amount of such Old Notes) and (where certificates for Old Notes have been transmitted) specify the name in which such Old Notes are registered, if different from that of the withdrawing holder. If certificates for the Old Notes have been delivered or otherwise identified to the Exchange Agent, then prior to the release of such certificates, the withdrawing holder must submit the serial numbers of the particular certificates for the Old Notes to be withdrawn and a signed notice of withdrawal with signatures guaranteed by an Eligible Institution, unless such holder is an Eligible Institution. If Old Notes have been tendered pursuant to the procedures for book-entry transfer set forth in the Prospectus under "The Exchange Offer--Book-Entry Transfer," any notice of withdrawal must specify the name and number of the account at DTC to be credited with the withdrawal of Old Notes and otherwise comply with the procedures of such facility. Old Notes properly withdrawn will not be deemed validly tendered for purposes of the Exchange Offer, but may be retendered at any time on or prior to the expiration date by following one of the procedures described in the Prospectus under "The Exchange Offer--Procedures for Tendering Old Notes."</w:t>
      </w:r>
    </w:p>
    <w:p>
      <w:pPr>
        <w:spacing w:after="0" w:line="95" w:lineRule="exact"/>
        <w:rPr>
          <w:sz w:val="20"/>
          <w:szCs w:val="20"/>
          <w:color w:val="auto"/>
        </w:rPr>
      </w:pPr>
    </w:p>
    <w:p>
      <w:pPr>
        <w:ind w:right="2819" w:firstLine="563"/>
        <w:spacing w:after="0" w:line="269" w:lineRule="auto"/>
        <w:rPr>
          <w:sz w:val="20"/>
          <w:szCs w:val="20"/>
          <w:color w:val="auto"/>
        </w:rPr>
      </w:pPr>
      <w:r>
        <w:rPr>
          <w:rFonts w:ascii="Courier New" w:cs="Courier New" w:eastAsia="Courier New" w:hAnsi="Courier New"/>
          <w:sz w:val="15"/>
          <w:szCs w:val="15"/>
          <w:color w:val="auto"/>
        </w:rPr>
        <w:t>All questions as to the validity, form and eligibility (including time of receipt) of such withdrawal notices will be determined by the Company, whose determination shall be final and binding on all parties. Any Old Notes which have been tendered for exchange but which are not exchanged for any reason will be returned to the holder thereof without cost to such holder (or, in the case of Old Notes tendered by book-entry transfer into the Exchange Agent's account at DTC pursuant to the book-entry procedures described in the Prospectus under "The Exchange Offer--Book-Entry Transfer" such Old Notes will be credited to an account maintained with DTC for the Old Notes) as soon as practicable after withdrawal, rejection of tender or termination of the Exchange Offer.</w:t>
      </w:r>
    </w:p>
    <w:p>
      <w:pPr>
        <w:spacing w:after="0" w:line="80" w:lineRule="exact"/>
        <w:rPr>
          <w:sz w:val="20"/>
          <w:szCs w:val="20"/>
          <w:color w:val="auto"/>
        </w:rPr>
      </w:pPr>
    </w:p>
    <w:p>
      <w:pPr>
        <w:ind w:right="2719" w:firstLine="559"/>
        <w:spacing w:after="0" w:line="266" w:lineRule="auto"/>
        <w:tabs>
          <w:tab w:leader="none" w:pos="844"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SIGNATURES ON LETTER OF TRANSMITTAL, ASSIGNMENTS AND ENDORSEMENTS. If this Letter of Transmittal is signed by the registered holder(s) of the Old Notes tendered hereby, the signature(s) must correspond exactly with the name(s) as written on the face of the certificate(s) without alteration, enlargement or any change whatsoever.</w:t>
      </w:r>
    </w:p>
    <w:p>
      <w:pPr>
        <w:spacing w:after="0" w:line="78" w:lineRule="exact"/>
        <w:rPr>
          <w:sz w:val="20"/>
          <w:szCs w:val="20"/>
          <w:color w:val="auto"/>
        </w:rPr>
      </w:pPr>
    </w:p>
    <w:p>
      <w:pPr>
        <w:ind w:right="2719" w:firstLine="563"/>
        <w:spacing w:after="0" w:line="348" w:lineRule="auto"/>
        <w:rPr>
          <w:sz w:val="20"/>
          <w:szCs w:val="20"/>
          <w:color w:val="auto"/>
        </w:rPr>
      </w:pPr>
      <w:r>
        <w:rPr>
          <w:rFonts w:ascii="Courier New" w:cs="Courier New" w:eastAsia="Courier New" w:hAnsi="Courier New"/>
          <w:sz w:val="16"/>
          <w:szCs w:val="16"/>
          <w:color w:val="auto"/>
        </w:rPr>
        <w:t>If any of the Old Notes tendered hereby are owned of record by two or more joint owners, all such owners must sign this Letter of Transmittal.</w:t>
      </w:r>
    </w:p>
    <w:p>
      <w:pPr>
        <w:spacing w:after="0" w:line="15" w:lineRule="exact"/>
        <w:rPr>
          <w:sz w:val="20"/>
          <w:szCs w:val="20"/>
          <w:color w:val="auto"/>
        </w:rPr>
      </w:pPr>
    </w:p>
    <w:p>
      <w:pPr>
        <w:ind w:right="2719" w:firstLine="563"/>
        <w:spacing w:after="0" w:line="275" w:lineRule="auto"/>
        <w:rPr>
          <w:sz w:val="20"/>
          <w:szCs w:val="20"/>
          <w:color w:val="auto"/>
        </w:rPr>
      </w:pPr>
      <w:r>
        <w:rPr>
          <w:rFonts w:ascii="Courier New" w:cs="Courier New" w:eastAsia="Courier New" w:hAnsi="Courier New"/>
          <w:sz w:val="16"/>
          <w:szCs w:val="16"/>
          <w:color w:val="auto"/>
        </w:rPr>
        <w:t>If any tendered Old Notes are registered in different names on several certificates, it will be necessary to complete, sign and submit as many separate Letters of Transmittal (or facsimiles thereof) as there are different registrations of certificates.</w:t>
      </w:r>
    </w:p>
    <w:p>
      <w:pPr>
        <w:spacing w:after="0" w:line="25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1172" w:right="1440" w:bottom="1440" w:gutter="0" w:footer="0" w:header="0"/>
        </w:sectPr>
      </w:pPr>
    </w:p>
    <w:bookmarkStart w:id="70" w:name="page71"/>
    <w:bookmarkEnd w:id="70"/>
    <w:p>
      <w:pPr>
        <w:ind w:right="2719" w:firstLine="563"/>
        <w:spacing w:after="0" w:line="260" w:lineRule="auto"/>
        <w:rPr>
          <w:sz w:val="20"/>
          <w:szCs w:val="20"/>
          <w:color w:val="auto"/>
        </w:rPr>
      </w:pPr>
      <w:r>
        <w:rPr>
          <w:rFonts w:ascii="Courier New" w:cs="Courier New" w:eastAsia="Courier New" w:hAnsi="Courier New"/>
          <w:sz w:val="16"/>
          <w:szCs w:val="16"/>
          <w:color w:val="auto"/>
        </w:rPr>
        <w:t>If this Letter of Transmittal or any certificates or powers of attorney are signed by trustees, executors, administrators, guardians, attorneys-in-fact, officers of corporations or others acting in a fiduciary or representative capacity, such persons should so indicate when signing and, unless waived by the Company, proper evidence satisfactory to the Company of such persons' authority to so act must be submitted.</w:t>
      </w:r>
    </w:p>
    <w:p>
      <w:pPr>
        <w:spacing w:after="0" w:line="84" w:lineRule="exact"/>
        <w:rPr>
          <w:sz w:val="20"/>
          <w:szCs w:val="20"/>
          <w:color w:val="auto"/>
        </w:rPr>
      </w:pPr>
    </w:p>
    <w:p>
      <w:pPr>
        <w:ind w:right="2719" w:firstLine="563"/>
        <w:spacing w:after="0" w:line="257" w:lineRule="auto"/>
        <w:rPr>
          <w:sz w:val="20"/>
          <w:szCs w:val="20"/>
          <w:color w:val="auto"/>
        </w:rPr>
      </w:pPr>
      <w:r>
        <w:rPr>
          <w:rFonts w:ascii="Courier New" w:cs="Courier New" w:eastAsia="Courier New" w:hAnsi="Courier New"/>
          <w:sz w:val="16"/>
          <w:szCs w:val="16"/>
          <w:color w:val="auto"/>
        </w:rPr>
        <w:t>When this Letter of Transmittal is signed by the registered holder(s) of the Old Notes listed and transmitted hereby, no endorsement(s) of certificate(s) or written instrument or instruments of transfer or exchange are required unless New Notes are to be issued in the name of a person other than the registered holder(s). Signature(s) on such certificate(s) or written instrument or instruments of transfer or exchange must be guaranteed by an Eligible Institution.</w:t>
      </w:r>
    </w:p>
    <w:p>
      <w:pPr>
        <w:spacing w:after="0" w:line="84" w:lineRule="exact"/>
        <w:rPr>
          <w:sz w:val="20"/>
          <w:szCs w:val="20"/>
          <w:color w:val="auto"/>
        </w:rPr>
      </w:pPr>
    </w:p>
    <w:p>
      <w:pPr>
        <w:ind w:right="2819" w:firstLine="563"/>
        <w:spacing w:after="0" w:line="273" w:lineRule="auto"/>
        <w:rPr>
          <w:sz w:val="20"/>
          <w:szCs w:val="20"/>
          <w:color w:val="auto"/>
        </w:rPr>
      </w:pPr>
      <w:r>
        <w:rPr>
          <w:rFonts w:ascii="Courier New" w:cs="Courier New" w:eastAsia="Courier New" w:hAnsi="Courier New"/>
          <w:sz w:val="15"/>
          <w:szCs w:val="15"/>
          <w:color w:val="auto"/>
        </w:rPr>
        <w:t>If this Letter of Transmittal is signed by a person other than the registered holder(s) of the Old Notes listed, the certificates must be endorsed or accompanied by a written instrument or instruments of transfer or exchange, in satisfactory form as determined by the Company in its sole discretion and executed by the registered holder(s), in either case signed exactly as the name or names of the registered holder(s) appear(s) on the certificates. Signatures on such certificates or written instrument or instruments of transfer or exchange must be guaranteed by an Eligible Institution.</w:t>
      </w:r>
    </w:p>
    <w:p>
      <w:pPr>
        <w:spacing w:after="0" w:line="77" w:lineRule="exact"/>
        <w:rPr>
          <w:sz w:val="20"/>
          <w:szCs w:val="20"/>
          <w:color w:val="auto"/>
        </w:rPr>
      </w:pPr>
    </w:p>
    <w:p>
      <w:pPr>
        <w:ind w:right="2819" w:firstLine="559"/>
        <w:spacing w:after="0" w:line="254" w:lineRule="auto"/>
        <w:tabs>
          <w:tab w:leader="none" w:pos="844"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ISSUANCE AND DELIVERY INSTRUCTIONS. If New Notes are to be issued in the name of a person other than the signer of this Letter of Transmittal, or if New Notes are to be sent to someone other than the signer of this Letter of Transmittal or to an address other than that shown above, the appropriate boxes on this Letter of Transmittal should be completed. Certificates for Old Notes not exchanged will be returned by mail or, if tendered by book-entry transfer, by crediting the account indicated above maintained at DTC. See Instruction 4.</w:t>
      </w:r>
    </w:p>
    <w:p>
      <w:pPr>
        <w:spacing w:after="0" w:line="88" w:lineRule="exact"/>
        <w:rPr>
          <w:rFonts w:ascii="Courier New" w:cs="Courier New" w:eastAsia="Courier New" w:hAnsi="Courier New"/>
          <w:sz w:val="16"/>
          <w:szCs w:val="16"/>
          <w:color w:val="auto"/>
        </w:rPr>
      </w:pPr>
    </w:p>
    <w:p>
      <w:pPr>
        <w:ind w:right="2719" w:firstLine="559"/>
        <w:spacing w:after="0" w:line="261" w:lineRule="auto"/>
        <w:tabs>
          <w:tab w:leader="none" w:pos="84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IRREGULARITIES. The Company will determine, in its sole discretion, all questions as to the form, validity, eligibility (including time of receipt) and acceptance for exchange of any tender of Old Notes, which determination shall be final and binding. The Company reserves the absolute right to reject any and all tenders of any particular Old Notes not properly tendered or to not accept any particular Old Notes which acceptance might, in the judgment of the Company or its counsel, be unlawful. The Company also reserves the absolute right, in its sole discretion, to waive any defects or irregularities or conditions of the Exchange Offer as to any particular Old Notes either before or after the expiration date (including the right to waive the ineligibility of any holder who seeks to tender Old Notes in the Exchange Offer). The interpretation of the terms and conditions of the Exchange Offer as to any particular Old Notes either before or after the expiration date (including the Letter of Transmittal and the instructions thereto) by the Company shall be final and binding on all parties. Unless waived, any defects or irregularities in connection with the tender of Old Notes for exchange must be cured within such reasonable period of time as the Company shall determine. Neither the Company, the Exchange Agent nor any other person shall be under any duty to give notification of any defect or irregularity with respect to any tender of Old Notes for exchange, nor shall any of them incur any liability for failure to give such notification.</w:t>
      </w:r>
    </w:p>
    <w:p>
      <w:pPr>
        <w:spacing w:after="0" w:line="92" w:lineRule="exact"/>
        <w:rPr>
          <w:rFonts w:ascii="Courier New" w:cs="Courier New" w:eastAsia="Courier New" w:hAnsi="Courier New"/>
          <w:sz w:val="15"/>
          <w:szCs w:val="15"/>
          <w:color w:val="auto"/>
        </w:rPr>
      </w:pPr>
    </w:p>
    <w:p>
      <w:pPr>
        <w:jc w:val="both"/>
        <w:ind w:right="2719" w:firstLine="559"/>
        <w:spacing w:after="0" w:line="267" w:lineRule="auto"/>
        <w:tabs>
          <w:tab w:leader="none" w:pos="84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QUESTIONS, REQUESTS FOR ASSISTANCE AND ADDITIONAL COPIES. Questions and requests for assistance may be directed to the Exchange Agent at its address and telephone number set forth on the front of this Letter of Transmittal.</w:t>
      </w:r>
    </w:p>
    <w:p>
      <w:pPr>
        <w:spacing w:after="0" w:line="2" w:lineRule="exact"/>
        <w:rPr>
          <w:rFonts w:ascii="Courier New" w:cs="Courier New" w:eastAsia="Courier New" w:hAnsi="Courier New"/>
          <w:sz w:val="15"/>
          <w:szCs w:val="15"/>
          <w:color w:val="auto"/>
        </w:rPr>
      </w:pPr>
    </w:p>
    <w:p>
      <w:pPr>
        <w:ind w:right="2899"/>
        <w:spacing w:after="0" w:line="275"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Additional copies of the Prospectus, the Notice of Guaranteed Delivery and the Letter of Transmittal may be obtained from the Exchange Agent or from your broker, dealer, commercial bank, trust company or other nominee.</w:t>
      </w:r>
    </w:p>
    <w:p>
      <w:pPr>
        <w:spacing w:after="0" w:line="70" w:lineRule="exact"/>
        <w:rPr>
          <w:rFonts w:ascii="Courier New" w:cs="Courier New" w:eastAsia="Courier New" w:hAnsi="Courier New"/>
          <w:sz w:val="15"/>
          <w:szCs w:val="15"/>
          <w:color w:val="auto"/>
        </w:rPr>
      </w:pPr>
    </w:p>
    <w:p>
      <w:pPr>
        <w:ind w:right="2719" w:firstLine="559"/>
        <w:spacing w:after="0" w:line="281" w:lineRule="auto"/>
        <w:tabs>
          <w:tab w:leader="none" w:pos="84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LOST, DESTROYED OR STOLEN CERTIFICATES. If any certificate(s) representing Old Notes have been lost, destroyed or stolen, the holder should promptly notify the Exchange Agent. The holder will then be instructed as to the steps that must be taken in order to replace the certificate(s). This Letter of Transmittal and related documents cannot be processed until the procedures for replacing lost, destroyed or stolen certificate(s) have been followed.</w:t>
      </w:r>
    </w:p>
    <w:p>
      <w:pPr>
        <w:spacing w:after="0" w:line="68" w:lineRule="exact"/>
        <w:rPr>
          <w:rFonts w:ascii="Courier New" w:cs="Courier New" w:eastAsia="Courier New" w:hAnsi="Courier New"/>
          <w:sz w:val="15"/>
          <w:szCs w:val="15"/>
          <w:color w:val="auto"/>
        </w:rPr>
      </w:pPr>
    </w:p>
    <w:p>
      <w:pPr>
        <w:ind w:right="2719" w:firstLine="465"/>
        <w:spacing w:after="0" w:line="257" w:lineRule="auto"/>
        <w:tabs>
          <w:tab w:leader="none" w:pos="844"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TRANSFER TAXES. Holders who tender their Old Notes for exchange will not be obligated to pay any transfer taxes in connection therewith, except that holders who instruct the Company to register New Notes in the name of or request that Old Notes not tendered or not accepted in the Exchange Offer to be returned to, a person other than the registered tendering holder will be responsible for the payment of any applicable transfer tax thereon.</w:t>
      </w:r>
    </w:p>
    <w:p>
      <w:pPr>
        <w:spacing w:after="0" w:line="8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IMPORTANT: THIS LETTER OF TRANSMITTAL (OR FACSIMILE THEREOF),</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991" w:right="1440" w:bottom="851" w:gutter="0" w:footer="0" w:header="0"/>
        </w:sectPr>
      </w:pPr>
    </w:p>
    <w:bookmarkStart w:id="71" w:name="page72"/>
    <w:bookmarkEnd w:id="71"/>
    <w:p>
      <w:pPr>
        <w:ind w:left="300" w:right="3559" w:hanging="562"/>
        <w:spacing w:after="0" w:line="274" w:lineRule="auto"/>
        <w:rPr>
          <w:sz w:val="20"/>
          <w:szCs w:val="20"/>
          <w:color w:val="auto"/>
        </w:rPr>
      </w:pPr>
      <w:r>
        <w:rPr>
          <w:rFonts w:ascii="Courier New" w:cs="Courier New" w:eastAsia="Courier New" w:hAnsi="Courier New"/>
          <w:sz w:val="15"/>
          <w:szCs w:val="15"/>
          <w:color w:val="auto"/>
        </w:rPr>
        <w:t>OR AN AGENT'S MESSAGE IN LIEU THEREOF, AND ALL OTHER REQUIRED DOCUMENTS MUST BE RECEIVED BY THE EXCHANGE AGENT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ON OR PRIOR TO THE EXPIRATION DATE.</w:t>
      </w:r>
    </w:p>
    <w:p>
      <w:pPr>
        <w:spacing w:after="0" w:line="332"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019"/>
          </w:cols>
          <w:pgMar w:left="1440" w:top="811" w:right="1440" w:bottom="1440" w:gutter="0" w:footer="0" w:header="0"/>
        </w:sectPr>
      </w:pPr>
    </w:p>
    <w:bookmarkStart w:id="72" w:name="page73"/>
    <w:bookmarkEnd w:id="72"/>
    <w:p>
      <w:pPr>
        <w:jc w:val="right"/>
        <w:ind w:right="2719"/>
        <w:spacing w:after="0"/>
        <w:rPr>
          <w:sz w:val="20"/>
          <w:szCs w:val="20"/>
          <w:color w:val="auto"/>
        </w:rPr>
      </w:pPr>
      <w:r>
        <w:rPr>
          <w:rFonts w:ascii="Courier New" w:cs="Courier New" w:eastAsia="Courier New" w:hAnsi="Courier New"/>
          <w:sz w:val="16"/>
          <w:szCs w:val="16"/>
          <w:color w:val="auto"/>
        </w:rPr>
        <w:t>Exhibit 99.2</w:t>
      </w:r>
    </w:p>
    <w:p>
      <w:pPr>
        <w:spacing w:after="0" w:line="17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NOTICE OF GUARANTEED DELIVERY</w:t>
      </w:r>
    </w:p>
    <w:p>
      <w:pPr>
        <w:spacing w:after="0" w:line="17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For Tender Of</w:t>
      </w:r>
    </w:p>
    <w:p>
      <w:pPr>
        <w:spacing w:after="0" w:line="17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7% Senior Notes Due August 15, 2004</w:t>
      </w:r>
    </w:p>
    <w:p>
      <w:pPr>
        <w:spacing w:after="0" w:line="26"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of</w:t>
      </w:r>
    </w:p>
    <w:p>
      <w:pPr>
        <w:jc w:val="center"/>
        <w:ind w:right="2719"/>
        <w:spacing w:after="0"/>
        <w:rPr>
          <w:sz w:val="20"/>
          <w:szCs w:val="20"/>
          <w:color w:val="auto"/>
        </w:rPr>
      </w:pPr>
      <w:r>
        <w:rPr>
          <w:rFonts w:ascii="Courier New" w:cs="Courier New" w:eastAsia="Courier New" w:hAnsi="Courier New"/>
          <w:sz w:val="16"/>
          <w:szCs w:val="16"/>
          <w:color w:val="auto"/>
        </w:rPr>
        <w:t>Texas Instruments Incorporated</w:t>
      </w:r>
    </w:p>
    <w:p>
      <w:pPr>
        <w:spacing w:after="0" w:line="151" w:lineRule="exact"/>
        <w:rPr>
          <w:sz w:val="20"/>
          <w:szCs w:val="20"/>
          <w:color w:val="auto"/>
        </w:rPr>
      </w:pPr>
    </w:p>
    <w:p>
      <w:pPr>
        <w:ind w:right="2719" w:firstLine="750"/>
        <w:spacing w:after="0" w:line="247" w:lineRule="auto"/>
        <w:rPr>
          <w:sz w:val="20"/>
          <w:szCs w:val="20"/>
          <w:color w:val="auto"/>
        </w:rPr>
      </w:pPr>
      <w:r>
        <w:rPr>
          <w:rFonts w:ascii="Courier New" w:cs="Courier New" w:eastAsia="Courier New" w:hAnsi="Courier New"/>
          <w:sz w:val="16"/>
          <w:szCs w:val="16"/>
          <w:color w:val="auto"/>
        </w:rPr>
        <w:t>This Notice of Guaranteed Delivery or one substantially equivalent hereto must be used to accept the Exchange Offer (as defined below) if (i) certificates for the Company's (as defined below) 7% Senior Notes Due August 15, 2004 (the "Old Notes") are not immediately available, (ii) Old Notes, the Letter of Transmittal and any other documents required by the Letter of Transmittal cannot be delivered to Citibank, N.A. (the "Exchange Agent") on or prior to the Expiration Date (as defined in the Prospectus referred to below) or (iii) the procedures for book-entry transfer cannot be completed on a timely basis. This Notice of Guaranteed Delivery may be delivered by hand or sent by facsimile transmission, overnight courier, telex, telegram or mail to the Exchange Agent. See "The Exchange Offer - Guaranteed Delivery Procedures" in the Prospectus dated o, 1999 (which, together with the related Letter of Transmittal, constitutes the "Exchange Offer") of Texas Instruments Incorporated, a Delaware corporation (the "Company").</w:t>
      </w:r>
    </w:p>
    <w:p>
      <w:pPr>
        <w:spacing w:after="0" w:line="9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The Exchange Agent for the Exchange Offer is: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4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Courier New" w:cs="Courier New" w:eastAsia="Courier New" w:hAnsi="Courier New"/>
                <w:sz w:val="16"/>
                <w:szCs w:val="16"/>
                <w:color w:val="auto"/>
                <w:w w:val="96"/>
              </w:rPr>
              <w:t>CITIBANK, N.A.</w:t>
            </w:r>
          </w:p>
        </w:tc>
        <w:tc>
          <w:tcPr>
            <w:tcW w:w="2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440" w:type="dxa"/>
            <w:vAlign w:val="bottom"/>
          </w:tcPr>
          <w:p>
            <w:pPr>
              <w:jc w:val="center"/>
              <w:spacing w:after="0"/>
              <w:rPr>
                <w:sz w:val="20"/>
                <w:szCs w:val="20"/>
                <w:color w:val="auto"/>
              </w:rPr>
            </w:pPr>
            <w:r>
              <w:rPr>
                <w:rFonts w:ascii="Courier New" w:cs="Courier New" w:eastAsia="Courier New" w:hAnsi="Courier New"/>
                <w:sz w:val="16"/>
                <w:szCs w:val="16"/>
                <w:color w:val="auto"/>
                <w:w w:val="97"/>
              </w:rPr>
              <w:t>By Hand or</w:t>
            </w:r>
          </w:p>
        </w:tc>
        <w:tc>
          <w:tcPr>
            <w:tcW w:w="2620" w:type="dxa"/>
            <w:vAlign w:val="bottom"/>
          </w:tcPr>
          <w:p>
            <w:pPr>
              <w:jc w:val="center"/>
              <w:spacing w:after="0"/>
              <w:rPr>
                <w:sz w:val="20"/>
                <w:szCs w:val="20"/>
                <w:color w:val="auto"/>
              </w:rPr>
            </w:pPr>
            <w:r>
              <w:rPr>
                <w:rFonts w:ascii="Courier New" w:cs="Courier New" w:eastAsia="Courier New" w:hAnsi="Courier New"/>
                <w:sz w:val="16"/>
                <w:szCs w:val="16"/>
                <w:color w:val="auto"/>
                <w:w w:val="98"/>
              </w:rPr>
              <w:t>Facsimile Transmissions:</w:t>
            </w:r>
          </w:p>
        </w:tc>
        <w:tc>
          <w:tcPr>
            <w:tcW w:w="2440" w:type="dxa"/>
            <w:vAlign w:val="bottom"/>
          </w:tcPr>
          <w:p>
            <w:pPr>
              <w:jc w:val="center"/>
              <w:spacing w:after="0"/>
              <w:rPr>
                <w:sz w:val="20"/>
                <w:szCs w:val="20"/>
                <w:color w:val="auto"/>
              </w:rPr>
            </w:pPr>
            <w:r>
              <w:rPr>
                <w:rFonts w:ascii="Courier New" w:cs="Courier New" w:eastAsia="Courier New" w:hAnsi="Courier New"/>
                <w:sz w:val="16"/>
                <w:szCs w:val="16"/>
                <w:color w:val="auto"/>
                <w:w w:val="97"/>
              </w:rPr>
              <w:t>By Registered Or</w:t>
            </w:r>
          </w:p>
        </w:tc>
        <w:tc>
          <w:tcPr>
            <w:tcW w:w="0" w:type="dxa"/>
            <w:vAlign w:val="bottom"/>
          </w:tcPr>
          <w:p>
            <w:pPr>
              <w:spacing w:after="0"/>
              <w:rPr>
                <w:sz w:val="1"/>
                <w:szCs w:val="1"/>
                <w:color w:val="auto"/>
              </w:rPr>
            </w:pPr>
          </w:p>
        </w:tc>
      </w:tr>
      <w:tr>
        <w:trPr>
          <w:trHeight w:val="264"/>
        </w:trPr>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Overnight Delivery:</w:t>
            </w:r>
          </w:p>
        </w:tc>
        <w:tc>
          <w:tcPr>
            <w:tcW w:w="2620" w:type="dxa"/>
            <w:vAlign w:val="bottom"/>
          </w:tcPr>
          <w:p>
            <w:pPr>
              <w:jc w:val="center"/>
              <w:spacing w:after="0"/>
              <w:rPr>
                <w:sz w:val="20"/>
                <w:szCs w:val="20"/>
                <w:color w:val="auto"/>
              </w:rPr>
            </w:pPr>
            <w:r>
              <w:rPr>
                <w:rFonts w:ascii="Courier New" w:cs="Courier New" w:eastAsia="Courier New" w:hAnsi="Courier New"/>
                <w:sz w:val="16"/>
                <w:szCs w:val="16"/>
                <w:color w:val="auto"/>
                <w:w w:val="97"/>
              </w:rPr>
              <w:t>(Eligible Institutions Only)</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Certified Mail:</w:t>
            </w:r>
          </w:p>
        </w:tc>
        <w:tc>
          <w:tcPr>
            <w:tcW w:w="0" w:type="dxa"/>
            <w:vAlign w:val="bottom"/>
          </w:tcPr>
          <w:p>
            <w:pPr>
              <w:spacing w:after="0"/>
              <w:rPr>
                <w:sz w:val="1"/>
                <w:szCs w:val="1"/>
                <w:color w:val="auto"/>
              </w:rPr>
            </w:pPr>
          </w:p>
        </w:tc>
      </w:tr>
      <w:tr>
        <w:trPr>
          <w:trHeight w:val="277"/>
        </w:trPr>
        <w:tc>
          <w:tcPr>
            <w:tcW w:w="2440" w:type="dxa"/>
            <w:vAlign w:val="bottom"/>
          </w:tcPr>
          <w:p>
            <w:pPr>
              <w:jc w:val="center"/>
              <w:spacing w:after="0"/>
              <w:rPr>
                <w:sz w:val="20"/>
                <w:szCs w:val="20"/>
                <w:color w:val="auto"/>
              </w:rPr>
            </w:pPr>
            <w:r>
              <w:rPr>
                <w:rFonts w:ascii="Courier New" w:cs="Courier New" w:eastAsia="Courier New" w:hAnsi="Courier New"/>
                <w:sz w:val="16"/>
                <w:szCs w:val="16"/>
                <w:color w:val="auto"/>
                <w:w w:val="98"/>
              </w:rPr>
              <w:t>Citibank, N.A.</w:t>
            </w:r>
          </w:p>
        </w:tc>
        <w:tc>
          <w:tcPr>
            <w:tcW w:w="262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6"/>
              </w:rPr>
              <w:t>(212) 657-4009</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Citibank, N.A.</w:t>
            </w:r>
          </w:p>
        </w:tc>
        <w:tc>
          <w:tcPr>
            <w:tcW w:w="0" w:type="dxa"/>
            <w:vAlign w:val="bottom"/>
          </w:tcPr>
          <w:p>
            <w:pPr>
              <w:spacing w:after="0"/>
              <w:rPr>
                <w:sz w:val="1"/>
                <w:szCs w:val="1"/>
                <w:color w:val="auto"/>
              </w:rPr>
            </w:pPr>
          </w:p>
        </w:tc>
      </w:tr>
      <w:tr>
        <w:trPr>
          <w:trHeight w:val="180"/>
        </w:trPr>
        <w:tc>
          <w:tcPr>
            <w:tcW w:w="2440" w:type="dxa"/>
            <w:vAlign w:val="bottom"/>
          </w:tcPr>
          <w:p>
            <w:pPr>
              <w:jc w:val="center"/>
              <w:spacing w:after="0"/>
              <w:rPr>
                <w:sz w:val="20"/>
                <w:szCs w:val="20"/>
                <w:color w:val="auto"/>
              </w:rPr>
            </w:pPr>
            <w:r>
              <w:rPr>
                <w:rFonts w:ascii="Courier New" w:cs="Courier New" w:eastAsia="Courier New" w:hAnsi="Courier New"/>
                <w:sz w:val="16"/>
                <w:szCs w:val="16"/>
                <w:color w:val="auto"/>
                <w:w w:val="97"/>
              </w:rPr>
              <w:t>Corporate Trust Window</w:t>
            </w:r>
          </w:p>
        </w:tc>
        <w:tc>
          <w:tcPr>
            <w:tcW w:w="2620" w:type="dxa"/>
            <w:vAlign w:val="bottom"/>
            <w:vMerge w:val="continue"/>
          </w:tcPr>
          <w:p>
            <w:pPr>
              <w:spacing w:after="0"/>
              <w:rPr>
                <w:sz w:val="15"/>
                <w:szCs w:val="15"/>
                <w:color w:val="auto"/>
              </w:rPr>
            </w:pPr>
          </w:p>
        </w:tc>
        <w:tc>
          <w:tcPr>
            <w:tcW w:w="2440" w:type="dxa"/>
            <w:vAlign w:val="bottom"/>
          </w:tcPr>
          <w:p>
            <w:pPr>
              <w:jc w:val="center"/>
              <w:spacing w:after="0"/>
              <w:rPr>
                <w:sz w:val="20"/>
                <w:szCs w:val="20"/>
                <w:color w:val="auto"/>
              </w:rPr>
            </w:pPr>
            <w:r>
              <w:rPr>
                <w:rFonts w:ascii="Courier New" w:cs="Courier New" w:eastAsia="Courier New" w:hAnsi="Courier New"/>
                <w:sz w:val="16"/>
                <w:szCs w:val="16"/>
                <w:color w:val="auto"/>
                <w:w w:val="98"/>
              </w:rPr>
              <w:t>Corporate Trust Window</w:t>
            </w:r>
          </w:p>
        </w:tc>
        <w:tc>
          <w:tcPr>
            <w:tcW w:w="0" w:type="dxa"/>
            <w:vAlign w:val="bottom"/>
          </w:tcPr>
          <w:p>
            <w:pPr>
              <w:spacing w:after="0"/>
              <w:rPr>
                <w:sz w:val="1"/>
                <w:szCs w:val="1"/>
                <w:color w:val="auto"/>
              </w:rPr>
            </w:pPr>
          </w:p>
        </w:tc>
      </w:tr>
      <w:tr>
        <w:trPr>
          <w:trHeight w:val="180"/>
        </w:trPr>
        <w:tc>
          <w:tcPr>
            <w:tcW w:w="2440" w:type="dxa"/>
            <w:vAlign w:val="bottom"/>
          </w:tcPr>
          <w:p>
            <w:pPr>
              <w:jc w:val="center"/>
              <w:spacing w:after="0"/>
              <w:rPr>
                <w:sz w:val="20"/>
                <w:szCs w:val="20"/>
                <w:color w:val="auto"/>
              </w:rPr>
            </w:pPr>
            <w:r>
              <w:rPr>
                <w:rFonts w:ascii="Courier New" w:cs="Courier New" w:eastAsia="Courier New" w:hAnsi="Courier New"/>
                <w:sz w:val="16"/>
                <w:szCs w:val="16"/>
                <w:color w:val="auto"/>
                <w:w w:val="97"/>
              </w:rPr>
              <w:t>111 Wall Street, 5th Floor</w:t>
            </w:r>
          </w:p>
        </w:tc>
        <w:tc>
          <w:tcPr>
            <w:tcW w:w="262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To Confirm by Telephone</w:t>
            </w:r>
          </w:p>
        </w:tc>
        <w:tc>
          <w:tcPr>
            <w:tcW w:w="2440" w:type="dxa"/>
            <w:vAlign w:val="bottom"/>
          </w:tcPr>
          <w:p>
            <w:pPr>
              <w:jc w:val="center"/>
              <w:spacing w:after="0"/>
              <w:rPr>
                <w:sz w:val="20"/>
                <w:szCs w:val="20"/>
                <w:color w:val="auto"/>
              </w:rPr>
            </w:pPr>
            <w:r>
              <w:rPr>
                <w:rFonts w:ascii="Courier New" w:cs="Courier New" w:eastAsia="Courier New" w:hAnsi="Courier New"/>
                <w:sz w:val="16"/>
                <w:szCs w:val="16"/>
                <w:color w:val="auto"/>
                <w:w w:val="97"/>
              </w:rPr>
              <w:t>111 Wall Street, 5th Floor</w:t>
            </w:r>
          </w:p>
        </w:tc>
        <w:tc>
          <w:tcPr>
            <w:tcW w:w="0" w:type="dxa"/>
            <w:vAlign w:val="bottom"/>
          </w:tcPr>
          <w:p>
            <w:pPr>
              <w:spacing w:after="0"/>
              <w:rPr>
                <w:sz w:val="1"/>
                <w:szCs w:val="1"/>
                <w:color w:val="auto"/>
              </w:rPr>
            </w:pPr>
          </w:p>
        </w:tc>
      </w:tr>
      <w:tr>
        <w:trPr>
          <w:trHeight w:val="180"/>
        </w:trPr>
        <w:tc>
          <w:tcPr>
            <w:tcW w:w="2440" w:type="dxa"/>
            <w:vAlign w:val="bottom"/>
          </w:tcPr>
          <w:p>
            <w:pPr>
              <w:jc w:val="center"/>
              <w:spacing w:after="0"/>
              <w:rPr>
                <w:sz w:val="20"/>
                <w:szCs w:val="20"/>
                <w:color w:val="auto"/>
              </w:rPr>
            </w:pPr>
            <w:r>
              <w:rPr>
                <w:rFonts w:ascii="Courier New" w:cs="Courier New" w:eastAsia="Courier New" w:hAnsi="Courier New"/>
                <w:sz w:val="16"/>
                <w:szCs w:val="16"/>
                <w:color w:val="auto"/>
                <w:w w:val="97"/>
              </w:rPr>
              <w:t>New York, New York 10043</w:t>
            </w:r>
          </w:p>
        </w:tc>
        <w:tc>
          <w:tcPr>
            <w:tcW w:w="2620" w:type="dxa"/>
            <w:vAlign w:val="bottom"/>
            <w:vMerge w:val="continue"/>
          </w:tcPr>
          <w:p>
            <w:pPr>
              <w:spacing w:after="0"/>
              <w:rPr>
                <w:sz w:val="15"/>
                <w:szCs w:val="15"/>
                <w:color w:val="auto"/>
              </w:rPr>
            </w:pPr>
          </w:p>
        </w:tc>
        <w:tc>
          <w:tcPr>
            <w:tcW w:w="2440" w:type="dxa"/>
            <w:vAlign w:val="bottom"/>
          </w:tcPr>
          <w:p>
            <w:pPr>
              <w:jc w:val="center"/>
              <w:spacing w:after="0"/>
              <w:rPr>
                <w:sz w:val="20"/>
                <w:szCs w:val="20"/>
                <w:color w:val="auto"/>
              </w:rPr>
            </w:pPr>
            <w:r>
              <w:rPr>
                <w:rFonts w:ascii="Courier New" w:cs="Courier New" w:eastAsia="Courier New" w:hAnsi="Courier New"/>
                <w:sz w:val="16"/>
                <w:szCs w:val="16"/>
                <w:color w:val="auto"/>
                <w:w w:val="97"/>
              </w:rPr>
              <w:t>New York, New York 10043</w:t>
            </w:r>
          </w:p>
        </w:tc>
        <w:tc>
          <w:tcPr>
            <w:tcW w:w="0" w:type="dxa"/>
            <w:vAlign w:val="bottom"/>
          </w:tcPr>
          <w:p>
            <w:pPr>
              <w:spacing w:after="0"/>
              <w:rPr>
                <w:sz w:val="1"/>
                <w:szCs w:val="1"/>
                <w:color w:val="auto"/>
              </w:rPr>
            </w:pPr>
          </w:p>
        </w:tc>
      </w:tr>
      <w:tr>
        <w:trPr>
          <w:trHeight w:val="264"/>
        </w:trPr>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Attn: Douglas Tienken</w:t>
            </w:r>
          </w:p>
        </w:tc>
        <w:tc>
          <w:tcPr>
            <w:tcW w:w="2620" w:type="dxa"/>
            <w:vAlign w:val="bottom"/>
          </w:tcPr>
          <w:p>
            <w:pPr>
              <w:jc w:val="center"/>
              <w:spacing w:after="0"/>
              <w:rPr>
                <w:sz w:val="20"/>
                <w:szCs w:val="20"/>
                <w:color w:val="auto"/>
              </w:rPr>
            </w:pPr>
            <w:r>
              <w:rPr>
                <w:rFonts w:ascii="Courier New" w:cs="Courier New" w:eastAsia="Courier New" w:hAnsi="Courier New"/>
                <w:sz w:val="16"/>
                <w:szCs w:val="16"/>
                <w:color w:val="auto"/>
                <w:w w:val="98"/>
              </w:rPr>
              <w:t>or for Information Call:</w:t>
            </w:r>
          </w:p>
        </w:tc>
        <w:tc>
          <w:tcPr>
            <w:tcW w:w="2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Attn: Douglas Tienken</w:t>
            </w:r>
          </w:p>
        </w:tc>
        <w:tc>
          <w:tcPr>
            <w:tcW w:w="0" w:type="dxa"/>
            <w:vAlign w:val="bottom"/>
          </w:tcPr>
          <w:p>
            <w:pPr>
              <w:spacing w:after="0"/>
              <w:rPr>
                <w:sz w:val="1"/>
                <w:szCs w:val="1"/>
                <w:color w:val="auto"/>
              </w:rPr>
            </w:pPr>
          </w:p>
        </w:tc>
      </w:tr>
      <w:tr>
        <w:trPr>
          <w:trHeight w:val="361"/>
        </w:trPr>
        <w:tc>
          <w:tcPr>
            <w:tcW w:w="24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Courier New" w:cs="Courier New" w:eastAsia="Courier New" w:hAnsi="Courier New"/>
                <w:sz w:val="16"/>
                <w:szCs w:val="16"/>
                <w:color w:val="auto"/>
                <w:w w:val="96"/>
              </w:rPr>
              <w:t>(212) 657-8476</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2819" w:firstLine="750"/>
        <w:spacing w:after="0" w:line="275" w:lineRule="auto"/>
        <w:rPr>
          <w:sz w:val="20"/>
          <w:szCs w:val="20"/>
          <w:color w:val="auto"/>
        </w:rPr>
      </w:pPr>
      <w:r>
        <w:rPr>
          <w:rFonts w:ascii="Courier New" w:cs="Courier New" w:eastAsia="Courier New" w:hAnsi="Courier New"/>
          <w:sz w:val="16"/>
          <w:szCs w:val="16"/>
          <w:color w:val="auto"/>
        </w:rPr>
        <w:t>DELIVERY OF THIS NOTICE OF GUARANTEED DELIVERY TO AN ADDRESS OTHER THAN AS SET FORTH ABOVE OR TRANSMISSION OF THIS NOTICE OF GUARANTEED DELIVERY VIA A FACSIMILE TRANSMISSION TO A NUMBER OTHER THAN AS SET FORTH ABOVE WILL NOT CONSTITUTE A VALID DELIVERY.</w:t>
      </w:r>
    </w:p>
    <w:p>
      <w:pPr>
        <w:spacing w:after="0" w:line="71" w:lineRule="exact"/>
        <w:rPr>
          <w:sz w:val="20"/>
          <w:szCs w:val="20"/>
          <w:color w:val="auto"/>
        </w:rPr>
      </w:pPr>
    </w:p>
    <w:p>
      <w:pPr>
        <w:ind w:right="2899" w:firstLine="750"/>
        <w:spacing w:after="0" w:line="266" w:lineRule="auto"/>
        <w:rPr>
          <w:sz w:val="20"/>
          <w:szCs w:val="20"/>
          <w:color w:val="auto"/>
        </w:rPr>
      </w:pPr>
      <w:r>
        <w:rPr>
          <w:rFonts w:ascii="Courier New" w:cs="Courier New" w:eastAsia="Courier New" w:hAnsi="Courier New"/>
          <w:sz w:val="16"/>
          <w:szCs w:val="16"/>
          <w:color w:val="auto"/>
        </w:rPr>
        <w:t>THIS NOTICE OF GUARANTEED DELIVERY IS NOT TO BE USED TO GUARANTEE SIGNATURES. IF A SIGNATURE ON A LETTER OF TRANSMITTAL IS REQUIRED TO BE GUARANTEED BY AN "ELIGIBLE INSTITUTION" UNDER THE INSTRUCTIONS THERETO, SUCH SIGNATURE GUARANTEE MUST APPEAR IN THE APPLICABLE SPACE PROVIDED ON THE LETTER OF TRANSMITTAL.</w:t>
      </w:r>
    </w:p>
    <w:p>
      <w:pPr>
        <w:spacing w:after="0" w:line="2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14" w:right="1440" w:bottom="1440" w:gutter="0" w:footer="0" w:header="0"/>
        </w:sectPr>
      </w:pPr>
    </w:p>
    <w:bookmarkStart w:id="73" w:name="page74"/>
    <w:bookmarkEnd w:id="73"/>
    <w:p>
      <w:pPr>
        <w:jc w:val="center"/>
        <w:ind w:right="2639"/>
        <w:spacing w:after="0"/>
        <w:rPr>
          <w:sz w:val="20"/>
          <w:szCs w:val="20"/>
          <w:color w:val="auto"/>
        </w:rPr>
      </w:pPr>
      <w:r>
        <w:rPr>
          <w:rFonts w:ascii="Courier New" w:cs="Courier New" w:eastAsia="Courier New" w:hAnsi="Courier New"/>
          <w:sz w:val="16"/>
          <w:szCs w:val="16"/>
          <w:color w:val="auto"/>
        </w:rPr>
        <w:t>THE FOLLOWING GUARANTEE MUST BE COMPLETED</w:t>
      </w:r>
    </w:p>
    <w:p>
      <w:pPr>
        <w:spacing w:after="0" w:line="17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GUARANTEE OF DELIVERY</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 to be used for Signature Guarantee)</w:t>
      </w:r>
    </w:p>
    <w:p>
      <w:pPr>
        <w:spacing w:after="0" w:line="179" w:lineRule="exact"/>
        <w:rPr>
          <w:sz w:val="20"/>
          <w:szCs w:val="20"/>
          <w:color w:val="auto"/>
        </w:rPr>
      </w:pPr>
    </w:p>
    <w:p>
      <w:pPr>
        <w:ind w:right="2719" w:firstLine="750"/>
        <w:spacing w:after="0" w:line="248" w:lineRule="auto"/>
        <w:rPr>
          <w:sz w:val="20"/>
          <w:szCs w:val="20"/>
          <w:color w:val="auto"/>
        </w:rPr>
      </w:pPr>
      <w:r>
        <w:rPr>
          <w:rFonts w:ascii="Courier New" w:cs="Courier New" w:eastAsia="Courier New" w:hAnsi="Courier New"/>
          <w:sz w:val="16"/>
          <w:szCs w:val="16"/>
          <w:color w:val="auto"/>
        </w:rPr>
        <w:t>The undersigned, a firm that is a member of a registered national securities exchange or a member of the National Association of Securities Dealers, Inc. or a commercial bank or trust company having an office or correspondent in the United States, hereby guarantees to deliver to the Exchange Agent, at one of its addresses set forth above, either the certificates for all physically tendered Old Notes, in proper form for transfer, or confirmation of the book-entry transfer of such Old Notes to the Exchange Agent's account at The Depository Trust Company ("DTC"), pursuant to the procedures for book-entry transfer set forth in the Prospectus, in either case together with any other documents required by the Letter of Transmittal, within three New York Stock Exchange trading days after the date of execution of this Notice of Guaranteed Delivery.</w:t>
      </w:r>
    </w:p>
    <w:p>
      <w:pPr>
        <w:spacing w:after="0" w:line="97" w:lineRule="exact"/>
        <w:rPr>
          <w:sz w:val="20"/>
          <w:szCs w:val="20"/>
          <w:color w:val="auto"/>
        </w:rPr>
      </w:pPr>
    </w:p>
    <w:p>
      <w:pPr>
        <w:ind w:right="2719" w:firstLine="750"/>
        <w:spacing w:after="0" w:line="293" w:lineRule="auto"/>
        <w:rPr>
          <w:sz w:val="20"/>
          <w:szCs w:val="20"/>
          <w:color w:val="auto"/>
        </w:rPr>
      </w:pPr>
      <w:r>
        <w:rPr>
          <w:rFonts w:ascii="Courier New" w:cs="Courier New" w:eastAsia="Courier New" w:hAnsi="Courier New"/>
          <w:sz w:val="16"/>
          <w:szCs w:val="16"/>
          <w:color w:val="auto"/>
        </w:rPr>
        <w:t>The undersigned acknowledges that it must deliver the Old Notes tendered hereby to the Exchange Agent within the time period set forth above and that failure to do so could result in a financial loss to the undersigned.</w:t>
      </w:r>
    </w:p>
    <w:p>
      <w:pPr>
        <w:sectPr>
          <w:pgSz w:w="11900" w:h="16838" w:orient="portrait"/>
          <w:cols w:equalWidth="0" w:num="1">
            <w:col w:w="10219"/>
          </w:cols>
          <w:pgMar w:left="240" w:top="811" w:right="1440" w:bottom="1440" w:gutter="0" w:footer="0" w:header="0"/>
        </w:sectPr>
      </w:pPr>
    </w:p>
    <w:p>
      <w:pPr>
        <w:spacing w:after="0" w:line="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Firm:_________________________</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Signature)</w:t>
      </w:r>
    </w:p>
    <w:p>
      <w:pPr>
        <w:spacing w:after="0" w:line="151" w:lineRule="exact"/>
        <w:rPr>
          <w:sz w:val="20"/>
          <w:szCs w:val="20"/>
          <w:color w:val="auto"/>
        </w:rPr>
      </w:pPr>
    </w:p>
    <w:p>
      <w:pPr>
        <w:sectPr>
          <w:pgSz w:w="11900" w:h="16838" w:orient="portrait"/>
          <w:cols w:equalWidth="0" w:num="2">
            <w:col w:w="3780" w:space="720"/>
            <w:col w:w="5719"/>
          </w:cols>
          <w:pgMar w:left="240" w:top="81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Address:______________________________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Title:_______________________</w:t>
      </w:r>
    </w:p>
    <w:p>
      <w:pPr>
        <w:spacing w:after="0" w:line="191" w:lineRule="exact"/>
        <w:rPr>
          <w:sz w:val="20"/>
          <w:szCs w:val="20"/>
          <w:color w:val="auto"/>
        </w:rPr>
      </w:pPr>
    </w:p>
    <w:p>
      <w:pPr>
        <w:sectPr>
          <w:pgSz w:w="11900" w:h="16838" w:orient="portrait"/>
          <w:cols w:equalWidth="0" w:num="2">
            <w:col w:w="3780" w:space="720"/>
            <w:col w:w="5719"/>
          </w:cols>
          <w:pgMar w:left="240" w:top="81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Name:________________________</w:t>
      </w:r>
    </w:p>
    <w:p>
      <w:pPr>
        <w:spacing w:after="0" w:line="191" w:lineRule="exact"/>
        <w:rPr>
          <w:sz w:val="20"/>
          <w:szCs w:val="20"/>
          <w:color w:val="auto"/>
        </w:rPr>
      </w:pPr>
    </w:p>
    <w:p>
      <w:pPr>
        <w:sectPr>
          <w:pgSz w:w="11900" w:h="16838" w:orient="portrait"/>
          <w:cols w:equalWidth="0" w:num="2">
            <w:col w:w="3780" w:space="720"/>
            <w:col w:w="5719"/>
          </w:cols>
          <w:pgMar w:left="240" w:top="811" w:right="1440" w:bottom="1440" w:gutter="0" w:footer="0" w:header="0"/>
          <w:type w:val="continuous"/>
        </w:sectPr>
      </w:pPr>
    </w:p>
    <w:p>
      <w:pPr>
        <w:ind w:left="4600"/>
        <w:spacing w:after="0"/>
        <w:rPr>
          <w:sz w:val="20"/>
          <w:szCs w:val="20"/>
          <w:color w:val="auto"/>
        </w:rPr>
      </w:pPr>
      <w:r>
        <w:rPr>
          <w:rFonts w:ascii="Courier New" w:cs="Courier New" w:eastAsia="Courier New" w:hAnsi="Courier New"/>
          <w:sz w:val="15"/>
          <w:szCs w:val="15"/>
          <w:color w:val="auto"/>
        </w:rPr>
        <w:t>(Please type or print)</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w:t>
      </w:r>
    </w:p>
    <w:p>
      <w:pPr>
        <w:sectPr>
          <w:pgSz w:w="11900" w:h="16838" w:orient="portrait"/>
          <w:cols w:equalWidth="0" w:num="1">
            <w:col w:w="10219"/>
          </w:cols>
          <w:pgMar w:left="240" w:top="811" w:right="1440" w:bottom="1440" w:gutter="0" w:footer="0" w:header="0"/>
          <w:type w:val="continuous"/>
        </w:sectPr>
      </w:pPr>
    </w:p>
    <w:p>
      <w:pPr>
        <w:spacing w:after="0" w:line="179" w:lineRule="exact"/>
        <w:rPr>
          <w:sz w:val="20"/>
          <w:szCs w:val="20"/>
          <w:color w:val="auto"/>
        </w:rPr>
      </w:pPr>
    </w:p>
    <w:p>
      <w:pPr>
        <w:ind w:right="3179"/>
        <w:spacing w:after="0" w:line="275" w:lineRule="auto"/>
        <w:rPr>
          <w:sz w:val="20"/>
          <w:szCs w:val="20"/>
          <w:color w:val="auto"/>
        </w:rPr>
      </w:pPr>
      <w:r>
        <w:rPr>
          <w:rFonts w:ascii="Courier New" w:cs="Courier New" w:eastAsia="Courier New" w:hAnsi="Courier New"/>
          <w:sz w:val="16"/>
          <w:szCs w:val="16"/>
          <w:color w:val="auto"/>
        </w:rPr>
        <w:t>NOTE: DO NOT SEND OLD NOTES WITH THIS NOTICE OF GUARANTEED DELIVERY. ACTUAL SURRENDER OF OLD NOTES MUST BE MADE PURSUANT TO, AND BE ACCOMPANIED BY, A PROPERLY COMPLETED AND FULLY EXECUTED LETTER OF TRANSMITTAL AND ANY OTHER REQUIRED DOCUMENTS.</w:t>
      </w:r>
    </w:p>
    <w:p>
      <w:pPr>
        <w:spacing w:after="0" w:line="25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11" w:right="1440" w:bottom="1440" w:gutter="0" w:footer="0" w:header="0"/>
          <w:type w:val="continuous"/>
        </w:sectPr>
      </w:pPr>
    </w:p>
    <w:bookmarkStart w:id="74" w:name="page75"/>
    <w:bookmarkEnd w:id="74"/>
    <w:p>
      <w:pPr>
        <w:jc w:val="right"/>
        <w:ind w:right="2719"/>
        <w:spacing w:after="0"/>
        <w:rPr>
          <w:sz w:val="20"/>
          <w:szCs w:val="20"/>
          <w:color w:val="auto"/>
        </w:rPr>
      </w:pPr>
      <w:r>
        <w:rPr>
          <w:rFonts w:ascii="Courier New" w:cs="Courier New" w:eastAsia="Courier New" w:hAnsi="Courier New"/>
          <w:sz w:val="16"/>
          <w:szCs w:val="16"/>
          <w:color w:val="auto"/>
        </w:rPr>
        <w:t>Exhibit 99.3</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TEXAS INSTRUMENTS INCORPORATED</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Offer to Exchange Its</w:t>
      </w:r>
    </w:p>
    <w:p>
      <w:pPr>
        <w:spacing w:after="0" w:line="26"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7% Senior Exchange Notes Due August 15, 2004</w:t>
      </w:r>
    </w:p>
    <w:p>
      <w:pPr>
        <w:ind w:left="2160"/>
        <w:spacing w:after="0"/>
        <w:rPr>
          <w:sz w:val="20"/>
          <w:szCs w:val="20"/>
          <w:color w:val="auto"/>
        </w:rPr>
      </w:pPr>
      <w:r>
        <w:rPr>
          <w:rFonts w:ascii="Courier New" w:cs="Courier New" w:eastAsia="Courier New" w:hAnsi="Courier New"/>
          <w:sz w:val="16"/>
          <w:szCs w:val="16"/>
          <w:color w:val="auto"/>
        </w:rPr>
        <w:t>For Any and All of Its Outstanding</w:t>
      </w:r>
    </w:p>
    <w:p>
      <w:pPr>
        <w:ind w:left="2160"/>
        <w:spacing w:after="0"/>
        <w:rPr>
          <w:sz w:val="20"/>
          <w:szCs w:val="20"/>
          <w:color w:val="auto"/>
        </w:rPr>
      </w:pPr>
      <w:r>
        <w:rPr>
          <w:rFonts w:ascii="Courier New" w:cs="Courier New" w:eastAsia="Courier New" w:hAnsi="Courier New"/>
          <w:sz w:val="16"/>
          <w:szCs w:val="16"/>
          <w:color w:val="auto"/>
        </w:rPr>
        <w:t>7% Senior Notes Due August 15, 2004</w:t>
      </w:r>
    </w:p>
    <w:p>
      <w:pPr>
        <w:spacing w:after="0" w:line="200" w:lineRule="exact"/>
        <w:rPr>
          <w:sz w:val="20"/>
          <w:szCs w:val="20"/>
          <w:color w:val="auto"/>
        </w:rPr>
      </w:pPr>
    </w:p>
    <w:p>
      <w:pPr>
        <w:spacing w:after="0" w:line="312"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To Our Clients:</w:t>
      </w:r>
    </w:p>
    <w:p>
      <w:pPr>
        <w:spacing w:after="0" w:line="179" w:lineRule="exact"/>
        <w:rPr>
          <w:sz w:val="20"/>
          <w:szCs w:val="20"/>
          <w:color w:val="auto"/>
        </w:rPr>
      </w:pPr>
    </w:p>
    <w:p>
      <w:pPr>
        <w:ind w:right="2719" w:firstLine="750"/>
        <w:spacing w:after="0" w:line="273" w:lineRule="auto"/>
        <w:rPr>
          <w:sz w:val="20"/>
          <w:szCs w:val="20"/>
          <w:color w:val="auto"/>
        </w:rPr>
      </w:pPr>
      <w:r>
        <w:rPr>
          <w:rFonts w:ascii="Courier New" w:cs="Courier New" w:eastAsia="Courier New" w:hAnsi="Courier New"/>
          <w:sz w:val="15"/>
          <w:szCs w:val="15"/>
          <w:color w:val="auto"/>
        </w:rPr>
        <w:t>Enclosed is a Prospectus, dated o, 1999, of Texas Instruments Incorporated, a Delaware corporation (the "Company"), and a related Letter of Transmittal (which together constitute the "Exchange Offer") relating to the offer by the Company to exchange its 7% Senior Exchange Notes Due August 15, 2004 (the "New Notes"), pursuant to an offering registered under the Securities Act of 1933, as amended (the "Securities Act"), for a like principal amount of its issued and outstanding 7% Senior Notes Due August 15, 2004 (the "Old Notes") upon the terms and subject to the conditions set forth in the Exchange Offer.</w:t>
      </w:r>
    </w:p>
    <w:p>
      <w:pPr>
        <w:spacing w:after="0" w:line="77" w:lineRule="exact"/>
        <w:rPr>
          <w:sz w:val="20"/>
          <w:szCs w:val="20"/>
          <w:color w:val="auto"/>
        </w:rPr>
      </w:pPr>
    </w:p>
    <w:p>
      <w:pPr>
        <w:ind w:right="2899" w:firstLine="750"/>
        <w:spacing w:after="0" w:line="348" w:lineRule="auto"/>
        <w:rPr>
          <w:sz w:val="20"/>
          <w:szCs w:val="20"/>
          <w:color w:val="auto"/>
        </w:rPr>
      </w:pPr>
      <w:r>
        <w:rPr>
          <w:rFonts w:ascii="Courier New" w:cs="Courier New" w:eastAsia="Courier New" w:hAnsi="Courier New"/>
          <w:sz w:val="16"/>
          <w:szCs w:val="16"/>
          <w:color w:val="auto"/>
        </w:rPr>
        <w:t>Please note that the Exchange Offer will expire at 5:00 p.m., New York City time, on o, unless extended.</w:t>
      </w:r>
    </w:p>
    <w:p>
      <w:pPr>
        <w:spacing w:after="0" w:line="15" w:lineRule="exact"/>
        <w:rPr>
          <w:sz w:val="20"/>
          <w:szCs w:val="20"/>
          <w:color w:val="auto"/>
        </w:rPr>
      </w:pPr>
    </w:p>
    <w:p>
      <w:pPr>
        <w:ind w:right="3099" w:firstLine="750"/>
        <w:spacing w:after="0" w:line="348" w:lineRule="auto"/>
        <w:rPr>
          <w:sz w:val="20"/>
          <w:szCs w:val="20"/>
          <w:color w:val="auto"/>
        </w:rPr>
      </w:pPr>
      <w:r>
        <w:rPr>
          <w:rFonts w:ascii="Courier New" w:cs="Courier New" w:eastAsia="Courier New" w:hAnsi="Courier New"/>
          <w:sz w:val="16"/>
          <w:szCs w:val="16"/>
          <w:color w:val="auto"/>
        </w:rPr>
        <w:t>The Exchange Offer is not conditioned upon any minimum number of Old Notes being tendered.</w:t>
      </w:r>
    </w:p>
    <w:p>
      <w:pPr>
        <w:spacing w:after="0" w:line="15" w:lineRule="exact"/>
        <w:rPr>
          <w:sz w:val="20"/>
          <w:szCs w:val="20"/>
          <w:color w:val="auto"/>
        </w:rPr>
      </w:pPr>
    </w:p>
    <w:p>
      <w:pPr>
        <w:ind w:right="2719" w:firstLine="750"/>
        <w:spacing w:after="0" w:line="260" w:lineRule="auto"/>
        <w:rPr>
          <w:sz w:val="20"/>
          <w:szCs w:val="20"/>
          <w:color w:val="auto"/>
        </w:rPr>
      </w:pPr>
      <w:r>
        <w:rPr>
          <w:rFonts w:ascii="Courier New" w:cs="Courier New" w:eastAsia="Courier New" w:hAnsi="Courier New"/>
          <w:sz w:val="16"/>
          <w:szCs w:val="16"/>
          <w:color w:val="auto"/>
        </w:rPr>
        <w:t>We are the holder of record and/or participant in the book-entry transfer facility of Old Notes held by us for your account. A tender of such Old Notes can be made only by us as the record holder and/or participant in the book-entry transfer facility and pursuant to your instructions. The Letter of Transmittal is furnished to you for your information only and cannot be used by you to tender Old Notes held by us for your account.</w:t>
      </w:r>
    </w:p>
    <w:p>
      <w:pPr>
        <w:spacing w:after="0" w:line="84" w:lineRule="exact"/>
        <w:rPr>
          <w:sz w:val="20"/>
          <w:szCs w:val="20"/>
          <w:color w:val="auto"/>
        </w:rPr>
      </w:pPr>
    </w:p>
    <w:p>
      <w:pPr>
        <w:ind w:right="2899" w:firstLine="750"/>
        <w:spacing w:after="0" w:line="299" w:lineRule="auto"/>
        <w:rPr>
          <w:sz w:val="20"/>
          <w:szCs w:val="20"/>
          <w:color w:val="auto"/>
        </w:rPr>
      </w:pPr>
      <w:r>
        <w:rPr>
          <w:rFonts w:ascii="Courier New" w:cs="Courier New" w:eastAsia="Courier New" w:hAnsi="Courier New"/>
          <w:sz w:val="15"/>
          <w:szCs w:val="15"/>
          <w:color w:val="auto"/>
        </w:rPr>
        <w:t>We request instructions as to whether you wish to tender any or all of the Old Notes held by us for your account pursuant to the terms and conditions of the Exchange Offer. We also request that you confirm that we may on your behalf make the representations contained in the Letter of Transmittal.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719" w:firstLine="750"/>
        <w:spacing w:after="0" w:line="246" w:lineRule="auto"/>
        <w:rPr>
          <w:sz w:val="20"/>
          <w:szCs w:val="20"/>
          <w:color w:val="auto"/>
        </w:rPr>
      </w:pPr>
      <w:r>
        <w:rPr>
          <w:rFonts w:ascii="Courier New" w:cs="Courier New" w:eastAsia="Courier New" w:hAnsi="Courier New"/>
          <w:sz w:val="16"/>
          <w:szCs w:val="16"/>
          <w:color w:val="auto"/>
        </w:rPr>
        <w:t>Pursuant to the Letter of Transmittal, each holder of Old Notes will represent to the Company that (i) the holder is not an "affiliate" of the Company, (ii) any New Notes to be received by the holder are being acquired in the ordinary course of its business, and (iii) the holder has no arrangement or understanding with any person to participate in a distribution (within the meaning of the Securities Act) of such New Notes. If the tendering holder is a broker-dealer that will receive New Notes for its own account in exchange for Old Notes, we will represent on behalf of such broker-dealer that the Old Notes to be exchanged for the New Notes were acquired by it as a result of market-making activities or other trading activities, and acknowledge on behalf of such broker-dealer that it will deliver a prospectus meeting the requirements of the Securities Act in connection with any resale of such New Notes. By acknowledging that it will deliver and by delivering a prospectus meeting the requirements of the Securities Act in connection with any resale of such New Notes, such broker-dealer is not deemed to admit that it is an "underwriter" within the meaning of the Securities Act.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74" w:right="1440" w:bottom="1440" w:gutter="0" w:footer="0" w:header="0"/>
        </w:sectPr>
      </w:pPr>
    </w:p>
    <w:bookmarkStart w:id="75" w:name="page76"/>
    <w:bookmarkEnd w:id="75"/>
    <w:p>
      <w:pPr>
        <w:spacing w:after="0" w:line="47"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Exhibit 99.4</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TEXAS INSTRUMENTS INCORPORATED</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Offer to Exchange Its</w:t>
      </w:r>
    </w:p>
    <w:p>
      <w:pPr>
        <w:spacing w:after="0" w:line="26"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7% Senior Exchange Notes Due August 15, 2004</w:t>
      </w:r>
    </w:p>
    <w:p>
      <w:pPr>
        <w:ind w:left="2160"/>
        <w:spacing w:after="0"/>
        <w:rPr>
          <w:sz w:val="20"/>
          <w:szCs w:val="20"/>
          <w:color w:val="auto"/>
        </w:rPr>
      </w:pPr>
      <w:r>
        <w:rPr>
          <w:rFonts w:ascii="Courier New" w:cs="Courier New" w:eastAsia="Courier New" w:hAnsi="Courier New"/>
          <w:sz w:val="16"/>
          <w:szCs w:val="16"/>
          <w:color w:val="auto"/>
        </w:rPr>
        <w:t>For Any and All of Its Outstanding</w:t>
      </w:r>
    </w:p>
    <w:p>
      <w:pPr>
        <w:ind w:left="2160"/>
        <w:spacing w:after="0"/>
        <w:rPr>
          <w:sz w:val="20"/>
          <w:szCs w:val="20"/>
          <w:color w:val="auto"/>
        </w:rPr>
      </w:pPr>
      <w:r>
        <w:rPr>
          <w:rFonts w:ascii="Courier New" w:cs="Courier New" w:eastAsia="Courier New" w:hAnsi="Courier New"/>
          <w:sz w:val="16"/>
          <w:szCs w:val="16"/>
          <w:color w:val="auto"/>
        </w:rPr>
        <w:t>7% Senior Notes Due August 15, 2004</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To Registered Holders and The Depository</w:t>
      </w:r>
    </w:p>
    <w:p>
      <w:pPr>
        <w:spacing w:after="0" w:line="27"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Trust Company Participants:</w:t>
      </w:r>
    </w:p>
    <w:p>
      <w:pPr>
        <w:spacing w:after="0" w:line="332" w:lineRule="exact"/>
        <w:rPr>
          <w:sz w:val="20"/>
          <w:szCs w:val="20"/>
          <w:color w:val="auto"/>
        </w:rPr>
      </w:pPr>
    </w:p>
    <w:p>
      <w:pPr>
        <w:ind w:right="2719" w:firstLine="750"/>
        <w:spacing w:after="0" w:line="273" w:lineRule="auto"/>
        <w:rPr>
          <w:sz w:val="20"/>
          <w:szCs w:val="20"/>
          <w:color w:val="auto"/>
        </w:rPr>
      </w:pPr>
      <w:r>
        <w:rPr>
          <w:rFonts w:ascii="Courier New" w:cs="Courier New" w:eastAsia="Courier New" w:hAnsi="Courier New"/>
          <w:sz w:val="15"/>
          <w:szCs w:val="15"/>
          <w:color w:val="auto"/>
        </w:rPr>
        <w:t>Enclosed are the materials listed below relating to the offer by Texas Instruments Incorporated, a Delaware corporation (the "Company"), to exchange its 7% Senior Exchange Notes Due August 15, 2004 (the "New Notes"), pursuant to an offering registered under the Securities Act of 1933, as amended (the "Securities Act"), for a like principal amount of its issued and outstanding 7% Senior Notes Due August 15, 2004 (the "Old Notes") upon the terms and subject to the conditions set forth in the Company's Prospectus, dated o, 1999, and the related Letter of Transmittal (which together constitute the "Exchange Offer").</w:t>
      </w:r>
    </w:p>
    <w:p>
      <w:pPr>
        <w:spacing w:after="0" w:line="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Enclosed herewith are copies of the following documents:</w:t>
      </w:r>
    </w:p>
    <w:p>
      <w:pPr>
        <w:spacing w:after="0" w:line="179" w:lineRule="exact"/>
        <w:rPr>
          <w:sz w:val="20"/>
          <w:szCs w:val="20"/>
          <w:color w:val="auto"/>
        </w:rPr>
      </w:pPr>
    </w:p>
    <w:p>
      <w:pPr>
        <w:ind w:left="1120" w:hanging="373"/>
        <w:spacing w:after="0"/>
        <w:tabs>
          <w:tab w:leader="none" w:pos="11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Prospectus dated o, 1999;</w:t>
      </w:r>
    </w:p>
    <w:p>
      <w:pPr>
        <w:spacing w:after="0" w:line="179" w:lineRule="exact"/>
        <w:rPr>
          <w:rFonts w:ascii="Courier New" w:cs="Courier New" w:eastAsia="Courier New" w:hAnsi="Courier New"/>
          <w:sz w:val="16"/>
          <w:szCs w:val="16"/>
          <w:color w:val="auto"/>
        </w:rPr>
      </w:pPr>
    </w:p>
    <w:p>
      <w:pPr>
        <w:ind w:left="1120" w:hanging="373"/>
        <w:spacing w:after="0"/>
        <w:tabs>
          <w:tab w:leader="none" w:pos="11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 of Transmittal;</w:t>
      </w:r>
    </w:p>
    <w:p>
      <w:pPr>
        <w:spacing w:after="0" w:line="179" w:lineRule="exact"/>
        <w:rPr>
          <w:rFonts w:ascii="Courier New" w:cs="Courier New" w:eastAsia="Courier New" w:hAnsi="Courier New"/>
          <w:sz w:val="16"/>
          <w:szCs w:val="16"/>
          <w:color w:val="auto"/>
        </w:rPr>
      </w:pPr>
    </w:p>
    <w:p>
      <w:pPr>
        <w:ind w:left="1120" w:hanging="373"/>
        <w:spacing w:after="0"/>
        <w:tabs>
          <w:tab w:leader="none" w:pos="11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Guaranteed Delivery;</w:t>
      </w:r>
    </w:p>
    <w:p>
      <w:pPr>
        <w:spacing w:after="0" w:line="179" w:lineRule="exact"/>
        <w:rPr>
          <w:rFonts w:ascii="Courier New" w:cs="Courier New" w:eastAsia="Courier New" w:hAnsi="Courier New"/>
          <w:sz w:val="16"/>
          <w:szCs w:val="16"/>
          <w:color w:val="auto"/>
        </w:rPr>
      </w:pPr>
    </w:p>
    <w:p>
      <w:pPr>
        <w:ind w:left="1120" w:right="3559" w:hanging="373"/>
        <w:spacing w:after="0" w:line="348" w:lineRule="auto"/>
        <w:tabs>
          <w:tab w:leader="none" w:pos="11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Instruction to Registered Holder and/or Book-Entry Transfer Participant from Owner; and</w:t>
      </w:r>
    </w:p>
    <w:p>
      <w:pPr>
        <w:spacing w:after="0" w:line="15" w:lineRule="exact"/>
        <w:rPr>
          <w:rFonts w:ascii="Courier New" w:cs="Courier New" w:eastAsia="Courier New" w:hAnsi="Courier New"/>
          <w:sz w:val="16"/>
          <w:szCs w:val="16"/>
          <w:color w:val="auto"/>
        </w:rPr>
      </w:pPr>
    </w:p>
    <w:p>
      <w:pPr>
        <w:jc w:val="both"/>
        <w:ind w:left="1120" w:right="2819" w:hanging="373"/>
        <w:spacing w:after="0" w:line="275" w:lineRule="auto"/>
        <w:tabs>
          <w:tab w:leader="none" w:pos="11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 which may be sent to your clients for whose account you hold Old Notes in your name or in the name of your nominee, to accompany the instruction form referred to above, for obtaining such client's instruction with regard to 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279" w:firstLine="750"/>
        <w:spacing w:after="0" w:line="293" w:lineRule="auto"/>
        <w:rPr>
          <w:sz w:val="20"/>
          <w:szCs w:val="20"/>
          <w:color w:val="auto"/>
        </w:rPr>
      </w:pPr>
      <w:r>
        <w:rPr>
          <w:rFonts w:ascii="Courier New" w:cs="Courier New" w:eastAsia="Courier New" w:hAnsi="Courier New"/>
          <w:sz w:val="16"/>
          <w:szCs w:val="16"/>
          <w:color w:val="auto"/>
        </w:rPr>
        <w:t>We urge you to contact your clients promptly. Please note that the Exchange Offer will expire at 5:00 p.m., New York City time, on o unless extended.</w:t>
      </w:r>
    </w:p>
    <w:p>
      <w:pPr>
        <w:spacing w:after="0" w:line="58" w:lineRule="exact"/>
        <w:rPr>
          <w:sz w:val="20"/>
          <w:szCs w:val="20"/>
          <w:color w:val="auto"/>
        </w:rPr>
      </w:pPr>
    </w:p>
    <w:p>
      <w:pPr>
        <w:ind w:right="3099" w:firstLine="750"/>
        <w:spacing w:after="0" w:line="348" w:lineRule="auto"/>
        <w:rPr>
          <w:sz w:val="20"/>
          <w:szCs w:val="20"/>
          <w:color w:val="auto"/>
        </w:rPr>
      </w:pPr>
      <w:r>
        <w:rPr>
          <w:rFonts w:ascii="Courier New" w:cs="Courier New" w:eastAsia="Courier New" w:hAnsi="Courier New"/>
          <w:sz w:val="16"/>
          <w:szCs w:val="16"/>
          <w:color w:val="auto"/>
        </w:rPr>
        <w:t>The Exchange Offer is not conditioned upon any minimum number of Old Notes being tendered.</w:t>
      </w:r>
    </w:p>
    <w:p>
      <w:pPr>
        <w:spacing w:after="0" w:line="15" w:lineRule="exact"/>
        <w:rPr>
          <w:sz w:val="20"/>
          <w:szCs w:val="20"/>
          <w:color w:val="auto"/>
        </w:rPr>
      </w:pPr>
    </w:p>
    <w:p>
      <w:pPr>
        <w:ind w:right="2719" w:firstLine="750"/>
        <w:spacing w:after="0" w:line="246" w:lineRule="auto"/>
        <w:rPr>
          <w:sz w:val="20"/>
          <w:szCs w:val="20"/>
          <w:color w:val="auto"/>
        </w:rPr>
      </w:pPr>
      <w:r>
        <w:rPr>
          <w:rFonts w:ascii="Courier New" w:cs="Courier New" w:eastAsia="Courier New" w:hAnsi="Courier New"/>
          <w:sz w:val="16"/>
          <w:szCs w:val="16"/>
          <w:color w:val="auto"/>
        </w:rPr>
        <w:t>Pursuant to the Letter of Transmittal, each holder of Old Notes will represent to the Company that (i) the holder is not an "affiliate" of the Company, (ii) any New Notes to be received by it are being acquired in the ordinary course of its business, and (iii) the holder has no arrangement or understanding with any person to participate in a distribution (within the meaning of the Securities Act) of such New Notes. If the tendering holder is a broker-dealer that will receive New Notes for its own account in exchange for Old Notes, you will represent on behalf of such broker-dealer that the Old Notes to be exchanged for the New Notes were acquired by it as a result of market-making activities or other trading activities, and acknowledge on behalf of such broker-dealer that it will deliver a prospectus meeting the requirements of the Securities Act in connection with any resale of such New Notes. By acknowledging that it will deliver and by delivering a prospectus meeting the requirements of the Securities Act in connection with any resale of such New Notes, such broker-dealer is not deemed to admit that it is an "underwriter" within the meaning of the Securities Act.</w:t>
      </w:r>
    </w:p>
    <w:p>
      <w:pPr>
        <w:spacing w:after="0" w:line="94" w:lineRule="exact"/>
        <w:rPr>
          <w:sz w:val="20"/>
          <w:szCs w:val="20"/>
          <w:color w:val="auto"/>
        </w:rPr>
      </w:pPr>
    </w:p>
    <w:p>
      <w:pPr>
        <w:jc w:val="both"/>
        <w:ind w:right="2719" w:firstLine="750"/>
        <w:spacing w:after="0" w:line="293" w:lineRule="auto"/>
        <w:rPr>
          <w:sz w:val="20"/>
          <w:szCs w:val="20"/>
          <w:color w:val="auto"/>
        </w:rPr>
      </w:pPr>
      <w:r>
        <w:rPr>
          <w:rFonts w:ascii="Courier New" w:cs="Courier New" w:eastAsia="Courier New" w:hAnsi="Courier New"/>
          <w:sz w:val="16"/>
          <w:szCs w:val="16"/>
          <w:color w:val="auto"/>
        </w:rPr>
        <w:t>The enclosed Instruction to Registered Holder and/or Book-Entry Transfer Participant from Owner contains an authorization by the beneficial owners of the Old Notes for you to make the foregoing representations.</w:t>
      </w:r>
    </w:p>
    <w:p>
      <w:pPr>
        <w:spacing w:after="0" w:line="58" w:lineRule="exact"/>
        <w:rPr>
          <w:sz w:val="20"/>
          <w:szCs w:val="20"/>
          <w:color w:val="auto"/>
        </w:rPr>
      </w:pPr>
    </w:p>
    <w:p>
      <w:pPr>
        <w:ind w:right="2719" w:firstLine="750"/>
        <w:spacing w:after="0" w:line="260" w:lineRule="auto"/>
        <w:rPr>
          <w:sz w:val="20"/>
          <w:szCs w:val="20"/>
          <w:color w:val="auto"/>
        </w:rPr>
      </w:pPr>
      <w:r>
        <w:rPr>
          <w:rFonts w:ascii="Courier New" w:cs="Courier New" w:eastAsia="Courier New" w:hAnsi="Courier New"/>
          <w:sz w:val="16"/>
          <w:szCs w:val="16"/>
          <w:color w:val="auto"/>
        </w:rPr>
        <w:t>The Company will not pay any fee or commission to any broker or dealer or to any other persons (other than the Exchange Agent) in connection with the solicitation of tenders of Old Notes pursuant to the Exchange Offer. The Company will pay or cause to be paid any transfer taxes payable on the transfer of Old Notes to it, except as otherwise provided in Instruction 10 of the enclosed Letter of Transmittal.</w:t>
      </w:r>
    </w:p>
    <w:p>
      <w:pPr>
        <w:spacing w:after="0" w:line="84" w:lineRule="exact"/>
        <w:rPr>
          <w:sz w:val="20"/>
          <w:szCs w:val="20"/>
          <w:color w:val="auto"/>
        </w:rPr>
      </w:pPr>
    </w:p>
    <w:p>
      <w:pPr>
        <w:ind w:right="3179" w:firstLine="750"/>
        <w:spacing w:after="0" w:line="348" w:lineRule="auto"/>
        <w:rPr>
          <w:sz w:val="20"/>
          <w:szCs w:val="20"/>
          <w:color w:val="auto"/>
        </w:rPr>
      </w:pPr>
      <w:r>
        <w:rPr>
          <w:rFonts w:ascii="Courier New" w:cs="Courier New" w:eastAsia="Courier New" w:hAnsi="Courier New"/>
          <w:sz w:val="16"/>
          <w:szCs w:val="16"/>
          <w:color w:val="auto"/>
        </w:rPr>
        <w:t>Additional copies of the enclosed material may be obtained from the undersigned.</w:t>
      </w:r>
    </w:p>
    <w:p>
      <w:pPr>
        <w:spacing w:after="0" w:line="376"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Very truly yours,</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CITIBANK, N.A.</w:t>
      </w:r>
    </w:p>
    <w:p>
      <w:pPr>
        <w:sectPr>
          <w:pgSz w:w="11900" w:h="16885" w:orient="portrait"/>
          <w:cols w:equalWidth="0" w:num="1">
            <w:col w:w="10219"/>
          </w:cols>
          <w:pgMar w:left="240" w:top="294" w:right="1440" w:bottom="0" w:gutter="0" w:footer="0" w:header="0"/>
        </w:sectPr>
      </w:pPr>
    </w:p>
    <w:bookmarkStart w:id="76" w:name="page77"/>
    <w:bookmarkEnd w:id="76"/>
    <w:p>
      <w:pPr>
        <w:ind w:right="2719"/>
        <w:spacing w:after="0" w:line="293" w:lineRule="auto"/>
        <w:rPr>
          <w:sz w:val="20"/>
          <w:szCs w:val="20"/>
          <w:color w:val="auto"/>
        </w:rPr>
      </w:pPr>
      <w:r>
        <w:rPr>
          <w:rFonts w:ascii="Courier New" w:cs="Courier New" w:eastAsia="Courier New" w:hAnsi="Courier New"/>
          <w:sz w:val="16"/>
          <w:szCs w:val="16"/>
          <w:color w:val="auto"/>
        </w:rPr>
        <w:t>NOTHING CONTAINED HEREIN OR IN THE ENCLOSED DOCUMENTS SHALL MAKE YOU THE AGENT OF TEXAS INSTRUMENTS INCORPORATED OR CITIBANK, N.A., OR AUTHORIZE YOU TO USE ANY DOCUMENT OR MAKE ANY STATEMENT ON THEIR BEHALF IN CONNECTION WITH THE</w:t>
      </w:r>
    </w:p>
    <w:p>
      <w:pPr>
        <w:spacing w:after="0" w:line="23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5" w:right="1440" w:bottom="1440" w:gutter="0" w:footer="0" w:header="0"/>
        </w:sectPr>
      </w:pPr>
    </w:p>
    <w:bookmarkStart w:id="77" w:name="page78"/>
    <w:bookmarkEnd w:id="77"/>
    <w:p>
      <w:pPr>
        <w:ind w:right="4879"/>
        <w:spacing w:after="0" w:line="348" w:lineRule="auto"/>
        <w:rPr>
          <w:sz w:val="20"/>
          <w:szCs w:val="20"/>
          <w:color w:val="auto"/>
        </w:rPr>
      </w:pPr>
      <w:r>
        <w:rPr>
          <w:rFonts w:ascii="Courier New" w:cs="Courier New" w:eastAsia="Courier New" w:hAnsi="Courier New"/>
          <w:sz w:val="16"/>
          <w:szCs w:val="16"/>
          <w:color w:val="auto"/>
        </w:rPr>
        <w:t>EXCHANGE OFFER OTHER THAN THE DOCUMENTS ENCLOSED HEREWITH AND THE STATEMENTS CONTAINED THEREIN.</w:t>
      </w:r>
    </w:p>
    <w:p>
      <w:pPr>
        <w:spacing w:after="0" w:line="19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11" w:right="1440" w:bottom="1440" w:gutter="0" w:footer="0" w:header="0"/>
        </w:sectPr>
      </w:pPr>
    </w:p>
    <w:bookmarkStart w:id="78" w:name="page79"/>
    <w:bookmarkEnd w:id="78"/>
    <w:p>
      <w:pPr>
        <w:jc w:val="right"/>
        <w:ind w:right="2719"/>
        <w:spacing w:after="0"/>
        <w:rPr>
          <w:sz w:val="20"/>
          <w:szCs w:val="20"/>
          <w:color w:val="auto"/>
        </w:rPr>
      </w:pPr>
      <w:r>
        <w:rPr>
          <w:rFonts w:ascii="Courier New" w:cs="Courier New" w:eastAsia="Courier New" w:hAnsi="Courier New"/>
          <w:sz w:val="16"/>
          <w:szCs w:val="16"/>
          <w:color w:val="auto"/>
        </w:rPr>
        <w:t>Exhibit 99.5</w:t>
      </w:r>
    </w:p>
    <w:p>
      <w:pPr>
        <w:spacing w:after="0" w:line="360" w:lineRule="exact"/>
        <w:rPr>
          <w:sz w:val="20"/>
          <w:szCs w:val="20"/>
          <w:color w:val="auto"/>
        </w:rPr>
      </w:pPr>
    </w:p>
    <w:p>
      <w:pPr>
        <w:jc w:val="center"/>
        <w:ind w:right="2635"/>
        <w:spacing w:after="0"/>
        <w:rPr>
          <w:sz w:val="20"/>
          <w:szCs w:val="20"/>
          <w:color w:val="auto"/>
        </w:rPr>
      </w:pPr>
      <w:r>
        <w:rPr>
          <w:rFonts w:ascii="Courier New" w:cs="Courier New" w:eastAsia="Courier New" w:hAnsi="Courier New"/>
          <w:sz w:val="16"/>
          <w:szCs w:val="16"/>
          <w:color w:val="auto"/>
        </w:rPr>
        <w:t>INSTRUCTION TO REGISTERED HOLDER AND/OR</w:t>
      </w:r>
    </w:p>
    <w:p>
      <w:pPr>
        <w:spacing w:after="0" w:line="26" w:lineRule="exact"/>
        <w:rPr>
          <w:sz w:val="20"/>
          <w:szCs w:val="20"/>
          <w:color w:val="auto"/>
        </w:rPr>
      </w:pPr>
    </w:p>
    <w:p>
      <w:pPr>
        <w:jc w:val="center"/>
        <w:ind w:right="2615"/>
        <w:spacing w:after="0"/>
        <w:rPr>
          <w:sz w:val="20"/>
          <w:szCs w:val="20"/>
          <w:color w:val="auto"/>
        </w:rPr>
      </w:pPr>
      <w:r>
        <w:rPr>
          <w:rFonts w:ascii="Courier New" w:cs="Courier New" w:eastAsia="Courier New" w:hAnsi="Courier New"/>
          <w:sz w:val="16"/>
          <w:szCs w:val="16"/>
          <w:color w:val="auto"/>
        </w:rPr>
        <w:t>BOOK-ENTRY TRANSFER FACILITY PARTICIPANT FROM OWNER</w:t>
      </w:r>
    </w:p>
    <w:p>
      <w:pPr>
        <w:jc w:val="center"/>
        <w:ind w:right="2715"/>
        <w:spacing w:after="0"/>
        <w:rPr>
          <w:sz w:val="20"/>
          <w:szCs w:val="20"/>
          <w:color w:val="auto"/>
        </w:rPr>
      </w:pPr>
      <w:r>
        <w:rPr>
          <w:rFonts w:ascii="Courier New" w:cs="Courier New" w:eastAsia="Courier New" w:hAnsi="Courier New"/>
          <w:sz w:val="16"/>
          <w:szCs w:val="16"/>
          <w:color w:val="auto"/>
        </w:rPr>
        <w:t>OF</w:t>
      </w:r>
    </w:p>
    <w:p>
      <w:pPr>
        <w:jc w:val="center"/>
        <w:ind w:right="2715"/>
        <w:spacing w:after="0"/>
        <w:rPr>
          <w:sz w:val="20"/>
          <w:szCs w:val="20"/>
          <w:color w:val="auto"/>
        </w:rPr>
      </w:pPr>
      <w:r>
        <w:rPr>
          <w:rFonts w:ascii="Courier New" w:cs="Courier New" w:eastAsia="Courier New" w:hAnsi="Courier New"/>
          <w:sz w:val="16"/>
          <w:szCs w:val="16"/>
          <w:color w:val="auto"/>
        </w:rPr>
        <w:t>TEXAS INSTRUMENTS INCORPORATED</w:t>
      </w:r>
    </w:p>
    <w:p>
      <w:pPr>
        <w:spacing w:after="0" w:line="332" w:lineRule="exact"/>
        <w:rPr>
          <w:sz w:val="20"/>
          <w:szCs w:val="20"/>
          <w:color w:val="auto"/>
        </w:rPr>
      </w:pPr>
    </w:p>
    <w:p>
      <w:pPr>
        <w:ind w:left="2164"/>
        <w:spacing w:after="0"/>
        <w:rPr>
          <w:sz w:val="20"/>
          <w:szCs w:val="20"/>
          <w:color w:val="auto"/>
        </w:rPr>
      </w:pPr>
      <w:r>
        <w:rPr>
          <w:rFonts w:ascii="Courier New" w:cs="Courier New" w:eastAsia="Courier New" w:hAnsi="Courier New"/>
          <w:sz w:val="16"/>
          <w:szCs w:val="16"/>
          <w:color w:val="auto"/>
        </w:rPr>
        <w:t>7% Senior Notes Due August 15, 2004</w:t>
      </w:r>
    </w:p>
    <w:p>
      <w:pPr>
        <w:spacing w:after="0" w:line="27"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(the "Old Notes")</w:t>
      </w:r>
    </w:p>
    <w:p>
      <w:pPr>
        <w:spacing w:after="0" w:line="200" w:lineRule="exact"/>
        <w:rPr>
          <w:sz w:val="20"/>
          <w:szCs w:val="20"/>
          <w:color w:val="auto"/>
        </w:rPr>
      </w:pPr>
    </w:p>
    <w:p>
      <w:pPr>
        <w:spacing w:after="0" w:line="312" w:lineRule="exact"/>
        <w:rPr>
          <w:sz w:val="20"/>
          <w:szCs w:val="20"/>
          <w:color w:val="auto"/>
        </w:rPr>
      </w:pPr>
    </w:p>
    <w:p>
      <w:pPr>
        <w:ind w:left="4" w:right="4039"/>
        <w:spacing w:after="0" w:line="348" w:lineRule="auto"/>
        <w:rPr>
          <w:sz w:val="20"/>
          <w:szCs w:val="20"/>
          <w:color w:val="auto"/>
        </w:rPr>
      </w:pPr>
      <w:r>
        <w:rPr>
          <w:rFonts w:ascii="Courier New" w:cs="Courier New" w:eastAsia="Courier New" w:hAnsi="Courier New"/>
          <w:sz w:val="16"/>
          <w:szCs w:val="16"/>
          <w:color w:val="auto"/>
        </w:rPr>
        <w:t>To Registered Holder and/or Participant of the Book-Entry Transfer Facility:</w:t>
      </w:r>
    </w:p>
    <w:p>
      <w:pPr>
        <w:spacing w:after="0" w:line="376" w:lineRule="exact"/>
        <w:rPr>
          <w:sz w:val="20"/>
          <w:szCs w:val="20"/>
          <w:color w:val="auto"/>
        </w:rPr>
      </w:pPr>
    </w:p>
    <w:p>
      <w:pPr>
        <w:ind w:left="4" w:right="2899" w:firstLine="750"/>
        <w:spacing w:after="0" w:line="260" w:lineRule="auto"/>
        <w:rPr>
          <w:sz w:val="20"/>
          <w:szCs w:val="20"/>
          <w:color w:val="auto"/>
        </w:rPr>
      </w:pPr>
      <w:r>
        <w:rPr>
          <w:rFonts w:ascii="Courier New" w:cs="Courier New" w:eastAsia="Courier New" w:hAnsi="Courier New"/>
          <w:sz w:val="16"/>
          <w:szCs w:val="16"/>
          <w:color w:val="auto"/>
        </w:rPr>
        <w:t>The undersigned hereby acknowledges receipt of the Prospectus dated o, 1999 (the "Prospectus") of Texas Instruments Incorporated, a Delaware corporation (the "Company"), and the accompanying Letter of Transmittal (the "Letter of Transmittal"), that together constitute the Company's offer (the "Exchange Offer"). Capitalized terms used but not defined herein have the meanings as ascribed to them in the Prospectus or the Letter of Transmittal.</w:t>
      </w:r>
    </w:p>
    <w:p>
      <w:pPr>
        <w:spacing w:after="0" w:line="84" w:lineRule="exact"/>
        <w:rPr>
          <w:sz w:val="20"/>
          <w:szCs w:val="20"/>
          <w:color w:val="auto"/>
        </w:rPr>
      </w:pPr>
    </w:p>
    <w:p>
      <w:pPr>
        <w:ind w:left="4" w:right="2719" w:firstLine="750"/>
        <w:spacing w:after="0" w:line="275" w:lineRule="auto"/>
        <w:rPr>
          <w:sz w:val="20"/>
          <w:szCs w:val="20"/>
          <w:color w:val="auto"/>
        </w:rPr>
      </w:pPr>
      <w:r>
        <w:rPr>
          <w:rFonts w:ascii="Courier New" w:cs="Courier New" w:eastAsia="Courier New" w:hAnsi="Courier New"/>
          <w:sz w:val="16"/>
          <w:szCs w:val="16"/>
          <w:color w:val="auto"/>
        </w:rPr>
        <w:t>This will instruct you, the registered holder and/or book-entry transfer facility participant, as to the action to be taken by you relating to the Exchange Offer with respect to the Old Notes held by you for the account of the undersigned.</w:t>
      </w:r>
    </w:p>
    <w:p>
      <w:pPr>
        <w:spacing w:after="0" w:line="71" w:lineRule="exact"/>
        <w:rPr>
          <w:sz w:val="20"/>
          <w:szCs w:val="20"/>
          <w:color w:val="auto"/>
        </w:rPr>
      </w:pPr>
    </w:p>
    <w:p>
      <w:pPr>
        <w:ind w:left="4" w:right="2899" w:firstLine="750"/>
        <w:spacing w:after="0" w:line="348" w:lineRule="auto"/>
        <w:rPr>
          <w:sz w:val="20"/>
          <w:szCs w:val="20"/>
          <w:color w:val="auto"/>
        </w:rPr>
      </w:pPr>
      <w:r>
        <w:rPr>
          <w:rFonts w:ascii="Courier New" w:cs="Courier New" w:eastAsia="Courier New" w:hAnsi="Courier New"/>
          <w:sz w:val="16"/>
          <w:szCs w:val="16"/>
          <w:color w:val="auto"/>
        </w:rPr>
        <w:t>The aggregate face amount of the Old Notes held by you for the account of the undersigned is (fill in amount):</w:t>
      </w:r>
    </w:p>
    <w:p>
      <w:pPr>
        <w:spacing w:after="0" w:line="15"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$___________ of the 7% Senior Notes Due August 15, 2004</w:t>
      </w:r>
    </w:p>
    <w:p>
      <w:pPr>
        <w:spacing w:after="0" w:line="179" w:lineRule="exact"/>
        <w:rPr>
          <w:sz w:val="20"/>
          <w:szCs w:val="20"/>
          <w:color w:val="auto"/>
        </w:rPr>
      </w:pPr>
    </w:p>
    <w:p>
      <w:pPr>
        <w:ind w:left="4" w:right="2719" w:firstLine="750"/>
        <w:spacing w:after="0" w:line="348" w:lineRule="auto"/>
        <w:rPr>
          <w:sz w:val="20"/>
          <w:szCs w:val="20"/>
          <w:color w:val="auto"/>
        </w:rPr>
      </w:pPr>
      <w:r>
        <w:rPr>
          <w:rFonts w:ascii="Courier New" w:cs="Courier New" w:eastAsia="Courier New" w:hAnsi="Courier New"/>
          <w:sz w:val="16"/>
          <w:szCs w:val="16"/>
          <w:color w:val="auto"/>
        </w:rPr>
        <w:t>With respect to the Exchange Offer, the undersigned hereby instructs you (check appropriate box):</w:t>
      </w:r>
    </w:p>
    <w:p>
      <w:pPr>
        <w:spacing w:after="0" w:line="15" w:lineRule="exact"/>
        <w:rPr>
          <w:sz w:val="20"/>
          <w:szCs w:val="20"/>
          <w:color w:val="auto"/>
        </w:rPr>
      </w:pPr>
    </w:p>
    <w:p>
      <w:pPr>
        <w:ind w:left="184" w:hanging="184"/>
        <w:spacing w:after="0"/>
        <w:tabs>
          <w:tab w:leader="none" w:pos="184"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 TENDER the following Old Notes held by you for the account of the</w:t>
      </w:r>
    </w:p>
    <w:p>
      <w:pPr>
        <w:spacing w:after="0" w:line="27" w:lineRule="exact"/>
        <w:rPr>
          <w:rFonts w:ascii="Courier New" w:cs="Courier New" w:eastAsia="Courier New" w:hAnsi="Courier New"/>
          <w:sz w:val="16"/>
          <w:szCs w:val="16"/>
          <w:color w:val="auto"/>
        </w:rPr>
      </w:pP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undersigned (insert principal amount of Old Notes to be tendered, if any):</w:t>
      </w:r>
    </w:p>
    <w:p>
      <w:pPr>
        <w:spacing w:after="0" w:line="151"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$___________ of the 7% Senior Notes Due August 15,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 NOT to TENDER any Old Notes held by you for the account of the undersigned.</w:t>
      </w:r>
    </w:p>
    <w:p>
      <w:pPr>
        <w:spacing w:after="0" w:line="191" w:lineRule="exact"/>
        <w:rPr>
          <w:sz w:val="20"/>
          <w:szCs w:val="20"/>
          <w:color w:val="auto"/>
        </w:rPr>
      </w:pPr>
    </w:p>
    <w:p>
      <w:pPr>
        <w:ind w:left="4" w:right="2719" w:firstLine="750"/>
        <w:spacing w:after="0" w:line="259" w:lineRule="auto"/>
        <w:rPr>
          <w:sz w:val="20"/>
          <w:szCs w:val="20"/>
          <w:color w:val="auto"/>
        </w:rPr>
      </w:pPr>
      <w:r>
        <w:rPr>
          <w:rFonts w:ascii="Courier New" w:cs="Courier New" w:eastAsia="Courier New" w:hAnsi="Courier New"/>
          <w:sz w:val="15"/>
          <w:szCs w:val="15"/>
          <w:color w:val="auto"/>
        </w:rPr>
        <w:t>If the undersigned instructs you to tender the Old Notes held by you for the account of the undersigned, it is understood that you are authorized to make, on behalf of the undersigned (and the undersigned, by its signature below, hereby makes to you), the representations and warranties contained in the Letter of Transmittal that are to be made with respect to the undersigned as a beneficial owner, including but not limited to the representations, that (i) the holder is not an "affiliate" of the Company, (ii) any New Notes to be received by the holder are being acquired in the ordinary course of its business, and</w:t>
      </w:r>
    </w:p>
    <w:p>
      <w:pPr>
        <w:spacing w:after="0" w:line="4" w:lineRule="exact"/>
        <w:rPr>
          <w:sz w:val="20"/>
          <w:szCs w:val="20"/>
          <w:color w:val="auto"/>
        </w:rPr>
      </w:pPr>
    </w:p>
    <w:p>
      <w:pPr>
        <w:ind w:left="4" w:right="2719" w:hanging="4"/>
        <w:spacing w:after="0" w:line="264" w:lineRule="auto"/>
        <w:tabs>
          <w:tab w:leader="none" w:pos="567"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has no arrangement or understanding with any person to participate in a distribution (within the meaning of the Securities Act) of such New Notes. If the undersigned is a broker-dealer that will receive New Notes for its own account in exchange for Old Notes, it represents that such Old Notes were acquired as a result of market-making activities or other trading activities, and it acknowledges that it will deliver a prospectus meeting the requirements of the Securities Act in connection with any resale of such New Notes. By acknowledging that it will deliver and by delivering a prospectus meeting the requirements of the Securities Act in connection with any resale of such New Notes, such broker-dealer is not deemed to admit that it is an "underwriter" within the meaning of the Securities Act of 1933, as amended.</w:t>
      </w:r>
    </w:p>
    <w:p>
      <w:pPr>
        <w:spacing w:after="0" w:line="261"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3"/>
          </w:cols>
          <w:pgMar w:left="236" w:top="294" w:right="1440" w:bottom="1440" w:gutter="0" w:footer="0" w:header="0"/>
        </w:sectPr>
      </w:pPr>
    </w:p>
    <w:bookmarkStart w:id="79" w:name="page80"/>
    <w:bookmarkEnd w:id="79"/>
    <w:p>
      <w:pPr>
        <w:ind w:left="3380"/>
        <w:spacing w:after="0"/>
        <w:rPr>
          <w:sz w:val="20"/>
          <w:szCs w:val="20"/>
          <w:color w:val="auto"/>
        </w:rPr>
      </w:pPr>
      <w:r>
        <w:rPr>
          <w:rFonts w:ascii="Courier New" w:cs="Courier New" w:eastAsia="Courier New" w:hAnsi="Courier New"/>
          <w:sz w:val="16"/>
          <w:szCs w:val="16"/>
          <w:color w:val="auto"/>
        </w:rPr>
        <w:t>SIGN HERE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beneficial owner(s):</w:t>
      </w:r>
    </w:p>
    <w:p>
      <w:pPr>
        <w:spacing w:after="0" w:line="27"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2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(please print):</w:t>
      </w:r>
    </w:p>
    <w:p>
      <w:pPr>
        <w:spacing w:after="0" w:line="2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2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Number:</w:t>
      </w:r>
    </w:p>
    <w:p>
      <w:pPr>
        <w:spacing w:after="0" w:line="27"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Taxpayer Identification or Social Security Number:</w:t>
      </w:r>
    </w:p>
    <w:p>
      <w:pPr>
        <w:spacing w:after="0" w:line="27"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w:t>
      </w:r>
    </w:p>
    <w:p>
      <w:pPr>
        <w:spacing w:after="0" w:line="33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sectPr>
      <w:pgSz w:w="11900" w:h="16838" w:orient="portrait"/>
      <w:cols w:equalWidth="0" w:num="1">
        <w:col w:w="10219"/>
      </w:cols>
      <w:pgMar w:left="240" w:top="8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decimal"/>
      <w:start w:val="212"/>
    </w:lvl>
  </w:abstractNum>
  <w:abstractNum w:abstractNumId="1">
    <w:nsid w:val="7A6D8D3C"/>
    <w:multiLevelType w:val="hybridMultilevel"/>
    <w:lvl w:ilvl="0">
      <w:lvlJc w:val="left"/>
      <w:lvlText w:val="(%1)"/>
      <w:numFmt w:val="decimal"/>
      <w:start w:val="1"/>
    </w:lvl>
  </w:abstractNum>
  <w:abstractNum w:abstractNumId="2">
    <w:nsid w:val="4B588F54"/>
    <w:multiLevelType w:val="hybridMultilevel"/>
    <w:lvl w:ilvl="0">
      <w:lvlJc w:val="left"/>
      <w:lvlText w:val="o"/>
      <w:numFmt w:val="bullet"/>
      <w:start w:val="1"/>
    </w:lvl>
  </w:abstractNum>
  <w:abstractNum w:abstractNumId="3">
    <w:nsid w:val="542289EC"/>
    <w:multiLevelType w:val="hybridMultilevel"/>
    <w:lvl w:ilvl="0">
      <w:lvlJc w:val="left"/>
      <w:lvlText w:val="o"/>
      <w:numFmt w:val="bullet"/>
      <w:start w:val="1"/>
    </w:lvl>
  </w:abstractNum>
  <w:abstractNum w:abstractNumId="4">
    <w:nsid w:val="6DE91B18"/>
    <w:multiLevelType w:val="hybridMultilevel"/>
    <w:lvl w:ilvl="0">
      <w:lvlJc w:val="left"/>
      <w:lvlText w:val="o"/>
      <w:numFmt w:val="bullet"/>
      <w:start w:val="1"/>
    </w:lvl>
  </w:abstractNum>
  <w:abstractNum w:abstractNumId="5">
    <w:nsid w:val="38437FDB"/>
    <w:multiLevelType w:val="hybridMultilevel"/>
    <w:lvl w:ilvl="0">
      <w:lvlJc w:val="left"/>
      <w:lvlText w:val="(%1)"/>
      <w:numFmt w:val="decimal"/>
      <w:start w:val="1"/>
    </w:lvl>
  </w:abstractNum>
  <w:abstractNum w:abstractNumId="6">
    <w:nsid w:val="7644A45C"/>
    <w:multiLevelType w:val="hybridMultilevel"/>
    <w:lvl w:ilvl="0">
      <w:lvlJc w:val="left"/>
      <w:lvlText w:val="o"/>
      <w:numFmt w:val="bullet"/>
      <w:start w:val="1"/>
    </w:lvl>
  </w:abstractNum>
  <w:abstractNum w:abstractNumId="7">
    <w:nsid w:val="32FFF902"/>
    <w:multiLevelType w:val="hybridMultilevel"/>
    <w:lvl w:ilvl="0">
      <w:lvlJc w:val="left"/>
      <w:lvlText w:val="o"/>
      <w:numFmt w:val="bullet"/>
      <w:start w:val="1"/>
    </w:lvl>
  </w:abstractNum>
  <w:abstractNum w:abstractNumId="8">
    <w:nsid w:val="684A481A"/>
    <w:multiLevelType w:val="hybridMultilevel"/>
    <w:lvl w:ilvl="0">
      <w:lvlJc w:val="left"/>
      <w:lvlText w:val="o"/>
      <w:numFmt w:val="bullet"/>
      <w:start w:val="1"/>
    </w:lvl>
  </w:abstractNum>
  <w:abstractNum w:abstractNumId="9">
    <w:nsid w:val="579478FE"/>
    <w:multiLevelType w:val="hybridMultilevel"/>
    <w:lvl w:ilvl="0">
      <w:lvlJc w:val="left"/>
      <w:lvlText w:val="o"/>
      <w:numFmt w:val="bullet"/>
      <w:start w:val="1"/>
    </w:lvl>
  </w:abstractNum>
  <w:abstractNum w:abstractNumId="10">
    <w:nsid w:val="749ABB43"/>
    <w:multiLevelType w:val="hybridMultilevel"/>
    <w:lvl w:ilvl="0">
      <w:lvlJc w:val="left"/>
      <w:lvlText w:val="o"/>
      <w:numFmt w:val="bullet"/>
      <w:start w:val="1"/>
    </w:lvl>
  </w:abstractNum>
  <w:abstractNum w:abstractNumId="11">
    <w:nsid w:val="3DC240FB"/>
    <w:multiLevelType w:val="hybridMultilevel"/>
    <w:lvl w:ilvl="0">
      <w:lvlJc w:val="left"/>
      <w:lvlText w:val="(%1)"/>
      <w:numFmt w:val="lowerLetter"/>
      <w:start w:val="1"/>
    </w:lvl>
  </w:abstractNum>
  <w:abstractNum w:abstractNumId="12">
    <w:nsid w:val="1BA026FA"/>
    <w:multiLevelType w:val="hybridMultilevel"/>
    <w:lvl w:ilvl="0">
      <w:lvlJc w:val="left"/>
      <w:lvlText w:val="(%1)"/>
      <w:numFmt w:val="lowerLetter"/>
      <w:start w:val="1"/>
    </w:lvl>
  </w:abstractNum>
  <w:abstractNum w:abstractNumId="13">
    <w:nsid w:val="79A1DEAA"/>
    <w:multiLevelType w:val="hybridMultilevel"/>
    <w:lvl w:ilvl="0">
      <w:lvlJc w:val="left"/>
      <w:lvlText w:val="(%1)"/>
      <w:numFmt w:val="lowerLetter"/>
      <w:start w:val="1"/>
    </w:lvl>
    <w:lvl w:ilvl="1">
      <w:lvlJc w:val="left"/>
      <w:lvlText w:val="(%2)"/>
      <w:numFmt w:val="decimal"/>
      <w:start w:val="1"/>
    </w:lvl>
  </w:abstractNum>
  <w:abstractNum w:abstractNumId="14">
    <w:nsid w:val="75C6C33A"/>
    <w:multiLevelType w:val="hybridMultilevel"/>
    <w:lvl w:ilvl="0">
      <w:lvlJc w:val="left"/>
      <w:lvlText w:val="(%1)"/>
      <w:numFmt w:val="lowerLetter"/>
      <w:start w:val="1"/>
    </w:lvl>
  </w:abstractNum>
  <w:abstractNum w:abstractNumId="15">
    <w:nsid w:val="12E685FB"/>
    <w:multiLevelType w:val="hybridMultilevel"/>
    <w:lvl w:ilvl="0">
      <w:lvlJc w:val="left"/>
      <w:lvlText w:val="(%1)"/>
      <w:numFmt w:val="lowerLetter"/>
      <w:start w:val="1"/>
    </w:lvl>
  </w:abstractNum>
  <w:abstractNum w:abstractNumId="16">
    <w:nsid w:val="70C6A529"/>
    <w:multiLevelType w:val="hybridMultilevel"/>
    <w:lvl w:ilvl="0">
      <w:lvlJc w:val="left"/>
      <w:lvlText w:val="(%1)"/>
      <w:numFmt w:val="lowerLetter"/>
      <w:start w:val="1"/>
    </w:lvl>
  </w:abstractNum>
  <w:abstractNum w:abstractNumId="17">
    <w:nsid w:val="520EEDD1"/>
    <w:multiLevelType w:val="hybridMultilevel"/>
    <w:lvl w:ilvl="0">
      <w:lvlJc w:val="left"/>
      <w:lvlText w:val="o"/>
      <w:numFmt w:val="bullet"/>
      <w:start w:val="1"/>
    </w:lvl>
  </w:abstractNum>
  <w:abstractNum w:abstractNumId="18">
    <w:nsid w:val="374A3FE6"/>
    <w:multiLevelType w:val="hybridMultilevel"/>
    <w:lvl w:ilvl="0">
      <w:lvlJc w:val="left"/>
      <w:lvlText w:val="o"/>
      <w:numFmt w:val="bullet"/>
      <w:start w:val="1"/>
    </w:lvl>
  </w:abstractNum>
  <w:abstractNum w:abstractNumId="19">
    <w:nsid w:val="4F4EF005"/>
    <w:multiLevelType w:val="hybridMultilevel"/>
    <w:lvl w:ilvl="0">
      <w:lvlJc w:val="left"/>
      <w:lvlText w:val="o"/>
      <w:numFmt w:val="bullet"/>
      <w:start w:val="1"/>
    </w:lvl>
  </w:abstractNum>
  <w:abstractNum w:abstractNumId="20">
    <w:nsid w:val="23F9C13C"/>
    <w:multiLevelType w:val="hybridMultilevel"/>
    <w:lvl w:ilvl="0">
      <w:lvlJc w:val="left"/>
      <w:lvlText w:val="(%1)"/>
      <w:numFmt w:val="lowerRoman"/>
      <w:start w:val="1"/>
    </w:lvl>
  </w:abstractNum>
  <w:abstractNum w:abstractNumId="21">
    <w:nsid w:val="649BB77C"/>
    <w:multiLevelType w:val="hybridMultilevel"/>
    <w:lvl w:ilvl="0">
      <w:lvlJc w:val="left"/>
      <w:lvlText w:val="o"/>
      <w:numFmt w:val="bullet"/>
      <w:start w:val="1"/>
    </w:lvl>
  </w:abstractNum>
  <w:abstractNum w:abstractNumId="22">
    <w:nsid w:val="275AC794"/>
    <w:multiLevelType w:val="hybridMultilevel"/>
    <w:lvl w:ilvl="0">
      <w:lvlJc w:val="left"/>
      <w:lvlText w:val="o"/>
      <w:numFmt w:val="bullet"/>
      <w:start w:val="1"/>
    </w:lvl>
  </w:abstractNum>
  <w:abstractNum w:abstractNumId="23">
    <w:nsid w:val="39386575"/>
    <w:multiLevelType w:val="hybridMultilevel"/>
    <w:lvl w:ilvl="0">
      <w:lvlJc w:val="left"/>
      <w:lvlText w:val="o"/>
      <w:numFmt w:val="bullet"/>
      <w:start w:val="1"/>
    </w:lvl>
  </w:abstractNum>
  <w:abstractNum w:abstractNumId="24">
    <w:nsid w:val="1CF10FD8"/>
    <w:multiLevelType w:val="hybridMultilevel"/>
    <w:lvl w:ilvl="0">
      <w:lvlJc w:val="left"/>
      <w:lvlText w:val="o"/>
      <w:numFmt w:val="bullet"/>
      <w:start w:val="1"/>
    </w:lvl>
  </w:abstractNum>
  <w:abstractNum w:abstractNumId="25">
    <w:nsid w:val="180115BE"/>
    <w:multiLevelType w:val="hybridMultilevel"/>
    <w:lvl w:ilvl="0">
      <w:lvlJc w:val="left"/>
      <w:lvlText w:val="o"/>
      <w:numFmt w:val="bullet"/>
      <w:start w:val="1"/>
    </w:lvl>
  </w:abstractNum>
  <w:abstractNum w:abstractNumId="26">
    <w:nsid w:val="235BA861"/>
    <w:multiLevelType w:val="hybridMultilevel"/>
    <w:lvl w:ilvl="0">
      <w:lvlJc w:val="left"/>
      <w:lvlText w:val="o"/>
      <w:numFmt w:val="bullet"/>
      <w:start w:val="1"/>
    </w:lvl>
  </w:abstractNum>
  <w:abstractNum w:abstractNumId="27">
    <w:nsid w:val="47398C89"/>
    <w:multiLevelType w:val="hybridMultilevel"/>
    <w:lvl w:ilvl="0">
      <w:lvlJc w:val="left"/>
      <w:lvlText w:val="o"/>
      <w:numFmt w:val="bullet"/>
      <w:start w:val="1"/>
    </w:lvl>
  </w:abstractNum>
  <w:abstractNum w:abstractNumId="28">
    <w:nsid w:val="354FE9F9"/>
    <w:multiLevelType w:val="hybridMultilevel"/>
    <w:lvl w:ilvl="0">
      <w:lvlJc w:val="left"/>
      <w:lvlText w:val="o"/>
      <w:numFmt w:val="bullet"/>
      <w:start w:val="1"/>
    </w:lvl>
  </w:abstractNum>
  <w:abstractNum w:abstractNumId="29">
    <w:nsid w:val="15B5AF5C"/>
    <w:multiLevelType w:val="hybridMultilevel"/>
    <w:lvl w:ilvl="0">
      <w:lvlJc w:val="left"/>
      <w:lvlText w:val="o"/>
      <w:numFmt w:val="bullet"/>
      <w:start w:val="1"/>
    </w:lvl>
  </w:abstractNum>
  <w:abstractNum w:abstractNumId="30">
    <w:nsid w:val="741226BB"/>
    <w:multiLevelType w:val="hybridMultilevel"/>
    <w:lvl w:ilvl="0">
      <w:lvlJc w:val="left"/>
      <w:lvlText w:val="o"/>
      <w:numFmt w:val="bullet"/>
      <w:start w:val="1"/>
    </w:lvl>
  </w:abstractNum>
  <w:abstractNum w:abstractNumId="31">
    <w:nsid w:val="D34B6A8"/>
    <w:multiLevelType w:val="hybridMultilevel"/>
    <w:lvl w:ilvl="0">
      <w:lvlJc w:val="left"/>
      <w:lvlText w:val="o"/>
      <w:numFmt w:val="bullet"/>
      <w:start w:val="1"/>
    </w:lvl>
  </w:abstractNum>
  <w:abstractNum w:abstractNumId="32">
    <w:nsid w:val="10233C99"/>
    <w:multiLevelType w:val="hybridMultilevel"/>
    <w:lvl w:ilvl="0">
      <w:lvlJc w:val="left"/>
      <w:lvlText w:val="(%1)"/>
      <w:numFmt w:val="lowerLetter"/>
      <w:start w:val="1"/>
    </w:lvl>
  </w:abstractNum>
  <w:abstractNum w:abstractNumId="33">
    <w:nsid w:val="3F6AB60F"/>
    <w:multiLevelType w:val="hybridMultilevel"/>
    <w:lvl w:ilvl="0">
      <w:lvlJc w:val="left"/>
      <w:lvlText w:val="(%1)"/>
      <w:numFmt w:val="lowerLetter"/>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1)"/>
      <w:numFmt w:val="lowerRoman"/>
      <w:start w:val="3"/>
    </w:lvl>
  </w:abstractNum>
  <w:abstractNum w:abstractNumId="36">
    <w:nsid w:val="77AE35EB"/>
    <w:multiLevelType w:val="hybridMultilevel"/>
    <w:lvl w:ilvl="0">
      <w:lvlJc w:val="left"/>
      <w:lvlText w:val="(%1)"/>
      <w:numFmt w:val="lowerRoman"/>
      <w:start w:val="7"/>
    </w:lvl>
  </w:abstractNum>
  <w:abstractNum w:abstractNumId="37">
    <w:nsid w:val="579BE4F1"/>
    <w:multiLevelType w:val="hybridMultilevel"/>
    <w:lvl w:ilvl="0">
      <w:lvlJc w:val="left"/>
      <w:lvlText w:val="(%1)"/>
      <w:numFmt w:val="lowerLetter"/>
      <w:start w:val="1"/>
    </w:lvl>
    <w:lvl w:ilvl="1">
      <w:lvlJc w:val="left"/>
      <w:lvlText w:val="(%2)"/>
      <w:numFmt w:val="lowerRoman"/>
      <w:start w:val="1"/>
    </w:lvl>
  </w:abstractNum>
  <w:abstractNum w:abstractNumId="38">
    <w:nsid w:val="310C50B3"/>
    <w:multiLevelType w:val="hybridMultilevel"/>
    <w:lvl w:ilvl="0">
      <w:lvlJc w:val="left"/>
      <w:lvlText w:val="(%1)"/>
      <w:numFmt w:val="lowerRoman"/>
      <w:start w:val="3"/>
    </w:lvl>
  </w:abstractNum>
  <w:abstractNum w:abstractNumId="39">
    <w:nsid w:val="5FF87E05"/>
    <w:multiLevelType w:val="hybridMultilevel"/>
    <w:lvl w:ilvl="0">
      <w:lvlJc w:val="left"/>
      <w:lvlText w:val="(%1)"/>
      <w:numFmt w:val="lowerRoman"/>
      <w:start w:val="1"/>
    </w:lvl>
  </w:abstractNum>
  <w:abstractNum w:abstractNumId="40">
    <w:nsid w:val="2F305DEF"/>
    <w:multiLevelType w:val="hybridMultilevel"/>
    <w:lvl w:ilvl="0">
      <w:lvlJc w:val="left"/>
      <w:lvlText w:val="(%1)"/>
      <w:numFmt w:val="lowerLetter"/>
      <w:start w:val="2"/>
    </w:lvl>
  </w:abstractNum>
  <w:abstractNum w:abstractNumId="41">
    <w:nsid w:val="25A70BF7"/>
    <w:multiLevelType w:val="hybridMultilevel"/>
    <w:lvl w:ilvl="0">
      <w:lvlJc w:val="left"/>
      <w:lvlText w:val="(%1)"/>
      <w:numFmt w:val="lowerLetter"/>
      <w:start w:val="61"/>
    </w:lvl>
    <w:lvl w:ilvl="1">
      <w:lvlJc w:val="left"/>
      <w:lvlText w:val="(%2)"/>
      <w:numFmt w:val="lowerLetter"/>
      <w:start w:val="3"/>
    </w:lvl>
    <w:lvl w:ilvl="2">
      <w:lvlJc w:val="left"/>
      <w:lvlText w:val="(%3)"/>
      <w:numFmt w:val="lowerLetter"/>
      <w:start w:val="9"/>
    </w:lvl>
  </w:abstractNum>
  <w:abstractNum w:abstractNumId="42">
    <w:nsid w:val="1DBABF00"/>
    <w:multiLevelType w:val="hybridMultilevel"/>
    <w:lvl w:ilvl="0">
      <w:lvlJc w:val="left"/>
      <w:lvlText w:val="%1"/>
      <w:numFmt w:val="lowerLetter"/>
      <w:start w:val="1"/>
    </w:lvl>
    <w:lvl w:ilvl="1">
      <w:lvlJc w:val="left"/>
      <w:lvlText w:val="(%2)"/>
      <w:numFmt w:val="lowerRoman"/>
      <w:start w:val="2"/>
    </w:lvl>
  </w:abstractNum>
  <w:abstractNum w:abstractNumId="43">
    <w:nsid w:val="4AD084E9"/>
    <w:multiLevelType w:val="hybridMultilevel"/>
    <w:lvl w:ilvl="0">
      <w:lvlJc w:val="left"/>
      <w:lvlText w:val="(%1)"/>
      <w:numFmt w:val="lowerLetter"/>
      <w:start w:val="25"/>
    </w:lvl>
    <w:lvl w:ilvl="1">
      <w:lvlJc w:val="left"/>
      <w:lvlText w:val="%2"/>
      <w:numFmt w:val="lowerRoman"/>
      <w:start w:val="1"/>
    </w:lvl>
  </w:abstractNum>
  <w:abstractNum w:abstractNumId="44">
    <w:nsid w:val="1F48EAA1"/>
    <w:multiLevelType w:val="hybridMultilevel"/>
    <w:lvl w:ilvl="0">
      <w:lvlJc w:val="left"/>
      <w:lvlText w:val="(%1)"/>
      <w:numFmt w:val="lowerRoman"/>
      <w:start w:val="3"/>
    </w:lvl>
  </w:abstractNum>
  <w:abstractNum w:abstractNumId="45">
    <w:nsid w:val="1381823A"/>
    <w:multiLevelType w:val="hybridMultilevel"/>
    <w:lvl w:ilvl="0">
      <w:lvlJc w:val="left"/>
      <w:lvlText w:val="(%1)"/>
      <w:numFmt w:val="lowerLetter"/>
      <w:start w:val="61"/>
    </w:lvl>
    <w:lvl w:ilvl="1">
      <w:lvlJc w:val="left"/>
      <w:lvlText w:val="(%2)"/>
      <w:numFmt w:val="lowerLetter"/>
      <w:start w:val="6"/>
    </w:lvl>
  </w:abstractNum>
  <w:abstractNum w:abstractNumId="46">
    <w:nsid w:val="5DB70AE5"/>
    <w:multiLevelType w:val="hybridMultilevel"/>
    <w:lvl w:ilvl="0">
      <w:lvlJc w:val="left"/>
      <w:lvlText w:val="(%1)"/>
      <w:numFmt w:val="lowerLetter"/>
      <w:start w:val="1"/>
    </w:lvl>
  </w:abstractNum>
  <w:abstractNum w:abstractNumId="47">
    <w:nsid w:val="100F8FCA"/>
    <w:multiLevelType w:val="hybridMultilevel"/>
    <w:lvl w:ilvl="0">
      <w:lvlJc w:val="left"/>
      <w:lvlText w:val="(%1)"/>
      <w:numFmt w:val="lowerLetter"/>
      <w:start w:val="5"/>
    </w:lvl>
  </w:abstractNum>
  <w:abstractNum w:abstractNumId="48">
    <w:nsid w:val="6590700B"/>
    <w:multiLevelType w:val="hybridMultilevel"/>
    <w:lvl w:ilvl="0">
      <w:lvlJc w:val="left"/>
      <w:lvlText w:val="(%1)"/>
      <w:numFmt w:val="lowerLetter"/>
      <w:start w:val="9"/>
    </w:lvl>
  </w:abstractNum>
  <w:abstractNum w:abstractNumId="49">
    <w:nsid w:val="15014ACB"/>
    <w:multiLevelType w:val="hybridMultilevel"/>
    <w:lvl w:ilvl="0">
      <w:lvlJc w:val="left"/>
      <w:lvlText w:val="(%1)"/>
      <w:numFmt w:val="lowerLetter"/>
      <w:start w:val="13"/>
    </w:lvl>
  </w:abstractNum>
  <w:abstractNum w:abstractNumId="50">
    <w:nsid w:val="5F5E7FD0"/>
    <w:multiLevelType w:val="hybridMultilevel"/>
    <w:lvl w:ilvl="0">
      <w:lvlJc w:val="left"/>
      <w:lvlText w:val="(%1)"/>
      <w:numFmt w:val="lowerLetter"/>
      <w:start w:val="1"/>
    </w:lvl>
  </w:abstractNum>
  <w:abstractNum w:abstractNumId="51">
    <w:nsid w:val="98A3148"/>
    <w:multiLevelType w:val="hybridMultilevel"/>
    <w:lvl w:ilvl="0">
      <w:lvlJc w:val="left"/>
      <w:lvlText w:val="(%1)"/>
      <w:numFmt w:val="lowerLetter"/>
      <w:start w:val="2"/>
    </w:lvl>
    <w:lvl w:ilvl="1">
      <w:lvlJc w:val="left"/>
      <w:lvlText w:val="(%2)"/>
      <w:numFmt w:val="lowerRoman"/>
      <w:start w:val="1"/>
    </w:lvl>
  </w:abstractNum>
  <w:abstractNum w:abstractNumId="52">
    <w:nsid w:val="799D0247"/>
    <w:multiLevelType w:val="hybridMultilevel"/>
    <w:lvl w:ilvl="0">
      <w:lvlJc w:val="left"/>
      <w:lvlText w:val="(%1)"/>
      <w:numFmt w:val="lowerLetter"/>
      <w:start w:val="3"/>
    </w:lvl>
  </w:abstractNum>
  <w:abstractNum w:abstractNumId="53">
    <w:nsid w:val="6B94764"/>
    <w:multiLevelType w:val="hybridMultilevel"/>
    <w:lvl w:ilvl="0">
      <w:lvlJc w:val="left"/>
      <w:lvlText w:val="(%1)"/>
      <w:numFmt w:val="lowerLetter"/>
      <w:start w:val="1"/>
    </w:lvl>
  </w:abstractNum>
  <w:abstractNum w:abstractNumId="54">
    <w:nsid w:val="42C296BD"/>
    <w:multiLevelType w:val="hybridMultilevel"/>
    <w:lvl w:ilvl="0">
      <w:lvlJc w:val="left"/>
      <w:lvlText w:val="(%1)"/>
      <w:numFmt w:val="lowerLetter"/>
      <w:start w:val="2"/>
    </w:lvl>
  </w:abstractNum>
  <w:abstractNum w:abstractNumId="55">
    <w:nsid w:val="168E121F"/>
    <w:multiLevelType w:val="hybridMultilevel"/>
    <w:lvl w:ilvl="0">
      <w:lvlJc w:val="left"/>
      <w:lvlText w:val="(%1)"/>
      <w:numFmt w:val="lowerLetter"/>
      <w:start w:val="4"/>
    </w:lvl>
  </w:abstractNum>
  <w:abstractNum w:abstractNumId="56">
    <w:nsid w:val="1EBA5D23"/>
    <w:multiLevelType w:val="hybridMultilevel"/>
    <w:lvl w:ilvl="0">
      <w:lvlJc w:val="left"/>
      <w:lvlText w:val="(%1)"/>
      <w:numFmt w:val="lowerLetter"/>
      <w:start w:val="1"/>
    </w:lvl>
  </w:abstractNum>
  <w:abstractNum w:abstractNumId="57">
    <w:nsid w:val="661E3F1E"/>
    <w:multiLevelType w:val="hybridMultilevel"/>
    <w:lvl w:ilvl="0">
      <w:lvlJc w:val="left"/>
      <w:lvlText w:val="(%1)"/>
      <w:numFmt w:val="lowerLetter"/>
      <w:start w:val="3"/>
    </w:lvl>
  </w:abstractNum>
  <w:abstractNum w:abstractNumId="58">
    <w:nsid w:val="5DC79EA8"/>
    <w:multiLevelType w:val="hybridMultilevel"/>
    <w:lvl w:ilvl="0">
      <w:lvlJc w:val="left"/>
      <w:lvlText w:val="(%1)"/>
      <w:numFmt w:val="lowerLetter"/>
      <w:start w:val="5"/>
    </w:lvl>
  </w:abstractNum>
  <w:abstractNum w:abstractNumId="59">
    <w:nsid w:val="540A471C"/>
    <w:multiLevelType w:val="hybridMultilevel"/>
    <w:lvl w:ilvl="0">
      <w:lvlJc w:val="left"/>
      <w:lvlText w:val="(%1)"/>
      <w:numFmt w:val="lowerLetter"/>
      <w:start w:val="6"/>
    </w:lvl>
  </w:abstractNum>
  <w:abstractNum w:abstractNumId="60">
    <w:nsid w:val="7BD3EE7B"/>
    <w:multiLevelType w:val="hybridMultilevel"/>
    <w:lvl w:ilvl="0">
      <w:lvlJc w:val="left"/>
      <w:lvlText w:val="(%1)"/>
      <w:numFmt w:val="lowerRoman"/>
      <w:start w:val="2"/>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1)"/>
      <w:numFmt w:val="lowerLetter"/>
      <w:start w:val="1"/>
    </w:lvl>
  </w:abstractNum>
  <w:abstractNum w:abstractNumId="63">
    <w:nsid w:val="BF72B14"/>
    <w:multiLevelType w:val="hybridMultilevel"/>
    <w:lvl w:ilvl="0">
      <w:lvlJc w:val="left"/>
      <w:lvlText w:val="(%1)"/>
      <w:numFmt w:val="lowerLetter"/>
      <w:start w:val="2"/>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
      <w:numFmt w:val="bullet"/>
      <w:start w:val="1"/>
    </w:lvl>
    <w:lvl w:ilvl="1">
      <w:lvlJc w:val="left"/>
      <w:lvlText w:val="*"/>
      <w:numFmt w:val="bullet"/>
      <w:start w:val="1"/>
    </w:lvl>
  </w:abstractNum>
  <w:abstractNum w:abstractNumId="67">
    <w:nsid w:val="8F2B15E"/>
    <w:multiLevelType w:val="hybridMultilevel"/>
    <w:lvl w:ilvl="0">
      <w:lvlJc w:val="left"/>
      <w:lvlText w:val="-"/>
      <w:numFmt w:val="bullet"/>
      <w:start w:val="1"/>
    </w:lvl>
    <w:lvl w:ilvl="1">
      <w:lvlJc w:val="left"/>
      <w:lvlText w:val="**"/>
      <w:numFmt w:val="bullet"/>
      <w:start w:val="1"/>
    </w:lvl>
  </w:abstractNum>
  <w:abstractNum w:abstractNumId="68">
    <w:nsid w:val="1A32234B"/>
    <w:multiLevelType w:val="hybridMultilevel"/>
    <w:lvl w:ilvl="0">
      <w:lvlJc w:val="left"/>
      <w:lvlText w:val="["/>
      <w:numFmt w:val="bullet"/>
      <w:start w:val="1"/>
    </w:lvl>
  </w:abstractNum>
  <w:abstractNum w:abstractNumId="69">
    <w:nsid w:val="3B0FD379"/>
    <w:multiLevelType w:val="hybridMultilevel"/>
    <w:lvl w:ilvl="0">
      <w:lvlJc w:val="left"/>
      <w:lvlText w:val="["/>
      <w:numFmt w:val="bullet"/>
      <w:start w:val="1"/>
    </w:lvl>
  </w:abstractNum>
  <w:abstractNum w:abstractNumId="70">
    <w:nsid w:val="68EB2F63"/>
    <w:multiLevelType w:val="hybridMultilevel"/>
    <w:lvl w:ilvl="0">
      <w:lvlJc w:val="left"/>
      <w:lvlText w:val="["/>
      <w:numFmt w:val="bullet"/>
      <w:start w:val="1"/>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1)"/>
      <w:numFmt w:val="lowerRoman"/>
      <w:start w:val="1"/>
    </w:lvl>
  </w:abstractNum>
  <w:abstractNum w:abstractNumId="73">
    <w:nsid w:val="6A5EE64"/>
    <w:multiLevelType w:val="hybridMultilevel"/>
    <w:lvl w:ilvl="0">
      <w:lvlJc w:val="left"/>
      <w:lvlText w:val="-"/>
      <w:numFmt w:val="bullet"/>
      <w:start w:val="1"/>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
      <w:numFmt w:val="bullet"/>
      <w:start w:val="1"/>
    </w:lvl>
  </w:abstractNum>
  <w:abstractNum w:abstractNumId="80">
    <w:nsid w:val="6EB5BD4"/>
    <w:multiLevelType w:val="hybridMultilevel"/>
    <w:lvl w:ilvl="0">
      <w:lvlJc w:val="left"/>
      <w:lvlText w:val="%1."/>
      <w:numFmt w:val="decimal"/>
      <w:start w:val="1"/>
    </w:lvl>
  </w:abstractNum>
  <w:abstractNum w:abstractNumId="81">
    <w:nsid w:val="6F6DD9AC"/>
    <w:multiLevelType w:val="hybridMultilevel"/>
    <w:lvl w:ilvl="0">
      <w:lvlJc w:val="left"/>
      <w:lvlText w:val="(%1)"/>
      <w:numFmt w:val="lowerRoman"/>
      <w:start w:val="3"/>
    </w:lvl>
  </w:abstractNum>
  <w:abstractNum w:abstractNumId="82">
    <w:nsid w:val="94211F2"/>
    <w:multiLevelType w:val="hybridMultilevel"/>
    <w:lvl w:ilvl="0">
      <w:lvlJc w:val="left"/>
      <w:lvlText w:val="%1."/>
      <w:numFmt w:val="decimal"/>
      <w:start w:val="2"/>
    </w:lvl>
    <w:lvl w:ilvl="1">
      <w:lvlJc w:val="left"/>
      <w:lvlText w:val="(%2)"/>
      <w:numFmt w:val="lowerRoman"/>
      <w:start w:val="1"/>
    </w:lvl>
  </w:abstractNum>
  <w:abstractNum w:abstractNumId="83">
    <w:nsid w:val="885E1B"/>
    <w:multiLevelType w:val="hybridMultilevel"/>
    <w:lvl w:ilvl="0">
      <w:lvlJc w:val="left"/>
      <w:lvlText w:val="%1."/>
      <w:numFmt w:val="decimal"/>
      <w:start w:val="3"/>
    </w:lvl>
  </w:abstractNum>
  <w:abstractNum w:abstractNumId="84">
    <w:nsid w:val="76272110"/>
    <w:multiLevelType w:val="hybridMultilevel"/>
    <w:lvl w:ilvl="0">
      <w:lvlJc w:val="left"/>
      <w:lvlText w:val="%1."/>
      <w:numFmt w:val="decimal"/>
      <w:start w:val="5"/>
    </w:lvl>
  </w:abstractNum>
  <w:abstractNum w:abstractNumId="85">
    <w:nsid w:val="4C04A8AF"/>
    <w:multiLevelType w:val="hybridMultilevel"/>
    <w:lvl w:ilvl="0">
      <w:lvlJc w:val="left"/>
      <w:lvlText w:val="%1."/>
      <w:numFmt w:val="decimal"/>
      <w:start w:val="6"/>
    </w:lvl>
  </w:abstractNum>
  <w:abstractNum w:abstractNumId="86">
    <w:nsid w:val="1716703B"/>
    <w:multiLevelType w:val="hybridMultilevel"/>
    <w:lvl w:ilvl="0">
      <w:lvlJc w:val="left"/>
      <w:lvlText w:val="%1."/>
      <w:numFmt w:val="decimal"/>
      <w:start w:val="1"/>
    </w:lvl>
  </w:abstractNum>
  <w:abstractNum w:abstractNumId="87">
    <w:nsid w:val="14E17E33"/>
    <w:multiLevelType w:val="hybridMultilevel"/>
    <w:lvl w:ilvl="0">
      <w:lvlJc w:val="left"/>
      <w:lvlText w:val="["/>
      <w:numFmt w:val="bullet"/>
      <w:start w:val="1"/>
    </w:lvl>
  </w:abstractNum>
  <w:abstractNum w:abstractNumId="88">
    <w:nsid w:val="3222E7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2020-02-27T12:49:15Z</dcterms:created>
  <dcterms:modified xsi:type="dcterms:W3CDTF">2020-02-27T12:49:15Z</dcterms:modified>
</cp:coreProperties>
</file>