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7"/>
          <w:szCs w:val="17"/>
          <w:color w:val="auto"/>
        </w:rPr>
        <w:t>United States Securities and</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Exchange Commission</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Washington, D.C. 20549</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SCHEDULE 14A</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(Rule 14a-101)</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INFORMATION REQUIRED IN PROXY STATEMENT</w:t>
      </w:r>
    </w:p>
    <w:p>
      <w:pPr>
        <w:spacing w:after="0" w:line="265"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SCHEDULE 14A INFORMATION</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Proxy Statement Pursuant to Section 14(a) of the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Securities Exchange Act of 1934 (Amendment No. )</w:t>
      </w:r>
    </w:p>
    <w:p>
      <w:pPr>
        <w:sectPr>
          <w:pgSz w:w="11900" w:h="16838" w:orient="portrait"/>
          <w:cols w:equalWidth="0" w:num="1">
            <w:col w:w="11360"/>
          </w:cols>
          <w:pgMar w:left="240" w:top="475" w:right="299" w:bottom="1440" w:gutter="0" w:footer="0" w:header="0"/>
        </w:sectPr>
      </w:pPr>
    </w:p>
    <w:p>
      <w:pPr>
        <w:spacing w:after="0" w:line="261"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 [X]</w:t>
      </w:r>
    </w:p>
    <w:p>
      <w:pPr>
        <w:spacing w:after="0" w:line="42"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4"/>
          <w:szCs w:val="24"/>
          <w:color w:val="auto"/>
        </w:rPr>
      </w:pPr>
    </w:p>
    <w:p>
      <w:pPr>
        <w:sectPr>
          <w:pgSz w:w="11900" w:h="16838" w:orient="portrait"/>
          <w:cols w:equalWidth="0" w:num="2">
            <w:col w:w="2940" w:space="120"/>
            <w:col w:w="8300"/>
          </w:cols>
          <w:pgMar w:left="240" w:top="475" w:right="299" w:bottom="1440" w:gutter="0" w:footer="0" w:header="0"/>
          <w:type w:val="continuous"/>
        </w:sectPr>
      </w:pPr>
    </w:p>
    <w:p>
      <w:pPr>
        <w:spacing w:after="0" w:line="8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42" w:lineRule="exact"/>
        <w:rPr>
          <w:sz w:val="24"/>
          <w:szCs w:val="24"/>
          <w:color w:val="auto"/>
        </w:rPr>
      </w:pPr>
    </w:p>
    <w:p>
      <w:pPr>
        <w:spacing w:after="0"/>
        <w:tabs>
          <w:tab w:leader="none" w:pos="52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Preliminary Proxy Statement</w:t>
      </w:r>
    </w:p>
    <w:p>
      <w:pPr>
        <w:spacing w:after="0" w:line="29" w:lineRule="exact"/>
        <w:rPr>
          <w:sz w:val="24"/>
          <w:szCs w:val="24"/>
          <w:color w:val="auto"/>
        </w:rPr>
      </w:pPr>
    </w:p>
    <w:p>
      <w:pPr>
        <w:spacing w:after="0"/>
        <w:tabs>
          <w:tab w:leader="none" w:pos="52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Confidential, For Use of the</w:t>
      </w:r>
    </w:p>
    <w:p>
      <w:pPr>
        <w:spacing w:after="0" w:line="22" w:lineRule="exact"/>
        <w:rPr>
          <w:sz w:val="24"/>
          <w:szCs w:val="24"/>
          <w:color w:val="auto"/>
        </w:rPr>
      </w:pPr>
    </w:p>
    <w:p>
      <w:pPr>
        <w:ind w:left="540"/>
        <w:spacing w:after="0"/>
        <w:rPr>
          <w:sz w:val="20"/>
          <w:szCs w:val="20"/>
          <w:color w:val="auto"/>
        </w:rPr>
      </w:pPr>
      <w:r>
        <w:rPr>
          <w:rFonts w:ascii="Arial" w:cs="Arial" w:eastAsia="Arial" w:hAnsi="Arial"/>
          <w:sz w:val="15"/>
          <w:szCs w:val="15"/>
          <w:color w:val="auto"/>
        </w:rPr>
        <w:t>Commission Only (as permitted</w:t>
      </w:r>
    </w:p>
    <w:p>
      <w:pPr>
        <w:spacing w:after="0" w:line="39" w:lineRule="exact"/>
        <w:rPr>
          <w:sz w:val="24"/>
          <w:szCs w:val="24"/>
          <w:color w:val="auto"/>
        </w:rPr>
      </w:pPr>
    </w:p>
    <w:p>
      <w:pPr>
        <w:ind w:left="540"/>
        <w:spacing w:after="0"/>
        <w:rPr>
          <w:sz w:val="20"/>
          <w:szCs w:val="20"/>
          <w:color w:val="auto"/>
        </w:rPr>
      </w:pPr>
      <w:r>
        <w:rPr>
          <w:rFonts w:ascii="Arial" w:cs="Arial" w:eastAsia="Arial" w:hAnsi="Arial"/>
          <w:sz w:val="17"/>
          <w:szCs w:val="17"/>
          <w:color w:val="auto"/>
        </w:rPr>
        <w:t>by Rule 14a-6(e)(2))</w:t>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spacing w:after="0"/>
        <w:rPr>
          <w:sz w:val="20"/>
          <w:szCs w:val="20"/>
          <w:color w:val="auto"/>
        </w:rPr>
      </w:pPr>
      <w:r>
        <w:rPr>
          <w:rFonts w:ascii="Arial" w:cs="Arial" w:eastAsia="Arial" w:hAnsi="Arial"/>
          <w:sz w:val="16"/>
          <w:szCs w:val="16"/>
          <w:color w:val="auto"/>
        </w:rPr>
        <w:t>[  ] Soliciting Material Under Rule 14a-12</w:t>
      </w:r>
    </w:p>
    <w:p>
      <w:pPr>
        <w:spacing w:after="0" w:line="688" w:lineRule="exact"/>
        <w:rPr>
          <w:sz w:val="24"/>
          <w:szCs w:val="24"/>
          <w:color w:val="auto"/>
        </w:rPr>
      </w:pPr>
    </w:p>
    <w:p>
      <w:pPr>
        <w:sectPr>
          <w:pgSz w:w="11900" w:h="16838" w:orient="portrait"/>
          <w:cols w:equalWidth="0" w:num="2">
            <w:col w:w="2740" w:space="440"/>
            <w:col w:w="8180"/>
          </w:cols>
          <w:pgMar w:left="240" w:top="475" w:right="299" w:bottom="1440" w:gutter="0" w:footer="0" w:header="0"/>
          <w:type w:val="continuous"/>
        </w:sectPr>
      </w:pPr>
    </w:p>
    <w:p>
      <w:pPr>
        <w:ind w:left="540" w:hanging="534"/>
        <w:spacing w:after="0"/>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Definitive Proxy Statement</w:t>
      </w:r>
    </w:p>
    <w:p>
      <w:pPr>
        <w:spacing w:after="0" w:line="42" w:lineRule="exact"/>
        <w:rPr>
          <w:sz w:val="24"/>
          <w:szCs w:val="24"/>
          <w:color w:val="auto"/>
        </w:rPr>
      </w:pPr>
    </w:p>
    <w:p>
      <w:pPr>
        <w:spacing w:after="0"/>
        <w:tabs>
          <w:tab w:leader="none" w:pos="52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6"/>
          <w:szCs w:val="16"/>
          <w:color w:val="auto"/>
        </w:rPr>
        <w:t>Definitive Additional Materials</w:t>
      </w:r>
    </w:p>
    <w:p>
      <w:pPr>
        <w:spacing w:after="0" w:line="280"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221615</wp:posOffset>
            </wp:positionH>
            <wp:positionV relativeFrom="paragraph">
              <wp:posOffset>24130</wp:posOffset>
            </wp:positionV>
            <wp:extent cx="68218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21805" cy="8255"/>
                    </a:xfrm>
                    <a:prstGeom prst="rect">
                      <a:avLst/>
                    </a:prstGeom>
                    <a:noFill/>
                  </pic:spPr>
                </pic:pic>
              </a:graphicData>
            </a:graphic>
          </wp:anchor>
        </w:drawing>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221615</wp:posOffset>
            </wp:positionH>
            <wp:positionV relativeFrom="paragraph">
              <wp:posOffset>325755</wp:posOffset>
            </wp:positionV>
            <wp:extent cx="68218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2180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80"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42" w:lineRule="exact"/>
        <w:rPr>
          <w:sz w:val="24"/>
          <w:szCs w:val="24"/>
          <w:color w:val="auto"/>
        </w:rPr>
      </w:pPr>
    </w:p>
    <w:p>
      <w:pPr>
        <w:ind w:left="520" w:hanging="501"/>
        <w:spacing w:after="0"/>
        <w:tabs>
          <w:tab w:leader="none" w:pos="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No fee required.</w:t>
      </w:r>
    </w:p>
    <w:p>
      <w:pPr>
        <w:spacing w:after="0" w:line="42" w:lineRule="exact"/>
        <w:rPr>
          <w:sz w:val="24"/>
          <w:szCs w:val="24"/>
          <w:color w:val="auto"/>
        </w:rPr>
      </w:pPr>
    </w:p>
    <w:p>
      <w:pPr>
        <w:ind w:left="200" w:hanging="186"/>
        <w:spacing w:after="0"/>
        <w:tabs>
          <w:tab w:leader="none" w:pos="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   Fee computed on table below per Exchange Act Rules 14a-6(i)(4) and 0-11.</w:t>
      </w:r>
    </w:p>
    <w:p>
      <w:pPr>
        <w:spacing w:after="0" w:line="42" w:lineRule="exact"/>
        <w:rPr>
          <w:rFonts w:ascii="Arial" w:cs="Arial" w:eastAsia="Arial" w:hAnsi="Arial"/>
          <w:sz w:val="17"/>
          <w:szCs w:val="17"/>
          <w:color w:val="auto"/>
        </w:rPr>
      </w:pPr>
    </w:p>
    <w:p>
      <w:pPr>
        <w:ind w:left="980" w:hanging="457"/>
        <w:spacing w:after="0"/>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319" w:lineRule="exact"/>
        <w:rPr>
          <w:rFonts w:ascii="Arial" w:cs="Arial" w:eastAsia="Arial" w:hAnsi="Arial"/>
          <w:sz w:val="17"/>
          <w:szCs w:val="17"/>
          <w:color w:val="auto"/>
        </w:rPr>
      </w:pPr>
    </w:p>
    <w:p>
      <w:pPr>
        <w:ind w:left="980" w:hanging="457"/>
        <w:spacing w:after="0"/>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93" w:lineRule="exact"/>
        <w:rPr>
          <w:rFonts w:ascii="Arial" w:cs="Arial" w:eastAsia="Arial" w:hAnsi="Arial"/>
          <w:sz w:val="17"/>
          <w:szCs w:val="17"/>
          <w:color w:val="auto"/>
        </w:rPr>
      </w:pPr>
    </w:p>
    <w:p>
      <w:pPr>
        <w:ind w:left="980" w:right="180" w:hanging="457"/>
        <w:spacing w:after="0" w:line="318" w:lineRule="auto"/>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8" w:lineRule="exact"/>
        <w:rPr>
          <w:rFonts w:ascii="Arial" w:cs="Arial" w:eastAsia="Arial" w:hAnsi="Arial"/>
          <w:sz w:val="17"/>
          <w:szCs w:val="17"/>
          <w:color w:val="auto"/>
        </w:rPr>
      </w:pPr>
    </w:p>
    <w:p>
      <w:pPr>
        <w:ind w:left="980" w:hanging="457"/>
        <w:spacing w:after="0"/>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93" w:lineRule="exact"/>
        <w:rPr>
          <w:rFonts w:ascii="Arial" w:cs="Arial" w:eastAsia="Arial" w:hAnsi="Arial"/>
          <w:sz w:val="17"/>
          <w:szCs w:val="17"/>
          <w:color w:val="auto"/>
        </w:rPr>
      </w:pPr>
    </w:p>
    <w:p>
      <w:pPr>
        <w:ind w:left="980" w:hanging="457"/>
        <w:spacing w:after="0"/>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624840</wp:posOffset>
            </wp:positionH>
            <wp:positionV relativeFrom="paragraph">
              <wp:posOffset>174625</wp:posOffset>
            </wp:positionV>
            <wp:extent cx="6628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28765" cy="8255"/>
                    </a:xfrm>
                    <a:prstGeom prst="rect">
                      <a:avLst/>
                    </a:prstGeom>
                    <a:noFill/>
                  </pic:spPr>
                </pic:pic>
              </a:graphicData>
            </a:graphic>
          </wp:anchor>
        </w:drawing>
        <w:drawing>
          <wp:anchor simplePos="0" relativeHeight="251657728" behindDoc="1" locked="0" layoutInCell="0" allowOverlap="1">
            <wp:simplePos x="0" y="0"/>
            <wp:positionH relativeFrom="column">
              <wp:posOffset>624840</wp:posOffset>
            </wp:positionH>
            <wp:positionV relativeFrom="paragraph">
              <wp:posOffset>-134620</wp:posOffset>
            </wp:positionV>
            <wp:extent cx="6628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28765" cy="8255"/>
                    </a:xfrm>
                    <a:prstGeom prst="rect">
                      <a:avLst/>
                    </a:prstGeom>
                    <a:noFill/>
                  </pic:spPr>
                </pic:pic>
              </a:graphicData>
            </a:graphic>
          </wp:anchor>
        </w:drawing>
        <w:drawing>
          <wp:anchor simplePos="0" relativeHeight="251657728" behindDoc="1" locked="0" layoutInCell="0" allowOverlap="1">
            <wp:simplePos x="0" y="0"/>
            <wp:positionH relativeFrom="column">
              <wp:posOffset>624840</wp:posOffset>
            </wp:positionH>
            <wp:positionV relativeFrom="paragraph">
              <wp:posOffset>-445135</wp:posOffset>
            </wp:positionV>
            <wp:extent cx="6628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28765" cy="8255"/>
                    </a:xfrm>
                    <a:prstGeom prst="rect">
                      <a:avLst/>
                    </a:prstGeom>
                    <a:noFill/>
                  </pic:spPr>
                </pic:pic>
              </a:graphicData>
            </a:graphic>
          </wp:anchor>
        </w:drawing>
        <w:drawing>
          <wp:anchor simplePos="0" relativeHeight="251657728" behindDoc="1" locked="0" layoutInCell="0" allowOverlap="1">
            <wp:simplePos x="0" y="0"/>
            <wp:positionH relativeFrom="column">
              <wp:posOffset>624840</wp:posOffset>
            </wp:positionH>
            <wp:positionV relativeFrom="paragraph">
              <wp:posOffset>-906780</wp:posOffset>
            </wp:positionV>
            <wp:extent cx="6628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28765" cy="8255"/>
                    </a:xfrm>
                    <a:prstGeom prst="rect">
                      <a:avLst/>
                    </a:prstGeom>
                    <a:noFill/>
                  </pic:spPr>
                </pic:pic>
              </a:graphicData>
            </a:graphic>
          </wp:anchor>
        </w:drawing>
        <w:drawing>
          <wp:anchor simplePos="0" relativeHeight="251657728" behindDoc="1" locked="0" layoutInCell="0" allowOverlap="1">
            <wp:simplePos x="0" y="0"/>
            <wp:positionH relativeFrom="column">
              <wp:posOffset>624840</wp:posOffset>
            </wp:positionH>
            <wp:positionV relativeFrom="paragraph">
              <wp:posOffset>-1217295</wp:posOffset>
            </wp:positionV>
            <wp:extent cx="6628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28765" cy="8255"/>
                    </a:xfrm>
                    <a:prstGeom prst="rect">
                      <a:avLst/>
                    </a:prstGeom>
                    <a:noFill/>
                  </pic:spPr>
                </pic:pic>
              </a:graphicData>
            </a:graphic>
          </wp:anchor>
        </w:drawing>
      </w:r>
    </w:p>
    <w:p>
      <w:pPr>
        <w:spacing w:after="0" w:line="260" w:lineRule="exact"/>
        <w:rPr>
          <w:sz w:val="24"/>
          <w:szCs w:val="24"/>
          <w:color w:val="auto"/>
        </w:rPr>
      </w:pPr>
    </w:p>
    <w:p>
      <w:pPr>
        <w:ind w:left="20"/>
        <w:spacing w:after="0"/>
        <w:tabs>
          <w:tab w:leader="none" w:pos="5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Fee paid previously with preliminary materials:</w:t>
      </w:r>
    </w:p>
    <w:p>
      <w:pPr>
        <w:spacing w:after="0" w:line="29" w:lineRule="exact"/>
        <w:rPr>
          <w:sz w:val="24"/>
          <w:szCs w:val="24"/>
          <w:color w:val="auto"/>
        </w:rPr>
      </w:pPr>
    </w:p>
    <w:p>
      <w:pPr>
        <w:ind w:left="520" w:hanging="506"/>
        <w:spacing w:after="0" w:line="267" w:lineRule="auto"/>
        <w:tabs>
          <w:tab w:leader="none" w:pos="199" w:val="left"/>
        </w:tabs>
        <w:numPr>
          <w:ilvl w:val="0"/>
          <w:numId w:val="4"/>
        </w:numPr>
        <w:rPr>
          <w:rFonts w:ascii="Arial" w:cs="Arial" w:eastAsia="Arial" w:hAnsi="Arial"/>
          <w:sz w:val="17"/>
          <w:szCs w:val="17"/>
          <w:color w:val="auto"/>
        </w:rPr>
      </w:pPr>
      <w:r>
        <w:rPr>
          <w:rFonts w:ascii="Arial" w:cs="Arial" w:eastAsia="Arial" w:hAnsi="Arial"/>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7"/>
          <w:szCs w:val="17"/>
          <w:color w:val="auto"/>
        </w:rPr>
      </w:pPr>
    </w:p>
    <w:p>
      <w:pPr>
        <w:ind w:left="980" w:hanging="459"/>
        <w:spacing w:after="0"/>
        <w:tabs>
          <w:tab w:leader="none" w:pos="980" w:val="left"/>
        </w:tabs>
        <w:numPr>
          <w:ilvl w:val="1"/>
          <w:numId w:val="4"/>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372" w:lineRule="exact"/>
        <w:rPr>
          <w:rFonts w:ascii="Arial" w:cs="Arial" w:eastAsia="Arial" w:hAnsi="Arial"/>
          <w:sz w:val="17"/>
          <w:szCs w:val="17"/>
          <w:color w:val="auto"/>
        </w:rPr>
      </w:pPr>
    </w:p>
    <w:p>
      <w:pPr>
        <w:ind w:left="980" w:hanging="459"/>
        <w:spacing w:after="0"/>
        <w:tabs>
          <w:tab w:leader="none" w:pos="980" w:val="left"/>
        </w:tabs>
        <w:numPr>
          <w:ilvl w:val="1"/>
          <w:numId w:val="4"/>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306" w:lineRule="exact"/>
        <w:rPr>
          <w:rFonts w:ascii="Arial" w:cs="Arial" w:eastAsia="Arial" w:hAnsi="Arial"/>
          <w:sz w:val="17"/>
          <w:szCs w:val="17"/>
          <w:color w:val="auto"/>
        </w:rPr>
      </w:pPr>
    </w:p>
    <w:p>
      <w:pPr>
        <w:ind w:left="980" w:hanging="459"/>
        <w:spacing w:after="0"/>
        <w:tabs>
          <w:tab w:leader="none" w:pos="980" w:val="left"/>
        </w:tabs>
        <w:numPr>
          <w:ilvl w:val="1"/>
          <w:numId w:val="4"/>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306" w:lineRule="exact"/>
        <w:rPr>
          <w:rFonts w:ascii="Arial" w:cs="Arial" w:eastAsia="Arial" w:hAnsi="Arial"/>
          <w:sz w:val="17"/>
          <w:szCs w:val="17"/>
          <w:color w:val="auto"/>
        </w:rPr>
      </w:pPr>
    </w:p>
    <w:p>
      <w:pPr>
        <w:ind w:left="980" w:hanging="459"/>
        <w:spacing w:after="0"/>
        <w:tabs>
          <w:tab w:leader="none" w:pos="980" w:val="left"/>
        </w:tabs>
        <w:numPr>
          <w:ilvl w:val="1"/>
          <w:numId w:val="4"/>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624840</wp:posOffset>
            </wp:positionH>
            <wp:positionV relativeFrom="paragraph">
              <wp:posOffset>174625</wp:posOffset>
            </wp:positionV>
            <wp:extent cx="6628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8765" cy="8255"/>
                    </a:xfrm>
                    <a:prstGeom prst="rect">
                      <a:avLst/>
                    </a:prstGeom>
                    <a:noFill/>
                  </pic:spPr>
                </pic:pic>
              </a:graphicData>
            </a:graphic>
          </wp:anchor>
        </w:drawing>
        <w:drawing>
          <wp:anchor simplePos="0" relativeHeight="251657728" behindDoc="1" locked="0" layoutInCell="0" allowOverlap="1">
            <wp:simplePos x="0" y="0"/>
            <wp:positionH relativeFrom="column">
              <wp:posOffset>624840</wp:posOffset>
            </wp:positionH>
            <wp:positionV relativeFrom="paragraph">
              <wp:posOffset>-134620</wp:posOffset>
            </wp:positionV>
            <wp:extent cx="6628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8765" cy="8255"/>
                    </a:xfrm>
                    <a:prstGeom prst="rect">
                      <a:avLst/>
                    </a:prstGeom>
                    <a:noFill/>
                  </pic:spPr>
                </pic:pic>
              </a:graphicData>
            </a:graphic>
          </wp:anchor>
        </w:drawing>
        <w:drawing>
          <wp:anchor simplePos="0" relativeHeight="251657728" behindDoc="1" locked="0" layoutInCell="0" allowOverlap="1">
            <wp:simplePos x="0" y="0"/>
            <wp:positionH relativeFrom="column">
              <wp:posOffset>624840</wp:posOffset>
            </wp:positionH>
            <wp:positionV relativeFrom="paragraph">
              <wp:posOffset>-454025</wp:posOffset>
            </wp:positionV>
            <wp:extent cx="6628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28765" cy="8255"/>
                    </a:xfrm>
                    <a:prstGeom prst="rect">
                      <a:avLst/>
                    </a:prstGeom>
                    <a:noFill/>
                  </pic:spPr>
                </pic:pic>
              </a:graphicData>
            </a:graphic>
          </wp:anchor>
        </w:drawing>
        <w:drawing>
          <wp:anchor simplePos="0" relativeHeight="251657728" behindDoc="1" locked="0" layoutInCell="0" allowOverlap="1">
            <wp:simplePos x="0" y="0"/>
            <wp:positionH relativeFrom="column">
              <wp:posOffset>624840</wp:posOffset>
            </wp:positionH>
            <wp:positionV relativeFrom="paragraph">
              <wp:posOffset>-772795</wp:posOffset>
            </wp:positionV>
            <wp:extent cx="66287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876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399415</wp:posOffset>
            </wp:positionV>
            <wp:extent cx="727075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360"/>
          </w:cols>
          <w:pgMar w:left="240" w:top="475" w:right="29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21"/>
          <w:szCs w:val="21"/>
          <w:b w:val="1"/>
          <w:bCs w:val="1"/>
          <w:color w:val="auto"/>
        </w:rPr>
        <w:t>NOTICE OF ANNUAL MEETING OF STOCKHOLDERS</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April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429895</wp:posOffset>
            </wp:positionV>
            <wp:extent cx="7253605" cy="541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541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Dear Stockholder:</w:t>
      </w:r>
    </w:p>
    <w:p>
      <w:pPr>
        <w:spacing w:after="0" w:line="214" w:lineRule="exact"/>
        <w:rPr>
          <w:sz w:val="20"/>
          <w:szCs w:val="20"/>
          <w:color w:val="auto"/>
        </w:rPr>
      </w:pPr>
    </w:p>
    <w:p>
      <w:pPr>
        <w:ind w:right="260"/>
        <w:spacing w:after="0" w:line="255" w:lineRule="auto"/>
        <w:rPr>
          <w:sz w:val="20"/>
          <w:szCs w:val="20"/>
          <w:color w:val="auto"/>
        </w:rPr>
      </w:pPr>
      <w:r>
        <w:rPr>
          <w:rFonts w:ascii="Arial" w:cs="Arial" w:eastAsia="Arial" w:hAnsi="Arial"/>
          <w:sz w:val="17"/>
          <w:szCs w:val="17"/>
          <w:color w:val="auto"/>
        </w:rPr>
        <w:t>You are cordially invited to attend the 2015 annual meeting of stockholders on Thursday, April 16, 2015, at the cafeteria on our property at 12500 TI Boulevard, Dallas, Texas, at 9:00 a.m. (Central time). At the meeting we will consider and act upon the following matters:</w:t>
      </w:r>
    </w:p>
    <w:p>
      <w:pPr>
        <w:spacing w:after="0" w:line="192" w:lineRule="exact"/>
        <w:rPr>
          <w:sz w:val="20"/>
          <w:szCs w:val="20"/>
          <w:color w:val="auto"/>
        </w:rPr>
      </w:pPr>
    </w:p>
    <w:p>
      <w:pPr>
        <w:ind w:left="520" w:hanging="241"/>
        <w:spacing w:after="0"/>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election of directors for the next year,</w:t>
      </w:r>
    </w:p>
    <w:p>
      <w:pPr>
        <w:spacing w:after="0" w:line="15" w:lineRule="exact"/>
        <w:rPr>
          <w:rFonts w:ascii="Arial" w:cs="Arial" w:eastAsia="Arial" w:hAnsi="Arial"/>
          <w:sz w:val="17"/>
          <w:szCs w:val="17"/>
          <w:color w:val="auto"/>
        </w:rPr>
      </w:pPr>
    </w:p>
    <w:p>
      <w:pPr>
        <w:ind w:left="520" w:hanging="241"/>
        <w:spacing w:after="0"/>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advisory approval of the company’s executive compensation,</w:t>
      </w:r>
    </w:p>
    <w:p>
      <w:pPr>
        <w:spacing w:after="0" w:line="15" w:lineRule="exact"/>
        <w:rPr>
          <w:rFonts w:ascii="Arial" w:cs="Arial" w:eastAsia="Arial" w:hAnsi="Arial"/>
          <w:sz w:val="17"/>
          <w:szCs w:val="17"/>
          <w:color w:val="auto"/>
        </w:rPr>
      </w:pPr>
    </w:p>
    <w:p>
      <w:pPr>
        <w:ind w:left="520" w:hanging="241"/>
        <w:spacing w:after="0"/>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ratification of the appointment of Ernst &amp; Young LLP as the company’s independent registered public accounting firm for 2015, and</w:t>
      </w:r>
    </w:p>
    <w:p>
      <w:pPr>
        <w:spacing w:after="0" w:line="15" w:lineRule="exact"/>
        <w:rPr>
          <w:rFonts w:ascii="Arial" w:cs="Arial" w:eastAsia="Arial" w:hAnsi="Arial"/>
          <w:sz w:val="17"/>
          <w:szCs w:val="17"/>
          <w:color w:val="auto"/>
        </w:rPr>
      </w:pPr>
    </w:p>
    <w:p>
      <w:pPr>
        <w:ind w:left="520" w:hanging="241"/>
        <w:spacing w:after="0"/>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such other matters as may properly come before the meeting.</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Stockholders of record at the close of business on February 17, 2015, are entitled to vote at the annual meeting.</w:t>
      </w:r>
    </w:p>
    <w:p>
      <w:pPr>
        <w:spacing w:after="0" w:line="194" w:lineRule="exact"/>
        <w:rPr>
          <w:sz w:val="20"/>
          <w:szCs w:val="20"/>
          <w:color w:val="auto"/>
        </w:rPr>
      </w:pPr>
    </w:p>
    <w:p>
      <w:pPr>
        <w:ind w:right="640"/>
        <w:spacing w:after="0" w:line="280" w:lineRule="auto"/>
        <w:rPr>
          <w:sz w:val="20"/>
          <w:szCs w:val="20"/>
          <w:color w:val="auto"/>
        </w:rPr>
      </w:pPr>
      <w:r>
        <w:rPr>
          <w:rFonts w:ascii="Arial" w:cs="Arial" w:eastAsia="Arial" w:hAnsi="Arial"/>
          <w:sz w:val="17"/>
          <w:szCs w:val="17"/>
          <w:b w:val="1"/>
          <w:bCs w:val="1"/>
          <w:color w:val="auto"/>
        </w:rPr>
        <w:t>We urge you to vote your shares as promptly as possible by: (1) accessing the Internet website, (2) calling the toll-free number or (3) signing, dating and mailing the enclosed proxy.</w:t>
      </w:r>
    </w:p>
    <w:p>
      <w:pPr>
        <w:spacing w:after="0" w:line="185" w:lineRule="exact"/>
        <w:rPr>
          <w:sz w:val="20"/>
          <w:szCs w:val="20"/>
          <w:color w:val="auto"/>
        </w:rPr>
      </w:pPr>
    </w:p>
    <w:p>
      <w:pPr>
        <w:ind w:left="824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5231130</wp:posOffset>
            </wp:positionH>
            <wp:positionV relativeFrom="paragraph">
              <wp:posOffset>16510</wp:posOffset>
            </wp:positionV>
            <wp:extent cx="2021840" cy="587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21840" cy="58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240"/>
        <w:spacing w:after="0"/>
        <w:rPr>
          <w:sz w:val="20"/>
          <w:szCs w:val="20"/>
          <w:color w:val="auto"/>
        </w:rPr>
      </w:pPr>
      <w:r>
        <w:rPr>
          <w:rFonts w:ascii="Arial" w:cs="Arial" w:eastAsia="Arial" w:hAnsi="Arial"/>
          <w:sz w:val="17"/>
          <w:szCs w:val="17"/>
          <w:color w:val="auto"/>
        </w:rPr>
        <w:t>Joseph F. Hubach</w:t>
      </w:r>
    </w:p>
    <w:p>
      <w:pPr>
        <w:spacing w:after="0" w:line="42" w:lineRule="exact"/>
        <w:rPr>
          <w:sz w:val="20"/>
          <w:szCs w:val="20"/>
          <w:color w:val="auto"/>
        </w:rPr>
      </w:pPr>
    </w:p>
    <w:p>
      <w:pPr>
        <w:ind w:left="8240"/>
        <w:spacing w:after="0"/>
        <w:rPr>
          <w:sz w:val="20"/>
          <w:szCs w:val="20"/>
          <w:color w:val="auto"/>
        </w:rPr>
      </w:pPr>
      <w:r>
        <w:rPr>
          <w:rFonts w:ascii="Arial" w:cs="Arial" w:eastAsia="Arial" w:hAnsi="Arial"/>
          <w:sz w:val="17"/>
          <w:szCs w:val="17"/>
          <w:color w:val="auto"/>
        </w:rPr>
        <w:t>Senior Vice President,</w:t>
      </w:r>
    </w:p>
    <w:p>
      <w:pPr>
        <w:spacing w:after="0" w:line="42" w:lineRule="exact"/>
        <w:rPr>
          <w:sz w:val="20"/>
          <w:szCs w:val="20"/>
          <w:color w:val="auto"/>
        </w:rPr>
      </w:pPr>
    </w:p>
    <w:p>
      <w:pPr>
        <w:ind w:left="8240"/>
        <w:spacing w:after="0"/>
        <w:rPr>
          <w:sz w:val="20"/>
          <w:szCs w:val="20"/>
          <w:color w:val="auto"/>
        </w:rPr>
      </w:pPr>
      <w:r>
        <w:rPr>
          <w:rFonts w:ascii="Arial" w:cs="Arial" w:eastAsia="Arial" w:hAnsi="Arial"/>
          <w:sz w:val="17"/>
          <w:szCs w:val="17"/>
          <w:color w:val="auto"/>
        </w:rPr>
        <w:t>Secretary and</w:t>
      </w:r>
    </w:p>
    <w:p>
      <w:pPr>
        <w:spacing w:after="0" w:line="42" w:lineRule="exact"/>
        <w:rPr>
          <w:sz w:val="20"/>
          <w:szCs w:val="20"/>
          <w:color w:val="auto"/>
        </w:rPr>
      </w:pPr>
    </w:p>
    <w:p>
      <w:pPr>
        <w:ind w:left="8240"/>
        <w:spacing w:after="0"/>
        <w:rPr>
          <w:sz w:val="20"/>
          <w:szCs w:val="20"/>
          <w:color w:val="auto"/>
        </w:rPr>
      </w:pPr>
      <w:r>
        <w:rPr>
          <w:rFonts w:ascii="Arial" w:cs="Arial" w:eastAsia="Arial" w:hAnsi="Arial"/>
          <w:sz w:val="17"/>
          <w:szCs w:val="17"/>
          <w:color w:val="auto"/>
        </w:rPr>
        <w:t>General Counsel</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Dallas, Texas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March 4, 2015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300" w:type="dxa"/>
            <w:vAlign w:val="bottom"/>
          </w:tcPr>
          <w:p>
            <w:pPr>
              <w:ind w:left="4120"/>
              <w:spacing w:after="0"/>
              <w:rPr>
                <w:sz w:val="20"/>
                <w:szCs w:val="20"/>
                <w:color w:val="auto"/>
              </w:rPr>
            </w:pPr>
            <w:r>
              <w:rPr>
                <w:rFonts w:ascii="Arial" w:cs="Arial" w:eastAsia="Arial" w:hAnsi="Arial"/>
                <w:sz w:val="13"/>
                <w:szCs w:val="13"/>
                <w:color w:val="838383"/>
              </w:rPr>
              <w:t>TEXAS INSTRUMENTS ● 2015 PROXY STATEMENT</w:t>
            </w:r>
          </w:p>
        </w:tc>
        <w:tc>
          <w:tcPr>
            <w:tcW w:w="2140" w:type="dxa"/>
            <w:vAlign w:val="bottom"/>
          </w:tcPr>
          <w:p>
            <w:pPr>
              <w:jc w:val="right"/>
              <w:spacing w:after="0"/>
              <w:rPr>
                <w:sz w:val="20"/>
                <w:szCs w:val="20"/>
                <w:color w:val="auto"/>
              </w:rPr>
            </w:pPr>
            <w:r>
              <w:rPr>
                <w:rFonts w:ascii="Arial" w:cs="Arial" w:eastAsia="Arial" w:hAnsi="Arial"/>
                <w:sz w:val="13"/>
                <w:szCs w:val="13"/>
                <w:color w:val="838383"/>
              </w:rPr>
              <w:t>71</w:t>
            </w:r>
          </w:p>
        </w:tc>
      </w:tr>
      <w:tr>
        <w:trPr>
          <w:trHeight w:val="355"/>
        </w:trPr>
        <w:tc>
          <w:tcPr>
            <w:tcW w:w="930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56"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60" w:type="dxa"/>
            <w:vAlign w:val="bottom"/>
            <w:tcBorders>
              <w:bottom w:val="single" w:sz="8" w:color="0000EE"/>
            </w:tcBorders>
            <w:gridSpan w:val="16"/>
            <w:shd w:val="clear" w:color="auto" w:fill="E9E9E9"/>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Voting procedures and quorum</w:t>
              </w:r>
            </w:hyperlink>
          </w:p>
        </w:tc>
        <w:tc>
          <w:tcPr>
            <w:tcW w:w="2780" w:type="dxa"/>
            <w:vAlign w:val="bottom"/>
            <w:tcBorders>
              <w:bottom w:val="single" w:sz="8" w:color="E9E9E9"/>
            </w:tcBorders>
            <w:gridSpan w:val="12"/>
            <w:shd w:val="clear" w:color="auto" w:fill="E9E9E9"/>
          </w:tcPr>
          <w:p>
            <w:pPr>
              <w:spacing w:after="0"/>
              <w:rPr>
                <w:sz w:val="19"/>
                <w:szCs w:val="19"/>
                <w:color w:val="auto"/>
              </w:rPr>
            </w:pPr>
          </w:p>
        </w:tc>
        <w:tc>
          <w:tcPr>
            <w:tcW w:w="140" w:type="dxa"/>
            <w:vAlign w:val="bottom"/>
            <w:tcBorders>
              <w:bottom w:val="single" w:sz="8" w:color="E9E9E9"/>
            </w:tcBorders>
            <w:gridSpan w:val="2"/>
            <w:shd w:val="clear" w:color="auto" w:fill="E9E9E9"/>
          </w:tcPr>
          <w:p>
            <w:pPr>
              <w:spacing w:after="0"/>
              <w:rPr>
                <w:sz w:val="19"/>
                <w:szCs w:val="19"/>
                <w:color w:val="auto"/>
              </w:rPr>
            </w:pPr>
          </w:p>
        </w:tc>
        <w:tc>
          <w:tcPr>
            <w:tcW w:w="200" w:type="dxa"/>
            <w:vAlign w:val="bottom"/>
            <w:tcBorders>
              <w:bottom w:val="single" w:sz="8" w:color="0000EE"/>
            </w:tcBorders>
            <w:shd w:val="clear" w:color="auto" w:fill="E9E9E9"/>
          </w:tcPr>
          <w:p>
            <w:pPr>
              <w:jc w:val="right"/>
              <w:spacing w:after="0"/>
              <w:rPr>
                <w:rFonts w:ascii="Arial" w:cs="Arial" w:eastAsia="Arial" w:hAnsi="Arial"/>
                <w:sz w:val="17"/>
                <w:szCs w:val="17"/>
                <w:color w:val="0000EE"/>
                <w:w w:val="94"/>
              </w:rPr>
            </w:pPr>
            <w:hyperlink w:anchor="page3">
              <w:r>
                <w:rPr>
                  <w:rFonts w:ascii="Arial" w:cs="Arial" w:eastAsia="Arial" w:hAnsi="Arial"/>
                  <w:sz w:val="17"/>
                  <w:szCs w:val="17"/>
                  <w:color w:val="0000EE"/>
                  <w:w w:val="94"/>
                </w:rPr>
                <w:t>72</w:t>
              </w:r>
            </w:hyperlink>
          </w:p>
        </w:tc>
        <w:tc>
          <w:tcPr>
            <w:tcW w:w="240" w:type="dxa"/>
            <w:vAlign w:val="bottom"/>
          </w:tcPr>
          <w:p>
            <w:pPr>
              <w:spacing w:after="0"/>
              <w:rPr>
                <w:sz w:val="19"/>
                <w:szCs w:val="19"/>
                <w:color w:val="auto"/>
              </w:rPr>
            </w:pPr>
          </w:p>
        </w:tc>
        <w:tc>
          <w:tcPr>
            <w:tcW w:w="1760" w:type="dxa"/>
            <w:vAlign w:val="bottom"/>
            <w:tcBorders>
              <w:bottom w:val="single" w:sz="8" w:color="0000EE"/>
            </w:tcBorders>
            <w:gridSpan w:val="7"/>
            <w:shd w:val="clear" w:color="auto" w:fill="E9E9E9"/>
          </w:tcPr>
          <w:p>
            <w:pPr>
              <w:spacing w:after="0"/>
              <w:rPr>
                <w:rFonts w:ascii="Arial" w:cs="Arial" w:eastAsia="Arial" w:hAnsi="Arial"/>
                <w:sz w:val="17"/>
                <w:szCs w:val="17"/>
                <w:color w:val="0000EE"/>
                <w:w w:val="99"/>
              </w:rPr>
            </w:pPr>
            <w:hyperlink w:anchor="page41">
              <w:r>
                <w:rPr>
                  <w:rFonts w:ascii="Arial" w:cs="Arial" w:eastAsia="Arial" w:hAnsi="Arial"/>
                  <w:sz w:val="17"/>
                  <w:szCs w:val="17"/>
                  <w:color w:val="0000EE"/>
                  <w:w w:val="99"/>
                </w:rPr>
                <w:t>Audit Committee report</w:t>
              </w:r>
            </w:hyperlink>
          </w:p>
        </w:tc>
        <w:tc>
          <w:tcPr>
            <w:tcW w:w="3660" w:type="dxa"/>
            <w:vAlign w:val="bottom"/>
            <w:tcBorders>
              <w:bottom w:val="single" w:sz="8" w:color="E9E9E9"/>
            </w:tcBorders>
            <w:gridSpan w:val="15"/>
            <w:shd w:val="clear" w:color="auto" w:fill="E9E9E9"/>
          </w:tcPr>
          <w:p>
            <w:pPr>
              <w:spacing w:after="0"/>
              <w:rPr>
                <w:sz w:val="19"/>
                <w:szCs w:val="19"/>
                <w:color w:val="auto"/>
              </w:rPr>
            </w:pPr>
          </w:p>
        </w:tc>
        <w:tc>
          <w:tcPr>
            <w:tcW w:w="280" w:type="dxa"/>
            <w:vAlign w:val="bottom"/>
            <w:tcBorders>
              <w:bottom w:val="single" w:sz="8" w:color="0000EE"/>
            </w:tcBorders>
            <w:shd w:val="clear" w:color="auto" w:fill="E9E9E9"/>
          </w:tcPr>
          <w:p>
            <w:pPr>
              <w:jc w:val="right"/>
              <w:spacing w:after="0"/>
              <w:rPr>
                <w:rFonts w:ascii="Arial" w:cs="Arial" w:eastAsia="Arial" w:hAnsi="Arial"/>
                <w:sz w:val="17"/>
                <w:szCs w:val="17"/>
                <w:color w:val="0000EE"/>
                <w:w w:val="91"/>
              </w:rPr>
            </w:pPr>
            <w:hyperlink w:anchor="page41">
              <w:r>
                <w:rPr>
                  <w:rFonts w:ascii="Arial" w:cs="Arial" w:eastAsia="Arial" w:hAnsi="Arial"/>
                  <w:sz w:val="17"/>
                  <w:szCs w:val="17"/>
                  <w:color w:val="0000EE"/>
                  <w:w w:val="91"/>
                </w:rPr>
                <w:t>110</w:t>
              </w:r>
            </w:hyperlink>
          </w:p>
        </w:tc>
      </w:tr>
      <w:tr>
        <w:trPr>
          <w:trHeight w:val="185"/>
        </w:trPr>
        <w:tc>
          <w:tcPr>
            <w:tcW w:w="5140" w:type="dxa"/>
            <w:vAlign w:val="bottom"/>
            <w:gridSpan w:val="28"/>
          </w:tcPr>
          <w:p>
            <w:pPr>
              <w:spacing w:after="0" w:line="185" w:lineRule="exact"/>
              <w:rPr>
                <w:rFonts w:ascii="Arial" w:cs="Arial" w:eastAsia="Arial" w:hAnsi="Arial"/>
                <w:sz w:val="17"/>
                <w:szCs w:val="17"/>
                <w:color w:val="0000EE"/>
              </w:rPr>
            </w:pPr>
            <w:hyperlink w:anchor="page4">
              <w:r>
                <w:rPr>
                  <w:rFonts w:ascii="Arial" w:cs="Arial" w:eastAsia="Arial" w:hAnsi="Arial"/>
                  <w:sz w:val="17"/>
                  <w:szCs w:val="17"/>
                  <w:color w:val="0000EE"/>
                </w:rPr>
                <w:t>Election of directors</w:t>
              </w:r>
            </w:hyperlink>
          </w:p>
        </w:tc>
        <w:tc>
          <w:tcPr>
            <w:tcW w:w="580" w:type="dxa"/>
            <w:vAlign w:val="bottom"/>
            <w:gridSpan w:val="4"/>
          </w:tcPr>
          <w:p>
            <w:pPr>
              <w:jc w:val="right"/>
              <w:ind w:right="240"/>
              <w:spacing w:after="0" w:line="185" w:lineRule="exact"/>
              <w:rPr>
                <w:rFonts w:ascii="Arial" w:cs="Arial" w:eastAsia="Arial" w:hAnsi="Arial"/>
                <w:sz w:val="17"/>
                <w:szCs w:val="17"/>
                <w:color w:val="0000EE"/>
              </w:rPr>
            </w:pPr>
            <w:hyperlink w:anchor="page4">
              <w:r>
                <w:rPr>
                  <w:rFonts w:ascii="Arial" w:cs="Arial" w:eastAsia="Arial" w:hAnsi="Arial"/>
                  <w:sz w:val="17"/>
                  <w:szCs w:val="17"/>
                  <w:color w:val="0000EE"/>
                </w:rPr>
                <w:t>73</w:t>
              </w:r>
            </w:hyperlink>
          </w:p>
        </w:tc>
        <w:tc>
          <w:tcPr>
            <w:tcW w:w="5420" w:type="dxa"/>
            <w:vAlign w:val="bottom"/>
            <w:gridSpan w:val="22"/>
          </w:tcPr>
          <w:p>
            <w:pPr>
              <w:spacing w:after="0" w:line="185" w:lineRule="exact"/>
              <w:rPr>
                <w:rFonts w:ascii="Arial" w:cs="Arial" w:eastAsia="Arial" w:hAnsi="Arial"/>
                <w:sz w:val="17"/>
                <w:szCs w:val="17"/>
                <w:color w:val="0000EE"/>
              </w:rPr>
            </w:pPr>
            <w:hyperlink w:anchor="page42">
              <w:r>
                <w:rPr>
                  <w:rFonts w:ascii="Arial" w:cs="Arial" w:eastAsia="Arial" w:hAnsi="Arial"/>
                  <w:sz w:val="17"/>
                  <w:szCs w:val="17"/>
                  <w:color w:val="0000EE"/>
                </w:rPr>
                <w:t>Proposal to ratify appointment of independent</w:t>
              </w:r>
            </w:hyperlink>
          </w:p>
        </w:tc>
        <w:tc>
          <w:tcPr>
            <w:tcW w:w="280" w:type="dxa"/>
            <w:vAlign w:val="bottom"/>
          </w:tcPr>
          <w:p>
            <w:pPr>
              <w:spacing w:after="0"/>
              <w:rPr>
                <w:sz w:val="16"/>
                <w:szCs w:val="16"/>
                <w:color w:val="auto"/>
              </w:rPr>
            </w:pPr>
          </w:p>
        </w:tc>
      </w:tr>
      <w:tr>
        <w:trPr>
          <w:trHeight w:val="33"/>
        </w:trPr>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85"/>
        </w:trPr>
        <w:tc>
          <w:tcPr>
            <w:tcW w:w="240" w:type="dxa"/>
            <w:vAlign w:val="bottom"/>
            <w:shd w:val="clear" w:color="auto" w:fill="E9E9E9"/>
          </w:tcPr>
          <w:p>
            <w:pPr>
              <w:spacing w:after="0"/>
              <w:rPr>
                <w:sz w:val="16"/>
                <w:szCs w:val="16"/>
                <w:color w:val="auto"/>
              </w:rPr>
            </w:pPr>
          </w:p>
        </w:tc>
        <w:tc>
          <w:tcPr>
            <w:tcW w:w="4900" w:type="dxa"/>
            <w:vAlign w:val="bottom"/>
            <w:gridSpan w:val="27"/>
            <w:shd w:val="clear" w:color="auto" w:fill="E9E9E9"/>
          </w:tcPr>
          <w:p>
            <w:pPr>
              <w:spacing w:after="0" w:line="185" w:lineRule="exact"/>
              <w:rPr>
                <w:rFonts w:ascii="Arial" w:cs="Arial" w:eastAsia="Arial" w:hAnsi="Arial"/>
                <w:sz w:val="17"/>
                <w:szCs w:val="17"/>
                <w:color w:val="0000EE"/>
              </w:rPr>
            </w:pPr>
            <w:hyperlink w:anchor="page5">
              <w:r>
                <w:rPr>
                  <w:rFonts w:ascii="Arial" w:cs="Arial" w:eastAsia="Arial" w:hAnsi="Arial"/>
                  <w:sz w:val="17"/>
                  <w:szCs w:val="17"/>
                  <w:color w:val="0000EE"/>
                </w:rPr>
                <w:t>Nominees for directorship</w:t>
              </w:r>
            </w:hyperlink>
          </w:p>
        </w:tc>
        <w:tc>
          <w:tcPr>
            <w:tcW w:w="340" w:type="dxa"/>
            <w:vAlign w:val="bottom"/>
            <w:gridSpan w:val="3"/>
            <w:shd w:val="clear" w:color="auto" w:fill="E9E9E9"/>
          </w:tcPr>
          <w:p>
            <w:pPr>
              <w:jc w:val="right"/>
              <w:spacing w:after="0" w:line="185" w:lineRule="exact"/>
              <w:rPr>
                <w:rFonts w:ascii="Arial" w:cs="Arial" w:eastAsia="Arial" w:hAnsi="Arial"/>
                <w:sz w:val="17"/>
                <w:szCs w:val="17"/>
                <w:color w:val="0000EE"/>
              </w:rPr>
            </w:pPr>
            <w:hyperlink w:anchor="page5">
              <w:r>
                <w:rPr>
                  <w:rFonts w:ascii="Arial" w:cs="Arial" w:eastAsia="Arial" w:hAnsi="Arial"/>
                  <w:sz w:val="17"/>
                  <w:szCs w:val="17"/>
                  <w:color w:val="0000EE"/>
                </w:rPr>
                <w:t>74</w:t>
              </w:r>
            </w:hyperlink>
          </w:p>
        </w:tc>
        <w:tc>
          <w:tcPr>
            <w:tcW w:w="240" w:type="dxa"/>
            <w:vAlign w:val="bottom"/>
          </w:tcPr>
          <w:p>
            <w:pPr>
              <w:spacing w:after="0"/>
              <w:rPr>
                <w:sz w:val="16"/>
                <w:szCs w:val="16"/>
                <w:color w:val="auto"/>
              </w:rPr>
            </w:pPr>
          </w:p>
        </w:tc>
        <w:tc>
          <w:tcPr>
            <w:tcW w:w="5420" w:type="dxa"/>
            <w:vAlign w:val="bottom"/>
            <w:gridSpan w:val="22"/>
          </w:tcPr>
          <w:p>
            <w:pPr>
              <w:ind w:left="240"/>
              <w:spacing w:after="0" w:line="185" w:lineRule="exact"/>
              <w:rPr>
                <w:rFonts w:ascii="Arial" w:cs="Arial" w:eastAsia="Arial" w:hAnsi="Arial"/>
                <w:sz w:val="17"/>
                <w:szCs w:val="17"/>
                <w:color w:val="0000EE"/>
              </w:rPr>
            </w:pPr>
            <w:hyperlink w:anchor="page42">
              <w:r>
                <w:rPr>
                  <w:rFonts w:ascii="Arial" w:cs="Arial" w:eastAsia="Arial" w:hAnsi="Arial"/>
                  <w:sz w:val="17"/>
                  <w:szCs w:val="17"/>
                  <w:color w:val="0000EE"/>
                </w:rPr>
                <w:t>registered public accounting firm</w:t>
              </w:r>
            </w:hyperlink>
          </w:p>
        </w:tc>
        <w:tc>
          <w:tcPr>
            <w:tcW w:w="280" w:type="dxa"/>
            <w:vAlign w:val="bottom"/>
          </w:tcPr>
          <w:p>
            <w:pPr>
              <w:jc w:val="right"/>
              <w:spacing w:after="0" w:line="185" w:lineRule="exact"/>
              <w:rPr>
                <w:rFonts w:ascii="Arial" w:cs="Arial" w:eastAsia="Arial" w:hAnsi="Arial"/>
                <w:sz w:val="17"/>
                <w:szCs w:val="17"/>
                <w:color w:val="0000EE"/>
                <w:w w:val="91"/>
              </w:rPr>
            </w:pPr>
            <w:hyperlink w:anchor="page42">
              <w:r>
                <w:rPr>
                  <w:rFonts w:ascii="Arial" w:cs="Arial" w:eastAsia="Arial" w:hAnsi="Arial"/>
                  <w:sz w:val="17"/>
                  <w:szCs w:val="17"/>
                  <w:color w:val="0000EE"/>
                  <w:w w:val="91"/>
                </w:rPr>
                <w:t>111</w:t>
              </w:r>
            </w:hyperlink>
          </w:p>
        </w:tc>
      </w:tr>
      <w:tr>
        <w:trPr>
          <w:trHeight w:val="33"/>
        </w:trPr>
        <w:tc>
          <w:tcPr>
            <w:tcW w:w="24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96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4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200" w:type="dxa"/>
            <w:vAlign w:val="bottom"/>
            <w:tcBorders>
              <w:top w:val="single" w:sz="8" w:color="E9E9E9"/>
            </w:tcBorders>
            <w:shd w:val="clear" w:color="auto" w:fill="E9E9E9"/>
          </w:tcPr>
          <w:p>
            <w:pPr>
              <w:spacing w:after="0"/>
              <w:rPr>
                <w:sz w:val="2"/>
                <w:szCs w:val="2"/>
                <w:color w:val="auto"/>
              </w:rPr>
            </w:pPr>
          </w:p>
        </w:tc>
        <w:tc>
          <w:tcPr>
            <w:tcW w:w="140" w:type="dxa"/>
            <w:vAlign w:val="bottom"/>
            <w:tcBorders>
              <w:top w:val="single" w:sz="8" w:color="E9E9E9"/>
            </w:tcBorders>
            <w:shd w:val="clear" w:color="auto" w:fill="E9E9E9"/>
          </w:tcPr>
          <w:p>
            <w:pPr>
              <w:spacing w:after="0"/>
              <w:rPr>
                <w:sz w:val="2"/>
                <w:szCs w:val="2"/>
                <w:color w:val="auto"/>
              </w:rPr>
            </w:pPr>
          </w:p>
        </w:tc>
        <w:tc>
          <w:tcPr>
            <w:tcW w:w="1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right w:val="single" w:sz="8" w:color="E9E9E9"/>
            </w:tcBorders>
            <w:shd w:val="clear" w:color="auto" w:fill="E9E9E9"/>
          </w:tcPr>
          <w:p>
            <w:pPr>
              <w:spacing w:after="0"/>
              <w:rPr>
                <w:sz w:val="2"/>
                <w:szCs w:val="2"/>
                <w:color w:val="auto"/>
              </w:rPr>
            </w:pPr>
          </w:p>
        </w:tc>
        <w:tc>
          <w:tcPr>
            <w:tcW w:w="18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580" w:type="dxa"/>
            <w:vAlign w:val="bottom"/>
            <w:tcBorders>
              <w:top w:val="single" w:sz="8" w:color="E9E9E9"/>
            </w:tcBorders>
            <w:shd w:val="clear" w:color="auto" w:fill="E9E9E9"/>
          </w:tcPr>
          <w:p>
            <w:pPr>
              <w:spacing w:after="0"/>
              <w:rPr>
                <w:sz w:val="2"/>
                <w:szCs w:val="2"/>
                <w:color w:val="auto"/>
              </w:rPr>
            </w:pPr>
          </w:p>
        </w:tc>
        <w:tc>
          <w:tcPr>
            <w:tcW w:w="10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100" w:type="dxa"/>
            <w:vAlign w:val="bottom"/>
            <w:tcBorders>
              <w:top w:val="single" w:sz="8" w:color="E9E9E9"/>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r>
      <w:tr>
        <w:trPr>
          <w:trHeight w:val="185"/>
        </w:trPr>
        <w:tc>
          <w:tcPr>
            <w:tcW w:w="240" w:type="dxa"/>
            <w:vAlign w:val="bottom"/>
          </w:tcPr>
          <w:p>
            <w:pPr>
              <w:spacing w:after="0"/>
              <w:rPr>
                <w:sz w:val="16"/>
                <w:szCs w:val="16"/>
                <w:color w:val="auto"/>
              </w:rPr>
            </w:pPr>
          </w:p>
        </w:tc>
        <w:tc>
          <w:tcPr>
            <w:tcW w:w="4900" w:type="dxa"/>
            <w:vAlign w:val="bottom"/>
            <w:gridSpan w:val="27"/>
          </w:tcPr>
          <w:p>
            <w:pPr>
              <w:spacing w:after="0" w:line="185" w:lineRule="exact"/>
              <w:rPr>
                <w:rFonts w:ascii="Arial" w:cs="Arial" w:eastAsia="Arial" w:hAnsi="Arial"/>
                <w:sz w:val="17"/>
                <w:szCs w:val="17"/>
                <w:color w:val="0000EE"/>
              </w:rPr>
            </w:pPr>
            <w:hyperlink w:anchor="page6">
              <w:r>
                <w:rPr>
                  <w:rFonts w:ascii="Arial" w:cs="Arial" w:eastAsia="Arial" w:hAnsi="Arial"/>
                  <w:sz w:val="17"/>
                  <w:szCs w:val="17"/>
                  <w:color w:val="0000EE"/>
                </w:rPr>
                <w:t>Director nomination process</w:t>
              </w:r>
            </w:hyperlink>
          </w:p>
        </w:tc>
        <w:tc>
          <w:tcPr>
            <w:tcW w:w="580" w:type="dxa"/>
            <w:vAlign w:val="bottom"/>
            <w:gridSpan w:val="4"/>
          </w:tcPr>
          <w:p>
            <w:pPr>
              <w:jc w:val="right"/>
              <w:ind w:right="240"/>
              <w:spacing w:after="0" w:line="185" w:lineRule="exact"/>
              <w:rPr>
                <w:rFonts w:ascii="Arial" w:cs="Arial" w:eastAsia="Arial" w:hAnsi="Arial"/>
                <w:sz w:val="17"/>
                <w:szCs w:val="17"/>
                <w:color w:val="0000EE"/>
              </w:rPr>
            </w:pPr>
            <w:hyperlink w:anchor="page6">
              <w:r>
                <w:rPr>
                  <w:rFonts w:ascii="Arial" w:cs="Arial" w:eastAsia="Arial" w:hAnsi="Arial"/>
                  <w:sz w:val="17"/>
                  <w:szCs w:val="17"/>
                  <w:color w:val="0000EE"/>
                </w:rPr>
                <w:t>75</w:t>
              </w:r>
            </w:hyperlink>
          </w:p>
        </w:tc>
        <w:tc>
          <w:tcPr>
            <w:tcW w:w="5420" w:type="dxa"/>
            <w:vAlign w:val="bottom"/>
            <w:gridSpan w:val="22"/>
            <w:shd w:val="clear" w:color="auto" w:fill="E9E9E9"/>
          </w:tcPr>
          <w:p>
            <w:pPr>
              <w:spacing w:after="0" w:line="185" w:lineRule="exact"/>
              <w:rPr>
                <w:rFonts w:ascii="Arial" w:cs="Arial" w:eastAsia="Arial" w:hAnsi="Arial"/>
                <w:sz w:val="17"/>
                <w:szCs w:val="17"/>
                <w:color w:val="0000EE"/>
              </w:rPr>
            </w:pPr>
            <w:hyperlink w:anchor="page43">
              <w:r>
                <w:rPr>
                  <w:rFonts w:ascii="Arial" w:cs="Arial" w:eastAsia="Arial" w:hAnsi="Arial"/>
                  <w:sz w:val="17"/>
                  <w:szCs w:val="17"/>
                  <w:color w:val="0000EE"/>
                </w:rPr>
                <w:t>Additional information</w:t>
              </w:r>
            </w:hyperlink>
          </w:p>
        </w:tc>
        <w:tc>
          <w:tcPr>
            <w:tcW w:w="280" w:type="dxa"/>
            <w:vAlign w:val="bottom"/>
            <w:shd w:val="clear" w:color="auto" w:fill="E9E9E9"/>
          </w:tcPr>
          <w:p>
            <w:pPr>
              <w:jc w:val="right"/>
              <w:spacing w:after="0" w:line="185" w:lineRule="exact"/>
              <w:rPr>
                <w:rFonts w:ascii="Arial" w:cs="Arial" w:eastAsia="Arial" w:hAnsi="Arial"/>
                <w:sz w:val="17"/>
                <w:szCs w:val="17"/>
                <w:color w:val="0000EE"/>
                <w:w w:val="91"/>
              </w:rPr>
            </w:pPr>
            <w:hyperlink w:anchor="page43">
              <w:r>
                <w:rPr>
                  <w:rFonts w:ascii="Arial" w:cs="Arial" w:eastAsia="Arial" w:hAnsi="Arial"/>
                  <w:sz w:val="17"/>
                  <w:szCs w:val="17"/>
                  <w:color w:val="0000EE"/>
                  <w:w w:val="91"/>
                </w:rPr>
                <w:t>112</w:t>
              </w:r>
            </w:hyperlink>
          </w:p>
        </w:tc>
      </w:tr>
      <w:tr>
        <w:trPr>
          <w:trHeight w:val="33"/>
        </w:trPr>
        <w:tc>
          <w:tcPr>
            <w:tcW w:w="2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86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120" w:type="dxa"/>
            <w:vAlign w:val="bottom"/>
            <w:tcBorders>
              <w:top w:val="single" w:sz="8" w:color="E9E9E9"/>
            </w:tcBorders>
            <w:shd w:val="clear" w:color="auto" w:fill="E9E9E9"/>
          </w:tcPr>
          <w:p>
            <w:pPr>
              <w:spacing w:after="0"/>
              <w:rPr>
                <w:sz w:val="2"/>
                <w:szCs w:val="2"/>
                <w:color w:val="auto"/>
              </w:rPr>
            </w:pPr>
          </w:p>
        </w:tc>
        <w:tc>
          <w:tcPr>
            <w:tcW w:w="200" w:type="dxa"/>
            <w:vAlign w:val="bottom"/>
            <w:tcBorders>
              <w:top w:val="single" w:sz="8" w:color="E9E9E9"/>
            </w:tcBorders>
            <w:shd w:val="clear" w:color="auto" w:fill="E9E9E9"/>
          </w:tcPr>
          <w:p>
            <w:pPr>
              <w:spacing w:after="0"/>
              <w:rPr>
                <w:sz w:val="2"/>
                <w:szCs w:val="2"/>
                <w:color w:val="auto"/>
              </w:rPr>
            </w:pPr>
          </w:p>
        </w:tc>
        <w:tc>
          <w:tcPr>
            <w:tcW w:w="420" w:type="dxa"/>
            <w:vAlign w:val="bottom"/>
            <w:tcBorders>
              <w:top w:val="single" w:sz="8" w:color="E9E9E9"/>
            </w:tcBorders>
            <w:shd w:val="clear" w:color="auto" w:fill="E9E9E9"/>
          </w:tcPr>
          <w:p>
            <w:pPr>
              <w:spacing w:after="0"/>
              <w:rPr>
                <w:sz w:val="2"/>
                <w:szCs w:val="2"/>
                <w:color w:val="auto"/>
              </w:rPr>
            </w:pPr>
          </w:p>
        </w:tc>
        <w:tc>
          <w:tcPr>
            <w:tcW w:w="120" w:type="dxa"/>
            <w:vAlign w:val="bottom"/>
            <w:tcBorders>
              <w:top w:val="single" w:sz="8" w:color="E9E9E9"/>
            </w:tcBorders>
            <w:shd w:val="clear" w:color="auto" w:fill="E9E9E9"/>
          </w:tcPr>
          <w:p>
            <w:pPr>
              <w:spacing w:after="0"/>
              <w:rPr>
                <w:sz w:val="2"/>
                <w:szCs w:val="2"/>
                <w:color w:val="auto"/>
              </w:rPr>
            </w:pPr>
          </w:p>
        </w:tc>
        <w:tc>
          <w:tcPr>
            <w:tcW w:w="12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160" w:type="dxa"/>
            <w:vAlign w:val="bottom"/>
            <w:tcBorders>
              <w:top w:val="single" w:sz="8" w:color="E9E9E9"/>
            </w:tcBorders>
            <w:shd w:val="clear" w:color="auto" w:fill="E9E9E9"/>
          </w:tcPr>
          <w:p>
            <w:pPr>
              <w:spacing w:after="0"/>
              <w:rPr>
                <w:sz w:val="2"/>
                <w:szCs w:val="2"/>
                <w:color w:val="auto"/>
              </w:rPr>
            </w:pPr>
          </w:p>
        </w:tc>
        <w:tc>
          <w:tcPr>
            <w:tcW w:w="3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100" w:type="dxa"/>
            <w:vAlign w:val="bottom"/>
            <w:tcBorders>
              <w:top w:val="single" w:sz="8" w:color="E9E9E9"/>
            </w:tcBorders>
            <w:shd w:val="clear" w:color="auto" w:fill="E9E9E9"/>
          </w:tcPr>
          <w:p>
            <w:pPr>
              <w:spacing w:after="0"/>
              <w:rPr>
                <w:sz w:val="2"/>
                <w:szCs w:val="2"/>
                <w:color w:val="auto"/>
              </w:rPr>
            </w:pPr>
          </w:p>
        </w:tc>
        <w:tc>
          <w:tcPr>
            <w:tcW w:w="12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160" w:type="dxa"/>
            <w:vAlign w:val="bottom"/>
            <w:tcBorders>
              <w:top w:val="single" w:sz="8" w:color="E9E9E9"/>
            </w:tcBorders>
            <w:shd w:val="clear" w:color="auto" w:fill="E9E9E9"/>
          </w:tcPr>
          <w:p>
            <w:pPr>
              <w:spacing w:after="0"/>
              <w:rPr>
                <w:sz w:val="2"/>
                <w:szCs w:val="2"/>
                <w:color w:val="auto"/>
              </w:rPr>
            </w:pPr>
          </w:p>
        </w:tc>
        <w:tc>
          <w:tcPr>
            <w:tcW w:w="140" w:type="dxa"/>
            <w:vAlign w:val="bottom"/>
            <w:tcBorders>
              <w:top w:val="single" w:sz="8" w:color="E9E9E9"/>
              <w:right w:val="single" w:sz="8" w:color="E9E9E9"/>
            </w:tcBorders>
            <w:shd w:val="clear" w:color="auto" w:fill="E9E9E9"/>
          </w:tcPr>
          <w:p>
            <w:pPr>
              <w:spacing w:after="0"/>
              <w:rPr>
                <w:sz w:val="2"/>
                <w:szCs w:val="2"/>
                <w:color w:val="auto"/>
              </w:rPr>
            </w:pPr>
          </w:p>
        </w:tc>
        <w:tc>
          <w:tcPr>
            <w:tcW w:w="1460" w:type="dxa"/>
            <w:vAlign w:val="bottom"/>
            <w:tcBorders>
              <w:top w:val="single" w:sz="8" w:color="E9E9E9"/>
            </w:tcBorders>
            <w:shd w:val="clear" w:color="auto" w:fill="E9E9E9"/>
          </w:tcPr>
          <w:p>
            <w:pPr>
              <w:spacing w:after="0"/>
              <w:rPr>
                <w:sz w:val="2"/>
                <w:szCs w:val="2"/>
                <w:color w:val="auto"/>
              </w:rPr>
            </w:pPr>
          </w:p>
        </w:tc>
        <w:tc>
          <w:tcPr>
            <w:tcW w:w="280" w:type="dxa"/>
            <w:vAlign w:val="bottom"/>
            <w:tcBorders>
              <w:top w:val="single" w:sz="8" w:color="0000EE"/>
            </w:tcBorders>
            <w:shd w:val="clear" w:color="auto" w:fill="E9E9E9"/>
          </w:tcPr>
          <w:p>
            <w:pPr>
              <w:spacing w:after="0"/>
              <w:rPr>
                <w:sz w:val="2"/>
                <w:szCs w:val="2"/>
                <w:color w:val="auto"/>
              </w:rPr>
            </w:pPr>
          </w:p>
        </w:tc>
      </w:tr>
      <w:tr>
        <w:trPr>
          <w:trHeight w:val="185"/>
        </w:trPr>
        <w:tc>
          <w:tcPr>
            <w:tcW w:w="240" w:type="dxa"/>
            <w:vAlign w:val="bottom"/>
            <w:shd w:val="clear" w:color="auto" w:fill="E9E9E9"/>
          </w:tcPr>
          <w:p>
            <w:pPr>
              <w:spacing w:after="0"/>
              <w:rPr>
                <w:sz w:val="16"/>
                <w:szCs w:val="16"/>
                <w:color w:val="auto"/>
              </w:rPr>
            </w:pPr>
          </w:p>
        </w:tc>
        <w:tc>
          <w:tcPr>
            <w:tcW w:w="4900" w:type="dxa"/>
            <w:vAlign w:val="bottom"/>
            <w:gridSpan w:val="27"/>
            <w:shd w:val="clear" w:color="auto" w:fill="E9E9E9"/>
          </w:tcPr>
          <w:p>
            <w:pPr>
              <w:spacing w:after="0" w:line="185" w:lineRule="exact"/>
              <w:rPr>
                <w:rFonts w:ascii="Arial" w:cs="Arial" w:eastAsia="Arial" w:hAnsi="Arial"/>
                <w:sz w:val="17"/>
                <w:szCs w:val="17"/>
                <w:color w:val="0000EE"/>
              </w:rPr>
            </w:pPr>
            <w:hyperlink w:anchor="page6">
              <w:r>
                <w:rPr>
                  <w:rFonts w:ascii="Arial" w:cs="Arial" w:eastAsia="Arial" w:hAnsi="Arial"/>
                  <w:sz w:val="17"/>
                  <w:szCs w:val="17"/>
                  <w:color w:val="0000EE"/>
                </w:rPr>
                <w:t>Board diversity and nominee qualifications</w:t>
              </w:r>
            </w:hyperlink>
          </w:p>
        </w:tc>
        <w:tc>
          <w:tcPr>
            <w:tcW w:w="340" w:type="dxa"/>
            <w:vAlign w:val="bottom"/>
            <w:gridSpan w:val="3"/>
            <w:shd w:val="clear" w:color="auto" w:fill="E9E9E9"/>
          </w:tcPr>
          <w:p>
            <w:pPr>
              <w:jc w:val="right"/>
              <w:spacing w:after="0" w:line="185" w:lineRule="exact"/>
              <w:rPr>
                <w:rFonts w:ascii="Arial" w:cs="Arial" w:eastAsia="Arial" w:hAnsi="Arial"/>
                <w:sz w:val="17"/>
                <w:szCs w:val="17"/>
                <w:color w:val="0000EE"/>
              </w:rPr>
            </w:pPr>
            <w:hyperlink w:anchor="page6">
              <w:r>
                <w:rPr>
                  <w:rFonts w:ascii="Arial" w:cs="Arial" w:eastAsia="Arial" w:hAnsi="Arial"/>
                  <w:sz w:val="17"/>
                  <w:szCs w:val="17"/>
                  <w:color w:val="0000EE"/>
                </w:rPr>
                <w:t>75</w:t>
              </w:r>
            </w:hyperlink>
          </w:p>
        </w:tc>
        <w:tc>
          <w:tcPr>
            <w:tcW w:w="240" w:type="dxa"/>
            <w:vAlign w:val="bottom"/>
          </w:tcPr>
          <w:p>
            <w:pPr>
              <w:spacing w:after="0"/>
              <w:rPr>
                <w:sz w:val="16"/>
                <w:szCs w:val="16"/>
                <w:color w:val="auto"/>
              </w:rPr>
            </w:pPr>
          </w:p>
        </w:tc>
        <w:tc>
          <w:tcPr>
            <w:tcW w:w="5420" w:type="dxa"/>
            <w:vAlign w:val="bottom"/>
            <w:gridSpan w:val="22"/>
          </w:tcPr>
          <w:p>
            <w:pPr>
              <w:ind w:left="240"/>
              <w:spacing w:after="0" w:line="185" w:lineRule="exact"/>
              <w:rPr>
                <w:rFonts w:ascii="Arial" w:cs="Arial" w:eastAsia="Arial" w:hAnsi="Arial"/>
                <w:sz w:val="17"/>
                <w:szCs w:val="17"/>
                <w:color w:val="0000EE"/>
              </w:rPr>
            </w:pPr>
            <w:hyperlink w:anchor="page43">
              <w:r>
                <w:rPr>
                  <w:rFonts w:ascii="Arial" w:cs="Arial" w:eastAsia="Arial" w:hAnsi="Arial"/>
                  <w:sz w:val="17"/>
                  <w:szCs w:val="17"/>
                  <w:color w:val="0000EE"/>
                </w:rPr>
                <w:t>Voting securities</w:t>
              </w:r>
            </w:hyperlink>
          </w:p>
        </w:tc>
        <w:tc>
          <w:tcPr>
            <w:tcW w:w="280" w:type="dxa"/>
            <w:vAlign w:val="bottom"/>
          </w:tcPr>
          <w:p>
            <w:pPr>
              <w:jc w:val="right"/>
              <w:spacing w:after="0" w:line="185" w:lineRule="exact"/>
              <w:rPr>
                <w:rFonts w:ascii="Arial" w:cs="Arial" w:eastAsia="Arial" w:hAnsi="Arial"/>
                <w:sz w:val="17"/>
                <w:szCs w:val="17"/>
                <w:color w:val="0000EE"/>
                <w:w w:val="91"/>
              </w:rPr>
            </w:pPr>
            <w:hyperlink w:anchor="page43">
              <w:r>
                <w:rPr>
                  <w:rFonts w:ascii="Arial" w:cs="Arial" w:eastAsia="Arial" w:hAnsi="Arial"/>
                  <w:sz w:val="17"/>
                  <w:szCs w:val="17"/>
                  <w:color w:val="0000EE"/>
                  <w:w w:val="91"/>
                </w:rPr>
                <w:t>112</w:t>
              </w:r>
            </w:hyperlink>
          </w:p>
        </w:tc>
      </w:tr>
      <w:tr>
        <w:trPr>
          <w:trHeight w:val="33"/>
        </w:trPr>
        <w:tc>
          <w:tcPr>
            <w:tcW w:w="24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96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4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4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180" w:type="dxa"/>
            <w:vAlign w:val="bottom"/>
            <w:tcBorders>
              <w:top w:val="single" w:sz="8" w:color="0000EE"/>
            </w:tcBorders>
            <w:shd w:val="clear" w:color="auto" w:fill="E9E9E9"/>
          </w:tcPr>
          <w:p>
            <w:pPr>
              <w:spacing w:after="0"/>
              <w:rPr>
                <w:sz w:val="2"/>
                <w:szCs w:val="2"/>
                <w:color w:val="auto"/>
              </w:rPr>
            </w:pPr>
          </w:p>
        </w:tc>
        <w:tc>
          <w:tcPr>
            <w:tcW w:w="40" w:type="dxa"/>
            <w:vAlign w:val="bottom"/>
            <w:tcBorders>
              <w:top w:val="single" w:sz="8" w:color="0000EE"/>
              <w:right w:val="single" w:sz="8" w:color="E9E9E9"/>
            </w:tcBorders>
            <w:shd w:val="clear" w:color="auto" w:fill="E9E9E9"/>
          </w:tcPr>
          <w:p>
            <w:pPr>
              <w:spacing w:after="0"/>
              <w:rPr>
                <w:sz w:val="2"/>
                <w:szCs w:val="2"/>
                <w:color w:val="auto"/>
              </w:rPr>
            </w:pPr>
          </w:p>
        </w:tc>
        <w:tc>
          <w:tcPr>
            <w:tcW w:w="18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580" w:type="dxa"/>
            <w:vAlign w:val="bottom"/>
            <w:tcBorders>
              <w:top w:val="single" w:sz="8" w:color="E9E9E9"/>
            </w:tcBorders>
            <w:shd w:val="clear" w:color="auto" w:fill="E9E9E9"/>
          </w:tcPr>
          <w:p>
            <w:pPr>
              <w:spacing w:after="0"/>
              <w:rPr>
                <w:sz w:val="2"/>
                <w:szCs w:val="2"/>
                <w:color w:val="auto"/>
              </w:rPr>
            </w:pPr>
          </w:p>
        </w:tc>
        <w:tc>
          <w:tcPr>
            <w:tcW w:w="10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100" w:type="dxa"/>
            <w:vAlign w:val="bottom"/>
            <w:tcBorders>
              <w:top w:val="single" w:sz="8" w:color="E9E9E9"/>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r>
      <w:tr>
        <w:trPr>
          <w:trHeight w:val="185"/>
        </w:trPr>
        <w:tc>
          <w:tcPr>
            <w:tcW w:w="240" w:type="dxa"/>
            <w:vAlign w:val="bottom"/>
          </w:tcPr>
          <w:p>
            <w:pPr>
              <w:spacing w:after="0"/>
              <w:rPr>
                <w:sz w:val="16"/>
                <w:szCs w:val="16"/>
                <w:color w:val="auto"/>
              </w:rPr>
            </w:pPr>
          </w:p>
        </w:tc>
        <w:tc>
          <w:tcPr>
            <w:tcW w:w="2420" w:type="dxa"/>
            <w:vAlign w:val="bottom"/>
            <w:gridSpan w:val="18"/>
          </w:tcPr>
          <w:p>
            <w:pPr>
              <w:spacing w:after="0" w:line="185" w:lineRule="exact"/>
              <w:rPr>
                <w:rFonts w:ascii="Arial" w:cs="Arial" w:eastAsia="Arial" w:hAnsi="Arial"/>
                <w:sz w:val="17"/>
                <w:szCs w:val="17"/>
                <w:color w:val="0000EE"/>
              </w:rPr>
            </w:pPr>
            <w:hyperlink w:anchor="page8">
              <w:r>
                <w:rPr>
                  <w:rFonts w:ascii="Arial" w:cs="Arial" w:eastAsia="Arial" w:hAnsi="Arial"/>
                  <w:sz w:val="17"/>
                  <w:szCs w:val="17"/>
                  <w:color w:val="0000EE"/>
                </w:rPr>
                <w:t>Communications with the board</w:t>
              </w:r>
            </w:hyperlink>
          </w:p>
        </w:tc>
        <w:tc>
          <w:tcPr>
            <w:tcW w:w="800" w:type="dxa"/>
            <w:vAlign w:val="bottom"/>
            <w:gridSpan w:val="6"/>
          </w:tcPr>
          <w:p>
            <w:pPr>
              <w:spacing w:after="0"/>
              <w:rPr>
                <w:sz w:val="16"/>
                <w:szCs w:val="16"/>
                <w:color w:val="auto"/>
              </w:rPr>
            </w:pPr>
          </w:p>
        </w:tc>
        <w:tc>
          <w:tcPr>
            <w:tcW w:w="1680" w:type="dxa"/>
            <w:vAlign w:val="bottom"/>
            <w:gridSpan w:val="3"/>
          </w:tcPr>
          <w:p>
            <w:pPr>
              <w:spacing w:after="0"/>
              <w:rPr>
                <w:sz w:val="16"/>
                <w:szCs w:val="16"/>
                <w:color w:val="auto"/>
              </w:rPr>
            </w:pPr>
          </w:p>
        </w:tc>
        <w:tc>
          <w:tcPr>
            <w:tcW w:w="140" w:type="dxa"/>
            <w:vAlign w:val="bottom"/>
            <w:gridSpan w:val="2"/>
          </w:tcPr>
          <w:p>
            <w:pPr>
              <w:spacing w:after="0"/>
              <w:rPr>
                <w:sz w:val="16"/>
                <w:szCs w:val="16"/>
                <w:color w:val="auto"/>
              </w:rPr>
            </w:pPr>
          </w:p>
        </w:tc>
        <w:tc>
          <w:tcPr>
            <w:tcW w:w="200" w:type="dxa"/>
            <w:vAlign w:val="bottom"/>
          </w:tcPr>
          <w:p>
            <w:pPr>
              <w:jc w:val="right"/>
              <w:spacing w:after="0" w:line="185" w:lineRule="exact"/>
              <w:rPr>
                <w:rFonts w:ascii="Arial" w:cs="Arial" w:eastAsia="Arial" w:hAnsi="Arial"/>
                <w:sz w:val="17"/>
                <w:szCs w:val="17"/>
                <w:color w:val="0000EE"/>
                <w:w w:val="94"/>
              </w:rPr>
            </w:pPr>
            <w:hyperlink w:anchor="page8">
              <w:r>
                <w:rPr>
                  <w:rFonts w:ascii="Arial" w:cs="Arial" w:eastAsia="Arial" w:hAnsi="Arial"/>
                  <w:sz w:val="17"/>
                  <w:szCs w:val="17"/>
                  <w:color w:val="0000EE"/>
                  <w:w w:val="94"/>
                </w:rPr>
                <w:t>77</w:t>
              </w:r>
            </w:hyperlink>
          </w:p>
        </w:tc>
        <w:tc>
          <w:tcPr>
            <w:tcW w:w="240" w:type="dxa"/>
            <w:vAlign w:val="bottom"/>
          </w:tcPr>
          <w:p>
            <w:pPr>
              <w:spacing w:after="0"/>
              <w:rPr>
                <w:sz w:val="16"/>
                <w:szCs w:val="16"/>
                <w:color w:val="auto"/>
              </w:rPr>
            </w:pPr>
          </w:p>
        </w:tc>
        <w:tc>
          <w:tcPr>
            <w:tcW w:w="5420" w:type="dxa"/>
            <w:vAlign w:val="bottom"/>
            <w:gridSpan w:val="22"/>
            <w:shd w:val="clear" w:color="auto" w:fill="E9E9E9"/>
          </w:tcPr>
          <w:p>
            <w:pPr>
              <w:ind w:left="240"/>
              <w:spacing w:after="0" w:line="185" w:lineRule="exact"/>
              <w:rPr>
                <w:rFonts w:ascii="Arial" w:cs="Arial" w:eastAsia="Arial" w:hAnsi="Arial"/>
                <w:sz w:val="17"/>
                <w:szCs w:val="17"/>
                <w:color w:val="0000EE"/>
              </w:rPr>
            </w:pPr>
            <w:hyperlink w:anchor="page43">
              <w:r>
                <w:rPr>
                  <w:rFonts w:ascii="Arial" w:cs="Arial" w:eastAsia="Arial" w:hAnsi="Arial"/>
                  <w:sz w:val="17"/>
                  <w:szCs w:val="17"/>
                  <w:color w:val="0000EE"/>
                </w:rPr>
                <w:t>Security ownership of certain beneficial owners</w:t>
              </w:r>
            </w:hyperlink>
          </w:p>
        </w:tc>
        <w:tc>
          <w:tcPr>
            <w:tcW w:w="280" w:type="dxa"/>
            <w:vAlign w:val="bottom"/>
            <w:shd w:val="clear" w:color="auto" w:fill="E9E9E9"/>
          </w:tcPr>
          <w:p>
            <w:pPr>
              <w:jc w:val="right"/>
              <w:spacing w:after="0" w:line="185" w:lineRule="exact"/>
              <w:rPr>
                <w:rFonts w:ascii="Arial" w:cs="Arial" w:eastAsia="Arial" w:hAnsi="Arial"/>
                <w:sz w:val="17"/>
                <w:szCs w:val="17"/>
                <w:color w:val="0000EE"/>
                <w:w w:val="91"/>
              </w:rPr>
            </w:pPr>
            <w:hyperlink w:anchor="page43">
              <w:r>
                <w:rPr>
                  <w:rFonts w:ascii="Arial" w:cs="Arial" w:eastAsia="Arial" w:hAnsi="Arial"/>
                  <w:sz w:val="17"/>
                  <w:szCs w:val="17"/>
                  <w:color w:val="0000EE"/>
                  <w:w w:val="91"/>
                </w:rPr>
                <w:t>112</w:t>
              </w:r>
            </w:hyperlink>
          </w:p>
        </w:tc>
      </w:tr>
      <w:tr>
        <w:trPr>
          <w:trHeight w:val="33"/>
        </w:trPr>
        <w:tc>
          <w:tcPr>
            <w:tcW w:w="2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86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120" w:type="dxa"/>
            <w:vAlign w:val="bottom"/>
            <w:tcBorders>
              <w:top w:val="single" w:sz="8" w:color="0000EE"/>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420" w:type="dxa"/>
            <w:vAlign w:val="bottom"/>
            <w:tcBorders>
              <w:top w:val="single" w:sz="8" w:color="0000EE"/>
            </w:tcBorders>
            <w:shd w:val="clear" w:color="auto" w:fill="E9E9E9"/>
          </w:tcPr>
          <w:p>
            <w:pPr>
              <w:spacing w:after="0"/>
              <w:rPr>
                <w:sz w:val="2"/>
                <w:szCs w:val="2"/>
                <w:color w:val="auto"/>
              </w:rPr>
            </w:pPr>
          </w:p>
        </w:tc>
        <w:tc>
          <w:tcPr>
            <w:tcW w:w="120" w:type="dxa"/>
            <w:vAlign w:val="bottom"/>
            <w:tcBorders>
              <w:top w:val="single" w:sz="8" w:color="0000EE"/>
            </w:tcBorders>
            <w:shd w:val="clear" w:color="auto" w:fill="E9E9E9"/>
          </w:tcPr>
          <w:p>
            <w:pPr>
              <w:spacing w:after="0"/>
              <w:rPr>
                <w:sz w:val="2"/>
                <w:szCs w:val="2"/>
                <w:color w:val="auto"/>
              </w:rPr>
            </w:pPr>
          </w:p>
        </w:tc>
        <w:tc>
          <w:tcPr>
            <w:tcW w:w="12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160" w:type="dxa"/>
            <w:vAlign w:val="bottom"/>
            <w:tcBorders>
              <w:top w:val="single" w:sz="8" w:color="0000EE"/>
            </w:tcBorders>
            <w:shd w:val="clear" w:color="auto" w:fill="E9E9E9"/>
          </w:tcPr>
          <w:p>
            <w:pPr>
              <w:spacing w:after="0"/>
              <w:rPr>
                <w:sz w:val="2"/>
                <w:szCs w:val="2"/>
                <w:color w:val="auto"/>
              </w:rPr>
            </w:pPr>
          </w:p>
        </w:tc>
        <w:tc>
          <w:tcPr>
            <w:tcW w:w="380" w:type="dxa"/>
            <w:vAlign w:val="bottom"/>
            <w:tcBorders>
              <w:top w:val="single" w:sz="8" w:color="0000EE"/>
            </w:tcBorders>
            <w:shd w:val="clear" w:color="auto" w:fill="E9E9E9"/>
          </w:tcPr>
          <w:p>
            <w:pPr>
              <w:spacing w:after="0"/>
              <w:rPr>
                <w:sz w:val="2"/>
                <w:szCs w:val="2"/>
                <w:color w:val="auto"/>
              </w:rPr>
            </w:pPr>
          </w:p>
        </w:tc>
        <w:tc>
          <w:tcPr>
            <w:tcW w:w="4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100" w:type="dxa"/>
            <w:vAlign w:val="bottom"/>
            <w:tcBorders>
              <w:top w:val="single" w:sz="8" w:color="0000EE"/>
            </w:tcBorders>
            <w:shd w:val="clear" w:color="auto" w:fill="E9E9E9"/>
          </w:tcPr>
          <w:p>
            <w:pPr>
              <w:spacing w:after="0"/>
              <w:rPr>
                <w:sz w:val="2"/>
                <w:szCs w:val="2"/>
                <w:color w:val="auto"/>
              </w:rPr>
            </w:pPr>
          </w:p>
        </w:tc>
        <w:tc>
          <w:tcPr>
            <w:tcW w:w="12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16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E9E9E9"/>
              <w:right w:val="single" w:sz="8" w:color="E9E9E9"/>
            </w:tcBorders>
            <w:shd w:val="clear" w:color="auto" w:fill="E9E9E9"/>
          </w:tcPr>
          <w:p>
            <w:pPr>
              <w:spacing w:after="0"/>
              <w:rPr>
                <w:sz w:val="2"/>
                <w:szCs w:val="2"/>
                <w:color w:val="auto"/>
              </w:rPr>
            </w:pPr>
          </w:p>
        </w:tc>
        <w:tc>
          <w:tcPr>
            <w:tcW w:w="1460" w:type="dxa"/>
            <w:vAlign w:val="bottom"/>
            <w:tcBorders>
              <w:top w:val="single" w:sz="8" w:color="E9E9E9"/>
            </w:tcBorders>
            <w:shd w:val="clear" w:color="auto" w:fill="E9E9E9"/>
          </w:tcPr>
          <w:p>
            <w:pPr>
              <w:spacing w:after="0"/>
              <w:rPr>
                <w:sz w:val="2"/>
                <w:szCs w:val="2"/>
                <w:color w:val="auto"/>
              </w:rPr>
            </w:pPr>
          </w:p>
        </w:tc>
        <w:tc>
          <w:tcPr>
            <w:tcW w:w="280" w:type="dxa"/>
            <w:vAlign w:val="bottom"/>
            <w:tcBorders>
              <w:top w:val="single" w:sz="8" w:color="0000EE"/>
            </w:tcBorders>
            <w:shd w:val="clear" w:color="auto" w:fill="E9E9E9"/>
          </w:tcPr>
          <w:p>
            <w:pPr>
              <w:spacing w:after="0"/>
              <w:rPr>
                <w:sz w:val="2"/>
                <w:szCs w:val="2"/>
                <w:color w:val="auto"/>
              </w:rPr>
            </w:pPr>
          </w:p>
        </w:tc>
      </w:tr>
      <w:tr>
        <w:trPr>
          <w:trHeight w:val="185"/>
        </w:trPr>
        <w:tc>
          <w:tcPr>
            <w:tcW w:w="240" w:type="dxa"/>
            <w:vAlign w:val="bottom"/>
            <w:shd w:val="clear" w:color="auto" w:fill="E9E9E9"/>
          </w:tcPr>
          <w:p>
            <w:pPr>
              <w:spacing w:after="0"/>
              <w:rPr>
                <w:sz w:val="16"/>
                <w:szCs w:val="16"/>
                <w:color w:val="auto"/>
              </w:rPr>
            </w:pPr>
          </w:p>
        </w:tc>
        <w:tc>
          <w:tcPr>
            <w:tcW w:w="1720" w:type="dxa"/>
            <w:vAlign w:val="bottom"/>
            <w:gridSpan w:val="8"/>
            <w:shd w:val="clear" w:color="auto" w:fill="E9E9E9"/>
          </w:tcPr>
          <w:p>
            <w:pPr>
              <w:spacing w:after="0" w:line="185" w:lineRule="exact"/>
              <w:rPr>
                <w:rFonts w:ascii="Arial" w:cs="Arial" w:eastAsia="Arial" w:hAnsi="Arial"/>
                <w:sz w:val="17"/>
                <w:szCs w:val="17"/>
                <w:color w:val="0000EE"/>
              </w:rPr>
            </w:pPr>
            <w:hyperlink w:anchor="page8">
              <w:r>
                <w:rPr>
                  <w:rFonts w:ascii="Arial" w:cs="Arial" w:eastAsia="Arial" w:hAnsi="Arial"/>
                  <w:sz w:val="17"/>
                  <w:szCs w:val="17"/>
                  <w:color w:val="0000EE"/>
                </w:rPr>
                <w:t>Corporate governance</w:t>
              </w:r>
            </w:hyperlink>
          </w:p>
        </w:tc>
        <w:tc>
          <w:tcPr>
            <w:tcW w:w="700" w:type="dxa"/>
            <w:vAlign w:val="bottom"/>
            <w:gridSpan w:val="10"/>
            <w:shd w:val="clear" w:color="auto" w:fill="E9E9E9"/>
          </w:tcPr>
          <w:p>
            <w:pPr>
              <w:spacing w:after="0"/>
              <w:rPr>
                <w:sz w:val="16"/>
                <w:szCs w:val="16"/>
                <w:color w:val="auto"/>
              </w:rPr>
            </w:pPr>
          </w:p>
        </w:tc>
        <w:tc>
          <w:tcPr>
            <w:tcW w:w="2480" w:type="dxa"/>
            <w:vAlign w:val="bottom"/>
            <w:gridSpan w:val="9"/>
            <w:shd w:val="clear" w:color="auto" w:fill="E9E9E9"/>
          </w:tcPr>
          <w:p>
            <w:pPr>
              <w:spacing w:after="0"/>
              <w:rPr>
                <w:sz w:val="16"/>
                <w:szCs w:val="16"/>
                <w:color w:val="auto"/>
              </w:rPr>
            </w:pPr>
          </w:p>
        </w:tc>
        <w:tc>
          <w:tcPr>
            <w:tcW w:w="140" w:type="dxa"/>
            <w:vAlign w:val="bottom"/>
            <w:gridSpan w:val="2"/>
            <w:shd w:val="clear" w:color="auto" w:fill="E9E9E9"/>
          </w:tcPr>
          <w:p>
            <w:pPr>
              <w:spacing w:after="0"/>
              <w:rPr>
                <w:sz w:val="16"/>
                <w:szCs w:val="16"/>
                <w:color w:val="auto"/>
              </w:rPr>
            </w:pPr>
          </w:p>
        </w:tc>
        <w:tc>
          <w:tcPr>
            <w:tcW w:w="200" w:type="dxa"/>
            <w:vAlign w:val="bottom"/>
            <w:shd w:val="clear" w:color="auto" w:fill="E9E9E9"/>
          </w:tcPr>
          <w:p>
            <w:pPr>
              <w:jc w:val="right"/>
              <w:spacing w:after="0" w:line="185" w:lineRule="exact"/>
              <w:rPr>
                <w:rFonts w:ascii="Arial" w:cs="Arial" w:eastAsia="Arial" w:hAnsi="Arial"/>
                <w:sz w:val="17"/>
                <w:szCs w:val="17"/>
                <w:color w:val="0000EE"/>
                <w:w w:val="94"/>
              </w:rPr>
            </w:pPr>
            <w:hyperlink w:anchor="page8">
              <w:r>
                <w:rPr>
                  <w:rFonts w:ascii="Arial" w:cs="Arial" w:eastAsia="Arial" w:hAnsi="Arial"/>
                  <w:sz w:val="17"/>
                  <w:szCs w:val="17"/>
                  <w:color w:val="0000EE"/>
                  <w:w w:val="94"/>
                </w:rPr>
                <w:t>77</w:t>
              </w:r>
            </w:hyperlink>
          </w:p>
        </w:tc>
        <w:tc>
          <w:tcPr>
            <w:tcW w:w="240" w:type="dxa"/>
            <w:vAlign w:val="bottom"/>
          </w:tcPr>
          <w:p>
            <w:pPr>
              <w:spacing w:after="0"/>
              <w:rPr>
                <w:sz w:val="16"/>
                <w:szCs w:val="16"/>
                <w:color w:val="auto"/>
              </w:rPr>
            </w:pPr>
          </w:p>
        </w:tc>
        <w:tc>
          <w:tcPr>
            <w:tcW w:w="5420" w:type="dxa"/>
            <w:vAlign w:val="bottom"/>
            <w:gridSpan w:val="22"/>
          </w:tcPr>
          <w:p>
            <w:pPr>
              <w:ind w:left="240"/>
              <w:spacing w:after="0" w:line="185" w:lineRule="exact"/>
              <w:rPr>
                <w:rFonts w:ascii="Arial" w:cs="Arial" w:eastAsia="Arial" w:hAnsi="Arial"/>
                <w:sz w:val="17"/>
                <w:szCs w:val="17"/>
                <w:color w:val="0000EE"/>
              </w:rPr>
            </w:pPr>
            <w:hyperlink w:anchor="page44">
              <w:r>
                <w:rPr>
                  <w:rFonts w:ascii="Arial" w:cs="Arial" w:eastAsia="Arial" w:hAnsi="Arial"/>
                  <w:sz w:val="17"/>
                  <w:szCs w:val="17"/>
                  <w:color w:val="0000EE"/>
                </w:rPr>
                <w:t>Security ownership of directors and management</w:t>
              </w:r>
            </w:hyperlink>
          </w:p>
        </w:tc>
        <w:tc>
          <w:tcPr>
            <w:tcW w:w="280" w:type="dxa"/>
            <w:vAlign w:val="bottom"/>
          </w:tcPr>
          <w:p>
            <w:pPr>
              <w:jc w:val="right"/>
              <w:spacing w:after="0" w:line="185" w:lineRule="exact"/>
              <w:rPr>
                <w:rFonts w:ascii="Arial" w:cs="Arial" w:eastAsia="Arial" w:hAnsi="Arial"/>
                <w:sz w:val="17"/>
                <w:szCs w:val="17"/>
                <w:color w:val="0000EE"/>
                <w:w w:val="91"/>
              </w:rPr>
            </w:pPr>
            <w:hyperlink w:anchor="page44">
              <w:r>
                <w:rPr>
                  <w:rFonts w:ascii="Arial" w:cs="Arial" w:eastAsia="Arial" w:hAnsi="Arial"/>
                  <w:sz w:val="17"/>
                  <w:szCs w:val="17"/>
                  <w:color w:val="0000EE"/>
                  <w:w w:val="91"/>
                </w:rPr>
                <w:t>113</w:t>
              </w:r>
            </w:hyperlink>
          </w:p>
        </w:tc>
      </w:tr>
      <w:tr>
        <w:trPr>
          <w:trHeight w:val="33"/>
        </w:trPr>
        <w:tc>
          <w:tcPr>
            <w:tcW w:w="24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96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4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14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200" w:type="dxa"/>
            <w:vAlign w:val="bottom"/>
            <w:tcBorders>
              <w:top w:val="single" w:sz="8" w:color="E9E9E9"/>
            </w:tcBorders>
            <w:shd w:val="clear" w:color="auto" w:fill="E9E9E9"/>
          </w:tcPr>
          <w:p>
            <w:pPr>
              <w:spacing w:after="0"/>
              <w:rPr>
                <w:sz w:val="2"/>
                <w:szCs w:val="2"/>
                <w:color w:val="auto"/>
              </w:rPr>
            </w:pPr>
          </w:p>
        </w:tc>
        <w:tc>
          <w:tcPr>
            <w:tcW w:w="140" w:type="dxa"/>
            <w:vAlign w:val="bottom"/>
            <w:tcBorders>
              <w:top w:val="single" w:sz="8" w:color="E9E9E9"/>
            </w:tcBorders>
            <w:shd w:val="clear" w:color="auto" w:fill="E9E9E9"/>
          </w:tcPr>
          <w:p>
            <w:pPr>
              <w:spacing w:after="0"/>
              <w:rPr>
                <w:sz w:val="2"/>
                <w:szCs w:val="2"/>
                <w:color w:val="auto"/>
              </w:rPr>
            </w:pPr>
          </w:p>
        </w:tc>
        <w:tc>
          <w:tcPr>
            <w:tcW w:w="1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right w:val="single" w:sz="8" w:color="E9E9E9"/>
            </w:tcBorders>
            <w:shd w:val="clear" w:color="auto" w:fill="E9E9E9"/>
          </w:tcPr>
          <w:p>
            <w:pPr>
              <w:spacing w:after="0"/>
              <w:rPr>
                <w:sz w:val="2"/>
                <w:szCs w:val="2"/>
                <w:color w:val="auto"/>
              </w:rPr>
            </w:pPr>
          </w:p>
        </w:tc>
        <w:tc>
          <w:tcPr>
            <w:tcW w:w="18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580" w:type="dxa"/>
            <w:vAlign w:val="bottom"/>
            <w:tcBorders>
              <w:top w:val="single" w:sz="8" w:color="E9E9E9"/>
            </w:tcBorders>
            <w:shd w:val="clear" w:color="auto" w:fill="E9E9E9"/>
          </w:tcPr>
          <w:p>
            <w:pPr>
              <w:spacing w:after="0"/>
              <w:rPr>
                <w:sz w:val="2"/>
                <w:szCs w:val="2"/>
                <w:color w:val="auto"/>
              </w:rPr>
            </w:pPr>
          </w:p>
        </w:tc>
        <w:tc>
          <w:tcPr>
            <w:tcW w:w="10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100" w:type="dxa"/>
            <w:vAlign w:val="bottom"/>
            <w:tcBorders>
              <w:top w:val="single" w:sz="8" w:color="E9E9E9"/>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r>
      <w:tr>
        <w:trPr>
          <w:trHeight w:val="185"/>
        </w:trPr>
        <w:tc>
          <w:tcPr>
            <w:tcW w:w="240" w:type="dxa"/>
            <w:vAlign w:val="bottom"/>
          </w:tcPr>
          <w:p>
            <w:pPr>
              <w:spacing w:after="0"/>
              <w:rPr>
                <w:sz w:val="16"/>
                <w:szCs w:val="16"/>
                <w:color w:val="auto"/>
              </w:rPr>
            </w:pPr>
          </w:p>
        </w:tc>
        <w:tc>
          <w:tcPr>
            <w:tcW w:w="2100" w:type="dxa"/>
            <w:vAlign w:val="bottom"/>
            <w:gridSpan w:val="14"/>
          </w:tcPr>
          <w:p>
            <w:pPr>
              <w:spacing w:after="0" w:line="185" w:lineRule="exact"/>
              <w:rPr>
                <w:rFonts w:ascii="Arial" w:cs="Arial" w:eastAsia="Arial" w:hAnsi="Arial"/>
                <w:sz w:val="17"/>
                <w:szCs w:val="17"/>
                <w:color w:val="0000EE"/>
              </w:rPr>
            </w:pPr>
            <w:hyperlink w:anchor="page9">
              <w:r>
                <w:rPr>
                  <w:rFonts w:ascii="Arial" w:cs="Arial" w:eastAsia="Arial" w:hAnsi="Arial"/>
                  <w:sz w:val="17"/>
                  <w:szCs w:val="17"/>
                  <w:color w:val="0000EE"/>
                </w:rPr>
                <w:t>Annual meeting attendance</w:t>
              </w:r>
            </w:hyperlink>
          </w:p>
        </w:tc>
        <w:tc>
          <w:tcPr>
            <w:tcW w:w="2800" w:type="dxa"/>
            <w:vAlign w:val="bottom"/>
            <w:gridSpan w:val="13"/>
          </w:tcPr>
          <w:p>
            <w:pPr>
              <w:spacing w:after="0"/>
              <w:rPr>
                <w:sz w:val="16"/>
                <w:szCs w:val="16"/>
                <w:color w:val="auto"/>
              </w:rPr>
            </w:pPr>
          </w:p>
        </w:tc>
        <w:tc>
          <w:tcPr>
            <w:tcW w:w="140" w:type="dxa"/>
            <w:vAlign w:val="bottom"/>
            <w:gridSpan w:val="2"/>
          </w:tcPr>
          <w:p>
            <w:pPr>
              <w:spacing w:after="0"/>
              <w:rPr>
                <w:sz w:val="16"/>
                <w:szCs w:val="16"/>
                <w:color w:val="auto"/>
              </w:rPr>
            </w:pPr>
          </w:p>
        </w:tc>
        <w:tc>
          <w:tcPr>
            <w:tcW w:w="200" w:type="dxa"/>
            <w:vAlign w:val="bottom"/>
          </w:tcPr>
          <w:p>
            <w:pPr>
              <w:jc w:val="right"/>
              <w:spacing w:after="0" w:line="185" w:lineRule="exact"/>
              <w:rPr>
                <w:rFonts w:ascii="Arial" w:cs="Arial" w:eastAsia="Arial" w:hAnsi="Arial"/>
                <w:sz w:val="17"/>
                <w:szCs w:val="17"/>
                <w:color w:val="0000EE"/>
                <w:w w:val="94"/>
              </w:rPr>
            </w:pPr>
            <w:hyperlink w:anchor="page9">
              <w:r>
                <w:rPr>
                  <w:rFonts w:ascii="Arial" w:cs="Arial" w:eastAsia="Arial" w:hAnsi="Arial"/>
                  <w:sz w:val="17"/>
                  <w:szCs w:val="17"/>
                  <w:color w:val="0000EE"/>
                  <w:w w:val="94"/>
                </w:rPr>
                <w:t>78</w:t>
              </w:r>
            </w:hyperlink>
          </w:p>
        </w:tc>
        <w:tc>
          <w:tcPr>
            <w:tcW w:w="240" w:type="dxa"/>
            <w:vAlign w:val="bottom"/>
          </w:tcPr>
          <w:p>
            <w:pPr>
              <w:spacing w:after="0"/>
              <w:rPr>
                <w:sz w:val="16"/>
                <w:szCs w:val="16"/>
                <w:color w:val="auto"/>
              </w:rPr>
            </w:pPr>
          </w:p>
        </w:tc>
        <w:tc>
          <w:tcPr>
            <w:tcW w:w="5420" w:type="dxa"/>
            <w:vAlign w:val="bottom"/>
            <w:gridSpan w:val="22"/>
            <w:shd w:val="clear" w:color="auto" w:fill="E9E9E9"/>
          </w:tcPr>
          <w:p>
            <w:pPr>
              <w:ind w:left="240"/>
              <w:spacing w:after="0" w:line="185" w:lineRule="exact"/>
              <w:rPr>
                <w:rFonts w:ascii="Arial" w:cs="Arial" w:eastAsia="Arial" w:hAnsi="Arial"/>
                <w:sz w:val="17"/>
                <w:szCs w:val="17"/>
                <w:color w:val="0000EE"/>
              </w:rPr>
            </w:pPr>
            <w:hyperlink w:anchor="page45">
              <w:r>
                <w:rPr>
                  <w:rFonts w:ascii="Arial" w:cs="Arial" w:eastAsia="Arial" w:hAnsi="Arial"/>
                  <w:sz w:val="17"/>
                  <w:szCs w:val="17"/>
                  <w:color w:val="0000EE"/>
                </w:rPr>
                <w:t>Related person transactions</w:t>
              </w:r>
            </w:hyperlink>
          </w:p>
        </w:tc>
        <w:tc>
          <w:tcPr>
            <w:tcW w:w="280" w:type="dxa"/>
            <w:vAlign w:val="bottom"/>
            <w:shd w:val="clear" w:color="auto" w:fill="E9E9E9"/>
          </w:tcPr>
          <w:p>
            <w:pPr>
              <w:jc w:val="right"/>
              <w:spacing w:after="0" w:line="185" w:lineRule="exact"/>
              <w:rPr>
                <w:rFonts w:ascii="Arial" w:cs="Arial" w:eastAsia="Arial" w:hAnsi="Arial"/>
                <w:sz w:val="17"/>
                <w:szCs w:val="17"/>
                <w:color w:val="0000EE"/>
                <w:w w:val="91"/>
              </w:rPr>
            </w:pPr>
            <w:hyperlink w:anchor="page45">
              <w:r>
                <w:rPr>
                  <w:rFonts w:ascii="Arial" w:cs="Arial" w:eastAsia="Arial" w:hAnsi="Arial"/>
                  <w:sz w:val="17"/>
                  <w:szCs w:val="17"/>
                  <w:color w:val="0000EE"/>
                  <w:w w:val="91"/>
                </w:rPr>
                <w:t>114</w:t>
              </w:r>
            </w:hyperlink>
          </w:p>
        </w:tc>
      </w:tr>
      <w:tr>
        <w:trPr>
          <w:trHeight w:val="33"/>
        </w:trPr>
        <w:tc>
          <w:tcPr>
            <w:tcW w:w="2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86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120" w:type="dxa"/>
            <w:vAlign w:val="bottom"/>
            <w:tcBorders>
              <w:top w:val="single" w:sz="8" w:color="0000EE"/>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420" w:type="dxa"/>
            <w:vAlign w:val="bottom"/>
            <w:tcBorders>
              <w:top w:val="single" w:sz="8" w:color="0000EE"/>
            </w:tcBorders>
            <w:shd w:val="clear" w:color="auto" w:fill="E9E9E9"/>
          </w:tcPr>
          <w:p>
            <w:pPr>
              <w:spacing w:after="0"/>
              <w:rPr>
                <w:sz w:val="2"/>
                <w:szCs w:val="2"/>
                <w:color w:val="auto"/>
              </w:rPr>
            </w:pPr>
          </w:p>
        </w:tc>
        <w:tc>
          <w:tcPr>
            <w:tcW w:w="120" w:type="dxa"/>
            <w:vAlign w:val="bottom"/>
            <w:tcBorders>
              <w:top w:val="single" w:sz="8" w:color="E9E9E9"/>
            </w:tcBorders>
            <w:shd w:val="clear" w:color="auto" w:fill="E9E9E9"/>
          </w:tcPr>
          <w:p>
            <w:pPr>
              <w:spacing w:after="0"/>
              <w:rPr>
                <w:sz w:val="2"/>
                <w:szCs w:val="2"/>
                <w:color w:val="auto"/>
              </w:rPr>
            </w:pPr>
          </w:p>
        </w:tc>
        <w:tc>
          <w:tcPr>
            <w:tcW w:w="12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160" w:type="dxa"/>
            <w:vAlign w:val="bottom"/>
            <w:tcBorders>
              <w:top w:val="single" w:sz="8" w:color="E9E9E9"/>
            </w:tcBorders>
            <w:shd w:val="clear" w:color="auto" w:fill="E9E9E9"/>
          </w:tcPr>
          <w:p>
            <w:pPr>
              <w:spacing w:after="0"/>
              <w:rPr>
                <w:sz w:val="2"/>
                <w:szCs w:val="2"/>
                <w:color w:val="auto"/>
              </w:rPr>
            </w:pPr>
          </w:p>
        </w:tc>
        <w:tc>
          <w:tcPr>
            <w:tcW w:w="3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100" w:type="dxa"/>
            <w:vAlign w:val="bottom"/>
            <w:tcBorders>
              <w:top w:val="single" w:sz="8" w:color="E9E9E9"/>
            </w:tcBorders>
            <w:shd w:val="clear" w:color="auto" w:fill="E9E9E9"/>
          </w:tcPr>
          <w:p>
            <w:pPr>
              <w:spacing w:after="0"/>
              <w:rPr>
                <w:sz w:val="2"/>
                <w:szCs w:val="2"/>
                <w:color w:val="auto"/>
              </w:rPr>
            </w:pPr>
          </w:p>
        </w:tc>
        <w:tc>
          <w:tcPr>
            <w:tcW w:w="12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160" w:type="dxa"/>
            <w:vAlign w:val="bottom"/>
            <w:tcBorders>
              <w:top w:val="single" w:sz="8" w:color="E9E9E9"/>
            </w:tcBorders>
            <w:shd w:val="clear" w:color="auto" w:fill="E9E9E9"/>
          </w:tcPr>
          <w:p>
            <w:pPr>
              <w:spacing w:after="0"/>
              <w:rPr>
                <w:sz w:val="2"/>
                <w:szCs w:val="2"/>
                <w:color w:val="auto"/>
              </w:rPr>
            </w:pPr>
          </w:p>
        </w:tc>
        <w:tc>
          <w:tcPr>
            <w:tcW w:w="140" w:type="dxa"/>
            <w:vAlign w:val="bottom"/>
            <w:tcBorders>
              <w:top w:val="single" w:sz="8" w:color="E9E9E9"/>
              <w:right w:val="single" w:sz="8" w:color="E9E9E9"/>
            </w:tcBorders>
            <w:shd w:val="clear" w:color="auto" w:fill="E9E9E9"/>
          </w:tcPr>
          <w:p>
            <w:pPr>
              <w:spacing w:after="0"/>
              <w:rPr>
                <w:sz w:val="2"/>
                <w:szCs w:val="2"/>
                <w:color w:val="auto"/>
              </w:rPr>
            </w:pPr>
          </w:p>
        </w:tc>
        <w:tc>
          <w:tcPr>
            <w:tcW w:w="1460" w:type="dxa"/>
            <w:vAlign w:val="bottom"/>
            <w:tcBorders>
              <w:top w:val="single" w:sz="8" w:color="E9E9E9"/>
            </w:tcBorders>
            <w:shd w:val="clear" w:color="auto" w:fill="E9E9E9"/>
          </w:tcPr>
          <w:p>
            <w:pPr>
              <w:spacing w:after="0"/>
              <w:rPr>
                <w:sz w:val="2"/>
                <w:szCs w:val="2"/>
                <w:color w:val="auto"/>
              </w:rPr>
            </w:pPr>
          </w:p>
        </w:tc>
        <w:tc>
          <w:tcPr>
            <w:tcW w:w="280" w:type="dxa"/>
            <w:vAlign w:val="bottom"/>
            <w:tcBorders>
              <w:top w:val="single" w:sz="8" w:color="0000EE"/>
            </w:tcBorders>
            <w:shd w:val="clear" w:color="auto" w:fill="E9E9E9"/>
          </w:tcPr>
          <w:p>
            <w:pPr>
              <w:spacing w:after="0"/>
              <w:rPr>
                <w:sz w:val="2"/>
                <w:szCs w:val="2"/>
                <w:color w:val="auto"/>
              </w:rPr>
            </w:pPr>
          </w:p>
        </w:tc>
      </w:tr>
      <w:tr>
        <w:trPr>
          <w:trHeight w:val="185"/>
        </w:trPr>
        <w:tc>
          <w:tcPr>
            <w:tcW w:w="240" w:type="dxa"/>
            <w:vAlign w:val="bottom"/>
            <w:shd w:val="clear" w:color="auto" w:fill="E9E9E9"/>
          </w:tcPr>
          <w:p>
            <w:pPr>
              <w:spacing w:after="0"/>
              <w:rPr>
                <w:sz w:val="16"/>
                <w:szCs w:val="16"/>
                <w:color w:val="auto"/>
              </w:rPr>
            </w:pPr>
          </w:p>
        </w:tc>
        <w:tc>
          <w:tcPr>
            <w:tcW w:w="1740" w:type="dxa"/>
            <w:vAlign w:val="bottom"/>
            <w:gridSpan w:val="9"/>
            <w:shd w:val="clear" w:color="auto" w:fill="E9E9E9"/>
          </w:tcPr>
          <w:p>
            <w:pPr>
              <w:spacing w:after="0" w:line="185" w:lineRule="exact"/>
              <w:rPr>
                <w:rFonts w:ascii="Arial" w:cs="Arial" w:eastAsia="Arial" w:hAnsi="Arial"/>
                <w:sz w:val="17"/>
                <w:szCs w:val="17"/>
                <w:color w:val="0000EE"/>
              </w:rPr>
            </w:pPr>
            <w:hyperlink w:anchor="page9">
              <w:r>
                <w:rPr>
                  <w:rFonts w:ascii="Arial" w:cs="Arial" w:eastAsia="Arial" w:hAnsi="Arial"/>
                  <w:sz w:val="17"/>
                  <w:szCs w:val="17"/>
                  <w:color w:val="0000EE"/>
                </w:rPr>
                <w:t>Director independence</w:t>
              </w:r>
            </w:hyperlink>
          </w:p>
        </w:tc>
        <w:tc>
          <w:tcPr>
            <w:tcW w:w="360" w:type="dxa"/>
            <w:vAlign w:val="bottom"/>
            <w:gridSpan w:val="5"/>
            <w:shd w:val="clear" w:color="auto" w:fill="E9E9E9"/>
          </w:tcPr>
          <w:p>
            <w:pPr>
              <w:spacing w:after="0"/>
              <w:rPr>
                <w:sz w:val="16"/>
                <w:szCs w:val="16"/>
                <w:color w:val="auto"/>
              </w:rPr>
            </w:pPr>
          </w:p>
        </w:tc>
        <w:tc>
          <w:tcPr>
            <w:tcW w:w="2800" w:type="dxa"/>
            <w:vAlign w:val="bottom"/>
            <w:gridSpan w:val="13"/>
            <w:shd w:val="clear" w:color="auto" w:fill="E9E9E9"/>
          </w:tcPr>
          <w:p>
            <w:pPr>
              <w:spacing w:after="0"/>
              <w:rPr>
                <w:sz w:val="16"/>
                <w:szCs w:val="16"/>
                <w:color w:val="auto"/>
              </w:rPr>
            </w:pPr>
          </w:p>
        </w:tc>
        <w:tc>
          <w:tcPr>
            <w:tcW w:w="140" w:type="dxa"/>
            <w:vAlign w:val="bottom"/>
            <w:gridSpan w:val="2"/>
            <w:shd w:val="clear" w:color="auto" w:fill="E9E9E9"/>
          </w:tcPr>
          <w:p>
            <w:pPr>
              <w:spacing w:after="0"/>
              <w:rPr>
                <w:sz w:val="16"/>
                <w:szCs w:val="16"/>
                <w:color w:val="auto"/>
              </w:rPr>
            </w:pPr>
          </w:p>
        </w:tc>
        <w:tc>
          <w:tcPr>
            <w:tcW w:w="200" w:type="dxa"/>
            <w:vAlign w:val="bottom"/>
            <w:shd w:val="clear" w:color="auto" w:fill="E9E9E9"/>
          </w:tcPr>
          <w:p>
            <w:pPr>
              <w:jc w:val="right"/>
              <w:spacing w:after="0" w:line="185" w:lineRule="exact"/>
              <w:rPr>
                <w:rFonts w:ascii="Arial" w:cs="Arial" w:eastAsia="Arial" w:hAnsi="Arial"/>
                <w:sz w:val="17"/>
                <w:szCs w:val="17"/>
                <w:color w:val="0000EE"/>
                <w:w w:val="94"/>
              </w:rPr>
            </w:pPr>
            <w:hyperlink w:anchor="page9">
              <w:r>
                <w:rPr>
                  <w:rFonts w:ascii="Arial" w:cs="Arial" w:eastAsia="Arial" w:hAnsi="Arial"/>
                  <w:sz w:val="17"/>
                  <w:szCs w:val="17"/>
                  <w:color w:val="0000EE"/>
                  <w:w w:val="94"/>
                </w:rPr>
                <w:t>78</w:t>
              </w:r>
            </w:hyperlink>
          </w:p>
        </w:tc>
        <w:tc>
          <w:tcPr>
            <w:tcW w:w="240" w:type="dxa"/>
            <w:vAlign w:val="bottom"/>
          </w:tcPr>
          <w:p>
            <w:pPr>
              <w:spacing w:after="0"/>
              <w:rPr>
                <w:sz w:val="16"/>
                <w:szCs w:val="16"/>
                <w:color w:val="auto"/>
              </w:rPr>
            </w:pPr>
          </w:p>
        </w:tc>
        <w:tc>
          <w:tcPr>
            <w:tcW w:w="5420" w:type="dxa"/>
            <w:vAlign w:val="bottom"/>
            <w:gridSpan w:val="22"/>
          </w:tcPr>
          <w:p>
            <w:pPr>
              <w:ind w:left="240"/>
              <w:spacing w:after="0" w:line="185" w:lineRule="exact"/>
              <w:rPr>
                <w:rFonts w:ascii="Arial" w:cs="Arial" w:eastAsia="Arial" w:hAnsi="Arial"/>
                <w:sz w:val="17"/>
                <w:szCs w:val="17"/>
                <w:color w:val="0000EE"/>
              </w:rPr>
            </w:pPr>
            <w:hyperlink w:anchor="page46">
              <w:r>
                <w:rPr>
                  <w:rFonts w:ascii="Arial" w:cs="Arial" w:eastAsia="Arial" w:hAnsi="Arial"/>
                  <w:sz w:val="17"/>
                  <w:szCs w:val="17"/>
                  <w:color w:val="0000EE"/>
                </w:rPr>
                <w:t>Compensation committee interlocks and</w:t>
              </w:r>
            </w:hyperlink>
          </w:p>
        </w:tc>
        <w:tc>
          <w:tcPr>
            <w:tcW w:w="280" w:type="dxa"/>
            <w:vAlign w:val="bottom"/>
          </w:tcPr>
          <w:p>
            <w:pPr>
              <w:spacing w:after="0"/>
              <w:rPr>
                <w:sz w:val="16"/>
                <w:szCs w:val="16"/>
                <w:color w:val="auto"/>
              </w:rPr>
            </w:pPr>
          </w:p>
        </w:tc>
      </w:tr>
      <w:tr>
        <w:trPr>
          <w:trHeight w:val="33"/>
        </w:trPr>
        <w:tc>
          <w:tcPr>
            <w:tcW w:w="24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96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4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200" w:type="dxa"/>
            <w:vAlign w:val="bottom"/>
            <w:tcBorders>
              <w:top w:val="single" w:sz="8" w:color="E9E9E9"/>
            </w:tcBorders>
            <w:shd w:val="clear" w:color="auto" w:fill="E9E9E9"/>
          </w:tcPr>
          <w:p>
            <w:pPr>
              <w:spacing w:after="0"/>
              <w:rPr>
                <w:sz w:val="2"/>
                <w:szCs w:val="2"/>
                <w:color w:val="auto"/>
              </w:rPr>
            </w:pPr>
          </w:p>
        </w:tc>
        <w:tc>
          <w:tcPr>
            <w:tcW w:w="140" w:type="dxa"/>
            <w:vAlign w:val="bottom"/>
            <w:tcBorders>
              <w:top w:val="single" w:sz="8" w:color="E9E9E9"/>
            </w:tcBorders>
            <w:shd w:val="clear" w:color="auto" w:fill="E9E9E9"/>
          </w:tcPr>
          <w:p>
            <w:pPr>
              <w:spacing w:after="0"/>
              <w:rPr>
                <w:sz w:val="2"/>
                <w:szCs w:val="2"/>
                <w:color w:val="auto"/>
              </w:rPr>
            </w:pPr>
          </w:p>
        </w:tc>
        <w:tc>
          <w:tcPr>
            <w:tcW w:w="1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right w:val="single" w:sz="8" w:color="E9E9E9"/>
            </w:tcBorders>
            <w:shd w:val="clear" w:color="auto" w:fill="E9E9E9"/>
          </w:tcPr>
          <w:p>
            <w:pPr>
              <w:spacing w:after="0"/>
              <w:rPr>
                <w:sz w:val="2"/>
                <w:szCs w:val="2"/>
                <w:color w:val="auto"/>
              </w:rPr>
            </w:pPr>
          </w:p>
        </w:tc>
        <w:tc>
          <w:tcPr>
            <w:tcW w:w="18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580" w:type="dxa"/>
            <w:vAlign w:val="bottom"/>
            <w:tcBorders>
              <w:top w:val="single" w:sz="8" w:color="E9E9E9"/>
            </w:tcBorders>
            <w:shd w:val="clear" w:color="auto" w:fill="E9E9E9"/>
          </w:tcPr>
          <w:p>
            <w:pPr>
              <w:spacing w:after="0"/>
              <w:rPr>
                <w:sz w:val="2"/>
                <w:szCs w:val="2"/>
                <w:color w:val="auto"/>
              </w:rPr>
            </w:pPr>
          </w:p>
        </w:tc>
        <w:tc>
          <w:tcPr>
            <w:tcW w:w="10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100" w:type="dxa"/>
            <w:vAlign w:val="bottom"/>
            <w:tcBorders>
              <w:top w:val="single" w:sz="8" w:color="E9E9E9"/>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85"/>
        </w:trPr>
        <w:tc>
          <w:tcPr>
            <w:tcW w:w="5140" w:type="dxa"/>
            <w:vAlign w:val="bottom"/>
            <w:gridSpan w:val="28"/>
          </w:tcPr>
          <w:p>
            <w:pPr>
              <w:spacing w:after="0" w:line="185" w:lineRule="exact"/>
              <w:rPr>
                <w:rFonts w:ascii="Arial" w:cs="Arial" w:eastAsia="Arial" w:hAnsi="Arial"/>
                <w:sz w:val="17"/>
                <w:szCs w:val="17"/>
                <w:color w:val="0000EE"/>
              </w:rPr>
            </w:pPr>
            <w:hyperlink w:anchor="page10">
              <w:r>
                <w:rPr>
                  <w:rFonts w:ascii="Arial" w:cs="Arial" w:eastAsia="Arial" w:hAnsi="Arial"/>
                  <w:sz w:val="17"/>
                  <w:szCs w:val="17"/>
                  <w:color w:val="0000EE"/>
                </w:rPr>
                <w:t>Board organization</w:t>
              </w:r>
            </w:hyperlink>
          </w:p>
        </w:tc>
        <w:tc>
          <w:tcPr>
            <w:tcW w:w="580" w:type="dxa"/>
            <w:vAlign w:val="bottom"/>
            <w:gridSpan w:val="4"/>
          </w:tcPr>
          <w:p>
            <w:pPr>
              <w:jc w:val="right"/>
              <w:ind w:right="240"/>
              <w:spacing w:after="0" w:line="185" w:lineRule="exact"/>
              <w:rPr>
                <w:rFonts w:ascii="Arial" w:cs="Arial" w:eastAsia="Arial" w:hAnsi="Arial"/>
                <w:sz w:val="17"/>
                <w:szCs w:val="17"/>
                <w:color w:val="0000EE"/>
              </w:rPr>
            </w:pPr>
            <w:hyperlink w:anchor="page10">
              <w:r>
                <w:rPr>
                  <w:rFonts w:ascii="Arial" w:cs="Arial" w:eastAsia="Arial" w:hAnsi="Arial"/>
                  <w:sz w:val="17"/>
                  <w:szCs w:val="17"/>
                  <w:color w:val="0000EE"/>
                </w:rPr>
                <w:t>79</w:t>
              </w:r>
            </w:hyperlink>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40" w:type="dxa"/>
            <w:vAlign w:val="bottom"/>
            <w:gridSpan w:val="20"/>
          </w:tcPr>
          <w:p>
            <w:pPr>
              <w:spacing w:after="0" w:line="185" w:lineRule="exact"/>
              <w:rPr>
                <w:rFonts w:ascii="Arial" w:cs="Arial" w:eastAsia="Arial" w:hAnsi="Arial"/>
                <w:sz w:val="17"/>
                <w:szCs w:val="17"/>
                <w:color w:val="0000EE"/>
              </w:rPr>
            </w:pPr>
            <w:hyperlink w:anchor="page46">
              <w:r>
                <w:rPr>
                  <w:rFonts w:ascii="Arial" w:cs="Arial" w:eastAsia="Arial" w:hAnsi="Arial"/>
                  <w:sz w:val="17"/>
                  <w:szCs w:val="17"/>
                  <w:color w:val="0000EE"/>
                </w:rPr>
                <w:t>insider participation</w:t>
              </w:r>
            </w:hyperlink>
          </w:p>
        </w:tc>
        <w:tc>
          <w:tcPr>
            <w:tcW w:w="280" w:type="dxa"/>
            <w:vAlign w:val="bottom"/>
          </w:tcPr>
          <w:p>
            <w:pPr>
              <w:jc w:val="right"/>
              <w:spacing w:after="0" w:line="185" w:lineRule="exact"/>
              <w:rPr>
                <w:rFonts w:ascii="Arial" w:cs="Arial" w:eastAsia="Arial" w:hAnsi="Arial"/>
                <w:sz w:val="17"/>
                <w:szCs w:val="17"/>
                <w:color w:val="0000EE"/>
                <w:w w:val="91"/>
              </w:rPr>
            </w:pPr>
            <w:hyperlink w:anchor="page46">
              <w:r>
                <w:rPr>
                  <w:rFonts w:ascii="Arial" w:cs="Arial" w:eastAsia="Arial" w:hAnsi="Arial"/>
                  <w:sz w:val="17"/>
                  <w:szCs w:val="17"/>
                  <w:color w:val="0000EE"/>
                  <w:w w:val="91"/>
                </w:rPr>
                <w:t>115</w:t>
              </w:r>
            </w:hyperlink>
          </w:p>
        </w:tc>
      </w:tr>
      <w:tr>
        <w:trPr>
          <w:trHeight w:val="33"/>
        </w:trPr>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r>
      <w:tr>
        <w:trPr>
          <w:trHeight w:val="185"/>
        </w:trPr>
        <w:tc>
          <w:tcPr>
            <w:tcW w:w="240" w:type="dxa"/>
            <w:vAlign w:val="bottom"/>
            <w:shd w:val="clear" w:color="auto" w:fill="E9E9E9"/>
          </w:tcPr>
          <w:p>
            <w:pPr>
              <w:spacing w:after="0"/>
              <w:rPr>
                <w:sz w:val="16"/>
                <w:szCs w:val="16"/>
                <w:color w:val="auto"/>
              </w:rPr>
            </w:pPr>
          </w:p>
        </w:tc>
        <w:tc>
          <w:tcPr>
            <w:tcW w:w="4900" w:type="dxa"/>
            <w:vAlign w:val="bottom"/>
            <w:gridSpan w:val="27"/>
            <w:shd w:val="clear" w:color="auto" w:fill="E9E9E9"/>
          </w:tcPr>
          <w:p>
            <w:pPr>
              <w:spacing w:after="0" w:line="185" w:lineRule="exact"/>
              <w:rPr>
                <w:rFonts w:ascii="Arial" w:cs="Arial" w:eastAsia="Arial" w:hAnsi="Arial"/>
                <w:sz w:val="17"/>
                <w:szCs w:val="17"/>
                <w:color w:val="0000EE"/>
              </w:rPr>
            </w:pPr>
            <w:hyperlink w:anchor="page10">
              <w:r>
                <w:rPr>
                  <w:rFonts w:ascii="Arial" w:cs="Arial" w:eastAsia="Arial" w:hAnsi="Arial"/>
                  <w:sz w:val="17"/>
                  <w:szCs w:val="17"/>
                  <w:color w:val="0000EE"/>
                </w:rPr>
                <w:t>Board and committee meetings</w:t>
              </w:r>
            </w:hyperlink>
          </w:p>
        </w:tc>
        <w:tc>
          <w:tcPr>
            <w:tcW w:w="340" w:type="dxa"/>
            <w:vAlign w:val="bottom"/>
            <w:gridSpan w:val="3"/>
            <w:shd w:val="clear" w:color="auto" w:fill="E9E9E9"/>
          </w:tcPr>
          <w:p>
            <w:pPr>
              <w:jc w:val="right"/>
              <w:spacing w:after="0" w:line="185" w:lineRule="exact"/>
              <w:rPr>
                <w:rFonts w:ascii="Arial" w:cs="Arial" w:eastAsia="Arial" w:hAnsi="Arial"/>
                <w:sz w:val="17"/>
                <w:szCs w:val="17"/>
                <w:color w:val="0000EE"/>
              </w:rPr>
            </w:pPr>
            <w:hyperlink w:anchor="page10">
              <w:r>
                <w:rPr>
                  <w:rFonts w:ascii="Arial" w:cs="Arial" w:eastAsia="Arial" w:hAnsi="Arial"/>
                  <w:sz w:val="17"/>
                  <w:szCs w:val="17"/>
                  <w:color w:val="0000EE"/>
                </w:rPr>
                <w:t>79</w:t>
              </w:r>
            </w:hyperlink>
          </w:p>
        </w:tc>
        <w:tc>
          <w:tcPr>
            <w:tcW w:w="240" w:type="dxa"/>
            <w:vAlign w:val="bottom"/>
          </w:tcPr>
          <w:p>
            <w:pPr>
              <w:spacing w:after="0"/>
              <w:rPr>
                <w:sz w:val="16"/>
                <w:szCs w:val="16"/>
                <w:color w:val="auto"/>
              </w:rPr>
            </w:pPr>
          </w:p>
        </w:tc>
        <w:tc>
          <w:tcPr>
            <w:tcW w:w="5420" w:type="dxa"/>
            <w:vAlign w:val="bottom"/>
            <w:gridSpan w:val="22"/>
            <w:shd w:val="clear" w:color="auto" w:fill="E9E9E9"/>
          </w:tcPr>
          <w:p>
            <w:pPr>
              <w:ind w:left="240"/>
              <w:spacing w:after="0" w:line="185" w:lineRule="exact"/>
              <w:rPr>
                <w:rFonts w:ascii="Arial" w:cs="Arial" w:eastAsia="Arial" w:hAnsi="Arial"/>
                <w:sz w:val="17"/>
                <w:szCs w:val="17"/>
                <w:color w:val="0000EE"/>
              </w:rPr>
            </w:pPr>
            <w:hyperlink w:anchor="page46">
              <w:r>
                <w:rPr>
                  <w:rFonts w:ascii="Arial" w:cs="Arial" w:eastAsia="Arial" w:hAnsi="Arial"/>
                  <w:sz w:val="17"/>
                  <w:szCs w:val="17"/>
                  <w:color w:val="0000EE"/>
                </w:rPr>
                <w:t>Cost of solicitation</w:t>
              </w:r>
            </w:hyperlink>
          </w:p>
        </w:tc>
        <w:tc>
          <w:tcPr>
            <w:tcW w:w="280" w:type="dxa"/>
            <w:vAlign w:val="bottom"/>
            <w:shd w:val="clear" w:color="auto" w:fill="E9E9E9"/>
          </w:tcPr>
          <w:p>
            <w:pPr>
              <w:jc w:val="right"/>
              <w:spacing w:after="0" w:line="185" w:lineRule="exact"/>
              <w:rPr>
                <w:rFonts w:ascii="Arial" w:cs="Arial" w:eastAsia="Arial" w:hAnsi="Arial"/>
                <w:sz w:val="17"/>
                <w:szCs w:val="17"/>
                <w:color w:val="0000EE"/>
                <w:w w:val="91"/>
              </w:rPr>
            </w:pPr>
            <w:hyperlink w:anchor="page46">
              <w:r>
                <w:rPr>
                  <w:rFonts w:ascii="Arial" w:cs="Arial" w:eastAsia="Arial" w:hAnsi="Arial"/>
                  <w:sz w:val="17"/>
                  <w:szCs w:val="17"/>
                  <w:color w:val="0000EE"/>
                  <w:w w:val="91"/>
                </w:rPr>
                <w:t>115</w:t>
              </w:r>
            </w:hyperlink>
          </w:p>
        </w:tc>
      </w:tr>
      <w:tr>
        <w:trPr>
          <w:trHeight w:val="33"/>
        </w:trPr>
        <w:tc>
          <w:tcPr>
            <w:tcW w:w="24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96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4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200" w:type="dxa"/>
            <w:vAlign w:val="bottom"/>
            <w:tcBorders>
              <w:top w:val="single" w:sz="8" w:color="E9E9E9"/>
            </w:tcBorders>
            <w:shd w:val="clear" w:color="auto" w:fill="E9E9E9"/>
          </w:tcPr>
          <w:p>
            <w:pPr>
              <w:spacing w:after="0"/>
              <w:rPr>
                <w:sz w:val="2"/>
                <w:szCs w:val="2"/>
                <w:color w:val="auto"/>
              </w:rPr>
            </w:pPr>
          </w:p>
        </w:tc>
        <w:tc>
          <w:tcPr>
            <w:tcW w:w="140" w:type="dxa"/>
            <w:vAlign w:val="bottom"/>
            <w:tcBorders>
              <w:top w:val="single" w:sz="8" w:color="E9E9E9"/>
            </w:tcBorders>
            <w:shd w:val="clear" w:color="auto" w:fill="E9E9E9"/>
          </w:tcPr>
          <w:p>
            <w:pPr>
              <w:spacing w:after="0"/>
              <w:rPr>
                <w:sz w:val="2"/>
                <w:szCs w:val="2"/>
                <w:color w:val="auto"/>
              </w:rPr>
            </w:pPr>
          </w:p>
        </w:tc>
        <w:tc>
          <w:tcPr>
            <w:tcW w:w="1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right w:val="single" w:sz="8" w:color="E9E9E9"/>
            </w:tcBorders>
            <w:shd w:val="clear" w:color="auto" w:fill="E9E9E9"/>
          </w:tcPr>
          <w:p>
            <w:pPr>
              <w:spacing w:after="0"/>
              <w:rPr>
                <w:sz w:val="2"/>
                <w:szCs w:val="2"/>
                <w:color w:val="auto"/>
              </w:rPr>
            </w:pPr>
          </w:p>
        </w:tc>
        <w:tc>
          <w:tcPr>
            <w:tcW w:w="18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580" w:type="dxa"/>
            <w:vAlign w:val="bottom"/>
            <w:tcBorders>
              <w:top w:val="single" w:sz="8" w:color="E9E9E9"/>
            </w:tcBorders>
            <w:shd w:val="clear" w:color="auto" w:fill="E9E9E9"/>
          </w:tcPr>
          <w:p>
            <w:pPr>
              <w:spacing w:after="0"/>
              <w:rPr>
                <w:sz w:val="2"/>
                <w:szCs w:val="2"/>
                <w:color w:val="auto"/>
              </w:rPr>
            </w:pPr>
          </w:p>
        </w:tc>
        <w:tc>
          <w:tcPr>
            <w:tcW w:w="10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100" w:type="dxa"/>
            <w:vAlign w:val="bottom"/>
            <w:tcBorders>
              <w:top w:val="single" w:sz="8" w:color="E9E9E9"/>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86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120" w:type="dxa"/>
            <w:vAlign w:val="bottom"/>
            <w:tcBorders>
              <w:top w:val="single" w:sz="8" w:color="E9E9E9"/>
            </w:tcBorders>
            <w:shd w:val="clear" w:color="auto" w:fill="E9E9E9"/>
          </w:tcPr>
          <w:p>
            <w:pPr>
              <w:spacing w:after="0"/>
              <w:rPr>
                <w:sz w:val="2"/>
                <w:szCs w:val="2"/>
                <w:color w:val="auto"/>
              </w:rPr>
            </w:pPr>
          </w:p>
        </w:tc>
        <w:tc>
          <w:tcPr>
            <w:tcW w:w="200" w:type="dxa"/>
            <w:vAlign w:val="bottom"/>
            <w:tcBorders>
              <w:top w:val="single" w:sz="8" w:color="E9E9E9"/>
            </w:tcBorders>
            <w:shd w:val="clear" w:color="auto" w:fill="E9E9E9"/>
          </w:tcPr>
          <w:p>
            <w:pPr>
              <w:spacing w:after="0"/>
              <w:rPr>
                <w:sz w:val="2"/>
                <w:szCs w:val="2"/>
                <w:color w:val="auto"/>
              </w:rPr>
            </w:pPr>
          </w:p>
        </w:tc>
        <w:tc>
          <w:tcPr>
            <w:tcW w:w="420" w:type="dxa"/>
            <w:vAlign w:val="bottom"/>
            <w:tcBorders>
              <w:top w:val="single" w:sz="8" w:color="E9E9E9"/>
            </w:tcBorders>
            <w:shd w:val="clear" w:color="auto" w:fill="E9E9E9"/>
          </w:tcPr>
          <w:p>
            <w:pPr>
              <w:spacing w:after="0"/>
              <w:rPr>
                <w:sz w:val="2"/>
                <w:szCs w:val="2"/>
                <w:color w:val="auto"/>
              </w:rPr>
            </w:pPr>
          </w:p>
        </w:tc>
        <w:tc>
          <w:tcPr>
            <w:tcW w:w="120" w:type="dxa"/>
            <w:vAlign w:val="bottom"/>
            <w:tcBorders>
              <w:top w:val="single" w:sz="8" w:color="E9E9E9"/>
            </w:tcBorders>
            <w:shd w:val="clear" w:color="auto" w:fill="E9E9E9"/>
          </w:tcPr>
          <w:p>
            <w:pPr>
              <w:spacing w:after="0"/>
              <w:rPr>
                <w:sz w:val="2"/>
                <w:szCs w:val="2"/>
                <w:color w:val="auto"/>
              </w:rPr>
            </w:pPr>
          </w:p>
        </w:tc>
        <w:tc>
          <w:tcPr>
            <w:tcW w:w="12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160" w:type="dxa"/>
            <w:vAlign w:val="bottom"/>
            <w:tcBorders>
              <w:top w:val="single" w:sz="8" w:color="E9E9E9"/>
            </w:tcBorders>
            <w:shd w:val="clear" w:color="auto" w:fill="E9E9E9"/>
          </w:tcPr>
          <w:p>
            <w:pPr>
              <w:spacing w:after="0"/>
              <w:rPr>
                <w:sz w:val="2"/>
                <w:szCs w:val="2"/>
                <w:color w:val="auto"/>
              </w:rPr>
            </w:pPr>
          </w:p>
        </w:tc>
        <w:tc>
          <w:tcPr>
            <w:tcW w:w="3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100" w:type="dxa"/>
            <w:vAlign w:val="bottom"/>
            <w:tcBorders>
              <w:top w:val="single" w:sz="8" w:color="E9E9E9"/>
            </w:tcBorders>
            <w:shd w:val="clear" w:color="auto" w:fill="E9E9E9"/>
          </w:tcPr>
          <w:p>
            <w:pPr>
              <w:spacing w:after="0"/>
              <w:rPr>
                <w:sz w:val="2"/>
                <w:szCs w:val="2"/>
                <w:color w:val="auto"/>
              </w:rPr>
            </w:pPr>
          </w:p>
        </w:tc>
        <w:tc>
          <w:tcPr>
            <w:tcW w:w="12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160" w:type="dxa"/>
            <w:vAlign w:val="bottom"/>
            <w:tcBorders>
              <w:top w:val="single" w:sz="8" w:color="E9E9E9"/>
            </w:tcBorders>
            <w:shd w:val="clear" w:color="auto" w:fill="E9E9E9"/>
          </w:tcPr>
          <w:p>
            <w:pPr>
              <w:spacing w:after="0"/>
              <w:rPr>
                <w:sz w:val="2"/>
                <w:szCs w:val="2"/>
                <w:color w:val="auto"/>
              </w:rPr>
            </w:pPr>
          </w:p>
        </w:tc>
        <w:tc>
          <w:tcPr>
            <w:tcW w:w="140" w:type="dxa"/>
            <w:vAlign w:val="bottom"/>
            <w:tcBorders>
              <w:top w:val="single" w:sz="8" w:color="E9E9E9"/>
              <w:right w:val="single" w:sz="8" w:color="E9E9E9"/>
            </w:tcBorders>
            <w:shd w:val="clear" w:color="auto" w:fill="E9E9E9"/>
          </w:tcPr>
          <w:p>
            <w:pPr>
              <w:spacing w:after="0"/>
              <w:rPr>
                <w:sz w:val="2"/>
                <w:szCs w:val="2"/>
                <w:color w:val="auto"/>
              </w:rPr>
            </w:pPr>
          </w:p>
        </w:tc>
        <w:tc>
          <w:tcPr>
            <w:tcW w:w="1460" w:type="dxa"/>
            <w:vAlign w:val="bottom"/>
            <w:tcBorders>
              <w:top w:val="single" w:sz="8" w:color="E9E9E9"/>
            </w:tcBorders>
            <w:shd w:val="clear" w:color="auto" w:fill="E9E9E9"/>
          </w:tcPr>
          <w:p>
            <w:pPr>
              <w:spacing w:after="0"/>
              <w:rPr>
                <w:sz w:val="2"/>
                <w:szCs w:val="2"/>
                <w:color w:val="auto"/>
              </w:rPr>
            </w:pPr>
          </w:p>
        </w:tc>
        <w:tc>
          <w:tcPr>
            <w:tcW w:w="280" w:type="dxa"/>
            <w:vAlign w:val="bottom"/>
            <w:tcBorders>
              <w:top w:val="single" w:sz="8" w:color="0000EE"/>
            </w:tcBorders>
            <w:shd w:val="clear" w:color="auto" w:fill="E9E9E9"/>
          </w:tcPr>
          <w:p>
            <w:pPr>
              <w:spacing w:after="0"/>
              <w:rPr>
                <w:sz w:val="2"/>
                <w:szCs w:val="2"/>
                <w:color w:val="auto"/>
              </w:rPr>
            </w:pPr>
          </w:p>
        </w:tc>
      </w:tr>
      <w:tr>
        <w:trPr>
          <w:trHeight w:val="185"/>
        </w:trPr>
        <w:tc>
          <w:tcPr>
            <w:tcW w:w="240" w:type="dxa"/>
            <w:vAlign w:val="bottom"/>
          </w:tcPr>
          <w:p>
            <w:pPr>
              <w:spacing w:after="0"/>
              <w:rPr>
                <w:sz w:val="16"/>
                <w:szCs w:val="16"/>
                <w:color w:val="auto"/>
              </w:rPr>
            </w:pPr>
          </w:p>
        </w:tc>
        <w:tc>
          <w:tcPr>
            <w:tcW w:w="2380" w:type="dxa"/>
            <w:vAlign w:val="bottom"/>
            <w:gridSpan w:val="17"/>
          </w:tcPr>
          <w:p>
            <w:pPr>
              <w:spacing w:after="0" w:line="185" w:lineRule="exact"/>
              <w:rPr>
                <w:rFonts w:ascii="Arial" w:cs="Arial" w:eastAsia="Arial" w:hAnsi="Arial"/>
                <w:sz w:val="17"/>
                <w:szCs w:val="17"/>
                <w:color w:val="0000EE"/>
              </w:rPr>
            </w:pPr>
            <w:hyperlink w:anchor="page10">
              <w:r>
                <w:rPr>
                  <w:rFonts w:ascii="Arial" w:cs="Arial" w:eastAsia="Arial" w:hAnsi="Arial"/>
                  <w:sz w:val="17"/>
                  <w:szCs w:val="17"/>
                  <w:color w:val="0000EE"/>
                </w:rPr>
                <w:t>Committees of the board</w:t>
              </w:r>
            </w:hyperlink>
          </w:p>
        </w:tc>
        <w:tc>
          <w:tcPr>
            <w:tcW w:w="2520" w:type="dxa"/>
            <w:vAlign w:val="bottom"/>
            <w:gridSpan w:val="10"/>
          </w:tcPr>
          <w:p>
            <w:pPr>
              <w:spacing w:after="0"/>
              <w:rPr>
                <w:sz w:val="16"/>
                <w:szCs w:val="16"/>
                <w:color w:val="auto"/>
              </w:rPr>
            </w:pPr>
          </w:p>
        </w:tc>
        <w:tc>
          <w:tcPr>
            <w:tcW w:w="140" w:type="dxa"/>
            <w:vAlign w:val="bottom"/>
            <w:gridSpan w:val="2"/>
          </w:tcPr>
          <w:p>
            <w:pPr>
              <w:spacing w:after="0"/>
              <w:rPr>
                <w:sz w:val="16"/>
                <w:szCs w:val="16"/>
                <w:color w:val="auto"/>
              </w:rPr>
            </w:pPr>
          </w:p>
        </w:tc>
        <w:tc>
          <w:tcPr>
            <w:tcW w:w="200" w:type="dxa"/>
            <w:vAlign w:val="bottom"/>
          </w:tcPr>
          <w:p>
            <w:pPr>
              <w:jc w:val="right"/>
              <w:spacing w:after="0" w:line="185" w:lineRule="exact"/>
              <w:rPr>
                <w:rFonts w:ascii="Arial" w:cs="Arial" w:eastAsia="Arial" w:hAnsi="Arial"/>
                <w:sz w:val="17"/>
                <w:szCs w:val="17"/>
                <w:color w:val="0000EE"/>
                <w:w w:val="94"/>
              </w:rPr>
            </w:pPr>
            <w:hyperlink w:anchor="page10">
              <w:r>
                <w:rPr>
                  <w:rFonts w:ascii="Arial" w:cs="Arial" w:eastAsia="Arial" w:hAnsi="Arial"/>
                  <w:sz w:val="17"/>
                  <w:szCs w:val="17"/>
                  <w:color w:val="0000EE"/>
                  <w:w w:val="94"/>
                </w:rPr>
                <w:t>79</w:t>
              </w:r>
            </w:hyperlink>
          </w:p>
        </w:tc>
        <w:tc>
          <w:tcPr>
            <w:tcW w:w="240" w:type="dxa"/>
            <w:vAlign w:val="bottom"/>
          </w:tcPr>
          <w:p>
            <w:pPr>
              <w:spacing w:after="0"/>
              <w:rPr>
                <w:sz w:val="16"/>
                <w:szCs w:val="16"/>
                <w:color w:val="auto"/>
              </w:rPr>
            </w:pPr>
          </w:p>
        </w:tc>
        <w:tc>
          <w:tcPr>
            <w:tcW w:w="5420" w:type="dxa"/>
            <w:vAlign w:val="bottom"/>
            <w:gridSpan w:val="22"/>
          </w:tcPr>
          <w:p>
            <w:pPr>
              <w:ind w:left="240"/>
              <w:spacing w:after="0" w:line="185" w:lineRule="exact"/>
              <w:rPr>
                <w:rFonts w:ascii="Arial" w:cs="Arial" w:eastAsia="Arial" w:hAnsi="Arial"/>
                <w:sz w:val="17"/>
                <w:szCs w:val="17"/>
                <w:color w:val="0000EE"/>
              </w:rPr>
            </w:pPr>
            <w:hyperlink w:anchor="page47">
              <w:r>
                <w:rPr>
                  <w:rFonts w:ascii="Arial" w:cs="Arial" w:eastAsia="Arial" w:hAnsi="Arial"/>
                  <w:sz w:val="17"/>
                  <w:szCs w:val="17"/>
                  <w:color w:val="0000EE"/>
                </w:rPr>
                <w:t>Stockholder proposals for 2016</w:t>
              </w:r>
            </w:hyperlink>
          </w:p>
        </w:tc>
        <w:tc>
          <w:tcPr>
            <w:tcW w:w="280" w:type="dxa"/>
            <w:vAlign w:val="bottom"/>
          </w:tcPr>
          <w:p>
            <w:pPr>
              <w:jc w:val="right"/>
              <w:spacing w:after="0" w:line="185" w:lineRule="exact"/>
              <w:rPr>
                <w:rFonts w:ascii="Arial" w:cs="Arial" w:eastAsia="Arial" w:hAnsi="Arial"/>
                <w:sz w:val="17"/>
                <w:szCs w:val="17"/>
                <w:color w:val="0000EE"/>
                <w:w w:val="91"/>
              </w:rPr>
            </w:pPr>
            <w:hyperlink w:anchor="page47">
              <w:r>
                <w:rPr>
                  <w:rFonts w:ascii="Arial" w:cs="Arial" w:eastAsia="Arial" w:hAnsi="Arial"/>
                  <w:sz w:val="17"/>
                  <w:szCs w:val="17"/>
                  <w:color w:val="0000EE"/>
                  <w:w w:val="91"/>
                </w:rPr>
                <w:t>116</w:t>
              </w:r>
            </w:hyperlink>
          </w:p>
        </w:tc>
      </w:tr>
      <w:tr>
        <w:trPr>
          <w:trHeight w:val="33"/>
        </w:trPr>
        <w:tc>
          <w:tcPr>
            <w:tcW w:w="2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r>
      <w:tr>
        <w:trPr>
          <w:trHeight w:val="185"/>
        </w:trPr>
        <w:tc>
          <w:tcPr>
            <w:tcW w:w="240" w:type="dxa"/>
            <w:vAlign w:val="bottom"/>
            <w:shd w:val="clear" w:color="auto" w:fill="E9E9E9"/>
          </w:tcPr>
          <w:p>
            <w:pPr>
              <w:spacing w:after="0"/>
              <w:rPr>
                <w:sz w:val="16"/>
                <w:szCs w:val="16"/>
                <w:color w:val="auto"/>
              </w:rPr>
            </w:pPr>
          </w:p>
        </w:tc>
        <w:tc>
          <w:tcPr>
            <w:tcW w:w="2020" w:type="dxa"/>
            <w:vAlign w:val="bottom"/>
            <w:gridSpan w:val="12"/>
            <w:shd w:val="clear" w:color="auto" w:fill="E9E9E9"/>
          </w:tcPr>
          <w:p>
            <w:pPr>
              <w:spacing w:after="0" w:line="185" w:lineRule="exact"/>
              <w:rPr>
                <w:rFonts w:ascii="Arial" w:cs="Arial" w:eastAsia="Arial" w:hAnsi="Arial"/>
                <w:sz w:val="17"/>
                <w:szCs w:val="17"/>
                <w:color w:val="0000EE"/>
              </w:rPr>
            </w:pPr>
            <w:hyperlink w:anchor="page12">
              <w:r>
                <w:rPr>
                  <w:rFonts w:ascii="Arial" w:cs="Arial" w:eastAsia="Arial" w:hAnsi="Arial"/>
                  <w:sz w:val="17"/>
                  <w:szCs w:val="17"/>
                  <w:color w:val="0000EE"/>
                </w:rPr>
                <w:t>Board leadership structure</w:t>
              </w:r>
            </w:hyperlink>
          </w:p>
        </w:tc>
        <w:tc>
          <w:tcPr>
            <w:tcW w:w="2880" w:type="dxa"/>
            <w:vAlign w:val="bottom"/>
            <w:gridSpan w:val="15"/>
            <w:shd w:val="clear" w:color="auto" w:fill="E9E9E9"/>
          </w:tcPr>
          <w:p>
            <w:pPr>
              <w:spacing w:after="0"/>
              <w:rPr>
                <w:sz w:val="16"/>
                <w:szCs w:val="16"/>
                <w:color w:val="auto"/>
              </w:rPr>
            </w:pPr>
          </w:p>
        </w:tc>
        <w:tc>
          <w:tcPr>
            <w:tcW w:w="140" w:type="dxa"/>
            <w:vAlign w:val="bottom"/>
            <w:gridSpan w:val="2"/>
            <w:shd w:val="clear" w:color="auto" w:fill="E9E9E9"/>
          </w:tcPr>
          <w:p>
            <w:pPr>
              <w:spacing w:after="0"/>
              <w:rPr>
                <w:sz w:val="16"/>
                <w:szCs w:val="16"/>
                <w:color w:val="auto"/>
              </w:rPr>
            </w:pPr>
          </w:p>
        </w:tc>
        <w:tc>
          <w:tcPr>
            <w:tcW w:w="200" w:type="dxa"/>
            <w:vAlign w:val="bottom"/>
            <w:shd w:val="clear" w:color="auto" w:fill="E9E9E9"/>
          </w:tcPr>
          <w:p>
            <w:pPr>
              <w:jc w:val="right"/>
              <w:spacing w:after="0" w:line="185" w:lineRule="exact"/>
              <w:rPr>
                <w:rFonts w:ascii="Arial" w:cs="Arial" w:eastAsia="Arial" w:hAnsi="Arial"/>
                <w:sz w:val="17"/>
                <w:szCs w:val="17"/>
                <w:color w:val="0000EE"/>
                <w:w w:val="94"/>
              </w:rPr>
            </w:pPr>
            <w:hyperlink w:anchor="page12">
              <w:r>
                <w:rPr>
                  <w:rFonts w:ascii="Arial" w:cs="Arial" w:eastAsia="Arial" w:hAnsi="Arial"/>
                  <w:sz w:val="17"/>
                  <w:szCs w:val="17"/>
                  <w:color w:val="0000EE"/>
                  <w:w w:val="94"/>
                </w:rPr>
                <w:t>81</w:t>
              </w:r>
            </w:hyperlink>
          </w:p>
        </w:tc>
        <w:tc>
          <w:tcPr>
            <w:tcW w:w="240" w:type="dxa"/>
            <w:vAlign w:val="bottom"/>
          </w:tcPr>
          <w:p>
            <w:pPr>
              <w:spacing w:after="0"/>
              <w:rPr>
                <w:sz w:val="16"/>
                <w:szCs w:val="16"/>
                <w:color w:val="auto"/>
              </w:rPr>
            </w:pPr>
          </w:p>
        </w:tc>
        <w:tc>
          <w:tcPr>
            <w:tcW w:w="5420" w:type="dxa"/>
            <w:vAlign w:val="bottom"/>
            <w:gridSpan w:val="22"/>
            <w:shd w:val="clear" w:color="auto" w:fill="E9E9E9"/>
          </w:tcPr>
          <w:p>
            <w:pPr>
              <w:ind w:left="240"/>
              <w:spacing w:after="0" w:line="185" w:lineRule="exact"/>
              <w:rPr>
                <w:rFonts w:ascii="Arial" w:cs="Arial" w:eastAsia="Arial" w:hAnsi="Arial"/>
                <w:sz w:val="17"/>
                <w:szCs w:val="17"/>
                <w:color w:val="0000EE"/>
              </w:rPr>
            </w:pPr>
            <w:hyperlink w:anchor="page47">
              <w:r>
                <w:rPr>
                  <w:rFonts w:ascii="Arial" w:cs="Arial" w:eastAsia="Arial" w:hAnsi="Arial"/>
                  <w:sz w:val="17"/>
                  <w:szCs w:val="17"/>
                  <w:color w:val="0000EE"/>
                </w:rPr>
                <w:t>Benefit plan voting</w:t>
              </w:r>
            </w:hyperlink>
          </w:p>
        </w:tc>
        <w:tc>
          <w:tcPr>
            <w:tcW w:w="280" w:type="dxa"/>
            <w:vAlign w:val="bottom"/>
            <w:shd w:val="clear" w:color="auto" w:fill="E9E9E9"/>
          </w:tcPr>
          <w:p>
            <w:pPr>
              <w:jc w:val="right"/>
              <w:spacing w:after="0" w:line="185" w:lineRule="exact"/>
              <w:rPr>
                <w:rFonts w:ascii="Arial" w:cs="Arial" w:eastAsia="Arial" w:hAnsi="Arial"/>
                <w:sz w:val="17"/>
                <w:szCs w:val="17"/>
                <w:color w:val="0000EE"/>
                <w:w w:val="91"/>
              </w:rPr>
            </w:pPr>
            <w:hyperlink w:anchor="page47">
              <w:r>
                <w:rPr>
                  <w:rFonts w:ascii="Arial" w:cs="Arial" w:eastAsia="Arial" w:hAnsi="Arial"/>
                  <w:sz w:val="17"/>
                  <w:szCs w:val="17"/>
                  <w:color w:val="0000EE"/>
                  <w:w w:val="91"/>
                </w:rPr>
                <w:t>116</w:t>
              </w:r>
            </w:hyperlink>
          </w:p>
        </w:tc>
      </w:tr>
      <w:tr>
        <w:trPr>
          <w:trHeight w:val="33"/>
        </w:trPr>
        <w:tc>
          <w:tcPr>
            <w:tcW w:w="24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96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4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200" w:type="dxa"/>
            <w:vAlign w:val="bottom"/>
            <w:tcBorders>
              <w:top w:val="single" w:sz="8" w:color="E9E9E9"/>
            </w:tcBorders>
            <w:shd w:val="clear" w:color="auto" w:fill="E9E9E9"/>
          </w:tcPr>
          <w:p>
            <w:pPr>
              <w:spacing w:after="0"/>
              <w:rPr>
                <w:sz w:val="2"/>
                <w:szCs w:val="2"/>
                <w:color w:val="auto"/>
              </w:rPr>
            </w:pPr>
          </w:p>
        </w:tc>
        <w:tc>
          <w:tcPr>
            <w:tcW w:w="140" w:type="dxa"/>
            <w:vAlign w:val="bottom"/>
            <w:tcBorders>
              <w:top w:val="single" w:sz="8" w:color="E9E9E9"/>
            </w:tcBorders>
            <w:shd w:val="clear" w:color="auto" w:fill="E9E9E9"/>
          </w:tcPr>
          <w:p>
            <w:pPr>
              <w:spacing w:after="0"/>
              <w:rPr>
                <w:sz w:val="2"/>
                <w:szCs w:val="2"/>
                <w:color w:val="auto"/>
              </w:rPr>
            </w:pPr>
          </w:p>
        </w:tc>
        <w:tc>
          <w:tcPr>
            <w:tcW w:w="1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right w:val="single" w:sz="8" w:color="E9E9E9"/>
            </w:tcBorders>
            <w:shd w:val="clear" w:color="auto" w:fill="E9E9E9"/>
          </w:tcPr>
          <w:p>
            <w:pPr>
              <w:spacing w:after="0"/>
              <w:rPr>
                <w:sz w:val="2"/>
                <w:szCs w:val="2"/>
                <w:color w:val="auto"/>
              </w:rPr>
            </w:pPr>
          </w:p>
        </w:tc>
        <w:tc>
          <w:tcPr>
            <w:tcW w:w="18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580" w:type="dxa"/>
            <w:vAlign w:val="bottom"/>
            <w:tcBorders>
              <w:top w:val="single" w:sz="8" w:color="E9E9E9"/>
            </w:tcBorders>
            <w:shd w:val="clear" w:color="auto" w:fill="E9E9E9"/>
          </w:tcPr>
          <w:p>
            <w:pPr>
              <w:spacing w:after="0"/>
              <w:rPr>
                <w:sz w:val="2"/>
                <w:szCs w:val="2"/>
                <w:color w:val="auto"/>
              </w:rPr>
            </w:pPr>
          </w:p>
        </w:tc>
        <w:tc>
          <w:tcPr>
            <w:tcW w:w="10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100" w:type="dxa"/>
            <w:vAlign w:val="bottom"/>
            <w:tcBorders>
              <w:top w:val="single" w:sz="8" w:color="E9E9E9"/>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86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120" w:type="dxa"/>
            <w:vAlign w:val="bottom"/>
            <w:tcBorders>
              <w:top w:val="single" w:sz="8" w:color="E9E9E9"/>
            </w:tcBorders>
            <w:shd w:val="clear" w:color="auto" w:fill="E9E9E9"/>
          </w:tcPr>
          <w:p>
            <w:pPr>
              <w:spacing w:after="0"/>
              <w:rPr>
                <w:sz w:val="2"/>
                <w:szCs w:val="2"/>
                <w:color w:val="auto"/>
              </w:rPr>
            </w:pPr>
          </w:p>
        </w:tc>
        <w:tc>
          <w:tcPr>
            <w:tcW w:w="200" w:type="dxa"/>
            <w:vAlign w:val="bottom"/>
            <w:tcBorders>
              <w:top w:val="single" w:sz="8" w:color="E9E9E9"/>
            </w:tcBorders>
            <w:shd w:val="clear" w:color="auto" w:fill="E9E9E9"/>
          </w:tcPr>
          <w:p>
            <w:pPr>
              <w:spacing w:after="0"/>
              <w:rPr>
                <w:sz w:val="2"/>
                <w:szCs w:val="2"/>
                <w:color w:val="auto"/>
              </w:rPr>
            </w:pPr>
          </w:p>
        </w:tc>
        <w:tc>
          <w:tcPr>
            <w:tcW w:w="420" w:type="dxa"/>
            <w:vAlign w:val="bottom"/>
            <w:tcBorders>
              <w:top w:val="single" w:sz="8" w:color="E9E9E9"/>
            </w:tcBorders>
            <w:shd w:val="clear" w:color="auto" w:fill="E9E9E9"/>
          </w:tcPr>
          <w:p>
            <w:pPr>
              <w:spacing w:after="0"/>
              <w:rPr>
                <w:sz w:val="2"/>
                <w:szCs w:val="2"/>
                <w:color w:val="auto"/>
              </w:rPr>
            </w:pPr>
          </w:p>
        </w:tc>
        <w:tc>
          <w:tcPr>
            <w:tcW w:w="120" w:type="dxa"/>
            <w:vAlign w:val="bottom"/>
            <w:tcBorders>
              <w:top w:val="single" w:sz="8" w:color="E9E9E9"/>
            </w:tcBorders>
            <w:shd w:val="clear" w:color="auto" w:fill="E9E9E9"/>
          </w:tcPr>
          <w:p>
            <w:pPr>
              <w:spacing w:after="0"/>
              <w:rPr>
                <w:sz w:val="2"/>
                <w:szCs w:val="2"/>
                <w:color w:val="auto"/>
              </w:rPr>
            </w:pPr>
          </w:p>
        </w:tc>
        <w:tc>
          <w:tcPr>
            <w:tcW w:w="12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160" w:type="dxa"/>
            <w:vAlign w:val="bottom"/>
            <w:tcBorders>
              <w:top w:val="single" w:sz="8" w:color="E9E9E9"/>
            </w:tcBorders>
            <w:shd w:val="clear" w:color="auto" w:fill="E9E9E9"/>
          </w:tcPr>
          <w:p>
            <w:pPr>
              <w:spacing w:after="0"/>
              <w:rPr>
                <w:sz w:val="2"/>
                <w:szCs w:val="2"/>
                <w:color w:val="auto"/>
              </w:rPr>
            </w:pPr>
          </w:p>
        </w:tc>
        <w:tc>
          <w:tcPr>
            <w:tcW w:w="3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100" w:type="dxa"/>
            <w:vAlign w:val="bottom"/>
            <w:tcBorders>
              <w:top w:val="single" w:sz="8" w:color="E9E9E9"/>
            </w:tcBorders>
            <w:shd w:val="clear" w:color="auto" w:fill="E9E9E9"/>
          </w:tcPr>
          <w:p>
            <w:pPr>
              <w:spacing w:after="0"/>
              <w:rPr>
                <w:sz w:val="2"/>
                <w:szCs w:val="2"/>
                <w:color w:val="auto"/>
              </w:rPr>
            </w:pPr>
          </w:p>
        </w:tc>
        <w:tc>
          <w:tcPr>
            <w:tcW w:w="12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160" w:type="dxa"/>
            <w:vAlign w:val="bottom"/>
            <w:tcBorders>
              <w:top w:val="single" w:sz="8" w:color="E9E9E9"/>
            </w:tcBorders>
            <w:shd w:val="clear" w:color="auto" w:fill="E9E9E9"/>
          </w:tcPr>
          <w:p>
            <w:pPr>
              <w:spacing w:after="0"/>
              <w:rPr>
                <w:sz w:val="2"/>
                <w:szCs w:val="2"/>
                <w:color w:val="auto"/>
              </w:rPr>
            </w:pPr>
          </w:p>
        </w:tc>
        <w:tc>
          <w:tcPr>
            <w:tcW w:w="140" w:type="dxa"/>
            <w:vAlign w:val="bottom"/>
            <w:tcBorders>
              <w:top w:val="single" w:sz="8" w:color="E9E9E9"/>
              <w:right w:val="single" w:sz="8" w:color="E9E9E9"/>
            </w:tcBorders>
            <w:shd w:val="clear" w:color="auto" w:fill="E9E9E9"/>
          </w:tcPr>
          <w:p>
            <w:pPr>
              <w:spacing w:after="0"/>
              <w:rPr>
                <w:sz w:val="2"/>
                <w:szCs w:val="2"/>
                <w:color w:val="auto"/>
              </w:rPr>
            </w:pPr>
          </w:p>
        </w:tc>
        <w:tc>
          <w:tcPr>
            <w:tcW w:w="1460" w:type="dxa"/>
            <w:vAlign w:val="bottom"/>
            <w:tcBorders>
              <w:top w:val="single" w:sz="8" w:color="E9E9E9"/>
            </w:tcBorders>
            <w:shd w:val="clear" w:color="auto" w:fill="E9E9E9"/>
          </w:tcPr>
          <w:p>
            <w:pPr>
              <w:spacing w:after="0"/>
              <w:rPr>
                <w:sz w:val="2"/>
                <w:szCs w:val="2"/>
                <w:color w:val="auto"/>
              </w:rPr>
            </w:pPr>
          </w:p>
        </w:tc>
        <w:tc>
          <w:tcPr>
            <w:tcW w:w="280" w:type="dxa"/>
            <w:vAlign w:val="bottom"/>
            <w:tcBorders>
              <w:top w:val="single" w:sz="8" w:color="0000EE"/>
            </w:tcBorders>
            <w:shd w:val="clear" w:color="auto" w:fill="E9E9E9"/>
          </w:tcPr>
          <w:p>
            <w:pPr>
              <w:spacing w:after="0"/>
              <w:rPr>
                <w:sz w:val="2"/>
                <w:szCs w:val="2"/>
                <w:color w:val="auto"/>
              </w:rPr>
            </w:pPr>
          </w:p>
        </w:tc>
      </w:tr>
      <w:tr>
        <w:trPr>
          <w:trHeight w:val="185"/>
        </w:trPr>
        <w:tc>
          <w:tcPr>
            <w:tcW w:w="240" w:type="dxa"/>
            <w:vAlign w:val="bottom"/>
          </w:tcPr>
          <w:p>
            <w:pPr>
              <w:spacing w:after="0"/>
              <w:rPr>
                <w:sz w:val="16"/>
                <w:szCs w:val="16"/>
                <w:color w:val="auto"/>
              </w:rPr>
            </w:pPr>
          </w:p>
        </w:tc>
        <w:tc>
          <w:tcPr>
            <w:tcW w:w="4900" w:type="dxa"/>
            <w:vAlign w:val="bottom"/>
            <w:gridSpan w:val="27"/>
          </w:tcPr>
          <w:p>
            <w:pPr>
              <w:spacing w:after="0" w:line="185" w:lineRule="exact"/>
              <w:rPr>
                <w:rFonts w:ascii="Arial" w:cs="Arial" w:eastAsia="Arial" w:hAnsi="Arial"/>
                <w:sz w:val="17"/>
                <w:szCs w:val="17"/>
                <w:color w:val="0000EE"/>
              </w:rPr>
            </w:pPr>
            <w:hyperlink w:anchor="page13">
              <w:r>
                <w:rPr>
                  <w:rFonts w:ascii="Arial" w:cs="Arial" w:eastAsia="Arial" w:hAnsi="Arial"/>
                  <w:sz w:val="17"/>
                  <w:szCs w:val="17"/>
                  <w:color w:val="0000EE"/>
                </w:rPr>
                <w:t>Risk oversight by the board</w:t>
              </w:r>
            </w:hyperlink>
          </w:p>
        </w:tc>
        <w:tc>
          <w:tcPr>
            <w:tcW w:w="580" w:type="dxa"/>
            <w:vAlign w:val="bottom"/>
            <w:gridSpan w:val="4"/>
          </w:tcPr>
          <w:p>
            <w:pPr>
              <w:jc w:val="right"/>
              <w:ind w:right="240"/>
              <w:spacing w:after="0" w:line="185" w:lineRule="exact"/>
              <w:rPr>
                <w:rFonts w:ascii="Arial" w:cs="Arial" w:eastAsia="Arial" w:hAnsi="Arial"/>
                <w:sz w:val="17"/>
                <w:szCs w:val="17"/>
                <w:color w:val="0000EE"/>
              </w:rPr>
            </w:pPr>
            <w:hyperlink w:anchor="page13">
              <w:r>
                <w:rPr>
                  <w:rFonts w:ascii="Arial" w:cs="Arial" w:eastAsia="Arial" w:hAnsi="Arial"/>
                  <w:sz w:val="17"/>
                  <w:szCs w:val="17"/>
                  <w:color w:val="0000EE"/>
                </w:rPr>
                <w:t>82</w:t>
              </w:r>
            </w:hyperlink>
          </w:p>
        </w:tc>
        <w:tc>
          <w:tcPr>
            <w:tcW w:w="5420" w:type="dxa"/>
            <w:vAlign w:val="bottom"/>
            <w:gridSpan w:val="22"/>
          </w:tcPr>
          <w:p>
            <w:pPr>
              <w:ind w:left="240"/>
              <w:spacing w:after="0" w:line="185" w:lineRule="exact"/>
              <w:rPr>
                <w:rFonts w:ascii="Arial" w:cs="Arial" w:eastAsia="Arial" w:hAnsi="Arial"/>
                <w:sz w:val="17"/>
                <w:szCs w:val="17"/>
                <w:color w:val="0000EE"/>
              </w:rPr>
            </w:pPr>
            <w:hyperlink w:anchor="page47">
              <w:r>
                <w:rPr>
                  <w:rFonts w:ascii="Arial" w:cs="Arial" w:eastAsia="Arial" w:hAnsi="Arial"/>
                  <w:sz w:val="17"/>
                  <w:szCs w:val="17"/>
                  <w:color w:val="0000EE"/>
                </w:rPr>
                <w:t>Section 16(a) beneficial ownership reporting</w:t>
              </w:r>
            </w:hyperlink>
          </w:p>
        </w:tc>
        <w:tc>
          <w:tcPr>
            <w:tcW w:w="280" w:type="dxa"/>
            <w:vAlign w:val="bottom"/>
          </w:tcPr>
          <w:p>
            <w:pPr>
              <w:spacing w:after="0"/>
              <w:rPr>
                <w:sz w:val="16"/>
                <w:szCs w:val="16"/>
                <w:color w:val="auto"/>
              </w:rPr>
            </w:pPr>
          </w:p>
        </w:tc>
      </w:tr>
      <w:tr>
        <w:trPr>
          <w:trHeight w:val="33"/>
        </w:trPr>
        <w:tc>
          <w:tcPr>
            <w:tcW w:w="2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85"/>
        </w:trPr>
        <w:tc>
          <w:tcPr>
            <w:tcW w:w="5140" w:type="dxa"/>
            <w:vAlign w:val="bottom"/>
            <w:gridSpan w:val="28"/>
            <w:shd w:val="clear" w:color="auto" w:fill="E9E9E9"/>
          </w:tcPr>
          <w:p>
            <w:pPr>
              <w:spacing w:after="0" w:line="185" w:lineRule="exact"/>
              <w:rPr>
                <w:rFonts w:ascii="Arial" w:cs="Arial" w:eastAsia="Arial" w:hAnsi="Arial"/>
                <w:sz w:val="17"/>
                <w:szCs w:val="17"/>
                <w:color w:val="0000EE"/>
              </w:rPr>
            </w:pPr>
            <w:hyperlink w:anchor="page13">
              <w:r>
                <w:rPr>
                  <w:rFonts w:ascii="Arial" w:cs="Arial" w:eastAsia="Arial" w:hAnsi="Arial"/>
                  <w:sz w:val="17"/>
                  <w:szCs w:val="17"/>
                  <w:color w:val="0000EE"/>
                </w:rPr>
                <w:t>Director compensation</w:t>
              </w:r>
            </w:hyperlink>
          </w:p>
        </w:tc>
        <w:tc>
          <w:tcPr>
            <w:tcW w:w="340" w:type="dxa"/>
            <w:vAlign w:val="bottom"/>
            <w:gridSpan w:val="3"/>
            <w:shd w:val="clear" w:color="auto" w:fill="E9E9E9"/>
          </w:tcPr>
          <w:p>
            <w:pPr>
              <w:jc w:val="right"/>
              <w:spacing w:after="0" w:line="185" w:lineRule="exact"/>
              <w:rPr>
                <w:rFonts w:ascii="Arial" w:cs="Arial" w:eastAsia="Arial" w:hAnsi="Arial"/>
                <w:sz w:val="17"/>
                <w:szCs w:val="17"/>
                <w:color w:val="0000EE"/>
              </w:rPr>
            </w:pPr>
            <w:hyperlink w:anchor="page13">
              <w:r>
                <w:rPr>
                  <w:rFonts w:ascii="Arial" w:cs="Arial" w:eastAsia="Arial" w:hAnsi="Arial"/>
                  <w:sz w:val="17"/>
                  <w:szCs w:val="17"/>
                  <w:color w:val="0000EE"/>
                </w:rPr>
                <w:t>82</w:t>
              </w:r>
            </w:hyperlink>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40" w:type="dxa"/>
            <w:vAlign w:val="bottom"/>
            <w:gridSpan w:val="20"/>
          </w:tcPr>
          <w:p>
            <w:pPr>
              <w:spacing w:after="0" w:line="185" w:lineRule="exact"/>
              <w:rPr>
                <w:rFonts w:ascii="Arial" w:cs="Arial" w:eastAsia="Arial" w:hAnsi="Arial"/>
                <w:sz w:val="17"/>
                <w:szCs w:val="17"/>
                <w:color w:val="0000EE"/>
              </w:rPr>
            </w:pPr>
            <w:hyperlink w:anchor="page47">
              <w:r>
                <w:rPr>
                  <w:rFonts w:ascii="Arial" w:cs="Arial" w:eastAsia="Arial" w:hAnsi="Arial"/>
                  <w:sz w:val="17"/>
                  <w:szCs w:val="17"/>
                  <w:color w:val="0000EE"/>
                </w:rPr>
                <w:t>compliance</w:t>
              </w:r>
            </w:hyperlink>
          </w:p>
        </w:tc>
        <w:tc>
          <w:tcPr>
            <w:tcW w:w="280" w:type="dxa"/>
            <w:vAlign w:val="bottom"/>
          </w:tcPr>
          <w:p>
            <w:pPr>
              <w:jc w:val="right"/>
              <w:spacing w:after="0" w:line="185" w:lineRule="exact"/>
              <w:rPr>
                <w:rFonts w:ascii="Arial" w:cs="Arial" w:eastAsia="Arial" w:hAnsi="Arial"/>
                <w:sz w:val="17"/>
                <w:szCs w:val="17"/>
                <w:color w:val="0000EE"/>
                <w:w w:val="91"/>
              </w:rPr>
            </w:pPr>
            <w:hyperlink w:anchor="page47">
              <w:r>
                <w:rPr>
                  <w:rFonts w:ascii="Arial" w:cs="Arial" w:eastAsia="Arial" w:hAnsi="Arial"/>
                  <w:sz w:val="17"/>
                  <w:szCs w:val="17"/>
                  <w:color w:val="0000EE"/>
                  <w:w w:val="91"/>
                </w:rPr>
                <w:t>116</w:t>
              </w:r>
            </w:hyperlink>
          </w:p>
        </w:tc>
      </w:tr>
      <w:tr>
        <w:trPr>
          <w:trHeight w:val="33"/>
        </w:trPr>
        <w:tc>
          <w:tcPr>
            <w:tcW w:w="240" w:type="dxa"/>
            <w:vAlign w:val="bottom"/>
            <w:tcBorders>
              <w:top w:val="single" w:sz="8" w:color="0000EE"/>
            </w:tcBorders>
            <w:shd w:val="clear" w:color="auto" w:fill="E9E9E9"/>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96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14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200" w:type="dxa"/>
            <w:vAlign w:val="bottom"/>
            <w:tcBorders>
              <w:top w:val="single" w:sz="8" w:color="E9E9E9"/>
            </w:tcBorders>
            <w:shd w:val="clear" w:color="auto" w:fill="E9E9E9"/>
          </w:tcPr>
          <w:p>
            <w:pPr>
              <w:spacing w:after="0"/>
              <w:rPr>
                <w:sz w:val="2"/>
                <w:szCs w:val="2"/>
                <w:color w:val="auto"/>
              </w:rPr>
            </w:pPr>
          </w:p>
        </w:tc>
        <w:tc>
          <w:tcPr>
            <w:tcW w:w="140" w:type="dxa"/>
            <w:vAlign w:val="bottom"/>
            <w:tcBorders>
              <w:top w:val="single" w:sz="8" w:color="E9E9E9"/>
            </w:tcBorders>
            <w:shd w:val="clear" w:color="auto" w:fill="E9E9E9"/>
          </w:tcPr>
          <w:p>
            <w:pPr>
              <w:spacing w:after="0"/>
              <w:rPr>
                <w:sz w:val="2"/>
                <w:szCs w:val="2"/>
                <w:color w:val="auto"/>
              </w:rPr>
            </w:pPr>
          </w:p>
        </w:tc>
        <w:tc>
          <w:tcPr>
            <w:tcW w:w="1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right w:val="single" w:sz="8" w:color="E9E9E9"/>
            </w:tcBorders>
            <w:shd w:val="clear" w:color="auto" w:fill="E9E9E9"/>
          </w:tcPr>
          <w:p>
            <w:pPr>
              <w:spacing w:after="0"/>
              <w:rPr>
                <w:sz w:val="2"/>
                <w:szCs w:val="2"/>
                <w:color w:val="auto"/>
              </w:rPr>
            </w:pPr>
          </w:p>
        </w:tc>
        <w:tc>
          <w:tcPr>
            <w:tcW w:w="18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580" w:type="dxa"/>
            <w:vAlign w:val="bottom"/>
            <w:tcBorders>
              <w:top w:val="single" w:sz="8" w:color="E9E9E9"/>
            </w:tcBorders>
            <w:shd w:val="clear" w:color="auto" w:fill="E9E9E9"/>
          </w:tcPr>
          <w:p>
            <w:pPr>
              <w:spacing w:after="0"/>
              <w:rPr>
                <w:sz w:val="2"/>
                <w:szCs w:val="2"/>
                <w:color w:val="auto"/>
              </w:rPr>
            </w:pPr>
          </w:p>
        </w:tc>
        <w:tc>
          <w:tcPr>
            <w:tcW w:w="10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100" w:type="dxa"/>
            <w:vAlign w:val="bottom"/>
            <w:tcBorders>
              <w:top w:val="single" w:sz="8" w:color="E9E9E9"/>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r>
      <w:tr>
        <w:trPr>
          <w:trHeight w:val="185"/>
        </w:trPr>
        <w:tc>
          <w:tcPr>
            <w:tcW w:w="240" w:type="dxa"/>
            <w:vAlign w:val="bottom"/>
          </w:tcPr>
          <w:p>
            <w:pPr>
              <w:spacing w:after="0"/>
              <w:rPr>
                <w:sz w:val="16"/>
                <w:szCs w:val="16"/>
                <w:color w:val="auto"/>
              </w:rPr>
            </w:pPr>
          </w:p>
        </w:tc>
        <w:tc>
          <w:tcPr>
            <w:tcW w:w="4900" w:type="dxa"/>
            <w:vAlign w:val="bottom"/>
            <w:gridSpan w:val="27"/>
          </w:tcPr>
          <w:p>
            <w:pPr>
              <w:spacing w:after="0" w:line="185" w:lineRule="exact"/>
              <w:rPr>
                <w:rFonts w:ascii="Arial" w:cs="Arial" w:eastAsia="Arial" w:hAnsi="Arial"/>
                <w:sz w:val="17"/>
                <w:szCs w:val="17"/>
                <w:color w:val="0000EE"/>
              </w:rPr>
            </w:pPr>
            <w:hyperlink w:anchor="page15">
              <w:r>
                <w:rPr>
                  <w:rFonts w:ascii="Arial" w:cs="Arial" w:eastAsia="Arial" w:hAnsi="Arial"/>
                  <w:sz w:val="17"/>
                  <w:szCs w:val="17"/>
                  <w:color w:val="0000EE"/>
                </w:rPr>
                <w:t>2014 director compensation</w:t>
              </w:r>
            </w:hyperlink>
          </w:p>
        </w:tc>
        <w:tc>
          <w:tcPr>
            <w:tcW w:w="580" w:type="dxa"/>
            <w:vAlign w:val="bottom"/>
            <w:gridSpan w:val="4"/>
          </w:tcPr>
          <w:p>
            <w:pPr>
              <w:jc w:val="right"/>
              <w:ind w:right="240"/>
              <w:spacing w:after="0" w:line="185" w:lineRule="exact"/>
              <w:rPr>
                <w:rFonts w:ascii="Arial" w:cs="Arial" w:eastAsia="Arial" w:hAnsi="Arial"/>
                <w:sz w:val="17"/>
                <w:szCs w:val="17"/>
                <w:color w:val="0000EE"/>
              </w:rPr>
            </w:pPr>
            <w:hyperlink w:anchor="page15">
              <w:r>
                <w:rPr>
                  <w:rFonts w:ascii="Arial" w:cs="Arial" w:eastAsia="Arial" w:hAnsi="Arial"/>
                  <w:sz w:val="17"/>
                  <w:szCs w:val="17"/>
                  <w:color w:val="0000EE"/>
                </w:rPr>
                <w:t>84</w:t>
              </w:r>
            </w:hyperlink>
          </w:p>
        </w:tc>
        <w:tc>
          <w:tcPr>
            <w:tcW w:w="5420" w:type="dxa"/>
            <w:vAlign w:val="bottom"/>
            <w:gridSpan w:val="22"/>
            <w:shd w:val="clear" w:color="auto" w:fill="E9E9E9"/>
          </w:tcPr>
          <w:p>
            <w:pPr>
              <w:ind w:left="240"/>
              <w:spacing w:after="0" w:line="185" w:lineRule="exact"/>
              <w:rPr>
                <w:rFonts w:ascii="Arial" w:cs="Arial" w:eastAsia="Arial" w:hAnsi="Arial"/>
                <w:sz w:val="17"/>
                <w:szCs w:val="17"/>
                <w:color w:val="0000EE"/>
              </w:rPr>
            </w:pPr>
            <w:hyperlink w:anchor="page47">
              <w:r>
                <w:rPr>
                  <w:rFonts w:ascii="Arial" w:cs="Arial" w:eastAsia="Arial" w:hAnsi="Arial"/>
                  <w:sz w:val="17"/>
                  <w:szCs w:val="17"/>
                  <w:color w:val="0000EE"/>
                </w:rPr>
                <w:t>Telephone and Internet voting</w:t>
              </w:r>
            </w:hyperlink>
          </w:p>
        </w:tc>
        <w:tc>
          <w:tcPr>
            <w:tcW w:w="280" w:type="dxa"/>
            <w:vAlign w:val="bottom"/>
            <w:shd w:val="clear" w:color="auto" w:fill="E9E9E9"/>
          </w:tcPr>
          <w:p>
            <w:pPr>
              <w:jc w:val="right"/>
              <w:spacing w:after="0" w:line="185" w:lineRule="exact"/>
              <w:rPr>
                <w:rFonts w:ascii="Arial" w:cs="Arial" w:eastAsia="Arial" w:hAnsi="Arial"/>
                <w:sz w:val="17"/>
                <w:szCs w:val="17"/>
                <w:color w:val="0000EE"/>
                <w:w w:val="91"/>
              </w:rPr>
            </w:pPr>
            <w:hyperlink w:anchor="page47">
              <w:r>
                <w:rPr>
                  <w:rFonts w:ascii="Arial" w:cs="Arial" w:eastAsia="Arial" w:hAnsi="Arial"/>
                  <w:sz w:val="17"/>
                  <w:szCs w:val="17"/>
                  <w:color w:val="0000EE"/>
                  <w:w w:val="91"/>
                </w:rPr>
                <w:t>116</w:t>
              </w:r>
            </w:hyperlink>
          </w:p>
        </w:tc>
      </w:tr>
      <w:tr>
        <w:trPr>
          <w:trHeight w:val="33"/>
        </w:trPr>
        <w:tc>
          <w:tcPr>
            <w:tcW w:w="2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86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120" w:type="dxa"/>
            <w:vAlign w:val="bottom"/>
            <w:tcBorders>
              <w:top w:val="single" w:sz="8" w:color="0000EE"/>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420" w:type="dxa"/>
            <w:vAlign w:val="bottom"/>
            <w:tcBorders>
              <w:top w:val="single" w:sz="8" w:color="0000EE"/>
            </w:tcBorders>
            <w:shd w:val="clear" w:color="auto" w:fill="E9E9E9"/>
          </w:tcPr>
          <w:p>
            <w:pPr>
              <w:spacing w:after="0"/>
              <w:rPr>
                <w:sz w:val="2"/>
                <w:szCs w:val="2"/>
                <w:color w:val="auto"/>
              </w:rPr>
            </w:pPr>
          </w:p>
        </w:tc>
        <w:tc>
          <w:tcPr>
            <w:tcW w:w="120" w:type="dxa"/>
            <w:vAlign w:val="bottom"/>
            <w:tcBorders>
              <w:top w:val="single" w:sz="8" w:color="0000EE"/>
            </w:tcBorders>
            <w:shd w:val="clear" w:color="auto" w:fill="E9E9E9"/>
          </w:tcPr>
          <w:p>
            <w:pPr>
              <w:spacing w:after="0"/>
              <w:rPr>
                <w:sz w:val="2"/>
                <w:szCs w:val="2"/>
                <w:color w:val="auto"/>
              </w:rPr>
            </w:pPr>
          </w:p>
        </w:tc>
        <w:tc>
          <w:tcPr>
            <w:tcW w:w="12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160" w:type="dxa"/>
            <w:vAlign w:val="bottom"/>
            <w:tcBorders>
              <w:top w:val="single" w:sz="8" w:color="E9E9E9"/>
            </w:tcBorders>
            <w:shd w:val="clear" w:color="auto" w:fill="E9E9E9"/>
          </w:tcPr>
          <w:p>
            <w:pPr>
              <w:spacing w:after="0"/>
              <w:rPr>
                <w:sz w:val="2"/>
                <w:szCs w:val="2"/>
                <w:color w:val="auto"/>
              </w:rPr>
            </w:pPr>
          </w:p>
        </w:tc>
        <w:tc>
          <w:tcPr>
            <w:tcW w:w="3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100" w:type="dxa"/>
            <w:vAlign w:val="bottom"/>
            <w:tcBorders>
              <w:top w:val="single" w:sz="8" w:color="E9E9E9"/>
            </w:tcBorders>
            <w:shd w:val="clear" w:color="auto" w:fill="E9E9E9"/>
          </w:tcPr>
          <w:p>
            <w:pPr>
              <w:spacing w:after="0"/>
              <w:rPr>
                <w:sz w:val="2"/>
                <w:szCs w:val="2"/>
                <w:color w:val="auto"/>
              </w:rPr>
            </w:pPr>
          </w:p>
        </w:tc>
        <w:tc>
          <w:tcPr>
            <w:tcW w:w="12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160" w:type="dxa"/>
            <w:vAlign w:val="bottom"/>
            <w:tcBorders>
              <w:top w:val="single" w:sz="8" w:color="E9E9E9"/>
            </w:tcBorders>
            <w:shd w:val="clear" w:color="auto" w:fill="E9E9E9"/>
          </w:tcPr>
          <w:p>
            <w:pPr>
              <w:spacing w:after="0"/>
              <w:rPr>
                <w:sz w:val="2"/>
                <w:szCs w:val="2"/>
                <w:color w:val="auto"/>
              </w:rPr>
            </w:pPr>
          </w:p>
        </w:tc>
        <w:tc>
          <w:tcPr>
            <w:tcW w:w="140" w:type="dxa"/>
            <w:vAlign w:val="bottom"/>
            <w:tcBorders>
              <w:top w:val="single" w:sz="8" w:color="E9E9E9"/>
              <w:right w:val="single" w:sz="8" w:color="E9E9E9"/>
            </w:tcBorders>
            <w:shd w:val="clear" w:color="auto" w:fill="E9E9E9"/>
          </w:tcPr>
          <w:p>
            <w:pPr>
              <w:spacing w:after="0"/>
              <w:rPr>
                <w:sz w:val="2"/>
                <w:szCs w:val="2"/>
                <w:color w:val="auto"/>
              </w:rPr>
            </w:pPr>
          </w:p>
        </w:tc>
        <w:tc>
          <w:tcPr>
            <w:tcW w:w="1460" w:type="dxa"/>
            <w:vAlign w:val="bottom"/>
            <w:tcBorders>
              <w:top w:val="single" w:sz="8" w:color="E9E9E9"/>
            </w:tcBorders>
            <w:shd w:val="clear" w:color="auto" w:fill="E9E9E9"/>
          </w:tcPr>
          <w:p>
            <w:pPr>
              <w:spacing w:after="0"/>
              <w:rPr>
                <w:sz w:val="2"/>
                <w:szCs w:val="2"/>
                <w:color w:val="auto"/>
              </w:rPr>
            </w:pPr>
          </w:p>
        </w:tc>
        <w:tc>
          <w:tcPr>
            <w:tcW w:w="280" w:type="dxa"/>
            <w:vAlign w:val="bottom"/>
            <w:tcBorders>
              <w:top w:val="single" w:sz="8" w:color="0000EE"/>
            </w:tcBorders>
            <w:shd w:val="clear" w:color="auto" w:fill="E9E9E9"/>
          </w:tcPr>
          <w:p>
            <w:pPr>
              <w:spacing w:after="0"/>
              <w:rPr>
                <w:sz w:val="2"/>
                <w:szCs w:val="2"/>
                <w:color w:val="auto"/>
              </w:rPr>
            </w:pPr>
          </w:p>
        </w:tc>
      </w:tr>
      <w:tr>
        <w:trPr>
          <w:trHeight w:val="185"/>
        </w:trPr>
        <w:tc>
          <w:tcPr>
            <w:tcW w:w="5140" w:type="dxa"/>
            <w:vAlign w:val="bottom"/>
            <w:gridSpan w:val="28"/>
            <w:shd w:val="clear" w:color="auto" w:fill="E9E9E9"/>
          </w:tcPr>
          <w:p>
            <w:pPr>
              <w:spacing w:after="0" w:line="185" w:lineRule="exact"/>
              <w:rPr>
                <w:rFonts w:ascii="Arial" w:cs="Arial" w:eastAsia="Arial" w:hAnsi="Arial"/>
                <w:sz w:val="17"/>
                <w:szCs w:val="17"/>
                <w:color w:val="0000EE"/>
              </w:rPr>
            </w:pPr>
            <w:hyperlink w:anchor="page16">
              <w:r>
                <w:rPr>
                  <w:rFonts w:ascii="Arial" w:cs="Arial" w:eastAsia="Arial" w:hAnsi="Arial"/>
                  <w:sz w:val="17"/>
                  <w:szCs w:val="17"/>
                  <w:color w:val="0000EE"/>
                </w:rPr>
                <w:t>Executive compensation</w:t>
              </w:r>
            </w:hyperlink>
          </w:p>
        </w:tc>
        <w:tc>
          <w:tcPr>
            <w:tcW w:w="340" w:type="dxa"/>
            <w:vAlign w:val="bottom"/>
            <w:gridSpan w:val="3"/>
            <w:shd w:val="clear" w:color="auto" w:fill="E9E9E9"/>
          </w:tcPr>
          <w:p>
            <w:pPr>
              <w:jc w:val="right"/>
              <w:spacing w:after="0" w:line="185" w:lineRule="exact"/>
              <w:rPr>
                <w:rFonts w:ascii="Arial" w:cs="Arial" w:eastAsia="Arial" w:hAnsi="Arial"/>
                <w:sz w:val="17"/>
                <w:szCs w:val="17"/>
                <w:color w:val="0000EE"/>
              </w:rPr>
            </w:pPr>
            <w:hyperlink w:anchor="page16">
              <w:r>
                <w:rPr>
                  <w:rFonts w:ascii="Arial" w:cs="Arial" w:eastAsia="Arial" w:hAnsi="Arial"/>
                  <w:sz w:val="17"/>
                  <w:szCs w:val="17"/>
                  <w:color w:val="0000EE"/>
                </w:rPr>
                <w:t>85</w:t>
              </w:r>
            </w:hyperlink>
          </w:p>
        </w:tc>
        <w:tc>
          <w:tcPr>
            <w:tcW w:w="240" w:type="dxa"/>
            <w:vAlign w:val="bottom"/>
          </w:tcPr>
          <w:p>
            <w:pPr>
              <w:spacing w:after="0"/>
              <w:rPr>
                <w:sz w:val="16"/>
                <w:szCs w:val="16"/>
                <w:color w:val="auto"/>
              </w:rPr>
            </w:pPr>
          </w:p>
        </w:tc>
        <w:tc>
          <w:tcPr>
            <w:tcW w:w="5420" w:type="dxa"/>
            <w:vAlign w:val="bottom"/>
            <w:gridSpan w:val="22"/>
          </w:tcPr>
          <w:p>
            <w:pPr>
              <w:ind w:left="240"/>
              <w:spacing w:after="0" w:line="185" w:lineRule="exact"/>
              <w:rPr>
                <w:rFonts w:ascii="Arial" w:cs="Arial" w:eastAsia="Arial" w:hAnsi="Arial"/>
                <w:sz w:val="17"/>
                <w:szCs w:val="17"/>
                <w:color w:val="0000EE"/>
              </w:rPr>
            </w:pPr>
            <w:hyperlink w:anchor="page48">
              <w:r>
                <w:rPr>
                  <w:rFonts w:ascii="Arial" w:cs="Arial" w:eastAsia="Arial" w:hAnsi="Arial"/>
                  <w:sz w:val="17"/>
                  <w:szCs w:val="17"/>
                  <w:color w:val="0000EE"/>
                </w:rPr>
                <w:t>Stockholders sharing the same address</w:t>
              </w:r>
            </w:hyperlink>
          </w:p>
        </w:tc>
        <w:tc>
          <w:tcPr>
            <w:tcW w:w="280" w:type="dxa"/>
            <w:vAlign w:val="bottom"/>
          </w:tcPr>
          <w:p>
            <w:pPr>
              <w:jc w:val="right"/>
              <w:spacing w:after="0" w:line="185" w:lineRule="exact"/>
              <w:rPr>
                <w:rFonts w:ascii="Arial" w:cs="Arial" w:eastAsia="Arial" w:hAnsi="Arial"/>
                <w:sz w:val="17"/>
                <w:szCs w:val="17"/>
                <w:color w:val="0000EE"/>
                <w:w w:val="91"/>
              </w:rPr>
            </w:pPr>
            <w:hyperlink w:anchor="page48">
              <w:r>
                <w:rPr>
                  <w:rFonts w:ascii="Arial" w:cs="Arial" w:eastAsia="Arial" w:hAnsi="Arial"/>
                  <w:sz w:val="17"/>
                  <w:szCs w:val="17"/>
                  <w:color w:val="0000EE"/>
                  <w:w w:val="91"/>
                </w:rPr>
                <w:t>117</w:t>
              </w:r>
            </w:hyperlink>
          </w:p>
        </w:tc>
      </w:tr>
      <w:tr>
        <w:trPr>
          <w:trHeight w:val="33"/>
        </w:trPr>
        <w:tc>
          <w:tcPr>
            <w:tcW w:w="240" w:type="dxa"/>
            <w:vAlign w:val="bottom"/>
            <w:tcBorders>
              <w:top w:val="single" w:sz="8" w:color="0000EE"/>
            </w:tcBorders>
            <w:shd w:val="clear" w:color="auto" w:fill="E9E9E9"/>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96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14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200" w:type="dxa"/>
            <w:vAlign w:val="bottom"/>
            <w:tcBorders>
              <w:top w:val="single" w:sz="8" w:color="E9E9E9"/>
            </w:tcBorders>
            <w:shd w:val="clear" w:color="auto" w:fill="E9E9E9"/>
          </w:tcPr>
          <w:p>
            <w:pPr>
              <w:spacing w:after="0"/>
              <w:rPr>
                <w:sz w:val="2"/>
                <w:szCs w:val="2"/>
                <w:color w:val="auto"/>
              </w:rPr>
            </w:pPr>
          </w:p>
        </w:tc>
        <w:tc>
          <w:tcPr>
            <w:tcW w:w="140" w:type="dxa"/>
            <w:vAlign w:val="bottom"/>
            <w:tcBorders>
              <w:top w:val="single" w:sz="8" w:color="E9E9E9"/>
            </w:tcBorders>
            <w:shd w:val="clear" w:color="auto" w:fill="E9E9E9"/>
          </w:tcPr>
          <w:p>
            <w:pPr>
              <w:spacing w:after="0"/>
              <w:rPr>
                <w:sz w:val="2"/>
                <w:szCs w:val="2"/>
                <w:color w:val="auto"/>
              </w:rPr>
            </w:pPr>
          </w:p>
        </w:tc>
        <w:tc>
          <w:tcPr>
            <w:tcW w:w="1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right w:val="single" w:sz="8" w:color="E9E9E9"/>
            </w:tcBorders>
            <w:shd w:val="clear" w:color="auto" w:fill="E9E9E9"/>
          </w:tcPr>
          <w:p>
            <w:pPr>
              <w:spacing w:after="0"/>
              <w:rPr>
                <w:sz w:val="2"/>
                <w:szCs w:val="2"/>
                <w:color w:val="auto"/>
              </w:rPr>
            </w:pPr>
          </w:p>
        </w:tc>
        <w:tc>
          <w:tcPr>
            <w:tcW w:w="18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580" w:type="dxa"/>
            <w:vAlign w:val="bottom"/>
            <w:tcBorders>
              <w:top w:val="single" w:sz="8" w:color="E9E9E9"/>
            </w:tcBorders>
            <w:shd w:val="clear" w:color="auto" w:fill="E9E9E9"/>
          </w:tcPr>
          <w:p>
            <w:pPr>
              <w:spacing w:after="0"/>
              <w:rPr>
                <w:sz w:val="2"/>
                <w:szCs w:val="2"/>
                <w:color w:val="auto"/>
              </w:rPr>
            </w:pPr>
          </w:p>
        </w:tc>
        <w:tc>
          <w:tcPr>
            <w:tcW w:w="10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100" w:type="dxa"/>
            <w:vAlign w:val="bottom"/>
            <w:tcBorders>
              <w:top w:val="single" w:sz="8" w:color="E9E9E9"/>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r>
      <w:tr>
        <w:trPr>
          <w:trHeight w:val="185"/>
        </w:trPr>
        <w:tc>
          <w:tcPr>
            <w:tcW w:w="240" w:type="dxa"/>
            <w:vAlign w:val="bottom"/>
          </w:tcPr>
          <w:p>
            <w:pPr>
              <w:spacing w:after="0"/>
              <w:rPr>
                <w:sz w:val="16"/>
                <w:szCs w:val="16"/>
                <w:color w:val="auto"/>
              </w:rPr>
            </w:pPr>
          </w:p>
        </w:tc>
        <w:tc>
          <w:tcPr>
            <w:tcW w:w="4900" w:type="dxa"/>
            <w:vAlign w:val="bottom"/>
            <w:gridSpan w:val="27"/>
          </w:tcPr>
          <w:p>
            <w:pPr>
              <w:spacing w:after="0" w:line="185" w:lineRule="exact"/>
              <w:rPr>
                <w:rFonts w:ascii="Arial" w:cs="Arial" w:eastAsia="Arial" w:hAnsi="Arial"/>
                <w:sz w:val="17"/>
                <w:szCs w:val="17"/>
                <w:color w:val="0000EE"/>
              </w:rPr>
            </w:pPr>
            <w:hyperlink w:anchor="page16">
              <w:r>
                <w:rPr>
                  <w:rFonts w:ascii="Arial" w:cs="Arial" w:eastAsia="Arial" w:hAnsi="Arial"/>
                  <w:sz w:val="17"/>
                  <w:szCs w:val="17"/>
                  <w:color w:val="0000EE"/>
                </w:rPr>
                <w:t>Proposal regarding advisory approval of</w:t>
              </w:r>
            </w:hyperlink>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20" w:type="dxa"/>
            <w:vAlign w:val="bottom"/>
            <w:gridSpan w:val="22"/>
            <w:shd w:val="clear" w:color="auto" w:fill="E9E9E9"/>
          </w:tcPr>
          <w:p>
            <w:pPr>
              <w:ind w:left="240"/>
              <w:spacing w:after="0" w:line="185" w:lineRule="exact"/>
              <w:rPr>
                <w:rFonts w:ascii="Arial" w:cs="Arial" w:eastAsia="Arial" w:hAnsi="Arial"/>
                <w:sz w:val="17"/>
                <w:szCs w:val="17"/>
                <w:color w:val="0000EE"/>
              </w:rPr>
            </w:pPr>
            <w:hyperlink w:anchor="page48">
              <w:r>
                <w:rPr>
                  <w:rFonts w:ascii="Arial" w:cs="Arial" w:eastAsia="Arial" w:hAnsi="Arial"/>
                  <w:sz w:val="17"/>
                  <w:szCs w:val="17"/>
                  <w:color w:val="0000EE"/>
                </w:rPr>
                <w:t>Electronic delivery of proxy materials and copies</w:t>
              </w:r>
            </w:hyperlink>
          </w:p>
        </w:tc>
        <w:tc>
          <w:tcPr>
            <w:tcW w:w="280" w:type="dxa"/>
            <w:vAlign w:val="bottom"/>
            <w:shd w:val="clear" w:color="auto" w:fill="E9E9E9"/>
          </w:tcPr>
          <w:p>
            <w:pPr>
              <w:spacing w:after="0"/>
              <w:rPr>
                <w:sz w:val="16"/>
                <w:szCs w:val="16"/>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0" w:type="dxa"/>
            <w:vAlign w:val="bottom"/>
            <w:gridSpan w:val="1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shd w:val="clear" w:color="auto" w:fill="E9E9E9"/>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E9E9E9"/>
            </w:tcBorders>
            <w:shd w:val="clear" w:color="auto" w:fill="0000EE"/>
          </w:tcPr>
          <w:p>
            <w:pPr>
              <w:spacing w:after="0" w:line="20" w:lineRule="exact"/>
              <w:rPr>
                <w:sz w:val="1"/>
                <w:szCs w:val="1"/>
                <w:color w:val="auto"/>
              </w:rPr>
            </w:pPr>
          </w:p>
        </w:tc>
        <w:tc>
          <w:tcPr>
            <w:tcW w:w="1460" w:type="dxa"/>
            <w:vAlign w:val="bottom"/>
            <w:shd w:val="clear" w:color="auto" w:fill="E9E9E9"/>
          </w:tcPr>
          <w:p>
            <w:pPr>
              <w:spacing w:after="0" w:line="20" w:lineRule="exact"/>
              <w:rPr>
                <w:sz w:val="1"/>
                <w:szCs w:val="1"/>
                <w:color w:val="auto"/>
              </w:rPr>
            </w:pPr>
          </w:p>
        </w:tc>
        <w:tc>
          <w:tcPr>
            <w:tcW w:w="280" w:type="dxa"/>
            <w:vAlign w:val="bottom"/>
            <w:shd w:val="clear" w:color="auto" w:fill="E9E9E9"/>
          </w:tcPr>
          <w:p>
            <w:pPr>
              <w:spacing w:after="0" w:line="20" w:lineRule="exact"/>
              <w:rPr>
                <w:sz w:val="1"/>
                <w:szCs w:val="1"/>
                <w:color w:val="auto"/>
              </w:rPr>
            </w:pPr>
          </w:p>
        </w:tc>
      </w:tr>
      <w:tr>
        <w:trPr>
          <w:trHeight w:val="218"/>
        </w:trPr>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gridSpan w:val="24"/>
          </w:tcPr>
          <w:p>
            <w:pPr>
              <w:spacing w:after="0"/>
              <w:rPr>
                <w:rFonts w:ascii="Arial" w:cs="Arial" w:eastAsia="Arial" w:hAnsi="Arial"/>
                <w:sz w:val="17"/>
                <w:szCs w:val="17"/>
                <w:color w:val="0000EE"/>
              </w:rPr>
            </w:pPr>
            <w:hyperlink w:anchor="page16">
              <w:r>
                <w:rPr>
                  <w:rFonts w:ascii="Arial" w:cs="Arial" w:eastAsia="Arial" w:hAnsi="Arial"/>
                  <w:sz w:val="17"/>
                  <w:szCs w:val="17"/>
                  <w:color w:val="0000EE"/>
                </w:rPr>
                <w:t>the company’s executive compensation</w:t>
              </w:r>
            </w:hyperlink>
          </w:p>
        </w:tc>
        <w:tc>
          <w:tcPr>
            <w:tcW w:w="166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200" w:type="dxa"/>
            <w:vAlign w:val="bottom"/>
          </w:tcPr>
          <w:p>
            <w:pPr>
              <w:jc w:val="right"/>
              <w:spacing w:after="0"/>
              <w:rPr>
                <w:rFonts w:ascii="Arial" w:cs="Arial" w:eastAsia="Arial" w:hAnsi="Arial"/>
                <w:sz w:val="17"/>
                <w:szCs w:val="17"/>
                <w:color w:val="0000EE"/>
                <w:w w:val="94"/>
              </w:rPr>
            </w:pPr>
            <w:hyperlink w:anchor="page16">
              <w:r>
                <w:rPr>
                  <w:rFonts w:ascii="Arial" w:cs="Arial" w:eastAsia="Arial" w:hAnsi="Arial"/>
                  <w:sz w:val="17"/>
                  <w:szCs w:val="17"/>
                  <w:color w:val="0000EE"/>
                  <w:w w:val="94"/>
                </w:rPr>
                <w:t>85</w:t>
              </w:r>
            </w:hyperlink>
          </w:p>
        </w:tc>
        <w:tc>
          <w:tcPr>
            <w:tcW w:w="240" w:type="dxa"/>
            <w:vAlign w:val="bottom"/>
          </w:tcPr>
          <w:p>
            <w:pPr>
              <w:spacing w:after="0"/>
              <w:rPr>
                <w:sz w:val="18"/>
                <w:szCs w:val="18"/>
                <w:color w:val="auto"/>
              </w:rPr>
            </w:pPr>
          </w:p>
        </w:tc>
        <w:tc>
          <w:tcPr>
            <w:tcW w:w="240" w:type="dxa"/>
            <w:vAlign w:val="bottom"/>
            <w:shd w:val="clear" w:color="auto" w:fill="E9E9E9"/>
          </w:tcPr>
          <w:p>
            <w:pPr>
              <w:spacing w:after="0"/>
              <w:rPr>
                <w:sz w:val="18"/>
                <w:szCs w:val="18"/>
                <w:color w:val="auto"/>
              </w:rPr>
            </w:pPr>
          </w:p>
        </w:tc>
        <w:tc>
          <w:tcPr>
            <w:tcW w:w="240" w:type="dxa"/>
            <w:vAlign w:val="bottom"/>
            <w:shd w:val="clear" w:color="auto" w:fill="E9E9E9"/>
          </w:tcPr>
          <w:p>
            <w:pPr>
              <w:spacing w:after="0"/>
              <w:rPr>
                <w:sz w:val="18"/>
                <w:szCs w:val="18"/>
                <w:color w:val="auto"/>
              </w:rPr>
            </w:pPr>
          </w:p>
        </w:tc>
        <w:tc>
          <w:tcPr>
            <w:tcW w:w="4940" w:type="dxa"/>
            <w:vAlign w:val="bottom"/>
            <w:gridSpan w:val="20"/>
            <w:shd w:val="clear" w:color="auto" w:fill="E9E9E9"/>
          </w:tcPr>
          <w:p>
            <w:pPr>
              <w:spacing w:after="0"/>
              <w:rPr>
                <w:rFonts w:ascii="Arial" w:cs="Arial" w:eastAsia="Arial" w:hAnsi="Arial"/>
                <w:sz w:val="17"/>
                <w:szCs w:val="17"/>
                <w:color w:val="0000EE"/>
              </w:rPr>
            </w:pPr>
            <w:hyperlink w:anchor="page48">
              <w:r>
                <w:rPr>
                  <w:rFonts w:ascii="Arial" w:cs="Arial" w:eastAsia="Arial" w:hAnsi="Arial"/>
                  <w:sz w:val="17"/>
                  <w:szCs w:val="17"/>
                  <w:color w:val="0000EE"/>
                </w:rPr>
                <w:t>of our Form 10-K</w:t>
              </w:r>
            </w:hyperlink>
          </w:p>
        </w:tc>
        <w:tc>
          <w:tcPr>
            <w:tcW w:w="280" w:type="dxa"/>
            <w:vAlign w:val="bottom"/>
            <w:shd w:val="clear" w:color="auto" w:fill="E9E9E9"/>
          </w:tcPr>
          <w:p>
            <w:pPr>
              <w:jc w:val="right"/>
              <w:spacing w:after="0"/>
              <w:rPr>
                <w:rFonts w:ascii="Arial" w:cs="Arial" w:eastAsia="Arial" w:hAnsi="Arial"/>
                <w:sz w:val="17"/>
                <w:szCs w:val="17"/>
                <w:color w:val="0000EE"/>
                <w:w w:val="91"/>
              </w:rPr>
            </w:pPr>
            <w:hyperlink w:anchor="page48">
              <w:r>
                <w:rPr>
                  <w:rFonts w:ascii="Arial" w:cs="Arial" w:eastAsia="Arial" w:hAnsi="Arial"/>
                  <w:sz w:val="17"/>
                  <w:szCs w:val="17"/>
                  <w:color w:val="0000EE"/>
                  <w:w w:val="91"/>
                </w:rPr>
                <w:t>117</w:t>
              </w:r>
            </w:hyperlink>
          </w:p>
        </w:tc>
      </w:tr>
      <w:tr>
        <w:trPr>
          <w:trHeight w:val="33"/>
        </w:trPr>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E9E9E9"/>
            </w:tcBorders>
            <w:shd w:val="clear" w:color="auto" w:fill="E9E9E9"/>
          </w:tcPr>
          <w:p>
            <w:pPr>
              <w:spacing w:after="0"/>
              <w:rPr>
                <w:sz w:val="2"/>
                <w:szCs w:val="2"/>
                <w:color w:val="auto"/>
              </w:rPr>
            </w:pPr>
          </w:p>
        </w:tc>
        <w:tc>
          <w:tcPr>
            <w:tcW w:w="86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120" w:type="dxa"/>
            <w:vAlign w:val="bottom"/>
            <w:tcBorders>
              <w:top w:val="single" w:sz="8" w:color="0000EE"/>
            </w:tcBorders>
            <w:shd w:val="clear" w:color="auto" w:fill="E9E9E9"/>
          </w:tcPr>
          <w:p>
            <w:pPr>
              <w:spacing w:after="0"/>
              <w:rPr>
                <w:sz w:val="2"/>
                <w:szCs w:val="2"/>
                <w:color w:val="auto"/>
              </w:rPr>
            </w:pPr>
          </w:p>
        </w:tc>
        <w:tc>
          <w:tcPr>
            <w:tcW w:w="200" w:type="dxa"/>
            <w:vAlign w:val="bottom"/>
            <w:tcBorders>
              <w:top w:val="single" w:sz="8" w:color="E9E9E9"/>
            </w:tcBorders>
            <w:shd w:val="clear" w:color="auto" w:fill="E9E9E9"/>
          </w:tcPr>
          <w:p>
            <w:pPr>
              <w:spacing w:after="0"/>
              <w:rPr>
                <w:sz w:val="2"/>
                <w:szCs w:val="2"/>
                <w:color w:val="auto"/>
              </w:rPr>
            </w:pPr>
          </w:p>
        </w:tc>
        <w:tc>
          <w:tcPr>
            <w:tcW w:w="420" w:type="dxa"/>
            <w:vAlign w:val="bottom"/>
            <w:tcBorders>
              <w:top w:val="single" w:sz="8" w:color="E9E9E9"/>
            </w:tcBorders>
            <w:shd w:val="clear" w:color="auto" w:fill="E9E9E9"/>
          </w:tcPr>
          <w:p>
            <w:pPr>
              <w:spacing w:after="0"/>
              <w:rPr>
                <w:sz w:val="2"/>
                <w:szCs w:val="2"/>
                <w:color w:val="auto"/>
              </w:rPr>
            </w:pPr>
          </w:p>
        </w:tc>
        <w:tc>
          <w:tcPr>
            <w:tcW w:w="120" w:type="dxa"/>
            <w:vAlign w:val="bottom"/>
            <w:tcBorders>
              <w:top w:val="single" w:sz="8" w:color="E9E9E9"/>
            </w:tcBorders>
            <w:shd w:val="clear" w:color="auto" w:fill="E9E9E9"/>
          </w:tcPr>
          <w:p>
            <w:pPr>
              <w:spacing w:after="0"/>
              <w:rPr>
                <w:sz w:val="2"/>
                <w:szCs w:val="2"/>
                <w:color w:val="auto"/>
              </w:rPr>
            </w:pPr>
          </w:p>
        </w:tc>
        <w:tc>
          <w:tcPr>
            <w:tcW w:w="12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160" w:type="dxa"/>
            <w:vAlign w:val="bottom"/>
            <w:tcBorders>
              <w:top w:val="single" w:sz="8" w:color="E9E9E9"/>
            </w:tcBorders>
            <w:shd w:val="clear" w:color="auto" w:fill="E9E9E9"/>
          </w:tcPr>
          <w:p>
            <w:pPr>
              <w:spacing w:after="0"/>
              <w:rPr>
                <w:sz w:val="2"/>
                <w:szCs w:val="2"/>
                <w:color w:val="auto"/>
              </w:rPr>
            </w:pPr>
          </w:p>
        </w:tc>
        <w:tc>
          <w:tcPr>
            <w:tcW w:w="3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100" w:type="dxa"/>
            <w:vAlign w:val="bottom"/>
            <w:tcBorders>
              <w:top w:val="single" w:sz="8" w:color="E9E9E9"/>
            </w:tcBorders>
            <w:shd w:val="clear" w:color="auto" w:fill="E9E9E9"/>
          </w:tcPr>
          <w:p>
            <w:pPr>
              <w:spacing w:after="0"/>
              <w:rPr>
                <w:sz w:val="2"/>
                <w:szCs w:val="2"/>
                <w:color w:val="auto"/>
              </w:rPr>
            </w:pPr>
          </w:p>
        </w:tc>
        <w:tc>
          <w:tcPr>
            <w:tcW w:w="12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160" w:type="dxa"/>
            <w:vAlign w:val="bottom"/>
            <w:tcBorders>
              <w:top w:val="single" w:sz="8" w:color="E9E9E9"/>
            </w:tcBorders>
            <w:shd w:val="clear" w:color="auto" w:fill="E9E9E9"/>
          </w:tcPr>
          <w:p>
            <w:pPr>
              <w:spacing w:after="0"/>
              <w:rPr>
                <w:sz w:val="2"/>
                <w:szCs w:val="2"/>
                <w:color w:val="auto"/>
              </w:rPr>
            </w:pPr>
          </w:p>
        </w:tc>
        <w:tc>
          <w:tcPr>
            <w:tcW w:w="140" w:type="dxa"/>
            <w:vAlign w:val="bottom"/>
            <w:tcBorders>
              <w:top w:val="single" w:sz="8" w:color="E9E9E9"/>
              <w:right w:val="single" w:sz="8" w:color="E9E9E9"/>
            </w:tcBorders>
            <w:shd w:val="clear" w:color="auto" w:fill="E9E9E9"/>
          </w:tcPr>
          <w:p>
            <w:pPr>
              <w:spacing w:after="0"/>
              <w:rPr>
                <w:sz w:val="2"/>
                <w:szCs w:val="2"/>
                <w:color w:val="auto"/>
              </w:rPr>
            </w:pPr>
          </w:p>
        </w:tc>
        <w:tc>
          <w:tcPr>
            <w:tcW w:w="1460" w:type="dxa"/>
            <w:vAlign w:val="bottom"/>
            <w:tcBorders>
              <w:top w:val="single" w:sz="8" w:color="E9E9E9"/>
            </w:tcBorders>
            <w:shd w:val="clear" w:color="auto" w:fill="E9E9E9"/>
          </w:tcPr>
          <w:p>
            <w:pPr>
              <w:spacing w:after="0"/>
              <w:rPr>
                <w:sz w:val="2"/>
                <w:szCs w:val="2"/>
                <w:color w:val="auto"/>
              </w:rPr>
            </w:pPr>
          </w:p>
        </w:tc>
        <w:tc>
          <w:tcPr>
            <w:tcW w:w="280" w:type="dxa"/>
            <w:vAlign w:val="bottom"/>
            <w:tcBorders>
              <w:top w:val="single" w:sz="8" w:color="0000EE"/>
            </w:tcBorders>
            <w:shd w:val="clear" w:color="auto" w:fill="E9E9E9"/>
          </w:tcPr>
          <w:p>
            <w:pPr>
              <w:spacing w:after="0"/>
              <w:rPr>
                <w:sz w:val="2"/>
                <w:szCs w:val="2"/>
                <w:color w:val="auto"/>
              </w:rPr>
            </w:pPr>
          </w:p>
        </w:tc>
      </w:tr>
      <w:tr>
        <w:trPr>
          <w:trHeight w:val="185"/>
        </w:trPr>
        <w:tc>
          <w:tcPr>
            <w:tcW w:w="240" w:type="dxa"/>
            <w:vAlign w:val="bottom"/>
            <w:shd w:val="clear" w:color="auto" w:fill="E9E9E9"/>
          </w:tcPr>
          <w:p>
            <w:pPr>
              <w:spacing w:after="0"/>
              <w:rPr>
                <w:sz w:val="16"/>
                <w:szCs w:val="16"/>
                <w:color w:val="auto"/>
              </w:rPr>
            </w:pPr>
          </w:p>
        </w:tc>
        <w:tc>
          <w:tcPr>
            <w:tcW w:w="3040" w:type="dxa"/>
            <w:vAlign w:val="bottom"/>
            <w:tcBorders>
              <w:right w:val="single" w:sz="8" w:color="E9E9E9"/>
            </w:tcBorders>
            <w:gridSpan w:val="23"/>
            <w:shd w:val="clear" w:color="auto" w:fill="E9E9E9"/>
          </w:tcPr>
          <w:p>
            <w:pPr>
              <w:spacing w:after="0" w:line="185" w:lineRule="exact"/>
              <w:rPr>
                <w:rFonts w:ascii="Arial" w:cs="Arial" w:eastAsia="Arial" w:hAnsi="Arial"/>
                <w:sz w:val="17"/>
                <w:szCs w:val="17"/>
                <w:color w:val="0000EE"/>
              </w:rPr>
            </w:pPr>
            <w:hyperlink w:anchor="page17">
              <w:r>
                <w:rPr>
                  <w:rFonts w:ascii="Arial" w:cs="Arial" w:eastAsia="Arial" w:hAnsi="Arial"/>
                  <w:sz w:val="17"/>
                  <w:szCs w:val="17"/>
                  <w:color w:val="0000EE"/>
                </w:rPr>
                <w:t>Compensation Discussion and Analysis</w:t>
              </w:r>
            </w:hyperlink>
          </w:p>
        </w:tc>
        <w:tc>
          <w:tcPr>
            <w:tcW w:w="1860" w:type="dxa"/>
            <w:vAlign w:val="bottom"/>
            <w:gridSpan w:val="4"/>
            <w:shd w:val="clear" w:color="auto" w:fill="E9E9E9"/>
          </w:tcPr>
          <w:p>
            <w:pPr>
              <w:spacing w:after="0"/>
              <w:rPr>
                <w:sz w:val="16"/>
                <w:szCs w:val="16"/>
                <w:color w:val="auto"/>
              </w:rPr>
            </w:pPr>
          </w:p>
        </w:tc>
        <w:tc>
          <w:tcPr>
            <w:tcW w:w="140" w:type="dxa"/>
            <w:vAlign w:val="bottom"/>
            <w:gridSpan w:val="2"/>
            <w:shd w:val="clear" w:color="auto" w:fill="E9E9E9"/>
          </w:tcPr>
          <w:p>
            <w:pPr>
              <w:spacing w:after="0"/>
              <w:rPr>
                <w:sz w:val="16"/>
                <w:szCs w:val="16"/>
                <w:color w:val="auto"/>
              </w:rPr>
            </w:pPr>
          </w:p>
        </w:tc>
        <w:tc>
          <w:tcPr>
            <w:tcW w:w="200" w:type="dxa"/>
            <w:vAlign w:val="bottom"/>
            <w:shd w:val="clear" w:color="auto" w:fill="E9E9E9"/>
          </w:tcPr>
          <w:p>
            <w:pPr>
              <w:jc w:val="right"/>
              <w:spacing w:after="0" w:line="185" w:lineRule="exact"/>
              <w:rPr>
                <w:rFonts w:ascii="Arial" w:cs="Arial" w:eastAsia="Arial" w:hAnsi="Arial"/>
                <w:sz w:val="17"/>
                <w:szCs w:val="17"/>
                <w:color w:val="0000EE"/>
                <w:w w:val="94"/>
              </w:rPr>
            </w:pPr>
            <w:hyperlink w:anchor="page17">
              <w:r>
                <w:rPr>
                  <w:rFonts w:ascii="Arial" w:cs="Arial" w:eastAsia="Arial" w:hAnsi="Arial"/>
                  <w:sz w:val="17"/>
                  <w:szCs w:val="17"/>
                  <w:color w:val="0000EE"/>
                  <w:w w:val="94"/>
                </w:rPr>
                <w:t>86</w:t>
              </w:r>
            </w:hyperlink>
          </w:p>
        </w:tc>
        <w:tc>
          <w:tcPr>
            <w:tcW w:w="240" w:type="dxa"/>
            <w:vAlign w:val="bottom"/>
          </w:tcPr>
          <w:p>
            <w:pPr>
              <w:spacing w:after="0"/>
              <w:rPr>
                <w:sz w:val="16"/>
                <w:szCs w:val="16"/>
                <w:color w:val="auto"/>
              </w:rPr>
            </w:pPr>
          </w:p>
        </w:tc>
        <w:tc>
          <w:tcPr>
            <w:tcW w:w="5420" w:type="dxa"/>
            <w:vAlign w:val="bottom"/>
            <w:gridSpan w:val="22"/>
          </w:tcPr>
          <w:p>
            <w:pPr>
              <w:spacing w:after="0" w:line="185" w:lineRule="exact"/>
              <w:rPr>
                <w:rFonts w:ascii="Arial" w:cs="Arial" w:eastAsia="Arial" w:hAnsi="Arial"/>
                <w:sz w:val="17"/>
                <w:szCs w:val="17"/>
                <w:color w:val="0000EE"/>
              </w:rPr>
            </w:pPr>
            <w:hyperlink w:anchor="page48">
              <w:r>
                <w:rPr>
                  <w:rFonts w:ascii="Arial" w:cs="Arial" w:eastAsia="Arial" w:hAnsi="Arial"/>
                  <w:sz w:val="17"/>
                  <w:szCs w:val="17"/>
                  <w:color w:val="0000EE"/>
                </w:rPr>
                <w:t>Notice regarding forward-looking statements</w:t>
              </w:r>
            </w:hyperlink>
          </w:p>
        </w:tc>
        <w:tc>
          <w:tcPr>
            <w:tcW w:w="280" w:type="dxa"/>
            <w:vAlign w:val="bottom"/>
          </w:tcPr>
          <w:p>
            <w:pPr>
              <w:jc w:val="right"/>
              <w:spacing w:after="0" w:line="185" w:lineRule="exact"/>
              <w:rPr>
                <w:rFonts w:ascii="Arial" w:cs="Arial" w:eastAsia="Arial" w:hAnsi="Arial"/>
                <w:sz w:val="17"/>
                <w:szCs w:val="17"/>
                <w:color w:val="0000EE"/>
                <w:w w:val="91"/>
              </w:rPr>
            </w:pPr>
            <w:hyperlink w:anchor="page48">
              <w:r>
                <w:rPr>
                  <w:rFonts w:ascii="Arial" w:cs="Arial" w:eastAsia="Arial" w:hAnsi="Arial"/>
                  <w:sz w:val="17"/>
                  <w:szCs w:val="17"/>
                  <w:color w:val="0000EE"/>
                  <w:w w:val="91"/>
                </w:rPr>
                <w:t>117</w:t>
              </w:r>
            </w:hyperlink>
          </w:p>
        </w:tc>
      </w:tr>
      <w:tr>
        <w:trPr>
          <w:trHeight w:val="33"/>
        </w:trPr>
        <w:tc>
          <w:tcPr>
            <w:tcW w:w="24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96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4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4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180" w:type="dxa"/>
            <w:vAlign w:val="bottom"/>
            <w:tcBorders>
              <w:top w:val="single" w:sz="8" w:color="0000EE"/>
            </w:tcBorders>
            <w:shd w:val="clear" w:color="auto" w:fill="E9E9E9"/>
          </w:tcPr>
          <w:p>
            <w:pPr>
              <w:spacing w:after="0"/>
              <w:rPr>
                <w:sz w:val="2"/>
                <w:szCs w:val="2"/>
                <w:color w:val="auto"/>
              </w:rPr>
            </w:pPr>
          </w:p>
        </w:tc>
        <w:tc>
          <w:tcPr>
            <w:tcW w:w="40" w:type="dxa"/>
            <w:vAlign w:val="bottom"/>
            <w:tcBorders>
              <w:top w:val="single" w:sz="8" w:color="0000EE"/>
              <w:right w:val="single" w:sz="8" w:color="E9E9E9"/>
            </w:tcBorders>
            <w:shd w:val="clear" w:color="auto" w:fill="E9E9E9"/>
          </w:tcPr>
          <w:p>
            <w:pPr>
              <w:spacing w:after="0"/>
              <w:rPr>
                <w:sz w:val="2"/>
                <w:szCs w:val="2"/>
                <w:color w:val="auto"/>
              </w:rPr>
            </w:pPr>
          </w:p>
        </w:tc>
        <w:tc>
          <w:tcPr>
            <w:tcW w:w="18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580" w:type="dxa"/>
            <w:vAlign w:val="bottom"/>
            <w:tcBorders>
              <w:top w:val="single" w:sz="8" w:color="E9E9E9"/>
            </w:tcBorders>
            <w:shd w:val="clear" w:color="auto" w:fill="E9E9E9"/>
          </w:tcPr>
          <w:p>
            <w:pPr>
              <w:spacing w:after="0"/>
              <w:rPr>
                <w:sz w:val="2"/>
                <w:szCs w:val="2"/>
                <w:color w:val="auto"/>
              </w:rPr>
            </w:pPr>
          </w:p>
        </w:tc>
        <w:tc>
          <w:tcPr>
            <w:tcW w:w="10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100" w:type="dxa"/>
            <w:vAlign w:val="bottom"/>
            <w:tcBorders>
              <w:top w:val="single" w:sz="8" w:color="E9E9E9"/>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r>
      <w:tr>
        <w:trPr>
          <w:trHeight w:val="185"/>
        </w:trPr>
        <w:tc>
          <w:tcPr>
            <w:tcW w:w="240" w:type="dxa"/>
            <w:vAlign w:val="bottom"/>
          </w:tcPr>
          <w:p>
            <w:pPr>
              <w:spacing w:after="0"/>
              <w:rPr>
                <w:sz w:val="16"/>
                <w:szCs w:val="16"/>
                <w:color w:val="auto"/>
              </w:rPr>
            </w:pPr>
          </w:p>
        </w:tc>
        <w:tc>
          <w:tcPr>
            <w:tcW w:w="3040" w:type="dxa"/>
            <w:vAlign w:val="bottom"/>
            <w:gridSpan w:val="23"/>
          </w:tcPr>
          <w:p>
            <w:pPr>
              <w:spacing w:after="0" w:line="185" w:lineRule="exact"/>
              <w:rPr>
                <w:rFonts w:ascii="Arial" w:cs="Arial" w:eastAsia="Arial" w:hAnsi="Arial"/>
                <w:sz w:val="17"/>
                <w:szCs w:val="17"/>
                <w:color w:val="0000EE"/>
              </w:rPr>
            </w:pPr>
            <w:hyperlink w:anchor="page28">
              <w:r>
                <w:rPr>
                  <w:rFonts w:ascii="Arial" w:cs="Arial" w:eastAsia="Arial" w:hAnsi="Arial"/>
                  <w:sz w:val="17"/>
                  <w:szCs w:val="17"/>
                  <w:color w:val="0000EE"/>
                </w:rPr>
                <w:t>Compensation Committee report</w:t>
              </w:r>
            </w:hyperlink>
          </w:p>
        </w:tc>
        <w:tc>
          <w:tcPr>
            <w:tcW w:w="1860" w:type="dxa"/>
            <w:vAlign w:val="bottom"/>
            <w:gridSpan w:val="4"/>
          </w:tcPr>
          <w:p>
            <w:pPr>
              <w:spacing w:after="0"/>
              <w:rPr>
                <w:sz w:val="16"/>
                <w:szCs w:val="16"/>
                <w:color w:val="auto"/>
              </w:rPr>
            </w:pPr>
          </w:p>
        </w:tc>
        <w:tc>
          <w:tcPr>
            <w:tcW w:w="140" w:type="dxa"/>
            <w:vAlign w:val="bottom"/>
            <w:gridSpan w:val="2"/>
          </w:tcPr>
          <w:p>
            <w:pPr>
              <w:spacing w:after="0"/>
              <w:rPr>
                <w:sz w:val="16"/>
                <w:szCs w:val="16"/>
                <w:color w:val="auto"/>
              </w:rPr>
            </w:pPr>
          </w:p>
        </w:tc>
        <w:tc>
          <w:tcPr>
            <w:tcW w:w="200" w:type="dxa"/>
            <w:vAlign w:val="bottom"/>
          </w:tcPr>
          <w:p>
            <w:pPr>
              <w:jc w:val="right"/>
              <w:spacing w:after="0" w:line="185" w:lineRule="exact"/>
              <w:rPr>
                <w:rFonts w:ascii="Arial" w:cs="Arial" w:eastAsia="Arial" w:hAnsi="Arial"/>
                <w:sz w:val="17"/>
                <w:szCs w:val="17"/>
                <w:color w:val="0000EE"/>
                <w:w w:val="94"/>
              </w:rPr>
            </w:pPr>
            <w:hyperlink w:anchor="page28">
              <w:r>
                <w:rPr>
                  <w:rFonts w:ascii="Arial" w:cs="Arial" w:eastAsia="Arial" w:hAnsi="Arial"/>
                  <w:sz w:val="17"/>
                  <w:szCs w:val="17"/>
                  <w:color w:val="0000EE"/>
                  <w:w w:val="94"/>
                </w:rPr>
                <w:t>97</w:t>
              </w:r>
            </w:hyperlink>
          </w:p>
        </w:tc>
        <w:tc>
          <w:tcPr>
            <w:tcW w:w="240" w:type="dxa"/>
            <w:vAlign w:val="bottom"/>
          </w:tcPr>
          <w:p>
            <w:pPr>
              <w:spacing w:after="0"/>
              <w:rPr>
                <w:sz w:val="16"/>
                <w:szCs w:val="16"/>
                <w:color w:val="auto"/>
              </w:rPr>
            </w:pPr>
          </w:p>
        </w:tc>
        <w:tc>
          <w:tcPr>
            <w:tcW w:w="5420" w:type="dxa"/>
            <w:vAlign w:val="bottom"/>
            <w:gridSpan w:val="22"/>
            <w:shd w:val="clear" w:color="auto" w:fill="E9E9E9"/>
          </w:tcPr>
          <w:p>
            <w:pPr>
              <w:spacing w:after="0" w:line="185" w:lineRule="exact"/>
              <w:rPr>
                <w:rFonts w:ascii="Arial" w:cs="Arial" w:eastAsia="Arial" w:hAnsi="Arial"/>
                <w:sz w:val="17"/>
                <w:szCs w:val="17"/>
                <w:color w:val="0000EE"/>
              </w:rPr>
            </w:pPr>
            <w:hyperlink w:anchor="page49">
              <w:r>
                <w:rPr>
                  <w:rFonts w:ascii="Arial" w:cs="Arial" w:eastAsia="Arial" w:hAnsi="Arial"/>
                  <w:sz w:val="17"/>
                  <w:szCs w:val="17"/>
                  <w:color w:val="0000EE"/>
                </w:rPr>
                <w:t>Directions and other annual meeting information</w:t>
              </w:r>
            </w:hyperlink>
          </w:p>
        </w:tc>
        <w:tc>
          <w:tcPr>
            <w:tcW w:w="280" w:type="dxa"/>
            <w:vAlign w:val="bottom"/>
            <w:shd w:val="clear" w:color="auto" w:fill="E9E9E9"/>
          </w:tcPr>
          <w:p>
            <w:pPr>
              <w:jc w:val="right"/>
              <w:spacing w:after="0" w:line="185" w:lineRule="exact"/>
              <w:rPr>
                <w:rFonts w:ascii="Arial" w:cs="Arial" w:eastAsia="Arial" w:hAnsi="Arial"/>
                <w:sz w:val="17"/>
                <w:szCs w:val="17"/>
                <w:color w:val="0000EE"/>
                <w:w w:val="91"/>
              </w:rPr>
            </w:pPr>
            <w:hyperlink w:anchor="page49">
              <w:r>
                <w:rPr>
                  <w:rFonts w:ascii="Arial" w:cs="Arial" w:eastAsia="Arial" w:hAnsi="Arial"/>
                  <w:sz w:val="17"/>
                  <w:szCs w:val="17"/>
                  <w:color w:val="0000EE"/>
                  <w:w w:val="91"/>
                </w:rPr>
                <w:t>118</w:t>
              </w:r>
            </w:hyperlink>
          </w:p>
        </w:tc>
      </w:tr>
      <w:tr>
        <w:trPr>
          <w:trHeight w:val="33"/>
        </w:trPr>
        <w:tc>
          <w:tcPr>
            <w:tcW w:w="2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86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140" w:type="dxa"/>
            <w:vAlign w:val="bottom"/>
            <w:tcBorders>
              <w:top w:val="single" w:sz="8" w:color="0000EE"/>
            </w:tcBorders>
            <w:shd w:val="clear" w:color="auto" w:fill="E9E9E9"/>
          </w:tcPr>
          <w:p>
            <w:pPr>
              <w:spacing w:after="0"/>
              <w:rPr>
                <w:sz w:val="2"/>
                <w:szCs w:val="2"/>
                <w:color w:val="auto"/>
              </w:rPr>
            </w:pPr>
          </w:p>
        </w:tc>
        <w:tc>
          <w:tcPr>
            <w:tcW w:w="20" w:type="dxa"/>
            <w:vAlign w:val="bottom"/>
            <w:tcBorders>
              <w:top w:val="single" w:sz="8" w:color="0000EE"/>
            </w:tcBorders>
            <w:shd w:val="clear" w:color="auto" w:fill="E9E9E9"/>
          </w:tcPr>
          <w:p>
            <w:pPr>
              <w:spacing w:after="0"/>
              <w:rPr>
                <w:sz w:val="2"/>
                <w:szCs w:val="2"/>
                <w:color w:val="auto"/>
              </w:rPr>
            </w:pPr>
          </w:p>
        </w:tc>
        <w:tc>
          <w:tcPr>
            <w:tcW w:w="120" w:type="dxa"/>
            <w:vAlign w:val="bottom"/>
            <w:tcBorders>
              <w:top w:val="single" w:sz="8" w:color="0000EE"/>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420" w:type="dxa"/>
            <w:vAlign w:val="bottom"/>
            <w:tcBorders>
              <w:top w:val="single" w:sz="8" w:color="0000EE"/>
            </w:tcBorders>
            <w:shd w:val="clear" w:color="auto" w:fill="E9E9E9"/>
          </w:tcPr>
          <w:p>
            <w:pPr>
              <w:spacing w:after="0"/>
              <w:rPr>
                <w:sz w:val="2"/>
                <w:szCs w:val="2"/>
                <w:color w:val="auto"/>
              </w:rPr>
            </w:pPr>
          </w:p>
        </w:tc>
        <w:tc>
          <w:tcPr>
            <w:tcW w:w="120" w:type="dxa"/>
            <w:vAlign w:val="bottom"/>
            <w:tcBorders>
              <w:top w:val="single" w:sz="8" w:color="0000EE"/>
            </w:tcBorders>
            <w:shd w:val="clear" w:color="auto" w:fill="E9E9E9"/>
          </w:tcPr>
          <w:p>
            <w:pPr>
              <w:spacing w:after="0"/>
              <w:rPr>
                <w:sz w:val="2"/>
                <w:szCs w:val="2"/>
                <w:color w:val="auto"/>
              </w:rPr>
            </w:pPr>
          </w:p>
        </w:tc>
        <w:tc>
          <w:tcPr>
            <w:tcW w:w="12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160" w:type="dxa"/>
            <w:vAlign w:val="bottom"/>
            <w:tcBorders>
              <w:top w:val="single" w:sz="8" w:color="0000EE"/>
            </w:tcBorders>
            <w:shd w:val="clear" w:color="auto" w:fill="E9E9E9"/>
          </w:tcPr>
          <w:p>
            <w:pPr>
              <w:spacing w:after="0"/>
              <w:rPr>
                <w:sz w:val="2"/>
                <w:szCs w:val="2"/>
                <w:color w:val="auto"/>
              </w:rPr>
            </w:pPr>
          </w:p>
        </w:tc>
        <w:tc>
          <w:tcPr>
            <w:tcW w:w="380" w:type="dxa"/>
            <w:vAlign w:val="bottom"/>
            <w:tcBorders>
              <w:top w:val="single" w:sz="8" w:color="0000EE"/>
            </w:tcBorders>
            <w:shd w:val="clear" w:color="auto" w:fill="E9E9E9"/>
          </w:tcPr>
          <w:p>
            <w:pPr>
              <w:spacing w:after="0"/>
              <w:rPr>
                <w:sz w:val="2"/>
                <w:szCs w:val="2"/>
                <w:color w:val="auto"/>
              </w:rPr>
            </w:pPr>
          </w:p>
        </w:tc>
        <w:tc>
          <w:tcPr>
            <w:tcW w:w="4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100" w:type="dxa"/>
            <w:vAlign w:val="bottom"/>
            <w:tcBorders>
              <w:top w:val="single" w:sz="8" w:color="0000EE"/>
            </w:tcBorders>
            <w:shd w:val="clear" w:color="auto" w:fill="E9E9E9"/>
          </w:tcPr>
          <w:p>
            <w:pPr>
              <w:spacing w:after="0"/>
              <w:rPr>
                <w:sz w:val="2"/>
                <w:szCs w:val="2"/>
                <w:color w:val="auto"/>
              </w:rPr>
            </w:pPr>
          </w:p>
        </w:tc>
        <w:tc>
          <w:tcPr>
            <w:tcW w:w="12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160" w:type="dxa"/>
            <w:vAlign w:val="bottom"/>
            <w:tcBorders>
              <w:top w:val="single" w:sz="8" w:color="E9E9E9"/>
            </w:tcBorders>
            <w:shd w:val="clear" w:color="auto" w:fill="E9E9E9"/>
          </w:tcPr>
          <w:p>
            <w:pPr>
              <w:spacing w:after="0"/>
              <w:rPr>
                <w:sz w:val="2"/>
                <w:szCs w:val="2"/>
                <w:color w:val="auto"/>
              </w:rPr>
            </w:pPr>
          </w:p>
        </w:tc>
        <w:tc>
          <w:tcPr>
            <w:tcW w:w="140" w:type="dxa"/>
            <w:vAlign w:val="bottom"/>
            <w:tcBorders>
              <w:top w:val="single" w:sz="8" w:color="E9E9E9"/>
              <w:right w:val="single" w:sz="8" w:color="E9E9E9"/>
            </w:tcBorders>
            <w:shd w:val="clear" w:color="auto" w:fill="E9E9E9"/>
          </w:tcPr>
          <w:p>
            <w:pPr>
              <w:spacing w:after="0"/>
              <w:rPr>
                <w:sz w:val="2"/>
                <w:szCs w:val="2"/>
                <w:color w:val="auto"/>
              </w:rPr>
            </w:pPr>
          </w:p>
        </w:tc>
        <w:tc>
          <w:tcPr>
            <w:tcW w:w="1460" w:type="dxa"/>
            <w:vAlign w:val="bottom"/>
            <w:tcBorders>
              <w:top w:val="single" w:sz="8" w:color="E9E9E9"/>
            </w:tcBorders>
            <w:shd w:val="clear" w:color="auto" w:fill="E9E9E9"/>
          </w:tcPr>
          <w:p>
            <w:pPr>
              <w:spacing w:after="0"/>
              <w:rPr>
                <w:sz w:val="2"/>
                <w:szCs w:val="2"/>
                <w:color w:val="auto"/>
              </w:rPr>
            </w:pPr>
          </w:p>
        </w:tc>
        <w:tc>
          <w:tcPr>
            <w:tcW w:w="280" w:type="dxa"/>
            <w:vAlign w:val="bottom"/>
            <w:tcBorders>
              <w:top w:val="single" w:sz="8" w:color="0000EE"/>
            </w:tcBorders>
            <w:shd w:val="clear" w:color="auto" w:fill="E9E9E9"/>
          </w:tcPr>
          <w:p>
            <w:pPr>
              <w:spacing w:after="0"/>
              <w:rPr>
                <w:sz w:val="2"/>
                <w:szCs w:val="2"/>
                <w:color w:val="auto"/>
              </w:rPr>
            </w:pPr>
          </w:p>
        </w:tc>
      </w:tr>
      <w:tr>
        <w:trPr>
          <w:trHeight w:val="218"/>
        </w:trPr>
        <w:tc>
          <w:tcPr>
            <w:tcW w:w="240" w:type="dxa"/>
            <w:vAlign w:val="bottom"/>
            <w:tcBorders>
              <w:bottom w:val="single" w:sz="8" w:color="E9E9E9"/>
            </w:tcBorders>
            <w:shd w:val="clear" w:color="auto" w:fill="E9E9E9"/>
          </w:tcPr>
          <w:p>
            <w:pPr>
              <w:spacing w:after="0"/>
              <w:rPr>
                <w:sz w:val="18"/>
                <w:szCs w:val="18"/>
                <w:color w:val="auto"/>
              </w:rPr>
            </w:pPr>
          </w:p>
        </w:tc>
        <w:tc>
          <w:tcPr>
            <w:tcW w:w="2680" w:type="dxa"/>
            <w:vAlign w:val="bottom"/>
            <w:tcBorders>
              <w:bottom w:val="single" w:sz="8" w:color="0000EE"/>
            </w:tcBorders>
            <w:gridSpan w:val="20"/>
            <w:shd w:val="clear" w:color="auto" w:fill="E9E9E9"/>
          </w:tcPr>
          <w:p>
            <w:pPr>
              <w:spacing w:after="0" w:line="185" w:lineRule="exact"/>
              <w:rPr>
                <w:rFonts w:ascii="Arial" w:cs="Arial" w:eastAsia="Arial" w:hAnsi="Arial"/>
                <w:sz w:val="17"/>
                <w:szCs w:val="17"/>
                <w:color w:val="0000EE"/>
              </w:rPr>
            </w:pPr>
            <w:hyperlink w:anchor="page29">
              <w:r>
                <w:rPr>
                  <w:rFonts w:ascii="Arial" w:cs="Arial" w:eastAsia="Arial" w:hAnsi="Arial"/>
                  <w:sz w:val="17"/>
                  <w:szCs w:val="17"/>
                  <w:color w:val="0000EE"/>
                </w:rPr>
                <w:t>2014 summary compensation table</w:t>
              </w:r>
            </w:hyperlink>
          </w:p>
        </w:tc>
        <w:tc>
          <w:tcPr>
            <w:tcW w:w="2220" w:type="dxa"/>
            <w:vAlign w:val="bottom"/>
            <w:tcBorders>
              <w:bottom w:val="single" w:sz="8" w:color="E9E9E9"/>
            </w:tcBorders>
            <w:gridSpan w:val="7"/>
            <w:shd w:val="clear" w:color="auto" w:fill="E9E9E9"/>
          </w:tcPr>
          <w:p>
            <w:pPr>
              <w:spacing w:after="0"/>
              <w:rPr>
                <w:sz w:val="18"/>
                <w:szCs w:val="18"/>
                <w:color w:val="auto"/>
              </w:rPr>
            </w:pPr>
          </w:p>
        </w:tc>
        <w:tc>
          <w:tcPr>
            <w:tcW w:w="140" w:type="dxa"/>
            <w:vAlign w:val="bottom"/>
            <w:tcBorders>
              <w:bottom w:val="single" w:sz="8" w:color="E9E9E9"/>
            </w:tcBorders>
            <w:gridSpan w:val="2"/>
            <w:shd w:val="clear" w:color="auto" w:fill="E9E9E9"/>
          </w:tcPr>
          <w:p>
            <w:pPr>
              <w:spacing w:after="0"/>
              <w:rPr>
                <w:sz w:val="18"/>
                <w:szCs w:val="18"/>
                <w:color w:val="auto"/>
              </w:rPr>
            </w:pPr>
          </w:p>
        </w:tc>
        <w:tc>
          <w:tcPr>
            <w:tcW w:w="200" w:type="dxa"/>
            <w:vAlign w:val="bottom"/>
            <w:tcBorders>
              <w:bottom w:val="single" w:sz="8" w:color="0000EE"/>
            </w:tcBorders>
            <w:shd w:val="clear" w:color="auto" w:fill="E9E9E9"/>
          </w:tcPr>
          <w:p>
            <w:pPr>
              <w:jc w:val="right"/>
              <w:spacing w:after="0" w:line="185" w:lineRule="exact"/>
              <w:rPr>
                <w:rFonts w:ascii="Arial" w:cs="Arial" w:eastAsia="Arial" w:hAnsi="Arial"/>
                <w:sz w:val="17"/>
                <w:szCs w:val="17"/>
                <w:color w:val="0000EE"/>
                <w:w w:val="94"/>
              </w:rPr>
            </w:pPr>
            <w:hyperlink w:anchor="page29">
              <w:r>
                <w:rPr>
                  <w:rFonts w:ascii="Arial" w:cs="Arial" w:eastAsia="Arial" w:hAnsi="Arial"/>
                  <w:sz w:val="17"/>
                  <w:szCs w:val="17"/>
                  <w:color w:val="0000EE"/>
                  <w:w w:val="94"/>
                </w:rPr>
                <w:t>98</w:t>
              </w:r>
            </w:hyperlink>
          </w:p>
        </w:tc>
        <w:tc>
          <w:tcPr>
            <w:tcW w:w="240" w:type="dxa"/>
            <w:vAlign w:val="bottom"/>
          </w:tcPr>
          <w:p>
            <w:pPr>
              <w:spacing w:after="0"/>
              <w:rPr>
                <w:sz w:val="18"/>
                <w:szCs w:val="18"/>
                <w:color w:val="auto"/>
              </w:rPr>
            </w:pPr>
          </w:p>
        </w:tc>
        <w:tc>
          <w:tcPr>
            <w:tcW w:w="2860" w:type="dxa"/>
            <w:vAlign w:val="bottom"/>
            <w:tcBorders>
              <w:bottom w:val="single" w:sz="8" w:color="0000EE"/>
            </w:tcBorders>
            <w:gridSpan w:val="13"/>
          </w:tcPr>
          <w:p>
            <w:pPr>
              <w:spacing w:after="0" w:line="185" w:lineRule="exact"/>
              <w:rPr>
                <w:rFonts w:ascii="Arial" w:cs="Arial" w:eastAsia="Arial" w:hAnsi="Arial"/>
                <w:sz w:val="17"/>
                <w:szCs w:val="17"/>
                <w:color w:val="0000EE"/>
              </w:rPr>
            </w:pPr>
            <w:hyperlink w:anchor="page50">
              <w:r>
                <w:rPr>
                  <w:rFonts w:ascii="Arial" w:cs="Arial" w:eastAsia="Arial" w:hAnsi="Arial"/>
                  <w:sz w:val="17"/>
                  <w:szCs w:val="17"/>
                  <w:color w:val="0000EE"/>
                </w:rPr>
                <w:t>Appendix (Non-GAAP reconciliations)</w:t>
              </w:r>
            </w:hyperlink>
          </w:p>
        </w:tc>
        <w:tc>
          <w:tcPr>
            <w:tcW w:w="2560" w:type="dxa"/>
            <w:vAlign w:val="bottom"/>
            <w:gridSpan w:val="9"/>
          </w:tcPr>
          <w:p>
            <w:pPr>
              <w:spacing w:after="0"/>
              <w:rPr>
                <w:sz w:val="18"/>
                <w:szCs w:val="18"/>
                <w:color w:val="auto"/>
              </w:rPr>
            </w:pPr>
          </w:p>
        </w:tc>
        <w:tc>
          <w:tcPr>
            <w:tcW w:w="280" w:type="dxa"/>
            <w:vAlign w:val="bottom"/>
            <w:tcBorders>
              <w:bottom w:val="single" w:sz="8" w:color="0000EE"/>
            </w:tcBorders>
          </w:tcPr>
          <w:p>
            <w:pPr>
              <w:jc w:val="right"/>
              <w:spacing w:after="0" w:line="185" w:lineRule="exact"/>
              <w:rPr>
                <w:rFonts w:ascii="Arial" w:cs="Arial" w:eastAsia="Arial" w:hAnsi="Arial"/>
                <w:sz w:val="17"/>
                <w:szCs w:val="17"/>
                <w:color w:val="0000EE"/>
                <w:w w:val="91"/>
              </w:rPr>
            </w:pPr>
            <w:hyperlink w:anchor="page50">
              <w:r>
                <w:rPr>
                  <w:rFonts w:ascii="Arial" w:cs="Arial" w:eastAsia="Arial" w:hAnsi="Arial"/>
                  <w:sz w:val="17"/>
                  <w:szCs w:val="17"/>
                  <w:color w:val="0000EE"/>
                  <w:w w:val="91"/>
                </w:rPr>
                <w:t>119</w:t>
              </w:r>
            </w:hyperlink>
          </w:p>
        </w:tc>
      </w:tr>
      <w:tr>
        <w:trPr>
          <w:trHeight w:val="185"/>
        </w:trPr>
        <w:tc>
          <w:tcPr>
            <w:tcW w:w="240" w:type="dxa"/>
            <w:vAlign w:val="bottom"/>
          </w:tcPr>
          <w:p>
            <w:pPr>
              <w:spacing w:after="0"/>
              <w:rPr>
                <w:sz w:val="16"/>
                <w:szCs w:val="16"/>
                <w:color w:val="auto"/>
              </w:rPr>
            </w:pPr>
          </w:p>
        </w:tc>
        <w:tc>
          <w:tcPr>
            <w:tcW w:w="4900" w:type="dxa"/>
            <w:vAlign w:val="bottom"/>
            <w:gridSpan w:val="27"/>
          </w:tcPr>
          <w:p>
            <w:pPr>
              <w:spacing w:after="0" w:line="185" w:lineRule="exact"/>
              <w:rPr>
                <w:rFonts w:ascii="Arial" w:cs="Arial" w:eastAsia="Arial" w:hAnsi="Arial"/>
                <w:sz w:val="17"/>
                <w:szCs w:val="17"/>
                <w:color w:val="0000EE"/>
              </w:rPr>
            </w:pPr>
            <w:hyperlink w:anchor="page31">
              <w:r>
                <w:rPr>
                  <w:rFonts w:ascii="Arial" w:cs="Arial" w:eastAsia="Arial" w:hAnsi="Arial"/>
                  <w:sz w:val="17"/>
                  <w:szCs w:val="17"/>
                  <w:color w:val="0000EE"/>
                </w:rPr>
                <w:t>Grants of plan-based awards in 2014</w:t>
              </w:r>
            </w:hyperlink>
          </w:p>
        </w:tc>
        <w:tc>
          <w:tcPr>
            <w:tcW w:w="580" w:type="dxa"/>
            <w:vAlign w:val="bottom"/>
            <w:gridSpan w:val="4"/>
          </w:tcPr>
          <w:p>
            <w:pPr>
              <w:jc w:val="right"/>
              <w:ind w:right="240"/>
              <w:spacing w:after="0" w:line="185" w:lineRule="exact"/>
              <w:rPr>
                <w:rFonts w:ascii="Arial" w:cs="Arial" w:eastAsia="Arial" w:hAnsi="Arial"/>
                <w:sz w:val="17"/>
                <w:szCs w:val="17"/>
                <w:color w:val="0000EE"/>
              </w:rPr>
            </w:pPr>
            <w:hyperlink w:anchor="page31">
              <w:r>
                <w:rPr>
                  <w:rFonts w:ascii="Arial" w:cs="Arial" w:eastAsia="Arial" w:hAnsi="Arial"/>
                  <w:sz w:val="17"/>
                  <w:szCs w:val="17"/>
                  <w:color w:val="0000EE"/>
                </w:rPr>
                <w:t>100</w:t>
              </w:r>
            </w:hyperlink>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33"/>
        </w:trPr>
        <w:tc>
          <w:tcPr>
            <w:tcW w:w="2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18"/>
        </w:trPr>
        <w:tc>
          <w:tcPr>
            <w:tcW w:w="240" w:type="dxa"/>
            <w:vAlign w:val="bottom"/>
            <w:shd w:val="clear" w:color="auto" w:fill="E9E9E9"/>
          </w:tcPr>
          <w:p>
            <w:pPr>
              <w:spacing w:after="0"/>
              <w:rPr>
                <w:sz w:val="18"/>
                <w:szCs w:val="18"/>
                <w:color w:val="auto"/>
              </w:rPr>
            </w:pPr>
          </w:p>
        </w:tc>
        <w:tc>
          <w:tcPr>
            <w:tcW w:w="4900" w:type="dxa"/>
            <w:vAlign w:val="bottom"/>
            <w:gridSpan w:val="27"/>
            <w:shd w:val="clear" w:color="auto" w:fill="E9E9E9"/>
          </w:tcPr>
          <w:p>
            <w:pPr>
              <w:spacing w:after="0" w:line="185" w:lineRule="exact"/>
              <w:rPr>
                <w:rFonts w:ascii="Arial" w:cs="Arial" w:eastAsia="Arial" w:hAnsi="Arial"/>
                <w:sz w:val="17"/>
                <w:szCs w:val="17"/>
                <w:color w:val="0000EE"/>
              </w:rPr>
            </w:pPr>
            <w:hyperlink w:anchor="page32">
              <w:r>
                <w:rPr>
                  <w:rFonts w:ascii="Arial" w:cs="Arial" w:eastAsia="Arial" w:hAnsi="Arial"/>
                  <w:sz w:val="17"/>
                  <w:szCs w:val="17"/>
                  <w:color w:val="0000EE"/>
                </w:rPr>
                <w:t>Outstanding equity awards at fiscal year-end 2014</w:t>
              </w:r>
            </w:hyperlink>
          </w:p>
        </w:tc>
        <w:tc>
          <w:tcPr>
            <w:tcW w:w="340" w:type="dxa"/>
            <w:vAlign w:val="bottom"/>
            <w:gridSpan w:val="3"/>
            <w:shd w:val="clear" w:color="auto" w:fill="E9E9E9"/>
          </w:tcPr>
          <w:p>
            <w:pPr>
              <w:jc w:val="right"/>
              <w:spacing w:after="0" w:line="185" w:lineRule="exact"/>
              <w:rPr>
                <w:rFonts w:ascii="Arial" w:cs="Arial" w:eastAsia="Arial" w:hAnsi="Arial"/>
                <w:sz w:val="17"/>
                <w:szCs w:val="17"/>
                <w:color w:val="0000EE"/>
              </w:rPr>
            </w:pPr>
            <w:hyperlink w:anchor="page32">
              <w:r>
                <w:rPr>
                  <w:rFonts w:ascii="Arial" w:cs="Arial" w:eastAsia="Arial" w:hAnsi="Arial"/>
                  <w:sz w:val="17"/>
                  <w:szCs w:val="17"/>
                  <w:color w:val="0000EE"/>
                </w:rPr>
                <w:t>101</w:t>
              </w:r>
            </w:hyperlink>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85"/>
        </w:trPr>
        <w:tc>
          <w:tcPr>
            <w:tcW w:w="240" w:type="dxa"/>
            <w:vAlign w:val="bottom"/>
            <w:tcBorders>
              <w:top w:val="single" w:sz="8" w:color="E9E9E9"/>
            </w:tcBorders>
          </w:tcPr>
          <w:p>
            <w:pPr>
              <w:spacing w:after="0"/>
              <w:rPr>
                <w:sz w:val="16"/>
                <w:szCs w:val="16"/>
                <w:color w:val="auto"/>
              </w:rPr>
            </w:pPr>
          </w:p>
        </w:tc>
        <w:tc>
          <w:tcPr>
            <w:tcW w:w="3820" w:type="dxa"/>
            <w:vAlign w:val="bottom"/>
            <w:tcBorders>
              <w:top w:val="single" w:sz="8" w:color="0000EE"/>
            </w:tcBorders>
            <w:gridSpan w:val="26"/>
          </w:tcPr>
          <w:p>
            <w:pPr>
              <w:spacing w:after="0" w:line="185" w:lineRule="exact"/>
              <w:rPr>
                <w:rFonts w:ascii="Arial" w:cs="Arial" w:eastAsia="Arial" w:hAnsi="Arial"/>
                <w:sz w:val="17"/>
                <w:szCs w:val="17"/>
                <w:color w:val="0000EE"/>
              </w:rPr>
            </w:pPr>
            <w:hyperlink w:anchor="page34">
              <w:r>
                <w:rPr>
                  <w:rFonts w:ascii="Arial" w:cs="Arial" w:eastAsia="Arial" w:hAnsi="Arial"/>
                  <w:sz w:val="17"/>
                  <w:szCs w:val="17"/>
                  <w:color w:val="0000EE"/>
                </w:rPr>
                <w:t>2014 option exercises and stock vested</w:t>
              </w:r>
            </w:hyperlink>
          </w:p>
        </w:tc>
        <w:tc>
          <w:tcPr>
            <w:tcW w:w="1080" w:type="dxa"/>
            <w:vAlign w:val="bottom"/>
            <w:tcBorders>
              <w:top w:val="single" w:sz="8" w:color="E9E9E9"/>
            </w:tcBorders>
          </w:tcPr>
          <w:p>
            <w:pPr>
              <w:spacing w:after="0"/>
              <w:rPr>
                <w:sz w:val="16"/>
                <w:szCs w:val="16"/>
                <w:color w:val="auto"/>
              </w:rPr>
            </w:pPr>
          </w:p>
        </w:tc>
        <w:tc>
          <w:tcPr>
            <w:tcW w:w="40" w:type="dxa"/>
            <w:vAlign w:val="bottom"/>
            <w:tcBorders>
              <w:top w:val="single" w:sz="8" w:color="E9E9E9"/>
            </w:tcBorders>
          </w:tcPr>
          <w:p>
            <w:pPr>
              <w:spacing w:after="0"/>
              <w:rPr>
                <w:sz w:val="16"/>
                <w:szCs w:val="16"/>
                <w:color w:val="auto"/>
              </w:rPr>
            </w:pPr>
          </w:p>
        </w:tc>
        <w:tc>
          <w:tcPr>
            <w:tcW w:w="300" w:type="dxa"/>
            <w:vAlign w:val="bottom"/>
            <w:tcBorders>
              <w:top w:val="single" w:sz="8" w:color="0000EE"/>
            </w:tcBorders>
            <w:gridSpan w:val="2"/>
          </w:tcPr>
          <w:p>
            <w:pPr>
              <w:jc w:val="right"/>
              <w:spacing w:after="0" w:line="185" w:lineRule="exact"/>
              <w:rPr>
                <w:rFonts w:ascii="Arial" w:cs="Arial" w:eastAsia="Arial" w:hAnsi="Arial"/>
                <w:sz w:val="17"/>
                <w:szCs w:val="17"/>
                <w:color w:val="0000EE"/>
                <w:w w:val="98"/>
              </w:rPr>
            </w:pPr>
            <w:hyperlink w:anchor="page34">
              <w:r>
                <w:rPr>
                  <w:rFonts w:ascii="Arial" w:cs="Arial" w:eastAsia="Arial" w:hAnsi="Arial"/>
                  <w:sz w:val="17"/>
                  <w:szCs w:val="17"/>
                  <w:color w:val="0000EE"/>
                  <w:w w:val="98"/>
                </w:rPr>
                <w:t>103</w:t>
              </w:r>
            </w:hyperlink>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33"/>
        </w:trPr>
        <w:tc>
          <w:tcPr>
            <w:tcW w:w="2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85"/>
        </w:trPr>
        <w:tc>
          <w:tcPr>
            <w:tcW w:w="240" w:type="dxa"/>
            <w:vAlign w:val="bottom"/>
            <w:shd w:val="clear" w:color="auto" w:fill="E9E9E9"/>
          </w:tcPr>
          <w:p>
            <w:pPr>
              <w:spacing w:after="0"/>
              <w:rPr>
                <w:sz w:val="16"/>
                <w:szCs w:val="16"/>
                <w:color w:val="auto"/>
              </w:rPr>
            </w:pPr>
          </w:p>
        </w:tc>
        <w:tc>
          <w:tcPr>
            <w:tcW w:w="4900" w:type="dxa"/>
            <w:vAlign w:val="bottom"/>
            <w:gridSpan w:val="27"/>
            <w:shd w:val="clear" w:color="auto" w:fill="E9E9E9"/>
          </w:tcPr>
          <w:p>
            <w:pPr>
              <w:spacing w:after="0" w:line="185" w:lineRule="exact"/>
              <w:rPr>
                <w:rFonts w:ascii="Arial" w:cs="Arial" w:eastAsia="Arial" w:hAnsi="Arial"/>
                <w:sz w:val="17"/>
                <w:szCs w:val="17"/>
                <w:color w:val="0000EE"/>
              </w:rPr>
            </w:pPr>
            <w:hyperlink w:anchor="page35">
              <w:r>
                <w:rPr>
                  <w:rFonts w:ascii="Arial" w:cs="Arial" w:eastAsia="Arial" w:hAnsi="Arial"/>
                  <w:sz w:val="17"/>
                  <w:szCs w:val="17"/>
                  <w:color w:val="0000EE"/>
                </w:rPr>
                <w:t>2014 pension benefits</w:t>
              </w:r>
            </w:hyperlink>
          </w:p>
        </w:tc>
        <w:tc>
          <w:tcPr>
            <w:tcW w:w="340" w:type="dxa"/>
            <w:vAlign w:val="bottom"/>
            <w:gridSpan w:val="3"/>
            <w:shd w:val="clear" w:color="auto" w:fill="E9E9E9"/>
          </w:tcPr>
          <w:p>
            <w:pPr>
              <w:jc w:val="right"/>
              <w:spacing w:after="0" w:line="185" w:lineRule="exact"/>
              <w:rPr>
                <w:rFonts w:ascii="Arial" w:cs="Arial" w:eastAsia="Arial" w:hAnsi="Arial"/>
                <w:sz w:val="17"/>
                <w:szCs w:val="17"/>
                <w:color w:val="0000EE"/>
              </w:rPr>
            </w:pPr>
            <w:hyperlink w:anchor="page35">
              <w:r>
                <w:rPr>
                  <w:rFonts w:ascii="Arial" w:cs="Arial" w:eastAsia="Arial" w:hAnsi="Arial"/>
                  <w:sz w:val="17"/>
                  <w:szCs w:val="17"/>
                  <w:color w:val="0000EE"/>
                </w:rPr>
                <w:t>104</w:t>
              </w:r>
            </w:hyperlink>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33"/>
        </w:trPr>
        <w:tc>
          <w:tcPr>
            <w:tcW w:w="24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0000EE"/>
            </w:tcBorders>
            <w:shd w:val="clear" w:color="auto" w:fill="E9E9E9"/>
          </w:tcPr>
          <w:p>
            <w:pPr>
              <w:spacing w:after="0"/>
              <w:rPr>
                <w:sz w:val="2"/>
                <w:szCs w:val="2"/>
                <w:color w:val="auto"/>
              </w:rPr>
            </w:pPr>
          </w:p>
        </w:tc>
        <w:tc>
          <w:tcPr>
            <w:tcW w:w="96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0000EE"/>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14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200" w:type="dxa"/>
            <w:vAlign w:val="bottom"/>
            <w:tcBorders>
              <w:top w:val="single" w:sz="8" w:color="E9E9E9"/>
            </w:tcBorders>
            <w:shd w:val="clear" w:color="auto" w:fill="E9E9E9"/>
          </w:tcPr>
          <w:p>
            <w:pPr>
              <w:spacing w:after="0"/>
              <w:rPr>
                <w:sz w:val="2"/>
                <w:szCs w:val="2"/>
                <w:color w:val="auto"/>
              </w:rPr>
            </w:pPr>
          </w:p>
        </w:tc>
        <w:tc>
          <w:tcPr>
            <w:tcW w:w="140" w:type="dxa"/>
            <w:vAlign w:val="bottom"/>
            <w:tcBorders>
              <w:top w:val="single" w:sz="8" w:color="E9E9E9"/>
            </w:tcBorders>
            <w:shd w:val="clear" w:color="auto" w:fill="E9E9E9"/>
          </w:tcPr>
          <w:p>
            <w:pPr>
              <w:spacing w:after="0"/>
              <w:rPr>
                <w:sz w:val="2"/>
                <w:szCs w:val="2"/>
                <w:color w:val="auto"/>
              </w:rPr>
            </w:pPr>
          </w:p>
        </w:tc>
        <w:tc>
          <w:tcPr>
            <w:tcW w:w="1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right w:val="single" w:sz="8" w:color="E9E9E9"/>
            </w:tcBorders>
            <w:shd w:val="clear" w:color="auto" w:fill="E9E9E9"/>
          </w:tcPr>
          <w:p>
            <w:pPr>
              <w:spacing w:after="0"/>
              <w:rPr>
                <w:sz w:val="2"/>
                <w:szCs w:val="2"/>
                <w:color w:val="auto"/>
              </w:rPr>
            </w:pPr>
          </w:p>
        </w:tc>
        <w:tc>
          <w:tcPr>
            <w:tcW w:w="18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580" w:type="dxa"/>
            <w:vAlign w:val="bottom"/>
            <w:tcBorders>
              <w:top w:val="single" w:sz="8" w:color="E9E9E9"/>
            </w:tcBorders>
            <w:shd w:val="clear" w:color="auto" w:fill="E9E9E9"/>
          </w:tcPr>
          <w:p>
            <w:pPr>
              <w:spacing w:after="0"/>
              <w:rPr>
                <w:sz w:val="2"/>
                <w:szCs w:val="2"/>
                <w:color w:val="auto"/>
              </w:rPr>
            </w:pPr>
          </w:p>
        </w:tc>
        <w:tc>
          <w:tcPr>
            <w:tcW w:w="10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100" w:type="dxa"/>
            <w:vAlign w:val="bottom"/>
            <w:tcBorders>
              <w:top w:val="single" w:sz="8" w:color="0000EE"/>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85"/>
        </w:trPr>
        <w:tc>
          <w:tcPr>
            <w:tcW w:w="240" w:type="dxa"/>
            <w:vAlign w:val="bottom"/>
          </w:tcPr>
          <w:p>
            <w:pPr>
              <w:spacing w:after="0"/>
              <w:rPr>
                <w:sz w:val="16"/>
                <w:szCs w:val="16"/>
                <w:color w:val="auto"/>
              </w:rPr>
            </w:pPr>
          </w:p>
        </w:tc>
        <w:tc>
          <w:tcPr>
            <w:tcW w:w="4900" w:type="dxa"/>
            <w:vAlign w:val="bottom"/>
            <w:gridSpan w:val="27"/>
          </w:tcPr>
          <w:p>
            <w:pPr>
              <w:spacing w:after="0" w:line="185" w:lineRule="exact"/>
              <w:rPr>
                <w:rFonts w:ascii="Arial" w:cs="Arial" w:eastAsia="Arial" w:hAnsi="Arial"/>
                <w:sz w:val="17"/>
                <w:szCs w:val="17"/>
                <w:color w:val="0000EE"/>
              </w:rPr>
            </w:pPr>
            <w:hyperlink w:anchor="page37">
              <w:r>
                <w:rPr>
                  <w:rFonts w:ascii="Arial" w:cs="Arial" w:eastAsia="Arial" w:hAnsi="Arial"/>
                  <w:sz w:val="17"/>
                  <w:szCs w:val="17"/>
                  <w:color w:val="0000EE"/>
                </w:rPr>
                <w:t>2014 non-qualified deferred compensation</w:t>
              </w:r>
            </w:hyperlink>
          </w:p>
        </w:tc>
        <w:tc>
          <w:tcPr>
            <w:tcW w:w="580" w:type="dxa"/>
            <w:vAlign w:val="bottom"/>
            <w:gridSpan w:val="4"/>
          </w:tcPr>
          <w:p>
            <w:pPr>
              <w:jc w:val="right"/>
              <w:ind w:right="240"/>
              <w:spacing w:after="0" w:line="185" w:lineRule="exact"/>
              <w:rPr>
                <w:rFonts w:ascii="Arial" w:cs="Arial" w:eastAsia="Arial" w:hAnsi="Arial"/>
                <w:sz w:val="17"/>
                <w:szCs w:val="17"/>
                <w:color w:val="0000EE"/>
              </w:rPr>
            </w:pPr>
            <w:hyperlink w:anchor="page37">
              <w:r>
                <w:rPr>
                  <w:rFonts w:ascii="Arial" w:cs="Arial" w:eastAsia="Arial" w:hAnsi="Arial"/>
                  <w:sz w:val="17"/>
                  <w:szCs w:val="17"/>
                  <w:color w:val="0000EE"/>
                </w:rPr>
                <w:t>106</w:t>
              </w:r>
            </w:hyperlink>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33"/>
        </w:trPr>
        <w:tc>
          <w:tcPr>
            <w:tcW w:w="2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85"/>
        </w:trPr>
        <w:tc>
          <w:tcPr>
            <w:tcW w:w="240" w:type="dxa"/>
            <w:vAlign w:val="bottom"/>
            <w:tcBorders>
              <w:bottom w:val="single" w:sz="8" w:color="E9E9E9"/>
            </w:tcBorders>
            <w:shd w:val="clear" w:color="auto" w:fill="E9E9E9"/>
          </w:tcPr>
          <w:p>
            <w:pPr>
              <w:spacing w:after="0"/>
              <w:rPr>
                <w:sz w:val="16"/>
                <w:szCs w:val="16"/>
                <w:color w:val="auto"/>
              </w:rPr>
            </w:pPr>
          </w:p>
        </w:tc>
        <w:tc>
          <w:tcPr>
            <w:tcW w:w="3000" w:type="dxa"/>
            <w:vAlign w:val="bottom"/>
            <w:tcBorders>
              <w:bottom w:val="single" w:sz="8" w:color="0000EE"/>
            </w:tcBorders>
            <w:gridSpan w:val="22"/>
            <w:shd w:val="clear" w:color="auto" w:fill="E9E9E9"/>
          </w:tcPr>
          <w:p>
            <w:pPr>
              <w:spacing w:after="0" w:line="185" w:lineRule="exact"/>
              <w:rPr>
                <w:rFonts w:ascii="Arial" w:cs="Arial" w:eastAsia="Arial" w:hAnsi="Arial"/>
                <w:sz w:val="17"/>
                <w:szCs w:val="17"/>
                <w:color w:val="0000EE"/>
              </w:rPr>
            </w:pPr>
            <w:hyperlink w:anchor="page38">
              <w:r>
                <w:rPr>
                  <w:rFonts w:ascii="Arial" w:cs="Arial" w:eastAsia="Arial" w:hAnsi="Arial"/>
                  <w:sz w:val="17"/>
                  <w:szCs w:val="17"/>
                  <w:color w:val="0000EE"/>
                </w:rPr>
                <w:t>Potential payments upon termination or</w:t>
              </w:r>
            </w:hyperlink>
          </w:p>
        </w:tc>
        <w:tc>
          <w:tcPr>
            <w:tcW w:w="1900" w:type="dxa"/>
            <w:vAlign w:val="bottom"/>
            <w:tcBorders>
              <w:bottom w:val="single" w:sz="8" w:color="E9E9E9"/>
            </w:tcBorders>
            <w:gridSpan w:val="5"/>
            <w:shd w:val="clear" w:color="auto" w:fill="E9E9E9"/>
          </w:tcPr>
          <w:p>
            <w:pPr>
              <w:spacing w:after="0"/>
              <w:rPr>
                <w:sz w:val="16"/>
                <w:szCs w:val="16"/>
                <w:color w:val="auto"/>
              </w:rPr>
            </w:pPr>
          </w:p>
        </w:tc>
        <w:tc>
          <w:tcPr>
            <w:tcW w:w="40" w:type="dxa"/>
            <w:vAlign w:val="bottom"/>
            <w:tcBorders>
              <w:bottom w:val="single" w:sz="8" w:color="E9E9E9"/>
            </w:tcBorders>
            <w:shd w:val="clear" w:color="auto" w:fill="E9E9E9"/>
          </w:tcPr>
          <w:p>
            <w:pPr>
              <w:spacing w:after="0"/>
              <w:rPr>
                <w:sz w:val="16"/>
                <w:szCs w:val="16"/>
                <w:color w:val="auto"/>
              </w:rPr>
            </w:pPr>
          </w:p>
        </w:tc>
        <w:tc>
          <w:tcPr>
            <w:tcW w:w="100" w:type="dxa"/>
            <w:vAlign w:val="bottom"/>
            <w:tcBorders>
              <w:bottom w:val="single" w:sz="8" w:color="E9E9E9"/>
            </w:tcBorders>
            <w:shd w:val="clear" w:color="auto" w:fill="E9E9E9"/>
          </w:tcPr>
          <w:p>
            <w:pPr>
              <w:spacing w:after="0"/>
              <w:rPr>
                <w:sz w:val="16"/>
                <w:szCs w:val="16"/>
                <w:color w:val="auto"/>
              </w:rPr>
            </w:pPr>
          </w:p>
        </w:tc>
        <w:tc>
          <w:tcPr>
            <w:tcW w:w="200" w:type="dxa"/>
            <w:vAlign w:val="bottom"/>
            <w:tcBorders>
              <w:bottom w:val="single" w:sz="8" w:color="E9E9E9"/>
            </w:tcBorders>
            <w:shd w:val="clear" w:color="auto" w:fill="E9E9E9"/>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8"/>
        </w:trPr>
        <w:tc>
          <w:tcPr>
            <w:tcW w:w="240" w:type="dxa"/>
            <w:vAlign w:val="bottom"/>
            <w:shd w:val="clear" w:color="auto" w:fill="E9E9E9"/>
          </w:tcPr>
          <w:p>
            <w:pPr>
              <w:spacing w:after="0"/>
              <w:rPr>
                <w:sz w:val="18"/>
                <w:szCs w:val="18"/>
                <w:color w:val="auto"/>
              </w:rPr>
            </w:pPr>
          </w:p>
        </w:tc>
        <w:tc>
          <w:tcPr>
            <w:tcW w:w="4900" w:type="dxa"/>
            <w:vAlign w:val="bottom"/>
            <w:gridSpan w:val="27"/>
            <w:shd w:val="clear" w:color="auto" w:fill="E9E9E9"/>
          </w:tcPr>
          <w:p>
            <w:pPr>
              <w:ind w:left="240"/>
              <w:spacing w:after="0"/>
              <w:rPr>
                <w:rFonts w:ascii="Arial" w:cs="Arial" w:eastAsia="Arial" w:hAnsi="Arial"/>
                <w:sz w:val="17"/>
                <w:szCs w:val="17"/>
                <w:color w:val="0000EE"/>
              </w:rPr>
            </w:pPr>
            <w:hyperlink w:anchor="page38">
              <w:r>
                <w:rPr>
                  <w:rFonts w:ascii="Arial" w:cs="Arial" w:eastAsia="Arial" w:hAnsi="Arial"/>
                  <w:sz w:val="17"/>
                  <w:szCs w:val="17"/>
                  <w:color w:val="0000EE"/>
                </w:rPr>
                <w:t>change in control</w:t>
              </w:r>
            </w:hyperlink>
          </w:p>
        </w:tc>
        <w:tc>
          <w:tcPr>
            <w:tcW w:w="340" w:type="dxa"/>
            <w:vAlign w:val="bottom"/>
            <w:gridSpan w:val="3"/>
            <w:shd w:val="clear" w:color="auto" w:fill="E9E9E9"/>
          </w:tcPr>
          <w:p>
            <w:pPr>
              <w:jc w:val="right"/>
              <w:spacing w:after="0"/>
              <w:rPr>
                <w:rFonts w:ascii="Arial" w:cs="Arial" w:eastAsia="Arial" w:hAnsi="Arial"/>
                <w:sz w:val="17"/>
                <w:szCs w:val="17"/>
                <w:color w:val="0000EE"/>
              </w:rPr>
            </w:pPr>
            <w:hyperlink w:anchor="page38">
              <w:r>
                <w:rPr>
                  <w:rFonts w:ascii="Arial" w:cs="Arial" w:eastAsia="Arial" w:hAnsi="Arial"/>
                  <w:sz w:val="17"/>
                  <w:szCs w:val="17"/>
                  <w:color w:val="0000EE"/>
                </w:rPr>
                <w:t>107</w:t>
              </w:r>
            </w:hyperlink>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3"/>
        </w:trPr>
        <w:tc>
          <w:tcPr>
            <w:tcW w:w="24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E9E9E9"/>
            </w:tcBorders>
            <w:shd w:val="clear" w:color="auto" w:fill="E9E9E9"/>
          </w:tcPr>
          <w:p>
            <w:pPr>
              <w:spacing w:after="0"/>
              <w:rPr>
                <w:sz w:val="2"/>
                <w:szCs w:val="2"/>
                <w:color w:val="auto"/>
              </w:rPr>
            </w:pPr>
          </w:p>
        </w:tc>
        <w:tc>
          <w:tcPr>
            <w:tcW w:w="96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80" w:type="dxa"/>
            <w:vAlign w:val="bottom"/>
            <w:tcBorders>
              <w:top w:val="single" w:sz="8" w:color="0000EE"/>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140" w:type="dxa"/>
            <w:vAlign w:val="bottom"/>
            <w:tcBorders>
              <w:top w:val="single" w:sz="8" w:color="E9E9E9"/>
            </w:tcBorders>
            <w:shd w:val="clear" w:color="auto" w:fill="E9E9E9"/>
          </w:tcPr>
          <w:p>
            <w:pPr>
              <w:spacing w:after="0"/>
              <w:rPr>
                <w:sz w:val="2"/>
                <w:szCs w:val="2"/>
                <w:color w:val="auto"/>
              </w:rPr>
            </w:pPr>
          </w:p>
        </w:tc>
        <w:tc>
          <w:tcPr>
            <w:tcW w:w="8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24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60" w:type="dxa"/>
            <w:vAlign w:val="bottom"/>
            <w:tcBorders>
              <w:top w:val="single" w:sz="8" w:color="E9E9E9"/>
            </w:tcBorders>
            <w:shd w:val="clear" w:color="auto" w:fill="E9E9E9"/>
          </w:tcPr>
          <w:p>
            <w:pPr>
              <w:spacing w:after="0"/>
              <w:rPr>
                <w:sz w:val="2"/>
                <w:szCs w:val="2"/>
                <w:color w:val="auto"/>
              </w:rPr>
            </w:pPr>
          </w:p>
        </w:tc>
        <w:tc>
          <w:tcPr>
            <w:tcW w:w="200" w:type="dxa"/>
            <w:vAlign w:val="bottom"/>
            <w:tcBorders>
              <w:top w:val="single" w:sz="8" w:color="E9E9E9"/>
            </w:tcBorders>
            <w:shd w:val="clear" w:color="auto" w:fill="E9E9E9"/>
          </w:tcPr>
          <w:p>
            <w:pPr>
              <w:spacing w:after="0"/>
              <w:rPr>
                <w:sz w:val="2"/>
                <w:szCs w:val="2"/>
                <w:color w:val="auto"/>
              </w:rPr>
            </w:pPr>
          </w:p>
        </w:tc>
        <w:tc>
          <w:tcPr>
            <w:tcW w:w="140" w:type="dxa"/>
            <w:vAlign w:val="bottom"/>
            <w:tcBorders>
              <w:top w:val="single" w:sz="8" w:color="E9E9E9"/>
            </w:tcBorders>
            <w:shd w:val="clear" w:color="auto" w:fill="E9E9E9"/>
          </w:tcPr>
          <w:p>
            <w:pPr>
              <w:spacing w:after="0"/>
              <w:rPr>
                <w:sz w:val="2"/>
                <w:szCs w:val="2"/>
                <w:color w:val="auto"/>
              </w:rPr>
            </w:pPr>
          </w:p>
        </w:tc>
        <w:tc>
          <w:tcPr>
            <w:tcW w:w="1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right w:val="single" w:sz="8" w:color="E9E9E9"/>
            </w:tcBorders>
            <w:shd w:val="clear" w:color="auto" w:fill="E9E9E9"/>
          </w:tcPr>
          <w:p>
            <w:pPr>
              <w:spacing w:after="0"/>
              <w:rPr>
                <w:sz w:val="2"/>
                <w:szCs w:val="2"/>
                <w:color w:val="auto"/>
              </w:rPr>
            </w:pPr>
          </w:p>
        </w:tc>
        <w:tc>
          <w:tcPr>
            <w:tcW w:w="180" w:type="dxa"/>
            <w:vAlign w:val="bottom"/>
            <w:tcBorders>
              <w:top w:val="single" w:sz="8" w:color="E9E9E9"/>
            </w:tcBorders>
            <w:shd w:val="clear" w:color="auto" w:fill="E9E9E9"/>
          </w:tcPr>
          <w:p>
            <w:pPr>
              <w:spacing w:after="0"/>
              <w:rPr>
                <w:sz w:val="2"/>
                <w:szCs w:val="2"/>
                <w:color w:val="auto"/>
              </w:rPr>
            </w:pPr>
          </w:p>
        </w:tc>
        <w:tc>
          <w:tcPr>
            <w:tcW w:w="20" w:type="dxa"/>
            <w:vAlign w:val="bottom"/>
            <w:tcBorders>
              <w:top w:val="single" w:sz="8" w:color="E9E9E9"/>
            </w:tcBorders>
            <w:shd w:val="clear" w:color="auto" w:fill="E9E9E9"/>
          </w:tcPr>
          <w:p>
            <w:pPr>
              <w:spacing w:after="0"/>
              <w:rPr>
                <w:sz w:val="2"/>
                <w:szCs w:val="2"/>
                <w:color w:val="auto"/>
              </w:rPr>
            </w:pPr>
          </w:p>
        </w:tc>
        <w:tc>
          <w:tcPr>
            <w:tcW w:w="580" w:type="dxa"/>
            <w:vAlign w:val="bottom"/>
            <w:tcBorders>
              <w:top w:val="single" w:sz="8" w:color="E9E9E9"/>
            </w:tcBorders>
            <w:shd w:val="clear" w:color="auto" w:fill="E9E9E9"/>
          </w:tcPr>
          <w:p>
            <w:pPr>
              <w:spacing w:after="0"/>
              <w:rPr>
                <w:sz w:val="2"/>
                <w:szCs w:val="2"/>
                <w:color w:val="auto"/>
              </w:rPr>
            </w:pPr>
          </w:p>
        </w:tc>
        <w:tc>
          <w:tcPr>
            <w:tcW w:w="1080" w:type="dxa"/>
            <w:vAlign w:val="bottom"/>
            <w:tcBorders>
              <w:top w:val="single" w:sz="8" w:color="E9E9E9"/>
            </w:tcBorders>
            <w:shd w:val="clear" w:color="auto" w:fill="E9E9E9"/>
          </w:tcPr>
          <w:p>
            <w:pPr>
              <w:spacing w:after="0"/>
              <w:rPr>
                <w:sz w:val="2"/>
                <w:szCs w:val="2"/>
                <w:color w:val="auto"/>
              </w:rPr>
            </w:pPr>
          </w:p>
        </w:tc>
        <w:tc>
          <w:tcPr>
            <w:tcW w:w="40" w:type="dxa"/>
            <w:vAlign w:val="bottom"/>
            <w:tcBorders>
              <w:top w:val="single" w:sz="8" w:color="E9E9E9"/>
            </w:tcBorders>
            <w:shd w:val="clear" w:color="auto" w:fill="E9E9E9"/>
          </w:tcPr>
          <w:p>
            <w:pPr>
              <w:spacing w:after="0"/>
              <w:rPr>
                <w:sz w:val="2"/>
                <w:szCs w:val="2"/>
                <w:color w:val="auto"/>
              </w:rPr>
            </w:pPr>
          </w:p>
        </w:tc>
        <w:tc>
          <w:tcPr>
            <w:tcW w:w="100" w:type="dxa"/>
            <w:vAlign w:val="bottom"/>
            <w:tcBorders>
              <w:top w:val="single" w:sz="8" w:color="0000EE"/>
            </w:tcBorders>
            <w:shd w:val="clear" w:color="auto" w:fill="E9E9E9"/>
          </w:tcPr>
          <w:p>
            <w:pPr>
              <w:spacing w:after="0"/>
              <w:rPr>
                <w:sz w:val="2"/>
                <w:szCs w:val="2"/>
                <w:color w:val="auto"/>
              </w:rPr>
            </w:pPr>
          </w:p>
        </w:tc>
        <w:tc>
          <w:tcPr>
            <w:tcW w:w="200" w:type="dxa"/>
            <w:vAlign w:val="bottom"/>
            <w:tcBorders>
              <w:top w:val="single" w:sz="8" w:color="0000EE"/>
            </w:tcBorders>
            <w:shd w:val="clear" w:color="auto" w:fill="E9E9E9"/>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PROXY STATEMENT – MARCH 4, 2015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12500 TI BOULEVARD, DALLAS, TEXAS 75243</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MAILING ADDRESS: P.O. BOX 660199, DALLAS, TEXAS 75266-0199</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Voting procedures and quorum</w:t>
      </w:r>
    </w:p>
    <w:p>
      <w:pPr>
        <w:spacing w:after="0" w:line="243"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TI’s board of directors requests your proxy for the annual meeting of stockholders on April 16, 2015.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4, 2015. If you come to the meeting, you can vote in person. If you do not come to the meeting, your shares can be voted only if you have returned a properly signed proxy or followed the telephone or Internet voting instructions, which can be found on the enclosed proxy.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202"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A quorum of stockholders is necessary to hold a valid meeting. If at least a majority of the shares of TI common stock issued and outstanding and entitled to vote are present in person or by proxy, a quorum will exist. Abstentions and broker non-votes are counted as present for purposes of establishing a quorum. Broker non-votes occur when a beneficial owner who holds company stock through a broker does not provide the broker with voting instructions as to any matter on which the broker is not permitted to exercise its discretion and vote without specific instruction.</w:t>
      </w:r>
    </w:p>
    <w:p>
      <w:pPr>
        <w:spacing w:after="0" w:line="209" w:lineRule="exact"/>
        <w:rPr>
          <w:sz w:val="20"/>
          <w:szCs w:val="20"/>
          <w:color w:val="auto"/>
        </w:rPr>
      </w:pPr>
    </w:p>
    <w:p>
      <w:pPr>
        <w:spacing w:after="0"/>
        <w:tabs>
          <w:tab w:leader="none" w:pos="4100" w:val="left"/>
        </w:tabs>
        <w:rPr>
          <w:sz w:val="20"/>
          <w:szCs w:val="20"/>
          <w:color w:val="auto"/>
        </w:rPr>
      </w:pPr>
      <w:r>
        <w:rPr>
          <w:rFonts w:ascii="Arial" w:cs="Arial" w:eastAsia="Arial" w:hAnsi="Arial"/>
          <w:sz w:val="13"/>
          <w:szCs w:val="13"/>
          <w:color w:val="838383"/>
        </w:rPr>
        <w:t>72</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3" w:name="page4"/>
    <w:bookmarkEnd w:id="3"/>
    <w:p>
      <w:pPr>
        <w:ind w:right="40"/>
        <w:spacing w:after="0" w:line="247" w:lineRule="auto"/>
        <w:rPr>
          <w:sz w:val="20"/>
          <w:szCs w:val="20"/>
          <w:color w:val="auto"/>
        </w:rPr>
      </w:pPr>
      <w:r>
        <w:rPr>
          <w:rFonts w:ascii="Arial" w:cs="Arial" w:eastAsia="Arial" w:hAnsi="Arial"/>
          <w:sz w:val="17"/>
          <w:szCs w:val="17"/>
          <w:color w:val="auto"/>
        </w:rPr>
        <w:t>Scheduled to be considered at the meeting are the election of directors, an advisory vote regarding approval of the company’s executive compensation and ratification of the appointment of our independent registered public accounting firm. Each of these matters is discussed elsewhere in this proxy statement. On each of these matters you may vote “for,” “against” or “abstain.” The vote required for the election of directors and approval of the other matters is shown in the table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40" w:type="dxa"/>
            <w:vAlign w:val="bottom"/>
          </w:tcPr>
          <w:p>
            <w:pPr>
              <w:spacing w:after="0"/>
              <w:rPr>
                <w:sz w:val="20"/>
                <w:szCs w:val="20"/>
                <w:color w:val="auto"/>
              </w:rPr>
            </w:pPr>
            <w:r>
              <w:rPr>
                <w:rFonts w:ascii="Arial" w:cs="Arial" w:eastAsia="Arial" w:hAnsi="Arial"/>
                <w:sz w:val="13"/>
                <w:szCs w:val="13"/>
                <w:b w:val="1"/>
                <w:bCs w:val="1"/>
                <w:color w:val="auto"/>
              </w:rPr>
              <w:t>Matter</w:t>
            </w:r>
          </w:p>
        </w:tc>
        <w:tc>
          <w:tcPr>
            <w:tcW w:w="3920" w:type="dxa"/>
            <w:vAlign w:val="bottom"/>
          </w:tcPr>
          <w:p>
            <w:pPr>
              <w:ind w:left="1580"/>
              <w:spacing w:after="0"/>
              <w:rPr>
                <w:sz w:val="20"/>
                <w:szCs w:val="20"/>
                <w:color w:val="auto"/>
              </w:rPr>
            </w:pPr>
            <w:r>
              <w:rPr>
                <w:rFonts w:ascii="Arial" w:cs="Arial" w:eastAsia="Arial" w:hAnsi="Arial"/>
                <w:sz w:val="13"/>
                <w:szCs w:val="13"/>
                <w:b w:val="1"/>
                <w:bCs w:val="1"/>
                <w:color w:val="auto"/>
              </w:rPr>
              <w:t>Required Vote</w:t>
            </w:r>
          </w:p>
        </w:tc>
        <w:tc>
          <w:tcPr>
            <w:tcW w:w="3860" w:type="dxa"/>
            <w:vAlign w:val="bottom"/>
          </w:tcPr>
          <w:p>
            <w:pPr>
              <w:ind w:left="640"/>
              <w:spacing w:after="0"/>
              <w:rPr>
                <w:sz w:val="20"/>
                <w:szCs w:val="20"/>
                <w:color w:val="auto"/>
              </w:rPr>
            </w:pPr>
            <w:r>
              <w:rPr>
                <w:rFonts w:ascii="Arial" w:cs="Arial" w:eastAsia="Arial" w:hAnsi="Arial"/>
                <w:sz w:val="13"/>
                <w:szCs w:val="13"/>
                <w:b w:val="1"/>
                <w:bCs w:val="1"/>
                <w:color w:val="auto"/>
              </w:rPr>
              <w:t>Impact of Abstentions or Broker Non-Votes</w:t>
            </w:r>
          </w:p>
        </w:tc>
      </w:tr>
      <w:tr>
        <w:trPr>
          <w:trHeight w:val="41"/>
        </w:trPr>
        <w:tc>
          <w:tcPr>
            <w:tcW w:w="364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r>
      <w:tr>
        <w:trPr>
          <w:trHeight w:val="215"/>
        </w:trPr>
        <w:tc>
          <w:tcPr>
            <w:tcW w:w="3640" w:type="dxa"/>
            <w:vAlign w:val="bottom"/>
          </w:tcPr>
          <w:p>
            <w:pPr>
              <w:spacing w:after="0"/>
              <w:rPr>
                <w:sz w:val="20"/>
                <w:szCs w:val="20"/>
                <w:color w:val="auto"/>
              </w:rPr>
            </w:pPr>
            <w:r>
              <w:rPr>
                <w:rFonts w:ascii="Arial" w:cs="Arial" w:eastAsia="Arial" w:hAnsi="Arial"/>
                <w:sz w:val="17"/>
                <w:szCs w:val="17"/>
                <w:color w:val="auto"/>
              </w:rPr>
              <w:t>Election of directors</w:t>
            </w:r>
          </w:p>
        </w:tc>
        <w:tc>
          <w:tcPr>
            <w:tcW w:w="3920" w:type="dxa"/>
            <w:vAlign w:val="bottom"/>
          </w:tcPr>
          <w:p>
            <w:pPr>
              <w:ind w:left="260"/>
              <w:spacing w:after="0"/>
              <w:rPr>
                <w:sz w:val="20"/>
                <w:szCs w:val="20"/>
                <w:color w:val="auto"/>
              </w:rPr>
            </w:pPr>
            <w:r>
              <w:rPr>
                <w:rFonts w:ascii="Arial" w:cs="Arial" w:eastAsia="Arial" w:hAnsi="Arial"/>
                <w:sz w:val="17"/>
                <w:szCs w:val="17"/>
                <w:color w:val="auto"/>
              </w:rPr>
              <w:t>Majority of votes present in person or by proxy</w:t>
            </w:r>
          </w:p>
        </w:tc>
        <w:tc>
          <w:tcPr>
            <w:tcW w:w="3860" w:type="dxa"/>
            <w:vAlign w:val="bottom"/>
          </w:tcPr>
          <w:p>
            <w:pPr>
              <w:ind w:left="140"/>
              <w:spacing w:after="0"/>
              <w:rPr>
                <w:sz w:val="20"/>
                <w:szCs w:val="20"/>
                <w:color w:val="auto"/>
              </w:rPr>
            </w:pPr>
            <w:r>
              <w:rPr>
                <w:rFonts w:ascii="Arial" w:cs="Arial" w:eastAsia="Arial" w:hAnsi="Arial"/>
                <w:sz w:val="17"/>
                <w:szCs w:val="17"/>
                <w:color w:val="auto"/>
              </w:rPr>
              <w:t>Abstentions have the same effect as votes</w:t>
            </w:r>
          </w:p>
        </w:tc>
      </w:tr>
      <w:tr>
        <w:trPr>
          <w:trHeight w:val="238"/>
        </w:trPr>
        <w:tc>
          <w:tcPr>
            <w:tcW w:w="3640" w:type="dxa"/>
            <w:vAlign w:val="bottom"/>
          </w:tcPr>
          <w:p>
            <w:pPr>
              <w:spacing w:after="0"/>
              <w:rPr>
                <w:sz w:val="20"/>
                <w:szCs w:val="20"/>
                <w:color w:val="auto"/>
              </w:rPr>
            </w:pPr>
          </w:p>
        </w:tc>
        <w:tc>
          <w:tcPr>
            <w:tcW w:w="3920" w:type="dxa"/>
            <w:vAlign w:val="bottom"/>
          </w:tcPr>
          <w:p>
            <w:pPr>
              <w:ind w:left="260"/>
              <w:spacing w:after="0"/>
              <w:rPr>
                <w:sz w:val="20"/>
                <w:szCs w:val="20"/>
                <w:color w:val="auto"/>
              </w:rPr>
            </w:pPr>
            <w:r>
              <w:rPr>
                <w:rFonts w:ascii="Arial" w:cs="Arial" w:eastAsia="Arial" w:hAnsi="Arial"/>
                <w:sz w:val="17"/>
                <w:szCs w:val="17"/>
                <w:color w:val="auto"/>
              </w:rPr>
              <w:t>at the meeting and entitled to be cast in the</w:t>
            </w:r>
          </w:p>
        </w:tc>
        <w:tc>
          <w:tcPr>
            <w:tcW w:w="3860" w:type="dxa"/>
            <w:vAlign w:val="bottom"/>
          </w:tcPr>
          <w:p>
            <w:pPr>
              <w:ind w:left="140"/>
              <w:spacing w:after="0"/>
              <w:rPr>
                <w:sz w:val="20"/>
                <w:szCs w:val="20"/>
                <w:color w:val="auto"/>
              </w:rPr>
            </w:pPr>
            <w:r>
              <w:rPr>
                <w:rFonts w:ascii="Arial" w:cs="Arial" w:eastAsia="Arial" w:hAnsi="Arial"/>
                <w:sz w:val="17"/>
                <w:szCs w:val="17"/>
                <w:color w:val="auto"/>
              </w:rPr>
              <w:t>against. Broker non-votes are not counted as</w:t>
            </w:r>
          </w:p>
        </w:tc>
      </w:tr>
      <w:tr>
        <w:trPr>
          <w:trHeight w:val="238"/>
        </w:trPr>
        <w:tc>
          <w:tcPr>
            <w:tcW w:w="3640" w:type="dxa"/>
            <w:vAlign w:val="bottom"/>
          </w:tcPr>
          <w:p>
            <w:pPr>
              <w:spacing w:after="0"/>
              <w:rPr>
                <w:sz w:val="20"/>
                <w:szCs w:val="20"/>
                <w:color w:val="auto"/>
              </w:rPr>
            </w:pPr>
          </w:p>
        </w:tc>
        <w:tc>
          <w:tcPr>
            <w:tcW w:w="3920" w:type="dxa"/>
            <w:vAlign w:val="bottom"/>
          </w:tcPr>
          <w:p>
            <w:pPr>
              <w:ind w:left="260"/>
              <w:spacing w:after="0"/>
              <w:rPr>
                <w:sz w:val="20"/>
                <w:szCs w:val="20"/>
                <w:color w:val="auto"/>
              </w:rPr>
            </w:pPr>
            <w:r>
              <w:rPr>
                <w:rFonts w:ascii="Arial" w:cs="Arial" w:eastAsia="Arial" w:hAnsi="Arial"/>
                <w:sz w:val="17"/>
                <w:szCs w:val="17"/>
                <w:color w:val="auto"/>
              </w:rPr>
              <w:t>election with respect to a nominee must be</w:t>
            </w:r>
          </w:p>
        </w:tc>
        <w:tc>
          <w:tcPr>
            <w:tcW w:w="3860" w:type="dxa"/>
            <w:vAlign w:val="bottom"/>
          </w:tcPr>
          <w:p>
            <w:pPr>
              <w:ind w:left="140"/>
              <w:spacing w:after="0"/>
              <w:rPr>
                <w:sz w:val="20"/>
                <w:szCs w:val="20"/>
                <w:color w:val="auto"/>
              </w:rPr>
            </w:pPr>
            <w:r>
              <w:rPr>
                <w:rFonts w:ascii="Arial" w:cs="Arial" w:eastAsia="Arial" w:hAnsi="Arial"/>
                <w:sz w:val="17"/>
                <w:szCs w:val="17"/>
                <w:color w:val="auto"/>
              </w:rPr>
              <w:t>votes for or against.</w:t>
            </w:r>
          </w:p>
        </w:tc>
      </w:tr>
      <w:tr>
        <w:trPr>
          <w:trHeight w:val="238"/>
        </w:trPr>
        <w:tc>
          <w:tcPr>
            <w:tcW w:w="3640" w:type="dxa"/>
            <w:vAlign w:val="bottom"/>
          </w:tcPr>
          <w:p>
            <w:pPr>
              <w:spacing w:after="0"/>
              <w:rPr>
                <w:sz w:val="20"/>
                <w:szCs w:val="20"/>
                <w:color w:val="auto"/>
              </w:rPr>
            </w:pPr>
          </w:p>
        </w:tc>
        <w:tc>
          <w:tcPr>
            <w:tcW w:w="3920" w:type="dxa"/>
            <w:vAlign w:val="bottom"/>
          </w:tcPr>
          <w:p>
            <w:pPr>
              <w:ind w:left="260"/>
              <w:spacing w:after="0"/>
              <w:rPr>
                <w:sz w:val="20"/>
                <w:szCs w:val="20"/>
                <w:color w:val="auto"/>
              </w:rPr>
            </w:pPr>
            <w:r>
              <w:rPr>
                <w:rFonts w:ascii="Arial" w:cs="Arial" w:eastAsia="Arial" w:hAnsi="Arial"/>
                <w:sz w:val="17"/>
                <w:szCs w:val="17"/>
                <w:color w:val="auto"/>
              </w:rPr>
              <w:t>cast for that nominee.</w:t>
            </w:r>
          </w:p>
        </w:tc>
        <w:tc>
          <w:tcPr>
            <w:tcW w:w="3860" w:type="dxa"/>
            <w:vAlign w:val="bottom"/>
          </w:tcPr>
          <w:p>
            <w:pPr>
              <w:spacing w:after="0"/>
              <w:rPr>
                <w:sz w:val="20"/>
                <w:szCs w:val="20"/>
                <w:color w:val="auto"/>
              </w:rPr>
            </w:pPr>
          </w:p>
        </w:tc>
      </w:tr>
      <w:tr>
        <w:trPr>
          <w:trHeight w:val="254"/>
        </w:trPr>
        <w:tc>
          <w:tcPr>
            <w:tcW w:w="364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860" w:type="dxa"/>
            <w:vAlign w:val="bottom"/>
          </w:tcPr>
          <w:p>
            <w:pPr>
              <w:spacing w:after="0"/>
              <w:rPr>
                <w:sz w:val="22"/>
                <w:szCs w:val="22"/>
                <w:color w:val="auto"/>
              </w:rPr>
            </w:pPr>
          </w:p>
        </w:tc>
      </w:tr>
      <w:tr>
        <w:trPr>
          <w:trHeight w:val="222"/>
        </w:trPr>
        <w:tc>
          <w:tcPr>
            <w:tcW w:w="3640" w:type="dxa"/>
            <w:vAlign w:val="bottom"/>
            <w:shd w:val="clear" w:color="auto" w:fill="E9E9E9"/>
          </w:tcPr>
          <w:p>
            <w:pPr>
              <w:spacing w:after="0"/>
              <w:rPr>
                <w:sz w:val="20"/>
                <w:szCs w:val="20"/>
                <w:color w:val="auto"/>
              </w:rPr>
            </w:pPr>
            <w:r>
              <w:rPr>
                <w:rFonts w:ascii="Arial" w:cs="Arial" w:eastAsia="Arial" w:hAnsi="Arial"/>
                <w:sz w:val="17"/>
                <w:szCs w:val="17"/>
                <w:color w:val="auto"/>
              </w:rPr>
              <w:t>Advisory vote to approve named executive</w:t>
            </w:r>
          </w:p>
        </w:tc>
        <w:tc>
          <w:tcPr>
            <w:tcW w:w="3920" w:type="dxa"/>
            <w:vAlign w:val="bottom"/>
            <w:shd w:val="clear" w:color="auto" w:fill="E9E9E9"/>
          </w:tcPr>
          <w:p>
            <w:pPr>
              <w:ind w:left="260"/>
              <w:spacing w:after="0"/>
              <w:rPr>
                <w:sz w:val="20"/>
                <w:szCs w:val="20"/>
                <w:color w:val="auto"/>
              </w:rPr>
            </w:pPr>
            <w:r>
              <w:rPr>
                <w:rFonts w:ascii="Arial" w:cs="Arial" w:eastAsia="Arial" w:hAnsi="Arial"/>
                <w:sz w:val="17"/>
                <w:szCs w:val="17"/>
                <w:color w:val="auto"/>
              </w:rPr>
              <w:t>Majority of votes present in person or by proxy</w:t>
            </w:r>
          </w:p>
        </w:tc>
        <w:tc>
          <w:tcPr>
            <w:tcW w:w="38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Abstentions and broker non-votes have the</w:t>
            </w:r>
          </w:p>
        </w:tc>
      </w:tr>
      <w:tr>
        <w:trPr>
          <w:trHeight w:val="238"/>
        </w:trPr>
        <w:tc>
          <w:tcPr>
            <w:tcW w:w="3640" w:type="dxa"/>
            <w:vAlign w:val="bottom"/>
            <w:shd w:val="clear" w:color="auto" w:fill="E9E9E9"/>
          </w:tcPr>
          <w:p>
            <w:pPr>
              <w:spacing w:after="0"/>
              <w:rPr>
                <w:sz w:val="20"/>
                <w:szCs w:val="20"/>
                <w:color w:val="auto"/>
              </w:rPr>
            </w:pPr>
            <w:r>
              <w:rPr>
                <w:rFonts w:ascii="Arial" w:cs="Arial" w:eastAsia="Arial" w:hAnsi="Arial"/>
                <w:sz w:val="17"/>
                <w:szCs w:val="17"/>
                <w:color w:val="auto"/>
              </w:rPr>
              <w:t>officer compensation.</w:t>
            </w:r>
          </w:p>
        </w:tc>
        <w:tc>
          <w:tcPr>
            <w:tcW w:w="3920" w:type="dxa"/>
            <w:vAlign w:val="bottom"/>
            <w:shd w:val="clear" w:color="auto" w:fill="E9E9E9"/>
          </w:tcPr>
          <w:p>
            <w:pPr>
              <w:ind w:left="260"/>
              <w:spacing w:after="0"/>
              <w:rPr>
                <w:sz w:val="20"/>
                <w:szCs w:val="20"/>
                <w:color w:val="auto"/>
              </w:rPr>
            </w:pPr>
            <w:r>
              <w:rPr>
                <w:rFonts w:ascii="Arial" w:cs="Arial" w:eastAsia="Arial" w:hAnsi="Arial"/>
                <w:sz w:val="17"/>
                <w:szCs w:val="17"/>
                <w:color w:val="auto"/>
              </w:rPr>
              <w:t>at the meeting must be cast for the proposal.</w:t>
            </w:r>
          </w:p>
        </w:tc>
        <w:tc>
          <w:tcPr>
            <w:tcW w:w="38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same effect as a vote against.</w:t>
            </w:r>
          </w:p>
        </w:tc>
      </w:tr>
      <w:tr>
        <w:trPr>
          <w:trHeight w:val="82"/>
        </w:trPr>
        <w:tc>
          <w:tcPr>
            <w:tcW w:w="3640" w:type="dxa"/>
            <w:vAlign w:val="bottom"/>
            <w:shd w:val="clear" w:color="auto" w:fill="E9E9E9"/>
          </w:tcPr>
          <w:p>
            <w:pPr>
              <w:spacing w:after="0"/>
              <w:rPr>
                <w:sz w:val="7"/>
                <w:szCs w:val="7"/>
                <w:color w:val="auto"/>
              </w:rPr>
            </w:pPr>
          </w:p>
        </w:tc>
        <w:tc>
          <w:tcPr>
            <w:tcW w:w="3920" w:type="dxa"/>
            <w:vAlign w:val="bottom"/>
            <w:shd w:val="clear" w:color="auto" w:fill="E9E9E9"/>
          </w:tcPr>
          <w:p>
            <w:pPr>
              <w:spacing w:after="0"/>
              <w:rPr>
                <w:sz w:val="7"/>
                <w:szCs w:val="7"/>
                <w:color w:val="auto"/>
              </w:rPr>
            </w:pPr>
          </w:p>
        </w:tc>
        <w:tc>
          <w:tcPr>
            <w:tcW w:w="3860" w:type="dxa"/>
            <w:vAlign w:val="bottom"/>
            <w:shd w:val="clear" w:color="auto" w:fill="E9E9E9"/>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11440"/>
          </w:cols>
          <w:pgMar w:left="240" w:top="592" w:right="219" w:bottom="1440" w:gutter="0" w:footer="0" w:header="0"/>
        </w:sectPr>
      </w:pPr>
    </w:p>
    <w:p>
      <w:pPr>
        <w:spacing w:after="0" w:line="54" w:lineRule="exact"/>
        <w:rPr>
          <w:sz w:val="20"/>
          <w:szCs w:val="20"/>
          <w:color w:val="auto"/>
        </w:rPr>
      </w:pPr>
    </w:p>
    <w:p>
      <w:pPr>
        <w:spacing w:after="0" w:line="304" w:lineRule="auto"/>
        <w:rPr>
          <w:sz w:val="20"/>
          <w:szCs w:val="20"/>
          <w:color w:val="auto"/>
        </w:rPr>
      </w:pPr>
      <w:r>
        <w:rPr>
          <w:rFonts w:ascii="Arial" w:cs="Arial" w:eastAsia="Arial" w:hAnsi="Arial"/>
          <w:sz w:val="17"/>
          <w:szCs w:val="17"/>
          <w:color w:val="auto"/>
        </w:rPr>
        <w:t>Proposal to ratify appointment of independent registered public accounting firm.</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304" w:lineRule="auto"/>
        <w:rPr>
          <w:sz w:val="20"/>
          <w:szCs w:val="20"/>
          <w:color w:val="auto"/>
        </w:rPr>
      </w:pPr>
      <w:r>
        <w:rPr>
          <w:rFonts w:ascii="Arial" w:cs="Arial" w:eastAsia="Arial" w:hAnsi="Arial"/>
          <w:sz w:val="17"/>
          <w:szCs w:val="17"/>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20"/>
        <w:spacing w:after="0" w:line="295" w:lineRule="auto"/>
        <w:rPr>
          <w:sz w:val="20"/>
          <w:szCs w:val="20"/>
          <w:color w:val="auto"/>
        </w:rPr>
      </w:pPr>
      <w:r>
        <w:rPr>
          <w:rFonts w:ascii="Arial" w:cs="Arial" w:eastAsia="Arial" w:hAnsi="Arial"/>
          <w:sz w:val="17"/>
          <w:szCs w:val="17"/>
          <w:color w:val="auto"/>
        </w:rPr>
        <w:t>Abstentions have the same effect as votes against. (Brokers are permitted to exercise their discretion and vote without specific instruction on this matter. Accordingly, there are no broker non-votes.)</w:t>
      </w:r>
    </w:p>
    <w:p>
      <w:pPr>
        <w:spacing w:after="0" w:line="200" w:lineRule="exact"/>
        <w:rPr>
          <w:sz w:val="20"/>
          <w:szCs w:val="20"/>
          <w:color w:val="auto"/>
        </w:rPr>
      </w:pPr>
    </w:p>
    <w:p>
      <w:pPr>
        <w:sectPr>
          <w:pgSz w:w="11900" w:h="16838" w:orient="portrait"/>
          <w:cols w:equalWidth="0" w:num="3">
            <w:col w:w="3480" w:space="420"/>
            <w:col w:w="3520" w:space="280"/>
            <w:col w:w="3740"/>
          </w:cols>
          <w:pgMar w:left="240" w:top="592" w:right="219" w:bottom="1440" w:gutter="0" w:footer="0" w:header="0"/>
          <w:type w:val="continuous"/>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40" w:type="dxa"/>
            <w:vAlign w:val="bottom"/>
            <w:shd w:val="clear" w:color="auto" w:fill="E9E9E9"/>
          </w:tcPr>
          <w:p>
            <w:pPr>
              <w:spacing w:after="0"/>
              <w:rPr>
                <w:sz w:val="20"/>
                <w:szCs w:val="20"/>
                <w:color w:val="auto"/>
              </w:rPr>
            </w:pPr>
            <w:r>
              <w:rPr>
                <w:rFonts w:ascii="Arial" w:cs="Arial" w:eastAsia="Arial" w:hAnsi="Arial"/>
                <w:sz w:val="17"/>
                <w:szCs w:val="17"/>
                <w:color w:val="auto"/>
              </w:rPr>
              <w:t>Any other matter that may properly be</w:t>
            </w:r>
          </w:p>
        </w:tc>
        <w:tc>
          <w:tcPr>
            <w:tcW w:w="3920" w:type="dxa"/>
            <w:vAlign w:val="bottom"/>
            <w:shd w:val="clear" w:color="auto" w:fill="E9E9E9"/>
          </w:tcPr>
          <w:p>
            <w:pPr>
              <w:ind w:left="260"/>
              <w:spacing w:after="0"/>
              <w:rPr>
                <w:sz w:val="20"/>
                <w:szCs w:val="20"/>
                <w:color w:val="auto"/>
              </w:rPr>
            </w:pPr>
            <w:r>
              <w:rPr>
                <w:rFonts w:ascii="Arial" w:cs="Arial" w:eastAsia="Arial" w:hAnsi="Arial"/>
                <w:sz w:val="17"/>
                <w:szCs w:val="17"/>
                <w:color w:val="auto"/>
              </w:rPr>
              <w:t>Majority of votes present in person or by proxy</w:t>
            </w:r>
          </w:p>
        </w:tc>
        <w:tc>
          <w:tcPr>
            <w:tcW w:w="38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Abstentions and broker non-votes have the</w:t>
            </w:r>
          </w:p>
        </w:tc>
      </w:tr>
      <w:tr>
        <w:trPr>
          <w:trHeight w:val="234"/>
        </w:trPr>
        <w:tc>
          <w:tcPr>
            <w:tcW w:w="3640" w:type="dxa"/>
            <w:vAlign w:val="bottom"/>
            <w:shd w:val="clear" w:color="auto" w:fill="E9E9E9"/>
          </w:tcPr>
          <w:p>
            <w:pPr>
              <w:spacing w:after="0"/>
              <w:rPr>
                <w:sz w:val="20"/>
                <w:szCs w:val="20"/>
                <w:color w:val="auto"/>
              </w:rPr>
            </w:pPr>
            <w:r>
              <w:rPr>
                <w:rFonts w:ascii="Arial" w:cs="Arial" w:eastAsia="Arial" w:hAnsi="Arial"/>
                <w:sz w:val="17"/>
                <w:szCs w:val="17"/>
                <w:color w:val="auto"/>
              </w:rPr>
              <w:t>submitted at the meeting.</w:t>
            </w:r>
          </w:p>
        </w:tc>
        <w:tc>
          <w:tcPr>
            <w:tcW w:w="3920" w:type="dxa"/>
            <w:vAlign w:val="bottom"/>
            <w:shd w:val="clear" w:color="auto" w:fill="E9E9E9"/>
          </w:tcPr>
          <w:p>
            <w:pPr>
              <w:ind w:left="260"/>
              <w:spacing w:after="0"/>
              <w:rPr>
                <w:sz w:val="20"/>
                <w:szCs w:val="20"/>
                <w:color w:val="auto"/>
              </w:rPr>
            </w:pPr>
            <w:r>
              <w:rPr>
                <w:rFonts w:ascii="Arial" w:cs="Arial" w:eastAsia="Arial" w:hAnsi="Arial"/>
                <w:sz w:val="17"/>
                <w:szCs w:val="17"/>
                <w:color w:val="auto"/>
              </w:rPr>
              <w:t>at the meeting must be cast for the proposal.</w:t>
            </w:r>
          </w:p>
        </w:tc>
        <w:tc>
          <w:tcPr>
            <w:tcW w:w="38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same effect as votes against.</w:t>
            </w:r>
          </w:p>
        </w:tc>
      </w:tr>
      <w:tr>
        <w:trPr>
          <w:trHeight w:val="82"/>
        </w:trPr>
        <w:tc>
          <w:tcPr>
            <w:tcW w:w="3640" w:type="dxa"/>
            <w:vAlign w:val="bottom"/>
            <w:shd w:val="clear" w:color="auto" w:fill="E9E9E9"/>
          </w:tcPr>
          <w:p>
            <w:pPr>
              <w:spacing w:after="0"/>
              <w:rPr>
                <w:sz w:val="7"/>
                <w:szCs w:val="7"/>
                <w:color w:val="auto"/>
              </w:rPr>
            </w:pPr>
          </w:p>
        </w:tc>
        <w:tc>
          <w:tcPr>
            <w:tcW w:w="3920" w:type="dxa"/>
            <w:vAlign w:val="bottom"/>
            <w:shd w:val="clear" w:color="auto" w:fill="E9E9E9"/>
          </w:tcPr>
          <w:p>
            <w:pPr>
              <w:spacing w:after="0"/>
              <w:rPr>
                <w:sz w:val="7"/>
                <w:szCs w:val="7"/>
                <w:color w:val="auto"/>
              </w:rPr>
            </w:pPr>
          </w:p>
        </w:tc>
        <w:tc>
          <w:tcPr>
            <w:tcW w:w="3860" w:type="dxa"/>
            <w:vAlign w:val="bottom"/>
            <w:shd w:val="clear" w:color="auto" w:fill="E9E9E9"/>
          </w:tcPr>
          <w:p>
            <w:pPr>
              <w:spacing w:after="0"/>
              <w:rPr>
                <w:sz w:val="7"/>
                <w:szCs w:val="7"/>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Election of directors</w:t>
      </w:r>
    </w:p>
    <w:p>
      <w:pPr>
        <w:spacing w:after="0" w:line="243"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Directors are elected at the annual meeting to hold office until the next annual meeting and until their successors are elected and qualified. The board of directors has designated the following persons as nominees: RALPH W. BABB, JR., MARK A. BLINN, DANIEL A. CARP, CARRIE S. COX, RONALD KIRK, PAMELA H. PATSLEY, ROBERT E. SANCHEZ, WAYNE R. SANDERS, RUTH J. SIMMONS, RICHARD K. TEMPLETON and CHRISTINE TODD WHITMAN.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If you return a proxy that is not otherwise marked, your shares will be voted FOR each of the nominees.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300" w:type="dxa"/>
            <w:vAlign w:val="bottom"/>
          </w:tcPr>
          <w:p>
            <w:pPr>
              <w:ind w:left="4120"/>
              <w:spacing w:after="0"/>
              <w:rPr>
                <w:sz w:val="20"/>
                <w:szCs w:val="20"/>
                <w:color w:val="auto"/>
              </w:rPr>
            </w:pPr>
            <w:r>
              <w:rPr>
                <w:rFonts w:ascii="Arial" w:cs="Arial" w:eastAsia="Arial" w:hAnsi="Arial"/>
                <w:sz w:val="13"/>
                <w:szCs w:val="13"/>
                <w:color w:val="838383"/>
              </w:rPr>
              <w:t>TEXAS INSTRUMENTS ● 2015 PROXY STATEMENT</w:t>
            </w:r>
          </w:p>
        </w:tc>
        <w:tc>
          <w:tcPr>
            <w:tcW w:w="2140" w:type="dxa"/>
            <w:vAlign w:val="bottom"/>
          </w:tcPr>
          <w:p>
            <w:pPr>
              <w:jc w:val="right"/>
              <w:spacing w:after="0"/>
              <w:rPr>
                <w:sz w:val="20"/>
                <w:szCs w:val="20"/>
                <w:color w:val="auto"/>
              </w:rPr>
            </w:pPr>
            <w:r>
              <w:rPr>
                <w:rFonts w:ascii="Arial" w:cs="Arial" w:eastAsia="Arial" w:hAnsi="Arial"/>
                <w:sz w:val="13"/>
                <w:szCs w:val="13"/>
                <w:color w:val="838383"/>
              </w:rPr>
              <w:t>73</w:t>
            </w:r>
          </w:p>
        </w:tc>
      </w:tr>
      <w:tr>
        <w:trPr>
          <w:trHeight w:val="355"/>
        </w:trPr>
        <w:tc>
          <w:tcPr>
            <w:tcW w:w="930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92" w:right="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b w:val="1"/>
          <w:bCs w:val="1"/>
          <w:color w:val="auto"/>
        </w:rPr>
        <w:t>Nominees for directorship</w:t>
      </w:r>
    </w:p>
    <w:p>
      <w:pPr>
        <w:spacing w:after="0" w:line="234" w:lineRule="exact"/>
        <w:rPr>
          <w:sz w:val="20"/>
          <w:szCs w:val="20"/>
          <w:color w:val="auto"/>
        </w:rPr>
      </w:pPr>
    </w:p>
    <w:p>
      <w:pPr>
        <w:jc w:val="both"/>
        <w:ind w:right="620"/>
        <w:spacing w:after="0" w:line="249" w:lineRule="auto"/>
        <w:rPr>
          <w:sz w:val="20"/>
          <w:szCs w:val="20"/>
          <w:color w:val="auto"/>
        </w:rPr>
      </w:pPr>
      <w:r>
        <w:rPr>
          <w:rFonts w:ascii="Arial" w:cs="Arial" w:eastAsia="Arial" w:hAnsi="Arial"/>
          <w:sz w:val="17"/>
          <w:szCs w:val="17"/>
          <w:color w:val="auto"/>
        </w:rPr>
        <w:t>All of the nominees for directorship are directors of the company. For a discussion of each nominee’s qualifications to serve as a director of the company, please see pages 75-77. If any nominee becomes unable to serve before the meeting, the persons named as proxies may vote for a substitute or the number of directors will be reduced accordingly.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00" w:type="dxa"/>
            <w:vAlign w:val="bottom"/>
            <w:gridSpan w:val="2"/>
          </w:tcPr>
          <w:p>
            <w:pPr>
              <w:spacing w:after="0"/>
              <w:rPr>
                <w:sz w:val="20"/>
                <w:szCs w:val="20"/>
                <w:color w:val="auto"/>
              </w:rPr>
            </w:pPr>
            <w:r>
              <w:rPr>
                <w:rFonts w:ascii="Arial" w:cs="Arial" w:eastAsia="Arial" w:hAnsi="Arial"/>
                <w:sz w:val="17"/>
                <w:szCs w:val="17"/>
                <w:color w:val="auto"/>
              </w:rPr>
              <w:t>Directors</w:t>
            </w:r>
          </w:p>
        </w:tc>
        <w:tc>
          <w:tcPr>
            <w:tcW w:w="392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419"/>
        </w:trPr>
        <w:tc>
          <w:tcPr>
            <w:tcW w:w="700" w:type="dxa"/>
            <w:vAlign w:val="bottom"/>
            <w:tcBorders>
              <w:top w:val="single" w:sz="8" w:color="auto"/>
            </w:tcBorders>
          </w:tcPr>
          <w:p>
            <w:pPr>
              <w:spacing w:after="0"/>
              <w:rPr>
                <w:sz w:val="24"/>
                <w:szCs w:val="24"/>
                <w:color w:val="auto"/>
              </w:rPr>
            </w:pPr>
          </w:p>
        </w:tc>
        <w:tc>
          <w:tcPr>
            <w:tcW w:w="3400" w:type="dxa"/>
            <w:vAlign w:val="bottom"/>
          </w:tcPr>
          <w:p>
            <w:pPr>
              <w:ind w:left="640"/>
              <w:spacing w:after="0"/>
              <w:rPr>
                <w:sz w:val="20"/>
                <w:szCs w:val="20"/>
                <w:color w:val="auto"/>
              </w:rPr>
            </w:pPr>
            <w:r>
              <w:rPr>
                <w:rFonts w:ascii="Arial" w:cs="Arial" w:eastAsia="Arial" w:hAnsi="Arial"/>
                <w:sz w:val="17"/>
                <w:szCs w:val="17"/>
                <w:b w:val="1"/>
                <w:bCs w:val="1"/>
                <w:color w:val="auto"/>
              </w:rPr>
              <w:t>RALPH W. BABB, JR.</w:t>
            </w:r>
          </w:p>
        </w:tc>
        <w:tc>
          <w:tcPr>
            <w:tcW w:w="3920" w:type="dxa"/>
            <w:vAlign w:val="bottom"/>
          </w:tcPr>
          <w:p>
            <w:pPr>
              <w:ind w:left="1020"/>
              <w:spacing w:after="0"/>
              <w:rPr>
                <w:sz w:val="20"/>
                <w:szCs w:val="20"/>
                <w:color w:val="auto"/>
              </w:rPr>
            </w:pPr>
            <w:r>
              <w:rPr>
                <w:rFonts w:ascii="Arial" w:cs="Arial" w:eastAsia="Arial" w:hAnsi="Arial"/>
                <w:sz w:val="17"/>
                <w:szCs w:val="17"/>
                <w:b w:val="1"/>
                <w:bCs w:val="1"/>
                <w:color w:val="auto"/>
              </w:rPr>
              <w:t>RONALD KIRK</w:t>
            </w:r>
          </w:p>
        </w:tc>
        <w:tc>
          <w:tcPr>
            <w:tcW w:w="2920" w:type="dxa"/>
            <w:vAlign w:val="bottom"/>
          </w:tcPr>
          <w:p>
            <w:pPr>
              <w:ind w:left="940"/>
              <w:spacing w:after="0"/>
              <w:rPr>
                <w:sz w:val="20"/>
                <w:szCs w:val="20"/>
                <w:color w:val="auto"/>
              </w:rPr>
            </w:pPr>
            <w:r>
              <w:rPr>
                <w:rFonts w:ascii="Arial" w:cs="Arial" w:eastAsia="Arial" w:hAnsi="Arial"/>
                <w:sz w:val="17"/>
                <w:szCs w:val="17"/>
                <w:b w:val="1"/>
                <w:bCs w:val="1"/>
                <w:color w:val="auto"/>
              </w:rPr>
              <w:t>RUTH J. SIMMONS</w:t>
            </w:r>
          </w:p>
        </w:tc>
      </w:tr>
      <w:tr>
        <w:trPr>
          <w:trHeight w:val="198"/>
        </w:trPr>
        <w:tc>
          <w:tcPr>
            <w:tcW w:w="700" w:type="dxa"/>
            <w:vAlign w:val="bottom"/>
          </w:tcPr>
          <w:p>
            <w:pPr>
              <w:spacing w:after="0"/>
              <w:rPr>
                <w:sz w:val="17"/>
                <w:szCs w:val="17"/>
                <w:color w:val="auto"/>
              </w:rPr>
            </w:pPr>
          </w:p>
        </w:tc>
        <w:tc>
          <w:tcPr>
            <w:tcW w:w="3400" w:type="dxa"/>
            <w:vAlign w:val="bottom"/>
          </w:tcPr>
          <w:p>
            <w:pPr>
              <w:ind w:left="640"/>
              <w:spacing w:after="0"/>
              <w:rPr>
                <w:sz w:val="20"/>
                <w:szCs w:val="20"/>
                <w:color w:val="auto"/>
              </w:rPr>
            </w:pPr>
            <w:r>
              <w:rPr>
                <w:rFonts w:ascii="Arial" w:cs="Arial" w:eastAsia="Arial" w:hAnsi="Arial"/>
                <w:sz w:val="17"/>
                <w:szCs w:val="17"/>
                <w:color w:val="auto"/>
              </w:rPr>
              <w:t>Age 66</w:t>
            </w:r>
          </w:p>
        </w:tc>
        <w:tc>
          <w:tcPr>
            <w:tcW w:w="3920" w:type="dxa"/>
            <w:vAlign w:val="bottom"/>
          </w:tcPr>
          <w:p>
            <w:pPr>
              <w:ind w:left="1020"/>
              <w:spacing w:after="0"/>
              <w:rPr>
                <w:sz w:val="20"/>
                <w:szCs w:val="20"/>
                <w:color w:val="auto"/>
              </w:rPr>
            </w:pPr>
            <w:r>
              <w:rPr>
                <w:rFonts w:ascii="Arial" w:cs="Arial" w:eastAsia="Arial" w:hAnsi="Arial"/>
                <w:sz w:val="17"/>
                <w:szCs w:val="17"/>
                <w:color w:val="auto"/>
              </w:rPr>
              <w:t>Age 60</w:t>
            </w:r>
          </w:p>
        </w:tc>
        <w:tc>
          <w:tcPr>
            <w:tcW w:w="2920" w:type="dxa"/>
            <w:vAlign w:val="bottom"/>
          </w:tcPr>
          <w:p>
            <w:pPr>
              <w:ind w:left="940"/>
              <w:spacing w:after="0"/>
              <w:rPr>
                <w:sz w:val="20"/>
                <w:szCs w:val="20"/>
                <w:color w:val="auto"/>
              </w:rPr>
            </w:pPr>
            <w:r>
              <w:rPr>
                <w:rFonts w:ascii="Arial" w:cs="Arial" w:eastAsia="Arial" w:hAnsi="Arial"/>
                <w:sz w:val="17"/>
                <w:szCs w:val="17"/>
                <w:color w:val="auto"/>
              </w:rPr>
              <w:t>Age 69</w:t>
            </w:r>
          </w:p>
        </w:tc>
      </w:tr>
      <w:tr>
        <w:trPr>
          <w:trHeight w:val="180"/>
        </w:trPr>
        <w:tc>
          <w:tcPr>
            <w:tcW w:w="700" w:type="dxa"/>
            <w:vAlign w:val="bottom"/>
          </w:tcPr>
          <w:p>
            <w:pPr>
              <w:spacing w:after="0"/>
              <w:rPr>
                <w:sz w:val="15"/>
                <w:szCs w:val="15"/>
                <w:color w:val="auto"/>
              </w:rPr>
            </w:pPr>
          </w:p>
        </w:tc>
        <w:tc>
          <w:tcPr>
            <w:tcW w:w="3400" w:type="dxa"/>
            <w:vAlign w:val="bottom"/>
          </w:tcPr>
          <w:p>
            <w:pPr>
              <w:ind w:left="640"/>
              <w:spacing w:after="0" w:line="180" w:lineRule="exact"/>
              <w:rPr>
                <w:sz w:val="20"/>
                <w:szCs w:val="20"/>
                <w:color w:val="auto"/>
              </w:rPr>
            </w:pPr>
            <w:r>
              <w:rPr>
                <w:rFonts w:ascii="Arial" w:cs="Arial" w:eastAsia="Arial" w:hAnsi="Arial"/>
                <w:sz w:val="17"/>
                <w:szCs w:val="17"/>
                <w:color w:val="auto"/>
              </w:rPr>
              <w:t>Director since 2010</w:t>
            </w:r>
          </w:p>
        </w:tc>
        <w:tc>
          <w:tcPr>
            <w:tcW w:w="3920" w:type="dxa"/>
            <w:vAlign w:val="bottom"/>
          </w:tcPr>
          <w:p>
            <w:pPr>
              <w:ind w:left="1020"/>
              <w:spacing w:after="0" w:line="180" w:lineRule="exact"/>
              <w:rPr>
                <w:sz w:val="20"/>
                <w:szCs w:val="20"/>
                <w:color w:val="auto"/>
              </w:rPr>
            </w:pPr>
            <w:r>
              <w:rPr>
                <w:rFonts w:ascii="Arial" w:cs="Arial" w:eastAsia="Arial" w:hAnsi="Arial"/>
                <w:sz w:val="17"/>
                <w:szCs w:val="17"/>
                <w:color w:val="auto"/>
              </w:rPr>
              <w:t>Director since 2013</w:t>
            </w:r>
          </w:p>
        </w:tc>
        <w:tc>
          <w:tcPr>
            <w:tcW w:w="2920" w:type="dxa"/>
            <w:vAlign w:val="bottom"/>
          </w:tcPr>
          <w:p>
            <w:pPr>
              <w:ind w:left="940"/>
              <w:spacing w:after="0" w:line="180" w:lineRule="exact"/>
              <w:rPr>
                <w:sz w:val="20"/>
                <w:szCs w:val="20"/>
                <w:color w:val="auto"/>
              </w:rPr>
            </w:pPr>
            <w:r>
              <w:rPr>
                <w:rFonts w:ascii="Arial" w:cs="Arial" w:eastAsia="Arial" w:hAnsi="Arial"/>
                <w:sz w:val="17"/>
                <w:szCs w:val="17"/>
                <w:color w:val="auto"/>
              </w:rPr>
              <w:t>Director since 1999</w:t>
            </w:r>
          </w:p>
        </w:tc>
      </w:tr>
      <w:tr>
        <w:trPr>
          <w:trHeight w:val="198"/>
        </w:trPr>
        <w:tc>
          <w:tcPr>
            <w:tcW w:w="700" w:type="dxa"/>
            <w:vAlign w:val="bottom"/>
          </w:tcPr>
          <w:p>
            <w:pPr>
              <w:spacing w:after="0"/>
              <w:rPr>
                <w:sz w:val="17"/>
                <w:szCs w:val="17"/>
                <w:color w:val="auto"/>
              </w:rPr>
            </w:pPr>
          </w:p>
        </w:tc>
        <w:tc>
          <w:tcPr>
            <w:tcW w:w="3400" w:type="dxa"/>
            <w:vAlign w:val="bottom"/>
          </w:tcPr>
          <w:p>
            <w:pPr>
              <w:ind w:left="640"/>
              <w:spacing w:after="0"/>
              <w:rPr>
                <w:sz w:val="20"/>
                <w:szCs w:val="20"/>
                <w:color w:val="auto"/>
              </w:rPr>
            </w:pPr>
            <w:r>
              <w:rPr>
                <w:rFonts w:ascii="Arial" w:cs="Arial" w:eastAsia="Arial" w:hAnsi="Arial"/>
                <w:sz w:val="17"/>
                <w:szCs w:val="17"/>
                <w:i w:val="1"/>
                <w:iCs w:val="1"/>
                <w:color w:val="auto"/>
              </w:rPr>
              <w:t>Chair, Audit</w:t>
            </w:r>
          </w:p>
        </w:tc>
        <w:tc>
          <w:tcPr>
            <w:tcW w:w="3920" w:type="dxa"/>
            <w:vAlign w:val="bottom"/>
          </w:tcPr>
          <w:p>
            <w:pPr>
              <w:ind w:left="1020"/>
              <w:spacing w:after="0"/>
              <w:rPr>
                <w:sz w:val="20"/>
                <w:szCs w:val="20"/>
                <w:color w:val="auto"/>
              </w:rPr>
            </w:pPr>
            <w:r>
              <w:rPr>
                <w:rFonts w:ascii="Arial" w:cs="Arial" w:eastAsia="Arial" w:hAnsi="Arial"/>
                <w:sz w:val="17"/>
                <w:szCs w:val="17"/>
                <w:i w:val="1"/>
                <w:iCs w:val="1"/>
                <w:color w:val="auto"/>
              </w:rPr>
              <w:t>Member, Governance and</w:t>
            </w:r>
          </w:p>
        </w:tc>
        <w:tc>
          <w:tcPr>
            <w:tcW w:w="2920" w:type="dxa"/>
            <w:vAlign w:val="bottom"/>
          </w:tcPr>
          <w:p>
            <w:pPr>
              <w:ind w:left="940"/>
              <w:spacing w:after="0"/>
              <w:rPr>
                <w:sz w:val="20"/>
                <w:szCs w:val="20"/>
                <w:color w:val="auto"/>
              </w:rPr>
            </w:pPr>
            <w:r>
              <w:rPr>
                <w:rFonts w:ascii="Arial" w:cs="Arial" w:eastAsia="Arial" w:hAnsi="Arial"/>
                <w:sz w:val="17"/>
                <w:szCs w:val="17"/>
                <w:i w:val="1"/>
                <w:iCs w:val="1"/>
                <w:color w:val="auto"/>
                <w:w w:val="99"/>
              </w:rPr>
              <w:t>Member, Audit Committee</w:t>
            </w:r>
          </w:p>
        </w:tc>
      </w:tr>
      <w:tr>
        <w:trPr>
          <w:trHeight w:val="198"/>
        </w:trPr>
        <w:tc>
          <w:tcPr>
            <w:tcW w:w="700" w:type="dxa"/>
            <w:vAlign w:val="bottom"/>
          </w:tcPr>
          <w:p>
            <w:pPr>
              <w:spacing w:after="0"/>
              <w:rPr>
                <w:sz w:val="17"/>
                <w:szCs w:val="17"/>
                <w:color w:val="auto"/>
              </w:rPr>
            </w:pPr>
          </w:p>
        </w:tc>
        <w:tc>
          <w:tcPr>
            <w:tcW w:w="3400" w:type="dxa"/>
            <w:vAlign w:val="bottom"/>
          </w:tcPr>
          <w:p>
            <w:pPr>
              <w:ind w:left="640"/>
              <w:spacing w:after="0"/>
              <w:rPr>
                <w:sz w:val="20"/>
                <w:szCs w:val="20"/>
                <w:color w:val="auto"/>
              </w:rPr>
            </w:pPr>
            <w:r>
              <w:rPr>
                <w:rFonts w:ascii="Arial" w:cs="Arial" w:eastAsia="Arial" w:hAnsi="Arial"/>
                <w:sz w:val="17"/>
                <w:szCs w:val="17"/>
                <w:i w:val="1"/>
                <w:iCs w:val="1"/>
                <w:color w:val="auto"/>
              </w:rPr>
              <w:t>Committee</w:t>
            </w:r>
          </w:p>
        </w:tc>
        <w:tc>
          <w:tcPr>
            <w:tcW w:w="3920" w:type="dxa"/>
            <w:vAlign w:val="bottom"/>
          </w:tcPr>
          <w:p>
            <w:pPr>
              <w:ind w:left="1020"/>
              <w:spacing w:after="0"/>
              <w:rPr>
                <w:sz w:val="20"/>
                <w:szCs w:val="20"/>
                <w:color w:val="auto"/>
              </w:rPr>
            </w:pPr>
            <w:r>
              <w:rPr>
                <w:rFonts w:ascii="Arial" w:cs="Arial" w:eastAsia="Arial" w:hAnsi="Arial"/>
                <w:sz w:val="17"/>
                <w:szCs w:val="17"/>
                <w:i w:val="1"/>
                <w:iCs w:val="1"/>
                <w:color w:val="auto"/>
              </w:rPr>
              <w:t>Stockholder Relations</w:t>
            </w:r>
          </w:p>
        </w:tc>
        <w:tc>
          <w:tcPr>
            <w:tcW w:w="2920" w:type="dxa"/>
            <w:vAlign w:val="bottom"/>
          </w:tcPr>
          <w:p>
            <w:pPr>
              <w:spacing w:after="0"/>
              <w:rPr>
                <w:sz w:val="17"/>
                <w:szCs w:val="17"/>
                <w:color w:val="auto"/>
              </w:rPr>
            </w:pPr>
          </w:p>
        </w:tc>
      </w:tr>
      <w:tr>
        <w:trPr>
          <w:trHeight w:val="223"/>
        </w:trPr>
        <w:tc>
          <w:tcPr>
            <w:tcW w:w="7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920" w:type="dxa"/>
            <w:vAlign w:val="bottom"/>
          </w:tcPr>
          <w:p>
            <w:pPr>
              <w:ind w:left="1020"/>
              <w:spacing w:after="0"/>
              <w:rPr>
                <w:sz w:val="20"/>
                <w:szCs w:val="20"/>
                <w:color w:val="auto"/>
              </w:rPr>
            </w:pPr>
            <w:r>
              <w:rPr>
                <w:rFonts w:ascii="Arial" w:cs="Arial" w:eastAsia="Arial" w:hAnsi="Arial"/>
                <w:sz w:val="17"/>
                <w:szCs w:val="17"/>
                <w:i w:val="1"/>
                <w:iCs w:val="1"/>
                <w:color w:val="auto"/>
              </w:rPr>
              <w:t>Committee</w:t>
            </w:r>
          </w:p>
        </w:tc>
        <w:tc>
          <w:tcPr>
            <w:tcW w:w="29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-761365</wp:posOffset>
            </wp:positionV>
            <wp:extent cx="788670" cy="9563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88670" cy="956310"/>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-761365</wp:posOffset>
            </wp:positionV>
            <wp:extent cx="788670" cy="9480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88670" cy="948055"/>
                    </a:xfrm>
                    <a:prstGeom prst="rect">
                      <a:avLst/>
                    </a:prstGeom>
                    <a:noFill/>
                  </pic:spPr>
                </pic:pic>
              </a:graphicData>
            </a:graphic>
          </wp:anchor>
        </w:drawing>
        <w:drawing>
          <wp:anchor simplePos="0" relativeHeight="251657728" behindDoc="1" locked="0" layoutInCell="0" allowOverlap="1">
            <wp:simplePos x="0" y="0"/>
            <wp:positionH relativeFrom="column">
              <wp:posOffset>4828540</wp:posOffset>
            </wp:positionH>
            <wp:positionV relativeFrom="paragraph">
              <wp:posOffset>-761365</wp:posOffset>
            </wp:positionV>
            <wp:extent cx="796925" cy="9480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96925" cy="9480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tbl>
      <w:tblPr>
        <w:tblLayout w:type="fixed"/>
        <w:tblInd w:w="1340" w:type="dxa"/>
        <w:tblCellMar>
          <w:top w:w="0" w:type="dxa"/>
          <w:left w:w="0" w:type="dxa"/>
          <w:bottom w:w="0" w:type="dxa"/>
          <w:right w:w="0" w:type="dxa"/>
        </w:tblCellMar>
      </w:tblPr>
      <w:tr>
        <w:trPr>
          <w:trHeight w:val="218"/>
        </w:trPr>
        <w:tc>
          <w:tcPr>
            <w:tcW w:w="2880" w:type="dxa"/>
            <w:vAlign w:val="bottom"/>
          </w:tcPr>
          <w:p>
            <w:pPr>
              <w:spacing w:after="0"/>
              <w:rPr>
                <w:sz w:val="20"/>
                <w:szCs w:val="20"/>
                <w:color w:val="auto"/>
              </w:rPr>
            </w:pPr>
            <w:r>
              <w:rPr>
                <w:rFonts w:ascii="Arial" w:cs="Arial" w:eastAsia="Arial" w:hAnsi="Arial"/>
                <w:sz w:val="17"/>
                <w:szCs w:val="17"/>
                <w:b w:val="1"/>
                <w:bCs w:val="1"/>
                <w:color w:val="auto"/>
              </w:rPr>
              <w:t>MARK A. BLINN</w:t>
            </w:r>
          </w:p>
        </w:tc>
        <w:tc>
          <w:tcPr>
            <w:tcW w:w="3800" w:type="dxa"/>
            <w:vAlign w:val="bottom"/>
          </w:tcPr>
          <w:p>
            <w:pPr>
              <w:ind w:left="900"/>
              <w:spacing w:after="0"/>
              <w:rPr>
                <w:sz w:val="20"/>
                <w:szCs w:val="20"/>
                <w:color w:val="auto"/>
              </w:rPr>
            </w:pPr>
            <w:r>
              <w:rPr>
                <w:rFonts w:ascii="Arial" w:cs="Arial" w:eastAsia="Arial" w:hAnsi="Arial"/>
                <w:sz w:val="17"/>
                <w:szCs w:val="17"/>
                <w:b w:val="1"/>
                <w:bCs w:val="1"/>
                <w:color w:val="auto"/>
              </w:rPr>
              <w:t>PAMELA H. PATSLEY</w:t>
            </w:r>
          </w:p>
        </w:tc>
        <w:tc>
          <w:tcPr>
            <w:tcW w:w="3040" w:type="dxa"/>
            <w:vAlign w:val="bottom"/>
          </w:tcPr>
          <w:p>
            <w:pPr>
              <w:ind w:left="940"/>
              <w:spacing w:after="0"/>
              <w:rPr>
                <w:sz w:val="20"/>
                <w:szCs w:val="20"/>
                <w:color w:val="auto"/>
              </w:rPr>
            </w:pPr>
            <w:r>
              <w:rPr>
                <w:rFonts w:ascii="Arial" w:cs="Arial" w:eastAsia="Arial" w:hAnsi="Arial"/>
                <w:sz w:val="17"/>
                <w:szCs w:val="17"/>
                <w:b w:val="1"/>
                <w:bCs w:val="1"/>
                <w:color w:val="auto"/>
                <w:w w:val="99"/>
              </w:rPr>
              <w:t>RICHARD K. TEMPLETON</w:t>
            </w:r>
          </w:p>
        </w:tc>
      </w:tr>
      <w:tr>
        <w:trPr>
          <w:trHeight w:val="198"/>
        </w:trPr>
        <w:tc>
          <w:tcPr>
            <w:tcW w:w="2880" w:type="dxa"/>
            <w:vAlign w:val="bottom"/>
          </w:tcPr>
          <w:p>
            <w:pPr>
              <w:spacing w:after="0"/>
              <w:rPr>
                <w:sz w:val="20"/>
                <w:szCs w:val="20"/>
                <w:color w:val="auto"/>
              </w:rPr>
            </w:pPr>
            <w:r>
              <w:rPr>
                <w:rFonts w:ascii="Arial" w:cs="Arial" w:eastAsia="Arial" w:hAnsi="Arial"/>
                <w:sz w:val="17"/>
                <w:szCs w:val="17"/>
                <w:color w:val="auto"/>
              </w:rPr>
              <w:t>Age 53</w:t>
            </w:r>
          </w:p>
        </w:tc>
        <w:tc>
          <w:tcPr>
            <w:tcW w:w="3800" w:type="dxa"/>
            <w:vAlign w:val="bottom"/>
          </w:tcPr>
          <w:p>
            <w:pPr>
              <w:ind w:left="900"/>
              <w:spacing w:after="0"/>
              <w:rPr>
                <w:sz w:val="20"/>
                <w:szCs w:val="20"/>
                <w:color w:val="auto"/>
              </w:rPr>
            </w:pPr>
            <w:r>
              <w:rPr>
                <w:rFonts w:ascii="Arial" w:cs="Arial" w:eastAsia="Arial" w:hAnsi="Arial"/>
                <w:sz w:val="17"/>
                <w:szCs w:val="17"/>
                <w:color w:val="auto"/>
              </w:rPr>
              <w:t>Age 58</w:t>
            </w:r>
          </w:p>
        </w:tc>
        <w:tc>
          <w:tcPr>
            <w:tcW w:w="3040" w:type="dxa"/>
            <w:vAlign w:val="bottom"/>
          </w:tcPr>
          <w:p>
            <w:pPr>
              <w:ind w:left="940"/>
              <w:spacing w:after="0"/>
              <w:rPr>
                <w:sz w:val="20"/>
                <w:szCs w:val="20"/>
                <w:color w:val="auto"/>
              </w:rPr>
            </w:pPr>
            <w:r>
              <w:rPr>
                <w:rFonts w:ascii="Arial" w:cs="Arial" w:eastAsia="Arial" w:hAnsi="Arial"/>
                <w:sz w:val="17"/>
                <w:szCs w:val="17"/>
                <w:color w:val="auto"/>
              </w:rPr>
              <w:t>Age 56</w:t>
            </w:r>
          </w:p>
        </w:tc>
      </w:tr>
      <w:tr>
        <w:trPr>
          <w:trHeight w:val="180"/>
        </w:trPr>
        <w:tc>
          <w:tcPr>
            <w:tcW w:w="2880" w:type="dxa"/>
            <w:vAlign w:val="bottom"/>
          </w:tcPr>
          <w:p>
            <w:pPr>
              <w:spacing w:after="0" w:line="180" w:lineRule="exact"/>
              <w:rPr>
                <w:sz w:val="20"/>
                <w:szCs w:val="20"/>
                <w:color w:val="auto"/>
              </w:rPr>
            </w:pPr>
            <w:r>
              <w:rPr>
                <w:rFonts w:ascii="Arial" w:cs="Arial" w:eastAsia="Arial" w:hAnsi="Arial"/>
                <w:sz w:val="17"/>
                <w:szCs w:val="17"/>
                <w:color w:val="auto"/>
              </w:rPr>
              <w:t>Director since 2013</w:t>
            </w:r>
          </w:p>
        </w:tc>
        <w:tc>
          <w:tcPr>
            <w:tcW w:w="3800" w:type="dxa"/>
            <w:vAlign w:val="bottom"/>
          </w:tcPr>
          <w:p>
            <w:pPr>
              <w:ind w:left="900"/>
              <w:spacing w:after="0" w:line="180" w:lineRule="exact"/>
              <w:rPr>
                <w:sz w:val="20"/>
                <w:szCs w:val="20"/>
                <w:color w:val="auto"/>
              </w:rPr>
            </w:pPr>
            <w:r>
              <w:rPr>
                <w:rFonts w:ascii="Arial" w:cs="Arial" w:eastAsia="Arial" w:hAnsi="Arial"/>
                <w:sz w:val="17"/>
                <w:szCs w:val="17"/>
                <w:color w:val="auto"/>
              </w:rPr>
              <w:t>Director since 2004</w:t>
            </w:r>
          </w:p>
        </w:tc>
        <w:tc>
          <w:tcPr>
            <w:tcW w:w="3040" w:type="dxa"/>
            <w:vAlign w:val="bottom"/>
          </w:tcPr>
          <w:p>
            <w:pPr>
              <w:ind w:left="940"/>
              <w:spacing w:after="0" w:line="180" w:lineRule="exact"/>
              <w:rPr>
                <w:sz w:val="20"/>
                <w:szCs w:val="20"/>
                <w:color w:val="auto"/>
              </w:rPr>
            </w:pPr>
            <w:r>
              <w:rPr>
                <w:rFonts w:ascii="Arial" w:cs="Arial" w:eastAsia="Arial" w:hAnsi="Arial"/>
                <w:sz w:val="17"/>
                <w:szCs w:val="17"/>
                <w:color w:val="auto"/>
              </w:rPr>
              <w:t>Chairman since 2008 and</w:t>
            </w:r>
          </w:p>
        </w:tc>
      </w:tr>
      <w:tr>
        <w:trPr>
          <w:trHeight w:val="198"/>
        </w:trPr>
        <w:tc>
          <w:tcPr>
            <w:tcW w:w="2880" w:type="dxa"/>
            <w:vAlign w:val="bottom"/>
          </w:tcPr>
          <w:p>
            <w:pPr>
              <w:spacing w:after="0"/>
              <w:rPr>
                <w:sz w:val="20"/>
                <w:szCs w:val="20"/>
                <w:color w:val="auto"/>
              </w:rPr>
            </w:pPr>
            <w:r>
              <w:rPr>
                <w:rFonts w:ascii="Arial" w:cs="Arial" w:eastAsia="Arial" w:hAnsi="Arial"/>
                <w:sz w:val="17"/>
                <w:szCs w:val="17"/>
                <w:i w:val="1"/>
                <w:iCs w:val="1"/>
                <w:color w:val="auto"/>
              </w:rPr>
              <w:t>Member, Audit Committee</w:t>
            </w:r>
          </w:p>
        </w:tc>
        <w:tc>
          <w:tcPr>
            <w:tcW w:w="3800" w:type="dxa"/>
            <w:vAlign w:val="bottom"/>
          </w:tcPr>
          <w:p>
            <w:pPr>
              <w:ind w:left="900"/>
              <w:spacing w:after="0"/>
              <w:rPr>
                <w:sz w:val="20"/>
                <w:szCs w:val="20"/>
                <w:color w:val="auto"/>
              </w:rPr>
            </w:pPr>
            <w:r>
              <w:rPr>
                <w:rFonts w:ascii="Arial" w:cs="Arial" w:eastAsia="Arial" w:hAnsi="Arial"/>
                <w:sz w:val="17"/>
                <w:szCs w:val="17"/>
                <w:i w:val="1"/>
                <w:iCs w:val="1"/>
                <w:color w:val="auto"/>
              </w:rPr>
              <w:t>Member,</w:t>
            </w:r>
          </w:p>
        </w:tc>
        <w:tc>
          <w:tcPr>
            <w:tcW w:w="3040" w:type="dxa"/>
            <w:vAlign w:val="bottom"/>
          </w:tcPr>
          <w:p>
            <w:pPr>
              <w:ind w:left="940"/>
              <w:spacing w:after="0"/>
              <w:rPr>
                <w:sz w:val="20"/>
                <w:szCs w:val="20"/>
                <w:color w:val="auto"/>
              </w:rPr>
            </w:pPr>
            <w:r>
              <w:rPr>
                <w:rFonts w:ascii="Arial" w:cs="Arial" w:eastAsia="Arial" w:hAnsi="Arial"/>
                <w:sz w:val="17"/>
                <w:szCs w:val="17"/>
                <w:color w:val="auto"/>
              </w:rPr>
              <w:t>director since 2003</w:t>
            </w:r>
          </w:p>
        </w:tc>
      </w:tr>
      <w:tr>
        <w:trPr>
          <w:trHeight w:val="223"/>
        </w:trPr>
        <w:tc>
          <w:tcPr>
            <w:tcW w:w="2880" w:type="dxa"/>
            <w:vAlign w:val="bottom"/>
          </w:tcPr>
          <w:p>
            <w:pPr>
              <w:spacing w:after="0"/>
              <w:rPr>
                <w:sz w:val="19"/>
                <w:szCs w:val="19"/>
                <w:color w:val="auto"/>
              </w:rPr>
            </w:pPr>
          </w:p>
        </w:tc>
        <w:tc>
          <w:tcPr>
            <w:tcW w:w="3800" w:type="dxa"/>
            <w:vAlign w:val="bottom"/>
          </w:tcPr>
          <w:p>
            <w:pPr>
              <w:ind w:left="900"/>
              <w:spacing w:after="0"/>
              <w:rPr>
                <w:sz w:val="20"/>
                <w:szCs w:val="20"/>
                <w:color w:val="auto"/>
              </w:rPr>
            </w:pPr>
            <w:r>
              <w:rPr>
                <w:rFonts w:ascii="Arial" w:cs="Arial" w:eastAsia="Arial" w:hAnsi="Arial"/>
                <w:sz w:val="17"/>
                <w:szCs w:val="17"/>
                <w:i w:val="1"/>
                <w:iCs w:val="1"/>
                <w:color w:val="auto"/>
              </w:rPr>
              <w:t>Compensation Committee</w:t>
            </w:r>
          </w:p>
        </w:tc>
        <w:tc>
          <w:tcPr>
            <w:tcW w:w="30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-635000</wp:posOffset>
            </wp:positionV>
            <wp:extent cx="788670" cy="948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88670" cy="94805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-635000</wp:posOffset>
            </wp:positionV>
            <wp:extent cx="796925" cy="9480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96925" cy="948055"/>
                    </a:xfrm>
                    <a:prstGeom prst="rect">
                      <a:avLst/>
                    </a:prstGeom>
                    <a:noFill/>
                  </pic:spPr>
                </pic:pic>
              </a:graphicData>
            </a:graphic>
          </wp:anchor>
        </w:drawing>
        <w:drawing>
          <wp:anchor simplePos="0" relativeHeight="251657728" behindDoc="1" locked="0" layoutInCell="0" allowOverlap="1">
            <wp:simplePos x="0" y="0"/>
            <wp:positionH relativeFrom="column">
              <wp:posOffset>4828540</wp:posOffset>
            </wp:positionH>
            <wp:positionV relativeFrom="paragraph">
              <wp:posOffset>-635000</wp:posOffset>
            </wp:positionV>
            <wp:extent cx="796925" cy="948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96925" cy="94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340" w:type="dxa"/>
        <w:tblCellMar>
          <w:top w:w="0" w:type="dxa"/>
          <w:left w:w="0" w:type="dxa"/>
          <w:bottom w:w="0" w:type="dxa"/>
          <w:right w:w="0" w:type="dxa"/>
        </w:tblCellMar>
      </w:tblPr>
      <w:tr>
        <w:trPr>
          <w:trHeight w:val="218"/>
        </w:trPr>
        <w:tc>
          <w:tcPr>
            <w:tcW w:w="2880" w:type="dxa"/>
            <w:vAlign w:val="bottom"/>
          </w:tcPr>
          <w:p>
            <w:pPr>
              <w:spacing w:after="0"/>
              <w:rPr>
                <w:sz w:val="20"/>
                <w:szCs w:val="20"/>
                <w:color w:val="auto"/>
              </w:rPr>
            </w:pPr>
            <w:r>
              <w:rPr>
                <w:rFonts w:ascii="Arial" w:cs="Arial" w:eastAsia="Arial" w:hAnsi="Arial"/>
                <w:sz w:val="17"/>
                <w:szCs w:val="17"/>
                <w:b w:val="1"/>
                <w:bCs w:val="1"/>
                <w:color w:val="auto"/>
              </w:rPr>
              <w:t>DANIEL A. CARP</w:t>
            </w:r>
          </w:p>
        </w:tc>
        <w:tc>
          <w:tcPr>
            <w:tcW w:w="3720" w:type="dxa"/>
            <w:vAlign w:val="bottom"/>
          </w:tcPr>
          <w:p>
            <w:pPr>
              <w:ind w:left="900"/>
              <w:spacing w:after="0"/>
              <w:rPr>
                <w:sz w:val="20"/>
                <w:szCs w:val="20"/>
                <w:color w:val="auto"/>
              </w:rPr>
            </w:pPr>
            <w:r>
              <w:rPr>
                <w:rFonts w:ascii="Arial" w:cs="Arial" w:eastAsia="Arial" w:hAnsi="Arial"/>
                <w:sz w:val="17"/>
                <w:szCs w:val="17"/>
                <w:b w:val="1"/>
                <w:bCs w:val="1"/>
                <w:color w:val="auto"/>
              </w:rPr>
              <w:t>ROBERT E. SANCHEZ</w:t>
            </w:r>
          </w:p>
        </w:tc>
        <w:tc>
          <w:tcPr>
            <w:tcW w:w="3340" w:type="dxa"/>
            <w:vAlign w:val="bottom"/>
          </w:tcPr>
          <w:p>
            <w:pPr>
              <w:ind w:left="1020"/>
              <w:spacing w:after="0"/>
              <w:rPr>
                <w:sz w:val="20"/>
                <w:szCs w:val="20"/>
                <w:color w:val="auto"/>
              </w:rPr>
            </w:pPr>
            <w:r>
              <w:rPr>
                <w:rFonts w:ascii="Arial" w:cs="Arial" w:eastAsia="Arial" w:hAnsi="Arial"/>
                <w:sz w:val="17"/>
                <w:szCs w:val="17"/>
                <w:b w:val="1"/>
                <w:bCs w:val="1"/>
                <w:color w:val="auto"/>
                <w:w w:val="99"/>
              </w:rPr>
              <w:t>CHRISTINE TODD WHITMAN</w:t>
            </w:r>
          </w:p>
        </w:tc>
      </w:tr>
      <w:tr>
        <w:trPr>
          <w:trHeight w:val="198"/>
        </w:trPr>
        <w:tc>
          <w:tcPr>
            <w:tcW w:w="2880" w:type="dxa"/>
            <w:vAlign w:val="bottom"/>
          </w:tcPr>
          <w:p>
            <w:pPr>
              <w:spacing w:after="0"/>
              <w:rPr>
                <w:sz w:val="20"/>
                <w:szCs w:val="20"/>
                <w:color w:val="auto"/>
              </w:rPr>
            </w:pPr>
            <w:r>
              <w:rPr>
                <w:rFonts w:ascii="Arial" w:cs="Arial" w:eastAsia="Arial" w:hAnsi="Arial"/>
                <w:sz w:val="17"/>
                <w:szCs w:val="17"/>
                <w:color w:val="auto"/>
              </w:rPr>
              <w:t>Age 66</w:t>
            </w:r>
          </w:p>
        </w:tc>
        <w:tc>
          <w:tcPr>
            <w:tcW w:w="3720" w:type="dxa"/>
            <w:vAlign w:val="bottom"/>
          </w:tcPr>
          <w:p>
            <w:pPr>
              <w:ind w:left="900"/>
              <w:spacing w:after="0"/>
              <w:rPr>
                <w:sz w:val="20"/>
                <w:szCs w:val="20"/>
                <w:color w:val="auto"/>
              </w:rPr>
            </w:pPr>
            <w:r>
              <w:rPr>
                <w:rFonts w:ascii="Arial" w:cs="Arial" w:eastAsia="Arial" w:hAnsi="Arial"/>
                <w:sz w:val="17"/>
                <w:szCs w:val="17"/>
                <w:color w:val="auto"/>
              </w:rPr>
              <w:t>Age 49</w:t>
            </w:r>
          </w:p>
        </w:tc>
        <w:tc>
          <w:tcPr>
            <w:tcW w:w="3340" w:type="dxa"/>
            <w:vAlign w:val="bottom"/>
          </w:tcPr>
          <w:p>
            <w:pPr>
              <w:ind w:left="1020"/>
              <w:spacing w:after="0"/>
              <w:rPr>
                <w:sz w:val="20"/>
                <w:szCs w:val="20"/>
                <w:color w:val="auto"/>
              </w:rPr>
            </w:pPr>
            <w:r>
              <w:rPr>
                <w:rFonts w:ascii="Arial" w:cs="Arial" w:eastAsia="Arial" w:hAnsi="Arial"/>
                <w:sz w:val="17"/>
                <w:szCs w:val="17"/>
                <w:color w:val="auto"/>
              </w:rPr>
              <w:t>Age 68</w:t>
            </w:r>
          </w:p>
        </w:tc>
      </w:tr>
      <w:tr>
        <w:trPr>
          <w:trHeight w:val="180"/>
        </w:trPr>
        <w:tc>
          <w:tcPr>
            <w:tcW w:w="2880" w:type="dxa"/>
            <w:vAlign w:val="bottom"/>
          </w:tcPr>
          <w:p>
            <w:pPr>
              <w:spacing w:after="0" w:line="180" w:lineRule="exact"/>
              <w:rPr>
                <w:sz w:val="20"/>
                <w:szCs w:val="20"/>
                <w:color w:val="auto"/>
              </w:rPr>
            </w:pPr>
            <w:r>
              <w:rPr>
                <w:rFonts w:ascii="Arial" w:cs="Arial" w:eastAsia="Arial" w:hAnsi="Arial"/>
                <w:sz w:val="17"/>
                <w:szCs w:val="17"/>
                <w:color w:val="auto"/>
              </w:rPr>
              <w:t>Director since 1997</w:t>
            </w:r>
          </w:p>
        </w:tc>
        <w:tc>
          <w:tcPr>
            <w:tcW w:w="3720" w:type="dxa"/>
            <w:vAlign w:val="bottom"/>
          </w:tcPr>
          <w:p>
            <w:pPr>
              <w:ind w:left="900"/>
              <w:spacing w:after="0" w:line="180" w:lineRule="exact"/>
              <w:rPr>
                <w:sz w:val="20"/>
                <w:szCs w:val="20"/>
                <w:color w:val="auto"/>
              </w:rPr>
            </w:pPr>
            <w:r>
              <w:rPr>
                <w:rFonts w:ascii="Arial" w:cs="Arial" w:eastAsia="Arial" w:hAnsi="Arial"/>
                <w:sz w:val="17"/>
                <w:szCs w:val="17"/>
                <w:color w:val="auto"/>
              </w:rPr>
              <w:t>Director since 2011</w:t>
            </w:r>
          </w:p>
        </w:tc>
        <w:tc>
          <w:tcPr>
            <w:tcW w:w="3340" w:type="dxa"/>
            <w:vAlign w:val="bottom"/>
          </w:tcPr>
          <w:p>
            <w:pPr>
              <w:ind w:left="1020"/>
              <w:spacing w:after="0" w:line="180" w:lineRule="exact"/>
              <w:rPr>
                <w:sz w:val="20"/>
                <w:szCs w:val="20"/>
                <w:color w:val="auto"/>
              </w:rPr>
            </w:pPr>
            <w:r>
              <w:rPr>
                <w:rFonts w:ascii="Arial" w:cs="Arial" w:eastAsia="Arial" w:hAnsi="Arial"/>
                <w:sz w:val="17"/>
                <w:szCs w:val="17"/>
                <w:color w:val="auto"/>
              </w:rPr>
              <w:t>Director since 2003</w:t>
            </w:r>
          </w:p>
        </w:tc>
      </w:tr>
      <w:tr>
        <w:trPr>
          <w:trHeight w:val="198"/>
        </w:trPr>
        <w:tc>
          <w:tcPr>
            <w:tcW w:w="2880" w:type="dxa"/>
            <w:vAlign w:val="bottom"/>
          </w:tcPr>
          <w:p>
            <w:pPr>
              <w:spacing w:after="0"/>
              <w:rPr>
                <w:sz w:val="20"/>
                <w:szCs w:val="20"/>
                <w:color w:val="auto"/>
              </w:rPr>
            </w:pPr>
            <w:r>
              <w:rPr>
                <w:rFonts w:ascii="Arial" w:cs="Arial" w:eastAsia="Arial" w:hAnsi="Arial"/>
                <w:sz w:val="17"/>
                <w:szCs w:val="17"/>
                <w:i w:val="1"/>
                <w:iCs w:val="1"/>
                <w:color w:val="auto"/>
              </w:rPr>
              <w:t>Member, Governance and</w:t>
            </w:r>
          </w:p>
        </w:tc>
        <w:tc>
          <w:tcPr>
            <w:tcW w:w="3720" w:type="dxa"/>
            <w:vAlign w:val="bottom"/>
          </w:tcPr>
          <w:p>
            <w:pPr>
              <w:ind w:left="900"/>
              <w:spacing w:after="0"/>
              <w:rPr>
                <w:sz w:val="20"/>
                <w:szCs w:val="20"/>
                <w:color w:val="auto"/>
              </w:rPr>
            </w:pPr>
            <w:r>
              <w:rPr>
                <w:rFonts w:ascii="Arial" w:cs="Arial" w:eastAsia="Arial" w:hAnsi="Arial"/>
                <w:sz w:val="17"/>
                <w:szCs w:val="17"/>
                <w:i w:val="1"/>
                <w:iCs w:val="1"/>
                <w:color w:val="auto"/>
              </w:rPr>
              <w:t>Chair, Compensation</w:t>
            </w:r>
          </w:p>
        </w:tc>
        <w:tc>
          <w:tcPr>
            <w:tcW w:w="3340" w:type="dxa"/>
            <w:vAlign w:val="bottom"/>
          </w:tcPr>
          <w:p>
            <w:pPr>
              <w:ind w:left="1020"/>
              <w:spacing w:after="0"/>
              <w:rPr>
                <w:sz w:val="20"/>
                <w:szCs w:val="20"/>
                <w:color w:val="auto"/>
              </w:rPr>
            </w:pPr>
            <w:r>
              <w:rPr>
                <w:rFonts w:ascii="Arial" w:cs="Arial" w:eastAsia="Arial" w:hAnsi="Arial"/>
                <w:sz w:val="17"/>
                <w:szCs w:val="17"/>
                <w:i w:val="1"/>
                <w:iCs w:val="1"/>
                <w:color w:val="auto"/>
              </w:rPr>
              <w:t>Member, Compensation</w:t>
            </w:r>
          </w:p>
        </w:tc>
      </w:tr>
      <w:tr>
        <w:trPr>
          <w:trHeight w:val="198"/>
        </w:trPr>
        <w:tc>
          <w:tcPr>
            <w:tcW w:w="2880" w:type="dxa"/>
            <w:vAlign w:val="bottom"/>
          </w:tcPr>
          <w:p>
            <w:pPr>
              <w:spacing w:after="0"/>
              <w:rPr>
                <w:sz w:val="20"/>
                <w:szCs w:val="20"/>
                <w:color w:val="auto"/>
              </w:rPr>
            </w:pPr>
            <w:r>
              <w:rPr>
                <w:rFonts w:ascii="Arial" w:cs="Arial" w:eastAsia="Arial" w:hAnsi="Arial"/>
                <w:sz w:val="17"/>
                <w:szCs w:val="17"/>
                <w:i w:val="1"/>
                <w:iCs w:val="1"/>
                <w:color w:val="auto"/>
              </w:rPr>
              <w:t>Stockholder Relations</w:t>
            </w:r>
          </w:p>
        </w:tc>
        <w:tc>
          <w:tcPr>
            <w:tcW w:w="3720" w:type="dxa"/>
            <w:vAlign w:val="bottom"/>
          </w:tcPr>
          <w:p>
            <w:pPr>
              <w:ind w:left="900"/>
              <w:spacing w:after="0"/>
              <w:rPr>
                <w:sz w:val="20"/>
                <w:szCs w:val="20"/>
                <w:color w:val="auto"/>
              </w:rPr>
            </w:pPr>
            <w:r>
              <w:rPr>
                <w:rFonts w:ascii="Arial" w:cs="Arial" w:eastAsia="Arial" w:hAnsi="Arial"/>
                <w:sz w:val="17"/>
                <w:szCs w:val="17"/>
                <w:i w:val="1"/>
                <w:iCs w:val="1"/>
                <w:color w:val="auto"/>
              </w:rPr>
              <w:t>Committee</w:t>
            </w:r>
          </w:p>
        </w:tc>
        <w:tc>
          <w:tcPr>
            <w:tcW w:w="3340" w:type="dxa"/>
            <w:vAlign w:val="bottom"/>
          </w:tcPr>
          <w:p>
            <w:pPr>
              <w:ind w:left="1020"/>
              <w:spacing w:after="0"/>
              <w:rPr>
                <w:sz w:val="20"/>
                <w:szCs w:val="20"/>
                <w:color w:val="auto"/>
              </w:rPr>
            </w:pPr>
            <w:r>
              <w:rPr>
                <w:rFonts w:ascii="Arial" w:cs="Arial" w:eastAsia="Arial" w:hAnsi="Arial"/>
                <w:sz w:val="17"/>
                <w:szCs w:val="17"/>
                <w:i w:val="1"/>
                <w:iCs w:val="1"/>
                <w:color w:val="auto"/>
              </w:rPr>
              <w:t>Committee</w:t>
            </w:r>
          </w:p>
        </w:tc>
      </w:tr>
      <w:tr>
        <w:trPr>
          <w:trHeight w:val="223"/>
        </w:trPr>
        <w:tc>
          <w:tcPr>
            <w:tcW w:w="2880" w:type="dxa"/>
            <w:vAlign w:val="bottom"/>
          </w:tcPr>
          <w:p>
            <w:pPr>
              <w:spacing w:after="0"/>
              <w:rPr>
                <w:sz w:val="20"/>
                <w:szCs w:val="20"/>
                <w:color w:val="auto"/>
              </w:rPr>
            </w:pPr>
            <w:r>
              <w:rPr>
                <w:rFonts w:ascii="Arial" w:cs="Arial" w:eastAsia="Arial" w:hAnsi="Arial"/>
                <w:sz w:val="17"/>
                <w:szCs w:val="17"/>
                <w:i w:val="1"/>
                <w:iCs w:val="1"/>
                <w:color w:val="auto"/>
              </w:rPr>
              <w:t>Committee</w:t>
            </w:r>
          </w:p>
        </w:tc>
        <w:tc>
          <w:tcPr>
            <w:tcW w:w="3720" w:type="dxa"/>
            <w:vAlign w:val="bottom"/>
          </w:tcPr>
          <w:p>
            <w:pPr>
              <w:spacing w:after="0"/>
              <w:rPr>
                <w:sz w:val="19"/>
                <w:szCs w:val="19"/>
                <w:color w:val="auto"/>
              </w:rPr>
            </w:pPr>
          </w:p>
        </w:tc>
        <w:tc>
          <w:tcPr>
            <w:tcW w:w="33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-761365</wp:posOffset>
            </wp:positionV>
            <wp:extent cx="796925" cy="948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96925" cy="94805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-761365</wp:posOffset>
            </wp:positionV>
            <wp:extent cx="788670" cy="9563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88670" cy="956310"/>
                    </a:xfrm>
                    <a:prstGeom prst="rect">
                      <a:avLst/>
                    </a:prstGeom>
                    <a:noFill/>
                  </pic:spPr>
                </pic:pic>
              </a:graphicData>
            </a:graphic>
          </wp:anchor>
        </w:drawing>
        <w:drawing>
          <wp:anchor simplePos="0" relativeHeight="251657728" behindDoc="1" locked="0" layoutInCell="0" allowOverlap="1">
            <wp:simplePos x="0" y="0"/>
            <wp:positionH relativeFrom="column">
              <wp:posOffset>4828540</wp:posOffset>
            </wp:positionH>
            <wp:positionV relativeFrom="paragraph">
              <wp:posOffset>-761365</wp:posOffset>
            </wp:positionV>
            <wp:extent cx="796925" cy="9563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96925" cy="95631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20" w:type="dxa"/>
            <w:vAlign w:val="bottom"/>
          </w:tcPr>
          <w:p>
            <w:pPr>
              <w:ind w:left="1340"/>
              <w:spacing w:after="0"/>
              <w:rPr>
                <w:sz w:val="20"/>
                <w:szCs w:val="20"/>
                <w:color w:val="auto"/>
              </w:rPr>
            </w:pPr>
            <w:r>
              <w:rPr>
                <w:rFonts w:ascii="Arial" w:cs="Arial" w:eastAsia="Arial" w:hAnsi="Arial"/>
                <w:sz w:val="17"/>
                <w:szCs w:val="17"/>
                <w:b w:val="1"/>
                <w:bCs w:val="1"/>
                <w:color w:val="auto"/>
              </w:rPr>
              <w:t>CARRIE S. COX</w:t>
            </w:r>
          </w:p>
        </w:tc>
        <w:tc>
          <w:tcPr>
            <w:tcW w:w="7720" w:type="dxa"/>
            <w:vAlign w:val="bottom"/>
          </w:tcPr>
          <w:p>
            <w:pPr>
              <w:ind w:left="1400"/>
              <w:spacing w:after="0"/>
              <w:rPr>
                <w:sz w:val="20"/>
                <w:szCs w:val="20"/>
                <w:color w:val="auto"/>
              </w:rPr>
            </w:pPr>
            <w:r>
              <w:rPr>
                <w:rFonts w:ascii="Arial" w:cs="Arial" w:eastAsia="Arial" w:hAnsi="Arial"/>
                <w:sz w:val="17"/>
                <w:szCs w:val="17"/>
                <w:b w:val="1"/>
                <w:bCs w:val="1"/>
                <w:color w:val="auto"/>
              </w:rPr>
              <w:t>WAYNE R. SANDERS</w:t>
            </w:r>
          </w:p>
        </w:tc>
      </w:tr>
      <w:tr>
        <w:trPr>
          <w:trHeight w:val="198"/>
        </w:trPr>
        <w:tc>
          <w:tcPr>
            <w:tcW w:w="3720" w:type="dxa"/>
            <w:vAlign w:val="bottom"/>
          </w:tcPr>
          <w:p>
            <w:pPr>
              <w:ind w:left="1340"/>
              <w:spacing w:after="0"/>
              <w:rPr>
                <w:sz w:val="20"/>
                <w:szCs w:val="20"/>
                <w:color w:val="auto"/>
              </w:rPr>
            </w:pPr>
            <w:r>
              <w:rPr>
                <w:rFonts w:ascii="Arial" w:cs="Arial" w:eastAsia="Arial" w:hAnsi="Arial"/>
                <w:sz w:val="17"/>
                <w:szCs w:val="17"/>
                <w:color w:val="auto"/>
              </w:rPr>
              <w:t>Age 57</w:t>
            </w:r>
          </w:p>
        </w:tc>
        <w:tc>
          <w:tcPr>
            <w:tcW w:w="7720" w:type="dxa"/>
            <w:vAlign w:val="bottom"/>
          </w:tcPr>
          <w:p>
            <w:pPr>
              <w:ind w:left="1400"/>
              <w:spacing w:after="0"/>
              <w:rPr>
                <w:sz w:val="20"/>
                <w:szCs w:val="20"/>
                <w:color w:val="auto"/>
              </w:rPr>
            </w:pPr>
            <w:r>
              <w:rPr>
                <w:rFonts w:ascii="Arial" w:cs="Arial" w:eastAsia="Arial" w:hAnsi="Arial"/>
                <w:sz w:val="17"/>
                <w:szCs w:val="17"/>
                <w:color w:val="auto"/>
              </w:rPr>
              <w:t>Age 67</w:t>
            </w:r>
          </w:p>
        </w:tc>
      </w:tr>
      <w:tr>
        <w:trPr>
          <w:trHeight w:val="180"/>
        </w:trPr>
        <w:tc>
          <w:tcPr>
            <w:tcW w:w="3720" w:type="dxa"/>
            <w:vAlign w:val="bottom"/>
          </w:tcPr>
          <w:p>
            <w:pPr>
              <w:ind w:left="1340"/>
              <w:spacing w:after="0" w:line="180" w:lineRule="exact"/>
              <w:rPr>
                <w:sz w:val="20"/>
                <w:szCs w:val="20"/>
                <w:color w:val="auto"/>
              </w:rPr>
            </w:pPr>
            <w:r>
              <w:rPr>
                <w:rFonts w:ascii="Arial" w:cs="Arial" w:eastAsia="Arial" w:hAnsi="Arial"/>
                <w:sz w:val="17"/>
                <w:szCs w:val="17"/>
                <w:color w:val="auto"/>
              </w:rPr>
              <w:t>Director since 2004</w:t>
            </w:r>
          </w:p>
        </w:tc>
        <w:tc>
          <w:tcPr>
            <w:tcW w:w="7720" w:type="dxa"/>
            <w:vAlign w:val="bottom"/>
          </w:tcPr>
          <w:p>
            <w:pPr>
              <w:ind w:left="1400"/>
              <w:spacing w:after="0" w:line="180" w:lineRule="exact"/>
              <w:rPr>
                <w:sz w:val="20"/>
                <w:szCs w:val="20"/>
                <w:color w:val="auto"/>
              </w:rPr>
            </w:pPr>
            <w:r>
              <w:rPr>
                <w:rFonts w:ascii="Arial" w:cs="Arial" w:eastAsia="Arial" w:hAnsi="Arial"/>
                <w:sz w:val="17"/>
                <w:szCs w:val="17"/>
                <w:color w:val="auto"/>
              </w:rPr>
              <w:t>Director since 1997</w:t>
            </w:r>
          </w:p>
        </w:tc>
      </w:tr>
      <w:tr>
        <w:trPr>
          <w:trHeight w:val="198"/>
        </w:trPr>
        <w:tc>
          <w:tcPr>
            <w:tcW w:w="3720" w:type="dxa"/>
            <w:vAlign w:val="bottom"/>
          </w:tcPr>
          <w:p>
            <w:pPr>
              <w:ind w:left="1340"/>
              <w:spacing w:after="0"/>
              <w:rPr>
                <w:sz w:val="20"/>
                <w:szCs w:val="20"/>
                <w:color w:val="auto"/>
              </w:rPr>
            </w:pPr>
            <w:r>
              <w:rPr>
                <w:rFonts w:ascii="Arial" w:cs="Arial" w:eastAsia="Arial" w:hAnsi="Arial"/>
                <w:sz w:val="17"/>
                <w:szCs w:val="17"/>
                <w:i w:val="1"/>
                <w:iCs w:val="1"/>
                <w:color w:val="auto"/>
              </w:rPr>
              <w:t>Member, Governance and</w:t>
            </w:r>
          </w:p>
        </w:tc>
        <w:tc>
          <w:tcPr>
            <w:tcW w:w="7720" w:type="dxa"/>
            <w:vAlign w:val="bottom"/>
          </w:tcPr>
          <w:p>
            <w:pPr>
              <w:ind w:left="1400"/>
              <w:spacing w:after="0"/>
              <w:rPr>
                <w:sz w:val="20"/>
                <w:szCs w:val="20"/>
                <w:color w:val="auto"/>
              </w:rPr>
            </w:pPr>
            <w:r>
              <w:rPr>
                <w:rFonts w:ascii="Arial" w:cs="Arial" w:eastAsia="Arial" w:hAnsi="Arial"/>
                <w:sz w:val="17"/>
                <w:szCs w:val="17"/>
                <w:i w:val="1"/>
                <w:iCs w:val="1"/>
                <w:color w:val="auto"/>
              </w:rPr>
              <w:t>Lead Director; Chair,</w:t>
            </w:r>
          </w:p>
        </w:tc>
      </w:tr>
      <w:tr>
        <w:trPr>
          <w:trHeight w:val="198"/>
        </w:trPr>
        <w:tc>
          <w:tcPr>
            <w:tcW w:w="3720" w:type="dxa"/>
            <w:vAlign w:val="bottom"/>
          </w:tcPr>
          <w:p>
            <w:pPr>
              <w:ind w:left="1340"/>
              <w:spacing w:after="0"/>
              <w:rPr>
                <w:sz w:val="20"/>
                <w:szCs w:val="20"/>
                <w:color w:val="auto"/>
              </w:rPr>
            </w:pPr>
            <w:r>
              <w:rPr>
                <w:rFonts w:ascii="Arial" w:cs="Arial" w:eastAsia="Arial" w:hAnsi="Arial"/>
                <w:sz w:val="17"/>
                <w:szCs w:val="17"/>
                <w:i w:val="1"/>
                <w:iCs w:val="1"/>
                <w:color w:val="auto"/>
              </w:rPr>
              <w:t>Stockholder Relations</w:t>
            </w:r>
          </w:p>
        </w:tc>
        <w:tc>
          <w:tcPr>
            <w:tcW w:w="7720" w:type="dxa"/>
            <w:vAlign w:val="bottom"/>
          </w:tcPr>
          <w:p>
            <w:pPr>
              <w:ind w:left="1400"/>
              <w:spacing w:after="0"/>
              <w:rPr>
                <w:sz w:val="20"/>
                <w:szCs w:val="20"/>
                <w:color w:val="auto"/>
              </w:rPr>
            </w:pPr>
            <w:r>
              <w:rPr>
                <w:rFonts w:ascii="Arial" w:cs="Arial" w:eastAsia="Arial" w:hAnsi="Arial"/>
                <w:sz w:val="17"/>
                <w:szCs w:val="17"/>
                <w:i w:val="1"/>
                <w:iCs w:val="1"/>
                <w:color w:val="auto"/>
              </w:rPr>
              <w:t>Governance and Stockholder</w:t>
            </w:r>
          </w:p>
        </w:tc>
      </w:tr>
      <w:tr>
        <w:trPr>
          <w:trHeight w:val="223"/>
        </w:trPr>
        <w:tc>
          <w:tcPr>
            <w:tcW w:w="3720" w:type="dxa"/>
            <w:vAlign w:val="bottom"/>
          </w:tcPr>
          <w:p>
            <w:pPr>
              <w:ind w:left="1340"/>
              <w:spacing w:after="0"/>
              <w:rPr>
                <w:sz w:val="20"/>
                <w:szCs w:val="20"/>
                <w:color w:val="auto"/>
              </w:rPr>
            </w:pPr>
            <w:r>
              <w:rPr>
                <w:rFonts w:ascii="Arial" w:cs="Arial" w:eastAsia="Arial" w:hAnsi="Arial"/>
                <w:sz w:val="17"/>
                <w:szCs w:val="17"/>
                <w:i w:val="1"/>
                <w:iCs w:val="1"/>
                <w:color w:val="auto"/>
              </w:rPr>
              <w:t>Committee</w:t>
            </w:r>
          </w:p>
        </w:tc>
        <w:tc>
          <w:tcPr>
            <w:tcW w:w="7720" w:type="dxa"/>
            <w:vAlign w:val="bottom"/>
          </w:tcPr>
          <w:p>
            <w:pPr>
              <w:ind w:left="1400"/>
              <w:spacing w:after="0"/>
              <w:rPr>
                <w:sz w:val="20"/>
                <w:szCs w:val="20"/>
                <w:color w:val="auto"/>
              </w:rPr>
            </w:pPr>
            <w:r>
              <w:rPr>
                <w:rFonts w:ascii="Arial" w:cs="Arial" w:eastAsia="Arial" w:hAnsi="Arial"/>
                <w:sz w:val="17"/>
                <w:szCs w:val="17"/>
                <w:i w:val="1"/>
                <w:iCs w:val="1"/>
                <w:color w:val="auto"/>
              </w:rPr>
              <w:t>Relations Committee</w:t>
            </w:r>
          </w:p>
        </w:tc>
      </w:tr>
      <w:tr>
        <w:trPr>
          <w:trHeight w:val="702"/>
        </w:trPr>
        <w:tc>
          <w:tcPr>
            <w:tcW w:w="3720" w:type="dxa"/>
            <w:vAlign w:val="bottom"/>
          </w:tcPr>
          <w:p>
            <w:pPr>
              <w:spacing w:after="0"/>
              <w:rPr>
                <w:sz w:val="20"/>
                <w:szCs w:val="20"/>
                <w:color w:val="auto"/>
              </w:rPr>
            </w:pPr>
            <w:r>
              <w:rPr>
                <w:rFonts w:ascii="Arial" w:cs="Arial" w:eastAsia="Arial" w:hAnsi="Arial"/>
                <w:sz w:val="13"/>
                <w:szCs w:val="13"/>
                <w:color w:val="838383"/>
              </w:rPr>
              <w:t>74</w:t>
            </w:r>
          </w:p>
        </w:tc>
        <w:tc>
          <w:tcPr>
            <w:tcW w:w="7720" w:type="dxa"/>
            <w:vAlign w:val="bottom"/>
          </w:tcPr>
          <w:p>
            <w:pPr>
              <w:ind w:left="400"/>
              <w:spacing w:after="0"/>
              <w:rPr>
                <w:sz w:val="20"/>
                <w:szCs w:val="20"/>
                <w:color w:val="auto"/>
              </w:rPr>
            </w:pPr>
            <w:r>
              <w:rPr>
                <w:rFonts w:ascii="Arial" w:cs="Arial" w:eastAsia="Arial" w:hAnsi="Arial"/>
                <w:sz w:val="13"/>
                <w:szCs w:val="13"/>
                <w:color w:val="838383"/>
              </w:rPr>
              <w:t>TEXAS INSTRUMENTS ● 2015 PROXY STATEMENT</w:t>
            </w:r>
          </w:p>
        </w:tc>
      </w:tr>
      <w:tr>
        <w:trPr>
          <w:trHeight w:val="355"/>
        </w:trPr>
        <w:tc>
          <w:tcPr>
            <w:tcW w:w="3720" w:type="dxa"/>
            <w:vAlign w:val="bottom"/>
            <w:tcBorders>
              <w:bottom w:val="single" w:sz="8" w:color="808080"/>
            </w:tcBorders>
          </w:tcPr>
          <w:p>
            <w:pPr>
              <w:spacing w:after="0"/>
              <w:rPr>
                <w:sz w:val="24"/>
                <w:szCs w:val="24"/>
                <w:color w:val="auto"/>
              </w:rPr>
            </w:pPr>
          </w:p>
        </w:tc>
        <w:tc>
          <w:tcPr>
            <w:tcW w:w="7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-1444625</wp:posOffset>
            </wp:positionV>
            <wp:extent cx="796925" cy="9480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96925" cy="94805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-1444625</wp:posOffset>
            </wp:positionV>
            <wp:extent cx="796925" cy="9480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96925" cy="948055"/>
                    </a:xfrm>
                    <a:prstGeom prst="rect">
                      <a:avLst/>
                    </a:prstGeom>
                    <a:noFill/>
                  </pic:spPr>
                </pic:pic>
              </a:graphicData>
            </a:graphic>
          </wp:anchor>
        </w:drawing>
      </w:r>
    </w:p>
    <w:p>
      <w:pPr>
        <w:sectPr>
          <w:pgSz w:w="11900" w:h="16838" w:orient="portrait"/>
          <w:cols w:equalWidth="0" w:num="1">
            <w:col w:w="11440"/>
          </w:cols>
          <w:pgMar w:left="240" w:top="572" w:right="21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Director nomination process</w:t>
      </w:r>
    </w:p>
    <w:p>
      <w:pPr>
        <w:spacing w:after="0" w:line="234"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The board is responsible for approving nominees for election as directors. To assist in this task, the board has designated a standing committee, the Governance and Stockholder Relations Committee (the G&amp;SR Committee), which is responsible for reviewing and recommending nominees to the board. The G&amp;SR Committee is comprised solely of independent directors as defined by the rules of The NASDAQ Stock Market (NASDAQ) and the board’s corporate governance guidelines. Our board of directors has adopted a written charter for the G&amp;SR Committee. It can be found on our website at www.ti.com/corporategovernance.</w:t>
      </w:r>
    </w:p>
    <w:p>
      <w:pPr>
        <w:spacing w:after="0" w:line="201" w:lineRule="exact"/>
        <w:rPr>
          <w:sz w:val="20"/>
          <w:szCs w:val="20"/>
          <w:color w:val="auto"/>
        </w:rPr>
      </w:pPr>
    </w:p>
    <w:p>
      <w:pPr>
        <w:ind w:right="460"/>
        <w:spacing w:after="0" w:line="247" w:lineRule="auto"/>
        <w:rPr>
          <w:sz w:val="20"/>
          <w:szCs w:val="20"/>
          <w:color w:val="auto"/>
        </w:rPr>
      </w:pPr>
      <w:r>
        <w:rPr>
          <w:rFonts w:ascii="Arial" w:cs="Arial" w:eastAsia="Arial" w:hAnsi="Arial"/>
          <w:sz w:val="17"/>
          <w:szCs w:val="17"/>
          <w:color w:val="auto"/>
        </w:rPr>
        <w:t>It is a long-standing policy of the board to consider prospective board nominees recommended by stockholders. A stockholder who wishes to recommend a prospective board nominee for the G&amp;SR Committee’s consideration can write to the Secretary of the G&amp;SR Committee, Texas Instruments Incorporated, P.O. Box 655936, MS 8658, Dallas, TX 75265-5936. The G&amp;SR Committee will evaluate the stockholder’s prospective board nominee in the same manner as it evaluates other nominees.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In evaluating prospective nominees, the G&amp;SR Committee looks for the following minimum qualifications, qualities and skills:</w:t>
      </w:r>
    </w:p>
    <w:p>
      <w:pPr>
        <w:spacing w:after="0" w:line="214" w:lineRule="exact"/>
        <w:rPr>
          <w:sz w:val="20"/>
          <w:szCs w:val="20"/>
          <w:color w:val="auto"/>
        </w:rPr>
      </w:pPr>
    </w:p>
    <w:p>
      <w:pPr>
        <w:ind w:left="520" w:hanging="241"/>
        <w:spacing w:after="0"/>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Outstanding achievement in the individual’s personal career.</w:t>
      </w:r>
    </w:p>
    <w:p>
      <w:pPr>
        <w:spacing w:after="0" w:line="15" w:lineRule="exact"/>
        <w:rPr>
          <w:rFonts w:ascii="Arial" w:cs="Arial" w:eastAsia="Arial" w:hAnsi="Arial"/>
          <w:sz w:val="17"/>
          <w:szCs w:val="17"/>
          <w:color w:val="auto"/>
        </w:rPr>
      </w:pPr>
    </w:p>
    <w:p>
      <w:pPr>
        <w:ind w:left="520" w:hanging="241"/>
        <w:spacing w:after="0"/>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Breadth of experience.</w:t>
      </w:r>
    </w:p>
    <w:p>
      <w:pPr>
        <w:spacing w:after="0" w:line="15" w:lineRule="exact"/>
        <w:rPr>
          <w:rFonts w:ascii="Arial" w:cs="Arial" w:eastAsia="Arial" w:hAnsi="Arial"/>
          <w:sz w:val="17"/>
          <w:szCs w:val="17"/>
          <w:color w:val="auto"/>
        </w:rPr>
      </w:pPr>
    </w:p>
    <w:p>
      <w:pPr>
        <w:ind w:left="520" w:hanging="241"/>
        <w:spacing w:after="0"/>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Soundness of judgment.</w:t>
      </w:r>
    </w:p>
    <w:p>
      <w:pPr>
        <w:spacing w:after="0" w:line="15" w:lineRule="exact"/>
        <w:rPr>
          <w:rFonts w:ascii="Arial" w:cs="Arial" w:eastAsia="Arial" w:hAnsi="Arial"/>
          <w:sz w:val="17"/>
          <w:szCs w:val="17"/>
          <w:color w:val="auto"/>
        </w:rPr>
      </w:pPr>
    </w:p>
    <w:p>
      <w:pPr>
        <w:ind w:left="520" w:hanging="241"/>
        <w:spacing w:after="0"/>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Ability to make independent, analytical inquiries.</w:t>
      </w:r>
    </w:p>
    <w:p>
      <w:pPr>
        <w:spacing w:after="0" w:line="15" w:lineRule="exact"/>
        <w:rPr>
          <w:rFonts w:ascii="Arial" w:cs="Arial" w:eastAsia="Arial" w:hAnsi="Arial"/>
          <w:sz w:val="17"/>
          <w:szCs w:val="17"/>
          <w:color w:val="auto"/>
        </w:rPr>
      </w:pPr>
    </w:p>
    <w:p>
      <w:pPr>
        <w:ind w:left="520" w:hanging="241"/>
        <w:spacing w:after="0"/>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Ability to contribute to a diversity of viewpoints among board members.</w:t>
      </w:r>
    </w:p>
    <w:p>
      <w:pPr>
        <w:spacing w:after="0" w:line="15" w:lineRule="exact"/>
        <w:rPr>
          <w:rFonts w:ascii="Arial" w:cs="Arial" w:eastAsia="Arial" w:hAnsi="Arial"/>
          <w:sz w:val="17"/>
          <w:szCs w:val="17"/>
          <w:color w:val="auto"/>
        </w:rPr>
      </w:pPr>
    </w:p>
    <w:p>
      <w:pPr>
        <w:ind w:left="540" w:right="120" w:hanging="261"/>
        <w:spacing w:after="0" w:line="248" w:lineRule="auto"/>
        <w:tabs>
          <w:tab w:leader="none" w:pos="518" w:val="left"/>
        </w:tabs>
        <w:numPr>
          <w:ilvl w:val="0"/>
          <w:numId w:val="6"/>
        </w:numPr>
        <w:rPr>
          <w:rFonts w:ascii="Arial" w:cs="Arial" w:eastAsia="Arial" w:hAnsi="Arial"/>
          <w:sz w:val="17"/>
          <w:szCs w:val="17"/>
          <w:color w:val="auto"/>
        </w:rPr>
      </w:pPr>
      <w:r>
        <w:rPr>
          <w:rFonts w:ascii="Arial" w:cs="Arial" w:eastAsia="Arial" w:hAnsi="Arial"/>
          <w:sz w:val="17"/>
          <w:szCs w:val="17"/>
          <w:color w:val="auto"/>
        </w:rPr>
        <w:t>Willingness and ability to devote the time required to perform board activities adequately (in this regard, the G&amp;SR Committee will consider the number of other boards on which the individual serves as a director, and in particular the board’s policy that directors should not serve on the boards of more than three other public companies).</w:t>
      </w:r>
    </w:p>
    <w:p>
      <w:pPr>
        <w:spacing w:after="0" w:line="1" w:lineRule="exact"/>
        <w:rPr>
          <w:rFonts w:ascii="Arial" w:cs="Arial" w:eastAsia="Arial" w:hAnsi="Arial"/>
          <w:sz w:val="17"/>
          <w:szCs w:val="17"/>
          <w:color w:val="auto"/>
        </w:rPr>
      </w:pPr>
    </w:p>
    <w:p>
      <w:pPr>
        <w:ind w:left="540" w:right="100" w:hanging="261"/>
        <w:spacing w:after="0" w:line="271" w:lineRule="auto"/>
        <w:tabs>
          <w:tab w:leader="none" w:pos="518" w:val="left"/>
        </w:tabs>
        <w:numPr>
          <w:ilvl w:val="0"/>
          <w:numId w:val="6"/>
        </w:numPr>
        <w:rPr>
          <w:rFonts w:ascii="Arial" w:cs="Arial" w:eastAsia="Arial" w:hAnsi="Arial"/>
          <w:sz w:val="17"/>
          <w:szCs w:val="17"/>
          <w:color w:val="auto"/>
        </w:rPr>
      </w:pPr>
      <w:r>
        <w:rPr>
          <w:rFonts w:ascii="Arial" w:cs="Arial" w:eastAsia="Arial" w:hAnsi="Arial"/>
          <w:sz w:val="17"/>
          <w:szCs w:val="17"/>
          <w:color w:val="auto"/>
        </w:rPr>
        <w:t>Ability to represent the total corporate interests of TI (a director will not be selected to, nor will he or she be expected to, represent the interests of any particular group).</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Stockholders, non-employee directors, management and others may submit recommendations to the G&amp;SR Committee.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All nominees for directorship are directors of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board believes its current size is within the desired range as stated in the board’s corporate governance guidelines.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diversity and nominee qualifications</w:t>
      </w:r>
    </w:p>
    <w:p>
      <w:pPr>
        <w:spacing w:after="0" w:line="23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As indicated by the criteria above, the board prefers a mix of background and experience among its members. The board does not follow any ratio or formula to determine the appropriate mix. Rather, it uses its judgment to identify nominees whose backgrounds, attributes and experiences, taken as a whole, will contribute to the high standards of board service at the company. The effectiveness of this approach is evidenced by the directors’ participation in the insightful and robust yet respectful deliberation that occurs at board and committee meetings and in shaping the agendas for those meetings.</w:t>
      </w:r>
    </w:p>
    <w:p>
      <w:pPr>
        <w:spacing w:after="0" w:line="20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As it considered director nominees for the 2015 annual meeting, the board kept in mind that the most important issues it considers typically relate to the company’s strategic direction; succession planning for senior executive positions; the company’s financial performance; the challenges of running a large, complex enterprise, including the management of its risks; major acquisitions and divestitures; and significant research and development (R&amp;D) and capital investment decisions. These issues arise in the context of the company’s operations, which primarily involve the manufacture and sale of semiconductors all over the world into industrial, automotive, personal electronics, communications equipment and enterprise systems markets.</w:t>
      </w:r>
    </w:p>
    <w:p>
      <w:pPr>
        <w:spacing w:after="0" w:line="399"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As described below, each of our director nominees has achieved an extremely high level of success in his or her career, whether at multi-billion dollar multinational corporate enterprises, major U.S. universities or significant governmental organizations. In these positions, each has been directly involved in the challenges relating to setting the strategic direction and managing the financial performance, personnel and processes of large, complex organizations. Each has had exposure to effective leaders and has developed the ability to judge leadership qualities. Ten of them have experience in serving on the board of directors of at least one other major corporation, and two have served in high political office, all of which provides additional relevant experience on which each nominee can draw.</w:t>
      </w:r>
    </w:p>
    <w:p>
      <w:pPr>
        <w:spacing w:after="0" w:line="203"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In concluding that each nominee should serve as a director, the board relied on the specific experiences and attributes listed below and on the direct personal knowledge, born of previous service on the board, that each of the nominees brings insight and the willingness to ask difficult questions to board deliberations.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300" w:type="dxa"/>
            <w:vAlign w:val="bottom"/>
          </w:tcPr>
          <w:p>
            <w:pPr>
              <w:ind w:left="4120"/>
              <w:spacing w:after="0"/>
              <w:rPr>
                <w:sz w:val="20"/>
                <w:szCs w:val="20"/>
                <w:color w:val="auto"/>
              </w:rPr>
            </w:pPr>
            <w:r>
              <w:rPr>
                <w:rFonts w:ascii="Arial" w:cs="Arial" w:eastAsia="Arial" w:hAnsi="Arial"/>
                <w:sz w:val="13"/>
                <w:szCs w:val="13"/>
                <w:color w:val="838383"/>
              </w:rPr>
              <w:t>TEXAS INSTRUMENTS ● 2015 PROXY STATEMENT</w:t>
            </w:r>
          </w:p>
        </w:tc>
        <w:tc>
          <w:tcPr>
            <w:tcW w:w="2140" w:type="dxa"/>
            <w:vAlign w:val="bottom"/>
          </w:tcPr>
          <w:p>
            <w:pPr>
              <w:jc w:val="right"/>
              <w:spacing w:after="0"/>
              <w:rPr>
                <w:sz w:val="20"/>
                <w:szCs w:val="20"/>
                <w:color w:val="auto"/>
              </w:rPr>
            </w:pPr>
            <w:r>
              <w:rPr>
                <w:rFonts w:ascii="Arial" w:cs="Arial" w:eastAsia="Arial" w:hAnsi="Arial"/>
                <w:sz w:val="13"/>
                <w:szCs w:val="13"/>
                <w:color w:val="838383"/>
              </w:rPr>
              <w:t>75</w:t>
            </w:r>
          </w:p>
        </w:tc>
      </w:tr>
      <w:tr>
        <w:trPr>
          <w:trHeight w:val="355"/>
        </w:trPr>
        <w:tc>
          <w:tcPr>
            <w:tcW w:w="930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72" w:right="21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auto"/>
        </w:rPr>
        <w:t>Mr. Babb</w:t>
      </w:r>
    </w:p>
    <w:p>
      <w:pPr>
        <w:spacing w:after="0" w:line="214" w:lineRule="exact"/>
        <w:rPr>
          <w:sz w:val="20"/>
          <w:szCs w:val="20"/>
          <w:color w:val="auto"/>
        </w:rPr>
      </w:pPr>
    </w:p>
    <w:p>
      <w:pPr>
        <w:ind w:left="540" w:right="240" w:hanging="261"/>
        <w:spacing w:after="0" w:line="251" w:lineRule="auto"/>
        <w:tabs>
          <w:tab w:leader="none" w:pos="518" w:val="left"/>
        </w:tabs>
        <w:numPr>
          <w:ilvl w:val="0"/>
          <w:numId w:val="7"/>
        </w:numPr>
        <w:rPr>
          <w:rFonts w:ascii="Arial" w:cs="Arial" w:eastAsia="Arial" w:hAnsi="Arial"/>
          <w:sz w:val="17"/>
          <w:szCs w:val="17"/>
          <w:color w:val="auto"/>
        </w:rPr>
      </w:pPr>
      <w:r>
        <w:rPr>
          <w:rFonts w:ascii="Arial" w:cs="Arial" w:eastAsia="Arial" w:hAnsi="Arial"/>
          <w:sz w:val="17"/>
          <w:szCs w:val="17"/>
          <w:color w:val="auto"/>
        </w:rPr>
        <w:t>As chairman and CEO of Comerica Incorporated and Comerica Bank (2002-present) and through a long career in banking, has gained first-hand experience in managing large, complex institutions, as well as insight into financial markets.</w:t>
      </w:r>
    </w:p>
    <w:p>
      <w:pPr>
        <w:ind w:left="540" w:right="80" w:hanging="261"/>
        <w:spacing w:after="0" w:line="252" w:lineRule="auto"/>
        <w:tabs>
          <w:tab w:leader="none" w:pos="518" w:val="left"/>
        </w:tabs>
        <w:numPr>
          <w:ilvl w:val="0"/>
          <w:numId w:val="7"/>
        </w:numPr>
        <w:rPr>
          <w:rFonts w:ascii="Arial" w:cs="Arial" w:eastAsia="Arial" w:hAnsi="Arial"/>
          <w:sz w:val="17"/>
          <w:szCs w:val="17"/>
          <w:color w:val="auto"/>
        </w:rPr>
      </w:pPr>
      <w:r>
        <w:rPr>
          <w:rFonts w:ascii="Arial" w:cs="Arial" w:eastAsia="Arial" w:hAnsi="Arial"/>
          <w:sz w:val="17"/>
          <w:szCs w:val="17"/>
          <w:color w:val="auto"/>
        </w:rPr>
        <w:t>As Audit Committee chair at the company (April 19, 2013-present), chief financial officer of Comerica Incorporated and Comerica Bank (1995-2002), controller and later chief financial officer of Mercantile Bancorporation (1978-1995), and auditor and later audit manager at the accounting firm of Peat Marwick Mitchell &amp; Co. (1971-1978), has gained extensive audit knowledge and experience in audit- and financial control-related matters.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Mr. Blinn</w:t>
      </w:r>
    </w:p>
    <w:p>
      <w:pPr>
        <w:spacing w:after="0" w:line="214" w:lineRule="exact"/>
        <w:rPr>
          <w:sz w:val="20"/>
          <w:szCs w:val="20"/>
          <w:color w:val="auto"/>
        </w:rPr>
      </w:pPr>
    </w:p>
    <w:p>
      <w:pPr>
        <w:ind w:left="540" w:right="300" w:hanging="261"/>
        <w:spacing w:after="0" w:line="248" w:lineRule="auto"/>
        <w:tabs>
          <w:tab w:leader="none" w:pos="518"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CEO and a director of Flowserve Corporation (2009-present), has gained first-hand experience in managing a large, multinational corporation operating in global industrial markets, with ultimate management responsibility for the organization’s financial performance and significant capital and R&amp;D investments.</w:t>
      </w:r>
    </w:p>
    <w:p>
      <w:pPr>
        <w:spacing w:after="0" w:line="1" w:lineRule="exact"/>
        <w:rPr>
          <w:rFonts w:ascii="Arial" w:cs="Arial" w:eastAsia="Arial" w:hAnsi="Arial"/>
          <w:sz w:val="17"/>
          <w:szCs w:val="17"/>
          <w:color w:val="auto"/>
        </w:rPr>
      </w:pPr>
    </w:p>
    <w:p>
      <w:pPr>
        <w:ind w:left="540" w:hanging="261"/>
        <w:spacing w:after="0" w:line="257" w:lineRule="auto"/>
        <w:tabs>
          <w:tab w:leader="none" w:pos="518"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chief financial officer of Flowserve Corporation (2004-2009), chief financial officer of FedEx Kinko’s Office and Print Services Inc. (2003-2004) and vice president and controller of Centex Corporation (2000-2002), has developed a keen appreciation for audit- and financial control-related matters.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Mr. Carp</w:t>
      </w:r>
    </w:p>
    <w:p>
      <w:pPr>
        <w:spacing w:after="0" w:line="214" w:lineRule="exact"/>
        <w:rPr>
          <w:sz w:val="20"/>
          <w:szCs w:val="20"/>
          <w:color w:val="auto"/>
        </w:rPr>
      </w:pPr>
    </w:p>
    <w:p>
      <w:pPr>
        <w:ind w:left="540" w:right="160" w:hanging="261"/>
        <w:spacing w:after="0" w:line="248" w:lineRule="auto"/>
        <w:tabs>
          <w:tab w:leader="none" w:pos="518" w:val="left"/>
        </w:tabs>
        <w:numPr>
          <w:ilvl w:val="0"/>
          <w:numId w:val="9"/>
        </w:numPr>
        <w:rPr>
          <w:rFonts w:ascii="Arial" w:cs="Arial" w:eastAsia="Arial" w:hAnsi="Arial"/>
          <w:sz w:val="17"/>
          <w:szCs w:val="17"/>
          <w:color w:val="auto"/>
        </w:rPr>
      </w:pPr>
      <w:r>
        <w:rPr>
          <w:rFonts w:ascii="Arial" w:cs="Arial" w:eastAsia="Arial" w:hAnsi="Arial"/>
          <w:sz w:val="17"/>
          <w:szCs w:val="17"/>
          <w:color w:val="auto"/>
        </w:rPr>
        <w:t>As chairman and CEO (2000-2005) and president (1997-2001, 2002-2003) of Eastman Kodak Company, has gained first-hand experience in managing a large, multinational corporation focused on worldwide electronics markets, with ultimate management responsibility for the corporation’s financial performance and its significant investments in capital and R&amp;D.</w:t>
      </w:r>
    </w:p>
    <w:p>
      <w:pPr>
        <w:spacing w:after="0" w:line="1" w:lineRule="exact"/>
        <w:rPr>
          <w:rFonts w:ascii="Arial" w:cs="Arial" w:eastAsia="Arial" w:hAnsi="Arial"/>
          <w:sz w:val="17"/>
          <w:szCs w:val="17"/>
          <w:color w:val="auto"/>
        </w:rPr>
      </w:pPr>
    </w:p>
    <w:p>
      <w:pPr>
        <w:ind w:left="540" w:right="180" w:hanging="261"/>
        <w:spacing w:after="0" w:line="257" w:lineRule="auto"/>
        <w:tabs>
          <w:tab w:leader="none" w:pos="518" w:val="left"/>
        </w:tabs>
        <w:numPr>
          <w:ilvl w:val="0"/>
          <w:numId w:val="9"/>
        </w:numPr>
        <w:rPr>
          <w:rFonts w:ascii="Arial" w:cs="Arial" w:eastAsia="Arial" w:hAnsi="Arial"/>
          <w:sz w:val="17"/>
          <w:szCs w:val="17"/>
          <w:color w:val="auto"/>
        </w:rPr>
      </w:pPr>
      <w:r>
        <w:rPr>
          <w:rFonts w:ascii="Arial" w:cs="Arial" w:eastAsia="Arial" w:hAnsi="Arial"/>
          <w:sz w:val="17"/>
          <w:szCs w:val="17"/>
          <w:color w:val="auto"/>
        </w:rPr>
        <w:t>As chairman of the board of directors of Delta Air Lines, Inc. (2007-present), a director of Norfolk Southern Corporation (2006-present) and a director of Liz Claiborne, Inc. (2006-2009), has helped oversee the strategy and operations of major multinational corporations in various industries, including some that are capital-intensive.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Ms. Cox</w:t>
      </w:r>
    </w:p>
    <w:p>
      <w:pPr>
        <w:spacing w:after="0" w:line="214" w:lineRule="exact"/>
        <w:rPr>
          <w:sz w:val="20"/>
          <w:szCs w:val="20"/>
          <w:color w:val="auto"/>
        </w:rPr>
      </w:pPr>
    </w:p>
    <w:p>
      <w:pPr>
        <w:ind w:left="540" w:right="160" w:hanging="261"/>
        <w:spacing w:after="0" w:line="250" w:lineRule="auto"/>
        <w:tabs>
          <w:tab w:leader="none" w:pos="518"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 chairman (2013-present), CEO and a director (2010-present) of Humacyte, Inc., executive vice president and president of Global Pharmaceuticals at Schering-Plough Corporation (2003-2009) and executive vice president and president of Global Prescription Business at Pharmacia Corporation (1997-2003), has gained first-hand experience in managing large, multinational organizations focused on medical-related markets, with responsibility for those organizations’ financial performance and significant capital and R&amp;D investments. Is also a director of Cardinal Health, Inc. (2009-present) and Celgene Corporation (2009-present).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Mr. Kirk</w:t>
      </w:r>
    </w:p>
    <w:p>
      <w:pPr>
        <w:spacing w:after="0" w:line="214" w:lineRule="exact"/>
        <w:rPr>
          <w:sz w:val="20"/>
          <w:szCs w:val="20"/>
          <w:color w:val="auto"/>
        </w:rPr>
      </w:pPr>
    </w:p>
    <w:p>
      <w:pPr>
        <w:ind w:left="540" w:right="300" w:hanging="261"/>
        <w:spacing w:after="0" w:line="248" w:lineRule="auto"/>
        <w:tabs>
          <w:tab w:leader="none" w:pos="518"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U.S. Trade Representative (2009-2013), has gained first-hand experience in managing a complex organization that operates on an international scale and developed insight into issues bearing on global economic activity, international trade policies and strategies and the workings of foreign governments.</w:t>
      </w:r>
    </w:p>
    <w:p>
      <w:pPr>
        <w:spacing w:after="0" w:line="1" w:lineRule="exact"/>
        <w:rPr>
          <w:rFonts w:ascii="Arial" w:cs="Arial" w:eastAsia="Arial" w:hAnsi="Arial"/>
          <w:sz w:val="17"/>
          <w:szCs w:val="17"/>
          <w:color w:val="auto"/>
        </w:rPr>
      </w:pPr>
    </w:p>
    <w:p>
      <w:pPr>
        <w:ind w:left="540" w:right="20" w:hanging="261"/>
        <w:spacing w:after="0" w:line="251" w:lineRule="auto"/>
        <w:tabs>
          <w:tab w:leader="none" w:pos="518"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Senior Of Counsel of Gibson, Dunn &amp; Crutcher LLP (2013-present), and as a partner of Vinson &amp; Elkins, LLP (2005-2009), has gained first-hand experience as an advisor to numerous multinational companies.</w:t>
      </w:r>
    </w:p>
    <w:p>
      <w:pPr>
        <w:ind w:left="540" w:right="780" w:hanging="261"/>
        <w:spacing w:after="0" w:line="271" w:lineRule="auto"/>
        <w:tabs>
          <w:tab w:leader="none" w:pos="518"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a director of Brinker International, Inc. (1997-2009) and Dean Foods Company (1997-2009), has helped oversee the strategy and operations of other large corporations.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Ms. Patsley</w:t>
      </w:r>
    </w:p>
    <w:p>
      <w:pPr>
        <w:spacing w:after="0" w:line="214" w:lineRule="exact"/>
        <w:rPr>
          <w:sz w:val="20"/>
          <w:szCs w:val="20"/>
          <w:color w:val="auto"/>
        </w:rPr>
      </w:pPr>
    </w:p>
    <w:p>
      <w:pPr>
        <w:ind w:left="540" w:right="40" w:hanging="261"/>
        <w:spacing w:after="0" w:line="247" w:lineRule="auto"/>
        <w:tabs>
          <w:tab w:leader="none" w:pos="518"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chairman and CEO (2009-present) of MoneyGram International, Inc., senior executive vice president of First Data Corporation (2000-2007) and president and CEO of Paymentech, Inc. (1991-2000), has gained first-hand experience in managing large, multinational organizations, including the application of technology in the financial services sector, with ultimate management responsibility for their financial performance and significant capital investments.</w:t>
      </w:r>
    </w:p>
    <w:p>
      <w:pPr>
        <w:spacing w:after="0" w:line="1" w:lineRule="exact"/>
        <w:rPr>
          <w:rFonts w:ascii="Arial" w:cs="Arial" w:eastAsia="Arial" w:hAnsi="Arial"/>
          <w:sz w:val="17"/>
          <w:szCs w:val="17"/>
          <w:color w:val="auto"/>
        </w:rPr>
      </w:pPr>
    </w:p>
    <w:p>
      <w:pPr>
        <w:ind w:left="540" w:right="340" w:hanging="261"/>
        <w:spacing w:after="0" w:line="248" w:lineRule="auto"/>
        <w:tabs>
          <w:tab w:leader="none" w:pos="518"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Audit Committee chair at the company (2006-April 18, 2013), a member of the audit committee at Dr Pepper Snapple Group, Inc., chief financial officer of First USA, Inc. (1987-1994) and an auditor at KPMG Peat Marwick for almost six years before joining First USA, has developed a keen appreciation for audit- and financial control-related matters.</w:t>
      </w:r>
    </w:p>
    <w:p>
      <w:pPr>
        <w:spacing w:after="0" w:line="1" w:lineRule="exact"/>
        <w:rPr>
          <w:rFonts w:ascii="Arial" w:cs="Arial" w:eastAsia="Arial" w:hAnsi="Arial"/>
          <w:sz w:val="17"/>
          <w:szCs w:val="17"/>
          <w:color w:val="auto"/>
        </w:rPr>
      </w:pPr>
    </w:p>
    <w:p>
      <w:pPr>
        <w:ind w:left="540" w:right="320" w:hanging="261"/>
        <w:spacing w:after="0" w:line="271" w:lineRule="auto"/>
        <w:tabs>
          <w:tab w:leader="none" w:pos="518"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a director of Dr Pepper Snapple Group, Inc. (2008-present) and a director of Molson Coors Brewing Company (2005-2009), has helped oversee the strategy and operations of other major multinational corporations.</w:t>
      </w:r>
    </w:p>
    <w:p>
      <w:pPr>
        <w:spacing w:after="0" w:line="215" w:lineRule="exact"/>
        <w:rPr>
          <w:sz w:val="20"/>
          <w:szCs w:val="20"/>
          <w:color w:val="auto"/>
        </w:rPr>
      </w:pPr>
    </w:p>
    <w:p>
      <w:pPr>
        <w:spacing w:after="0"/>
        <w:tabs>
          <w:tab w:leader="none" w:pos="4100" w:val="left"/>
        </w:tabs>
        <w:rPr>
          <w:sz w:val="20"/>
          <w:szCs w:val="20"/>
          <w:color w:val="auto"/>
        </w:rPr>
      </w:pPr>
      <w:r>
        <w:rPr>
          <w:rFonts w:ascii="Arial" w:cs="Arial" w:eastAsia="Arial" w:hAnsi="Arial"/>
          <w:sz w:val="13"/>
          <w:szCs w:val="13"/>
          <w:color w:val="838383"/>
        </w:rPr>
        <w:t>76</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340"/>
          </w:cols>
          <w:pgMar w:left="240" w:top="592" w:right="31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auto"/>
        </w:rPr>
        <w:t>Mr. Sanchez</w:t>
      </w:r>
    </w:p>
    <w:p>
      <w:pPr>
        <w:spacing w:after="0" w:line="214" w:lineRule="exact"/>
        <w:rPr>
          <w:sz w:val="20"/>
          <w:szCs w:val="20"/>
          <w:color w:val="auto"/>
        </w:rPr>
      </w:pPr>
    </w:p>
    <w:p>
      <w:pPr>
        <w:ind w:left="540" w:right="220" w:hanging="261"/>
        <w:spacing w:after="0" w:line="248" w:lineRule="auto"/>
        <w:tabs>
          <w:tab w:leader="none" w:pos="518"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 chairman and CEO (2013-present), president (2012-2014) and chief operating officer (2012) of Ryder System, Inc., and as president of its Global Fleet Management Solutions business segment (2010-2012), has gained first-hand experience in managing a large, multinational, transportation-related organization, with responsibility for the organization’s financial performance and significant capital investments.</w:t>
      </w:r>
    </w:p>
    <w:p>
      <w:pPr>
        <w:spacing w:after="0" w:line="1" w:lineRule="exact"/>
        <w:rPr>
          <w:rFonts w:ascii="Arial" w:cs="Arial" w:eastAsia="Arial" w:hAnsi="Arial"/>
          <w:sz w:val="17"/>
          <w:szCs w:val="17"/>
          <w:color w:val="auto"/>
        </w:rPr>
      </w:pPr>
    </w:p>
    <w:p>
      <w:pPr>
        <w:ind w:left="540" w:right="160" w:hanging="261"/>
        <w:spacing w:after="0" w:line="257" w:lineRule="auto"/>
        <w:tabs>
          <w:tab w:leader="none" w:pos="518"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 executive vice president and chief financial officer (2007-2010) and as senior vice president and chief information officer (2003-2005) of Ryder System, Inc., has developed a keen appreciation for audit- and financial control-related issues and gained first-hand experience with all technology-related functions of a large, multinational corporation focused on transportation and logistics.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Mr. Sanders</w:t>
      </w:r>
    </w:p>
    <w:p>
      <w:pPr>
        <w:spacing w:after="0" w:line="214" w:lineRule="exact"/>
        <w:rPr>
          <w:sz w:val="20"/>
          <w:szCs w:val="20"/>
          <w:color w:val="auto"/>
        </w:rPr>
      </w:pPr>
    </w:p>
    <w:p>
      <w:pPr>
        <w:ind w:left="540" w:right="180" w:hanging="261"/>
        <w:spacing w:after="0" w:line="248" w:lineRule="auto"/>
        <w:tabs>
          <w:tab w:leader="none" w:pos="518"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chairman (1992-2003) and CEO (1991-2002) of Kimberly-Clark Corporation, has gained first-hand experience in managing a large, multinational consumer goods corporation, with ultimate management responsibility for its financial performance and its significant capital and R&amp;D investments.</w:t>
      </w:r>
    </w:p>
    <w:p>
      <w:pPr>
        <w:spacing w:after="0" w:line="1" w:lineRule="exact"/>
        <w:rPr>
          <w:rFonts w:ascii="Arial" w:cs="Arial" w:eastAsia="Arial" w:hAnsi="Arial"/>
          <w:sz w:val="17"/>
          <w:szCs w:val="17"/>
          <w:color w:val="auto"/>
        </w:rPr>
      </w:pPr>
    </w:p>
    <w:p>
      <w:pPr>
        <w:ind w:left="540" w:right="60" w:hanging="261"/>
        <w:spacing w:after="0" w:line="271" w:lineRule="auto"/>
        <w:tabs>
          <w:tab w:leader="none" w:pos="518"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chairman of Dr Pepper Snapple Group, Inc. (2008-present) and a director of Belo Corporation (2003-2013), has helped oversee the strategy and operations of other large corporations.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Ms. Simmons</w:t>
      </w:r>
    </w:p>
    <w:p>
      <w:pPr>
        <w:spacing w:after="0" w:line="214" w:lineRule="exact"/>
        <w:rPr>
          <w:sz w:val="20"/>
          <w:szCs w:val="20"/>
          <w:color w:val="auto"/>
        </w:rPr>
      </w:pPr>
    </w:p>
    <w:p>
      <w:pPr>
        <w:ind w:left="540" w:right="40" w:hanging="261"/>
        <w:spacing w:after="0" w:line="248" w:lineRule="auto"/>
        <w:tabs>
          <w:tab w:leader="none" w:pos="518"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 president of Brown University (2001-2012) and president of Smith College (1995-2001), has gained first-hand experience in managing large, complex institutions, and developed deep insight into the development and training of professionals, including engineers, scientists and technologists, on whom the company relies for its next generation of employees.</w:t>
      </w:r>
    </w:p>
    <w:p>
      <w:pPr>
        <w:spacing w:after="0" w:line="1" w:lineRule="exact"/>
        <w:rPr>
          <w:rFonts w:ascii="Arial" w:cs="Arial" w:eastAsia="Arial" w:hAnsi="Arial"/>
          <w:sz w:val="17"/>
          <w:szCs w:val="17"/>
          <w:color w:val="auto"/>
        </w:rPr>
      </w:pPr>
    </w:p>
    <w:p>
      <w:pPr>
        <w:ind w:left="540" w:right="360" w:hanging="261"/>
        <w:spacing w:after="0" w:line="257" w:lineRule="auto"/>
        <w:tabs>
          <w:tab w:leader="none" w:pos="518"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 a director of Fiat Chrysler Automobiles N.V. (2014-present), Chrysler Group LLC (2012-2014) and Mondelez International, Inc. (2012-present) and as a former director of The Goldman Sachs Group, Inc. (2000-2010), has helped oversee the strategy and operations of other large corporations.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Mr. Templeton</w:t>
      </w:r>
    </w:p>
    <w:p>
      <w:pPr>
        <w:spacing w:after="0" w:line="214" w:lineRule="exact"/>
        <w:rPr>
          <w:sz w:val="20"/>
          <w:szCs w:val="20"/>
          <w:color w:val="auto"/>
        </w:rPr>
      </w:pPr>
    </w:p>
    <w:p>
      <w:pPr>
        <w:jc w:val="both"/>
        <w:ind w:left="540" w:right="440" w:hanging="261"/>
        <w:spacing w:after="0" w:line="257" w:lineRule="auto"/>
        <w:tabs>
          <w:tab w:leader="none" w:pos="518"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a 34-year veteran of the semiconductor industry, serving the last 19 years at a senior level at the company, including as chairman since 2008, CEO since 2004 and director since 2003, has developed a deep knowledge of all aspects of the company and of the semiconductor industry.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Ms. Whitman</w:t>
      </w:r>
    </w:p>
    <w:p>
      <w:pPr>
        <w:spacing w:after="0" w:line="214" w:lineRule="exact"/>
        <w:rPr>
          <w:sz w:val="20"/>
          <w:szCs w:val="20"/>
          <w:color w:val="auto"/>
        </w:rPr>
      </w:pPr>
    </w:p>
    <w:p>
      <w:pPr>
        <w:ind w:left="540" w:right="60" w:hanging="261"/>
        <w:spacing w:after="0" w:line="248" w:lineRule="auto"/>
        <w:tabs>
          <w:tab w:leader="none" w:pos="518"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 Administrator of the Environmental Protection Agency (2001-2003) and Governor of the state of New Jersey (1994-2000), has gained first-hand experience managing a large, complex organization and developed keen insight into the workings of government on the federal and state level and how they might impact company operations.</w:t>
      </w:r>
    </w:p>
    <w:p>
      <w:pPr>
        <w:spacing w:after="0" w:line="1" w:lineRule="exact"/>
        <w:rPr>
          <w:rFonts w:ascii="Arial" w:cs="Arial" w:eastAsia="Arial" w:hAnsi="Arial"/>
          <w:sz w:val="17"/>
          <w:szCs w:val="17"/>
          <w:color w:val="auto"/>
        </w:rPr>
      </w:pPr>
    </w:p>
    <w:p>
      <w:pPr>
        <w:ind w:left="540" w:right="180" w:hanging="261"/>
        <w:spacing w:after="0" w:line="271" w:lineRule="auto"/>
        <w:tabs>
          <w:tab w:leader="none" w:pos="518"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 a director of S.C. Johnson &amp; Son, Inc. (2003-present) and United Technologies Corp. (2003-present), has helped oversee the strategy and operations of other large corporations.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Communications with the board</w:t>
      </w:r>
    </w:p>
    <w:p>
      <w:pPr>
        <w:spacing w:after="0" w:line="234"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Stockholders and others who wish to communicate with the board, a board committee or an individual director, may write to them at: P.O. Box 655936, MS 8658, Dallas, TX 75265-5936. All communications sent to this address will be shared with the board, committee or individual director as applicable.</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w:t>
      </w:r>
    </w:p>
    <w:p>
      <w:pPr>
        <w:spacing w:after="0" w:line="234"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board has a long-standing commitment to responsible and effective corporate governance. We annually conduct extensive governance reviews and engage in investor outreach specific to governance and executive compensation matters. The board’s corporate governance guidelines (which include the director independence standards), the charters of each of the board’s committees, TI’s code of business conduct and our code of ethics for our CEO and senior financial officers are available on our website at www.ti.com/corporategovernance. Stockholders may request copies of these documents free of charge by writing to Texas Instruments Incorporated, P.O. Box 660199, MS 8657, Dallas, TX 75266-0199, Attn: Investor Relations.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300" w:type="dxa"/>
            <w:vAlign w:val="bottom"/>
          </w:tcPr>
          <w:p>
            <w:pPr>
              <w:ind w:left="4120"/>
              <w:spacing w:after="0"/>
              <w:rPr>
                <w:sz w:val="20"/>
                <w:szCs w:val="20"/>
                <w:color w:val="auto"/>
              </w:rPr>
            </w:pPr>
            <w:r>
              <w:rPr>
                <w:rFonts w:ascii="Arial" w:cs="Arial" w:eastAsia="Arial" w:hAnsi="Arial"/>
                <w:sz w:val="13"/>
                <w:szCs w:val="13"/>
                <w:color w:val="838383"/>
              </w:rPr>
              <w:t>TEXAS INSTRUMENTS ● 2015 PROXY STATEMENT</w:t>
            </w:r>
          </w:p>
        </w:tc>
        <w:tc>
          <w:tcPr>
            <w:tcW w:w="2140" w:type="dxa"/>
            <w:vAlign w:val="bottom"/>
          </w:tcPr>
          <w:p>
            <w:pPr>
              <w:jc w:val="right"/>
              <w:spacing w:after="0"/>
              <w:rPr>
                <w:sz w:val="20"/>
                <w:szCs w:val="20"/>
                <w:color w:val="auto"/>
              </w:rPr>
            </w:pPr>
            <w:r>
              <w:rPr>
                <w:rFonts w:ascii="Arial" w:cs="Arial" w:eastAsia="Arial" w:hAnsi="Arial"/>
                <w:sz w:val="13"/>
                <w:szCs w:val="13"/>
                <w:color w:val="838383"/>
              </w:rPr>
              <w:t>77</w:t>
            </w:r>
          </w:p>
        </w:tc>
      </w:tr>
      <w:tr>
        <w:trPr>
          <w:trHeight w:val="355"/>
        </w:trPr>
        <w:tc>
          <w:tcPr>
            <w:tcW w:w="930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92" w:right="21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Annual meeting attendance</w:t>
      </w:r>
    </w:p>
    <w:p>
      <w:pPr>
        <w:spacing w:after="0" w:line="23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It is a policy of the board to encourage directors to attend each annual meeting of stockholders. Such attendance allows for direct interaction between stockholders and board members. In 2014, all directors attended TI’s annual meeting of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34"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color w:val="auto"/>
        </w:rPr>
        <w:t>The board has determined that each of our directors is independent except for Mr. Templeton. In connection with this determination, information was reviewed regarding directors’ business and charitable affiliations, directors’ immediate family members and their employers, and any transactions or arrangements between the company and such persons or entities. The board has adopted the following standards for determining independence.</w:t>
      </w:r>
    </w:p>
    <w:p>
      <w:pPr>
        <w:spacing w:after="0" w:line="198" w:lineRule="exact"/>
        <w:rPr>
          <w:sz w:val="20"/>
          <w:szCs w:val="20"/>
          <w:color w:val="auto"/>
        </w:rPr>
      </w:pPr>
    </w:p>
    <w:p>
      <w:pPr>
        <w:ind w:left="420" w:hanging="414"/>
        <w:spacing w:after="0"/>
        <w:tabs>
          <w:tab w:leader="none" w:pos="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no event will a director be considered independent if:</w:t>
      </w:r>
    </w:p>
    <w:p>
      <w:pPr>
        <w:spacing w:after="0" w:line="2" w:lineRule="exact"/>
        <w:rPr>
          <w:rFonts w:ascii="Arial" w:cs="Arial" w:eastAsia="Arial" w:hAnsi="Arial"/>
          <w:sz w:val="17"/>
          <w:szCs w:val="17"/>
          <w:color w:val="auto"/>
        </w:rPr>
      </w:pPr>
    </w:p>
    <w:p>
      <w:pPr>
        <w:ind w:left="800" w:hanging="385"/>
        <w:spacing w:after="0"/>
        <w:tabs>
          <w:tab w:leader="none" w:pos="8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He or she is a current partner of or is employed by the company’s independent auditors;</w:t>
      </w:r>
    </w:p>
    <w:p>
      <w:pPr>
        <w:spacing w:after="0" w:line="2" w:lineRule="exact"/>
        <w:rPr>
          <w:rFonts w:ascii="Arial" w:cs="Arial" w:eastAsia="Arial" w:hAnsi="Arial"/>
          <w:sz w:val="17"/>
          <w:szCs w:val="17"/>
          <w:color w:val="auto"/>
        </w:rPr>
      </w:pPr>
    </w:p>
    <w:p>
      <w:pPr>
        <w:ind w:left="800" w:right="120" w:hanging="385"/>
        <w:spacing w:after="0" w:line="243" w:lineRule="auto"/>
        <w:tabs>
          <w:tab w:leader="none" w:pos="8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 family member of the director is (a) a current partner of the company’s independent auditors or (b) currently employed by the company’s independent auditors and personally works on the company’s audit;</w:t>
      </w:r>
    </w:p>
    <w:p>
      <w:pPr>
        <w:ind w:left="800" w:right="60" w:hanging="385"/>
        <w:spacing w:after="0" w:line="243" w:lineRule="auto"/>
        <w:tabs>
          <w:tab w:leader="none" w:pos="8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Within the current or preceding three fiscal years he or she was, and remains at the time of the determination, a partner in or a controlling shareholder, an executive officer or an employee of an organization that in the current year or any of the past three fiscal years (a) made payments to, or received payments from, the company for property or services, (b) extended loans to or received loans from, the company, or (c) received charitable contributions from the company, in an amount or amounts which, in the aggregate in such fiscal year, exceeded the greater of $200,000 or 2 percent of the recipient’s consolidated gross revenues for that year (for purposes of this standard, “payments” excludes payments arising solely from investments in the company’s securities and payments under non-discretionary charitable contribution matching programs); or</w:t>
      </w:r>
    </w:p>
    <w:p>
      <w:pPr>
        <w:spacing w:after="0" w:line="2" w:lineRule="exact"/>
        <w:rPr>
          <w:rFonts w:ascii="Arial" w:cs="Arial" w:eastAsia="Arial" w:hAnsi="Arial"/>
          <w:sz w:val="17"/>
          <w:szCs w:val="17"/>
          <w:color w:val="auto"/>
        </w:rPr>
      </w:pPr>
    </w:p>
    <w:p>
      <w:pPr>
        <w:ind w:left="800" w:right="100" w:hanging="385"/>
        <w:spacing w:after="0" w:line="243" w:lineRule="auto"/>
        <w:tabs>
          <w:tab w:leader="none" w:pos="8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Within the current or preceding three fiscal years a family member of the director was, and remains at the time of the determination, a partner in or a controlling shareholder or an executive officer of an organization that in the current year or any of the past three fiscal years</w:t>
      </w:r>
    </w:p>
    <w:p>
      <w:pPr>
        <w:ind w:left="800" w:right="160"/>
        <w:spacing w:after="0" w:line="246" w:lineRule="auto"/>
        <w:rPr>
          <w:rFonts w:ascii="Arial" w:cs="Arial" w:eastAsia="Arial" w:hAnsi="Arial"/>
          <w:sz w:val="17"/>
          <w:szCs w:val="17"/>
          <w:color w:val="auto"/>
        </w:rPr>
      </w:pPr>
      <w:r>
        <w:rPr>
          <w:rFonts w:ascii="Arial" w:cs="Arial" w:eastAsia="Arial" w:hAnsi="Arial"/>
          <w:sz w:val="17"/>
          <w:szCs w:val="17"/>
          <w:color w:val="auto"/>
        </w:rPr>
        <w:t>(a) made payments to, or received payments from, the company for property or services, (b) extended loans to or received loans from the company, or (c) received charitable contributions from the company, in an amount or amounts which, in the aggregate in such fiscal year, exceeded the greater of $200,000 or 2 percent of the recipient’s consolidated gross revenues for that year (for purposes of this standard, “payments” excludes payments arising solely from investments in the company’s securities and payments under non-discretionary charitable contribution matching programs).</w:t>
      </w:r>
    </w:p>
    <w:p>
      <w:pPr>
        <w:spacing w:after="0" w:line="227" w:lineRule="exact"/>
        <w:rPr>
          <w:rFonts w:ascii="Arial" w:cs="Arial" w:eastAsia="Arial" w:hAnsi="Arial"/>
          <w:sz w:val="17"/>
          <w:szCs w:val="17"/>
          <w:color w:val="auto"/>
        </w:rPr>
      </w:pPr>
    </w:p>
    <w:p>
      <w:pPr>
        <w:ind w:left="420" w:hanging="414"/>
        <w:spacing w:after="0"/>
        <w:tabs>
          <w:tab w:leader="none" w:pos="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no event will a director be considered independent if, within the preceding three years:</w:t>
      </w:r>
    </w:p>
    <w:p>
      <w:pPr>
        <w:spacing w:after="0" w:line="2" w:lineRule="exact"/>
        <w:rPr>
          <w:rFonts w:ascii="Arial" w:cs="Arial" w:eastAsia="Arial" w:hAnsi="Arial"/>
          <w:sz w:val="17"/>
          <w:szCs w:val="17"/>
          <w:color w:val="auto"/>
        </w:rPr>
      </w:pPr>
    </w:p>
    <w:p>
      <w:pPr>
        <w:ind w:left="800" w:right="40" w:hanging="385"/>
        <w:spacing w:after="0" w:line="243" w:lineRule="auto"/>
        <w:tabs>
          <w:tab w:leader="none" w:pos="8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He or she was employed by the company (except in the capacity of interim chairman of the board, chief executive officer or other executive officer, provided the interim employment did not last longer than one year);</w:t>
      </w:r>
    </w:p>
    <w:p>
      <w:pPr>
        <w:ind w:left="800" w:right="80" w:hanging="385"/>
        <w:spacing w:after="0" w:line="243" w:lineRule="auto"/>
        <w:tabs>
          <w:tab w:leader="none" w:pos="8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He or she received more than $120,000 during any twelve-month period in compensation from the company (other than (a) compensation for board or board committee service, (b) compensation received for former service lasting no longer than one year as an interim chairman of the board, chief executive officer or other executive officer and (c) benefits under a tax-qualified retirement plan, or non-discretionary compensation);</w:t>
      </w:r>
    </w:p>
    <w:p>
      <w:pPr>
        <w:spacing w:after="0" w:line="1" w:lineRule="exact"/>
        <w:rPr>
          <w:rFonts w:ascii="Arial" w:cs="Arial" w:eastAsia="Arial" w:hAnsi="Arial"/>
          <w:sz w:val="17"/>
          <w:szCs w:val="17"/>
          <w:color w:val="auto"/>
        </w:rPr>
      </w:pPr>
    </w:p>
    <w:p>
      <w:pPr>
        <w:ind w:left="800" w:hanging="385"/>
        <w:spacing w:after="0"/>
        <w:tabs>
          <w:tab w:leader="none" w:pos="8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 family member of the director was employed as an executive officer by the company;</w:t>
      </w:r>
    </w:p>
    <w:p>
      <w:pPr>
        <w:spacing w:after="0" w:line="2" w:lineRule="exact"/>
        <w:rPr>
          <w:rFonts w:ascii="Arial" w:cs="Arial" w:eastAsia="Arial" w:hAnsi="Arial"/>
          <w:sz w:val="17"/>
          <w:szCs w:val="17"/>
          <w:color w:val="auto"/>
        </w:rPr>
      </w:pPr>
    </w:p>
    <w:p>
      <w:pPr>
        <w:ind w:left="800" w:right="740" w:hanging="385"/>
        <w:spacing w:after="0" w:line="243" w:lineRule="auto"/>
        <w:tabs>
          <w:tab w:leader="none" w:pos="8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 family member of the director received more than $120,000 during any twelve-month period in compensation from the company (excluding compensation as a non-executive officer employee of the company);</w:t>
      </w:r>
    </w:p>
    <w:p>
      <w:pPr>
        <w:ind w:left="800" w:right="180" w:hanging="385"/>
        <w:spacing w:after="0" w:line="243" w:lineRule="auto"/>
        <w:tabs>
          <w:tab w:leader="none" w:pos="8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He or she was (but is no longer) a partner or employee of the company’s independent auditors and worked on the company’s audit within that time;</w:t>
      </w:r>
    </w:p>
    <w:p>
      <w:pPr>
        <w:ind w:left="800" w:right="320" w:hanging="385"/>
        <w:spacing w:after="0" w:line="243" w:lineRule="auto"/>
        <w:tabs>
          <w:tab w:leader="none" w:pos="8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 family member of the director was (but is no longer) a partner or employee of the company’s independent auditors and worked on the company’s audit within that time;</w:t>
      </w:r>
    </w:p>
    <w:p>
      <w:pPr>
        <w:ind w:left="800" w:right="300" w:hanging="385"/>
        <w:spacing w:after="0" w:line="243" w:lineRule="auto"/>
        <w:tabs>
          <w:tab w:leader="none" w:pos="8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He or she was an executive officer of another entity at which any of the company’s current executive officers at any time during the past three years served on that entity’s compensation committee; or</w:t>
      </w:r>
    </w:p>
    <w:p>
      <w:pPr>
        <w:ind w:left="800" w:right="220" w:hanging="385"/>
        <w:spacing w:after="0" w:line="255" w:lineRule="auto"/>
        <w:tabs>
          <w:tab w:leader="none" w:pos="8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 family member of the director was an executive officer of another entity at which any of the company’s current executive officers at any time during the past three years served on that entity’s compensation committee.</w:t>
      </w:r>
    </w:p>
    <w:p>
      <w:pPr>
        <w:spacing w:after="0" w:line="218" w:lineRule="exact"/>
        <w:rPr>
          <w:rFonts w:ascii="Arial" w:cs="Arial" w:eastAsia="Arial" w:hAnsi="Arial"/>
          <w:sz w:val="17"/>
          <w:szCs w:val="17"/>
          <w:color w:val="auto"/>
        </w:rPr>
      </w:pPr>
    </w:p>
    <w:p>
      <w:pPr>
        <w:ind w:left="420" w:hanging="414"/>
        <w:spacing w:after="0" w:line="246" w:lineRule="auto"/>
        <w:tabs>
          <w:tab w:leader="none" w:pos="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 member of the Audit Committee may accept directly or indirectly any consulting, advisory or other compensatory fee from the company, other than in his or her capacity as a member of the board or any board committee. Compensatory fees do not include the receipt of fixed amounts of compensation under a retirement plan (including deferred compensation) for prior service with the company (provided that such compensation is not contingent in any way on continued service). In addition, no member of the Audit Committee may be an affiliated person of the company except in his or her capacity as a director.</w:t>
      </w:r>
    </w:p>
    <w:p>
      <w:pPr>
        <w:spacing w:after="0" w:line="237" w:lineRule="exact"/>
        <w:rPr>
          <w:sz w:val="20"/>
          <w:szCs w:val="20"/>
          <w:color w:val="auto"/>
        </w:rPr>
      </w:pPr>
    </w:p>
    <w:p>
      <w:pPr>
        <w:spacing w:after="0"/>
        <w:tabs>
          <w:tab w:leader="none" w:pos="4100" w:val="left"/>
        </w:tabs>
        <w:rPr>
          <w:sz w:val="20"/>
          <w:szCs w:val="20"/>
          <w:color w:val="auto"/>
        </w:rPr>
      </w:pPr>
      <w:r>
        <w:rPr>
          <w:rFonts w:ascii="Arial" w:cs="Arial" w:eastAsia="Arial" w:hAnsi="Arial"/>
          <w:sz w:val="13"/>
          <w:szCs w:val="13"/>
          <w:color w:val="838383"/>
        </w:rPr>
        <w:t>78</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380"/>
          </w:cols>
          <w:pgMar w:left="240" w:top="572" w:right="279" w:bottom="1440" w:gutter="0" w:footer="0" w:header="0"/>
        </w:sectPr>
      </w:pPr>
    </w:p>
    <w:bookmarkStart w:id="9" w:name="page10"/>
    <w:bookmarkEnd w:id="9"/>
    <w:p>
      <w:pPr>
        <w:ind w:left="420" w:right="340" w:hanging="414"/>
        <w:spacing w:after="0" w:line="243" w:lineRule="auto"/>
        <w:tabs>
          <w:tab w:leader="none" w:pos="4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With respect to service on the Compensation Committee, the board will consider all factors that it deems relevant to determining whether a director has a relationship to the company that is material to that director’s ability to be independent from management in connection with the duties of a Compensation Committee member, including but not limited to:</w:t>
      </w:r>
    </w:p>
    <w:p>
      <w:pPr>
        <w:ind w:left="820" w:right="320" w:hanging="391"/>
        <w:spacing w:after="0" w:line="243" w:lineRule="auto"/>
        <w:tabs>
          <w:tab w:leader="none" w:pos="8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source of compensation of the director, including any consulting, advisory or compensatory fee paid by the company to the director; and</w:t>
      </w:r>
    </w:p>
    <w:p>
      <w:pPr>
        <w:ind w:left="820" w:hanging="391"/>
        <w:spacing w:after="0"/>
        <w:tabs>
          <w:tab w:leader="none" w:pos="8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Whether the director is affiliated with the company, a subsidiary of the company or an affiliate of a subsidiary of the company.</w:t>
      </w:r>
    </w:p>
    <w:p>
      <w:pPr>
        <w:spacing w:after="0" w:line="240" w:lineRule="exact"/>
        <w:rPr>
          <w:rFonts w:ascii="Arial" w:cs="Arial" w:eastAsia="Arial" w:hAnsi="Arial"/>
          <w:sz w:val="17"/>
          <w:szCs w:val="17"/>
          <w:color w:val="auto"/>
        </w:rPr>
      </w:pPr>
    </w:p>
    <w:p>
      <w:pPr>
        <w:ind w:left="420" w:right="80" w:hanging="414"/>
        <w:spacing w:after="0" w:line="249" w:lineRule="auto"/>
        <w:tabs>
          <w:tab w:leader="none" w:pos="4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 any other relationship, the determination of whether it would interfere with the director’s exercise of independent judgment in carrying out his or her responsibilities, and consequently whether the director involved is independent, will be made by directors who satisfy the independence criteria set forth in this section.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these independence determinations, “company” and “family member” will have the same meaning as under NASDAQ rules.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organization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and committee meetings</w:t>
      </w:r>
    </w:p>
    <w:p>
      <w:pPr>
        <w:spacing w:after="0" w:line="234" w:lineRule="exact"/>
        <w:rPr>
          <w:sz w:val="20"/>
          <w:szCs w:val="20"/>
          <w:color w:val="auto"/>
        </w:rPr>
      </w:pPr>
    </w:p>
    <w:p>
      <w:pPr>
        <w:jc w:val="both"/>
        <w:ind w:right="60"/>
        <w:spacing w:after="0" w:line="249" w:lineRule="auto"/>
        <w:rPr>
          <w:sz w:val="20"/>
          <w:szCs w:val="20"/>
          <w:color w:val="auto"/>
        </w:rPr>
      </w:pPr>
      <w:r>
        <w:rPr>
          <w:rFonts w:ascii="Arial" w:cs="Arial" w:eastAsia="Arial" w:hAnsi="Arial"/>
          <w:sz w:val="17"/>
          <w:szCs w:val="17"/>
          <w:color w:val="auto"/>
        </w:rPr>
        <w:t>During 2014, the board held nine meetings. The board has three standing committees described below. The committees of the board collectively held 20 meetings in 2014. Each director attended at least 87 percent of the board and relevant committee meetings combined. Overall attendance at board and committee meetings was approximately 97 percent.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Audit Committee</w:t>
      </w:r>
    </w:p>
    <w:p>
      <w:pPr>
        <w:spacing w:after="0" w:line="214"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The Audit Committee is a separately designated standing committee established in accordance with Section 3(a)(58)(A) of the Securities Exchange Act of 1934, as amended. All members of the Audit Committee are independent under NASDAQ rules and the board’s corporate governance guidelines. Since April 19, 2013, the committee members have been Mr. Babb (Chair), Mr. Blinn and Ms. Simmons. The Audit Committee is generally responsible for:</w:t>
      </w:r>
    </w:p>
    <w:p>
      <w:pPr>
        <w:spacing w:after="0" w:line="200" w:lineRule="exact"/>
        <w:rPr>
          <w:sz w:val="20"/>
          <w:szCs w:val="20"/>
          <w:color w:val="auto"/>
        </w:rPr>
      </w:pPr>
    </w:p>
    <w:p>
      <w:pPr>
        <w:ind w:left="520" w:hanging="241"/>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Appointing, compensating, retaining and overseeing TI’s independent registered public accounting firm.</w:t>
      </w:r>
    </w:p>
    <w:p>
      <w:pPr>
        <w:spacing w:after="0" w:line="15" w:lineRule="exact"/>
        <w:rPr>
          <w:rFonts w:ascii="Arial" w:cs="Arial" w:eastAsia="Arial" w:hAnsi="Arial"/>
          <w:sz w:val="17"/>
          <w:szCs w:val="17"/>
          <w:color w:val="auto"/>
        </w:rPr>
      </w:pPr>
    </w:p>
    <w:p>
      <w:pPr>
        <w:ind w:left="520" w:hanging="241"/>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Reviewing the annual report of TI’s independent registered public accounting firm related to quality control.</w:t>
      </w:r>
    </w:p>
    <w:p>
      <w:pPr>
        <w:spacing w:after="0" w:line="15" w:lineRule="exact"/>
        <w:rPr>
          <w:rFonts w:ascii="Arial" w:cs="Arial" w:eastAsia="Arial" w:hAnsi="Arial"/>
          <w:sz w:val="17"/>
          <w:szCs w:val="17"/>
          <w:color w:val="auto"/>
        </w:rPr>
      </w:pPr>
    </w:p>
    <w:p>
      <w:pPr>
        <w:ind w:left="540" w:right="300" w:hanging="261"/>
        <w:spacing w:after="0" w:line="251" w:lineRule="auto"/>
        <w:tabs>
          <w:tab w:leader="none" w:pos="518"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Reviewing TI’s annual and quarterly reports to the SEC, including the financial statements and the “Management’s Discussion and Analysis” portion of those reports, and recommending appropriate action to the board.</w:t>
      </w:r>
    </w:p>
    <w:p>
      <w:pPr>
        <w:ind w:left="520" w:hanging="241"/>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Reviewing TI’s audit plans.</w:t>
      </w:r>
    </w:p>
    <w:p>
      <w:pPr>
        <w:spacing w:after="0" w:line="15" w:lineRule="exact"/>
        <w:rPr>
          <w:rFonts w:ascii="Arial" w:cs="Arial" w:eastAsia="Arial" w:hAnsi="Arial"/>
          <w:sz w:val="17"/>
          <w:szCs w:val="17"/>
          <w:color w:val="auto"/>
        </w:rPr>
      </w:pPr>
    </w:p>
    <w:p>
      <w:pPr>
        <w:ind w:left="540" w:right="460" w:hanging="261"/>
        <w:spacing w:after="0" w:line="251" w:lineRule="auto"/>
        <w:tabs>
          <w:tab w:leader="none" w:pos="518"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Reviewing before issuance TI’s news releases regarding annual and interim financial results and discussing with management any related earnings guidance that may be provided to analysts and rating agencies.</w:t>
      </w:r>
    </w:p>
    <w:p>
      <w:pPr>
        <w:ind w:left="540" w:right="300" w:hanging="261"/>
        <w:spacing w:after="0" w:line="251" w:lineRule="auto"/>
        <w:tabs>
          <w:tab w:leader="none" w:pos="518"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Discussing TI’s audited financial statements with management and the independent registered public accounting firm, including a discussion with the firm regarding the matters required to be reviewed under applicable legal or regulatory requirements.</w:t>
      </w:r>
    </w:p>
    <w:p>
      <w:pPr>
        <w:ind w:left="520" w:hanging="241"/>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Reviewing relationships between the independent registered public accounting firm and TI.</w:t>
      </w:r>
    </w:p>
    <w:p>
      <w:pPr>
        <w:spacing w:after="0" w:line="15" w:lineRule="exact"/>
        <w:rPr>
          <w:rFonts w:ascii="Arial" w:cs="Arial" w:eastAsia="Arial" w:hAnsi="Arial"/>
          <w:sz w:val="17"/>
          <w:szCs w:val="17"/>
          <w:color w:val="auto"/>
        </w:rPr>
      </w:pPr>
    </w:p>
    <w:p>
      <w:pPr>
        <w:ind w:left="540" w:right="120" w:hanging="261"/>
        <w:spacing w:after="0" w:line="251" w:lineRule="auto"/>
        <w:tabs>
          <w:tab w:leader="none" w:pos="518"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Reviewing and discussing the adequacy of TI’s internal accounting controls and other factors affecting the integrity of TI’s financial reports with management and with the independent registered public accounting firm.</w:t>
      </w:r>
    </w:p>
    <w:p>
      <w:pPr>
        <w:ind w:left="520" w:hanging="241"/>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Creating and periodically reviewing TI’s whistleblower policy.</w:t>
      </w:r>
    </w:p>
    <w:p>
      <w:pPr>
        <w:spacing w:after="0" w:line="15" w:lineRule="exact"/>
        <w:rPr>
          <w:rFonts w:ascii="Arial" w:cs="Arial" w:eastAsia="Arial" w:hAnsi="Arial"/>
          <w:sz w:val="17"/>
          <w:szCs w:val="17"/>
          <w:color w:val="auto"/>
        </w:rPr>
      </w:pPr>
    </w:p>
    <w:p>
      <w:pPr>
        <w:ind w:left="520" w:hanging="241"/>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Reviewing TI’s risk assessment and risk management policies.</w:t>
      </w:r>
    </w:p>
    <w:p>
      <w:pPr>
        <w:spacing w:after="0" w:line="15" w:lineRule="exact"/>
        <w:rPr>
          <w:rFonts w:ascii="Arial" w:cs="Arial" w:eastAsia="Arial" w:hAnsi="Arial"/>
          <w:sz w:val="17"/>
          <w:szCs w:val="17"/>
          <w:color w:val="auto"/>
        </w:rPr>
      </w:pPr>
    </w:p>
    <w:p>
      <w:pPr>
        <w:ind w:left="520" w:hanging="241"/>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Reviewing TI’s compliance and ethics program.</w:t>
      </w:r>
    </w:p>
    <w:p>
      <w:pPr>
        <w:spacing w:after="0" w:line="15" w:lineRule="exact"/>
        <w:rPr>
          <w:rFonts w:ascii="Arial" w:cs="Arial" w:eastAsia="Arial" w:hAnsi="Arial"/>
          <w:sz w:val="17"/>
          <w:szCs w:val="17"/>
          <w:color w:val="auto"/>
        </w:rPr>
      </w:pPr>
    </w:p>
    <w:p>
      <w:pPr>
        <w:ind w:left="540" w:right="100" w:hanging="261"/>
        <w:spacing w:after="0" w:line="251" w:lineRule="auto"/>
        <w:tabs>
          <w:tab w:leader="none" w:pos="518"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Reviewing a report of compliance of management and operating personnel with TI’s code of business conduct, including TI’s conflict of interest policy.</w:t>
      </w:r>
    </w:p>
    <w:p>
      <w:pPr>
        <w:ind w:left="520" w:hanging="241"/>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Reviewing TI’s non-employee-related insurance programs.</w:t>
      </w:r>
    </w:p>
    <w:p>
      <w:pPr>
        <w:spacing w:after="0" w:line="15" w:lineRule="exact"/>
        <w:rPr>
          <w:rFonts w:ascii="Arial" w:cs="Arial" w:eastAsia="Arial" w:hAnsi="Arial"/>
          <w:sz w:val="17"/>
          <w:szCs w:val="17"/>
          <w:color w:val="auto"/>
        </w:rPr>
      </w:pPr>
    </w:p>
    <w:p>
      <w:pPr>
        <w:ind w:left="520" w:hanging="241"/>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Reviewing changes, if any, in major accounting policies of the company.</w:t>
      </w:r>
    </w:p>
    <w:p>
      <w:pPr>
        <w:spacing w:after="0" w:line="15" w:lineRule="exact"/>
        <w:rPr>
          <w:rFonts w:ascii="Arial" w:cs="Arial" w:eastAsia="Arial" w:hAnsi="Arial"/>
          <w:sz w:val="17"/>
          <w:szCs w:val="17"/>
          <w:color w:val="auto"/>
        </w:rPr>
      </w:pPr>
    </w:p>
    <w:p>
      <w:pPr>
        <w:ind w:left="520" w:hanging="241"/>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Reviewing trends in accounting policy changes that are relevant to the company.</w:t>
      </w:r>
    </w:p>
    <w:p>
      <w:pPr>
        <w:spacing w:after="0" w:line="15" w:lineRule="exact"/>
        <w:rPr>
          <w:rFonts w:ascii="Arial" w:cs="Arial" w:eastAsia="Arial" w:hAnsi="Arial"/>
          <w:sz w:val="17"/>
          <w:szCs w:val="17"/>
          <w:color w:val="auto"/>
        </w:rPr>
      </w:pPr>
    </w:p>
    <w:p>
      <w:pPr>
        <w:ind w:left="520" w:hanging="241"/>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Reviewing the company’s policy regarding investments and financial derivative products.</w:t>
      </w:r>
    </w:p>
    <w:p>
      <w:pPr>
        <w:spacing w:after="0" w:line="227" w:lineRule="exact"/>
        <w:rPr>
          <w:sz w:val="20"/>
          <w:szCs w:val="20"/>
          <w:color w:val="auto"/>
        </w:rPr>
      </w:pPr>
    </w:p>
    <w:p>
      <w:pPr>
        <w:jc w:val="both"/>
        <w:ind w:right="60"/>
        <w:spacing w:after="0" w:line="249" w:lineRule="auto"/>
        <w:rPr>
          <w:sz w:val="20"/>
          <w:szCs w:val="20"/>
          <w:color w:val="auto"/>
        </w:rPr>
      </w:pPr>
      <w:r>
        <w:rPr>
          <w:rFonts w:ascii="Arial" w:cs="Arial" w:eastAsia="Arial" w:hAnsi="Arial"/>
          <w:sz w:val="17"/>
          <w:szCs w:val="17"/>
          <w:color w:val="auto"/>
        </w:rPr>
        <w:t>The board has determined that all members of the Audit Committee are financially sophisticated, as the board has interpreted such qualifications in its business judgment. In addition, the board has designated Mr. Babb as the audit committee financial expert as defined in the Securities Exchange Act of 1934, as amended.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300" w:type="dxa"/>
            <w:vAlign w:val="bottom"/>
          </w:tcPr>
          <w:p>
            <w:pPr>
              <w:ind w:left="4120"/>
              <w:spacing w:after="0"/>
              <w:rPr>
                <w:sz w:val="20"/>
                <w:szCs w:val="20"/>
                <w:color w:val="auto"/>
              </w:rPr>
            </w:pPr>
            <w:r>
              <w:rPr>
                <w:rFonts w:ascii="Arial" w:cs="Arial" w:eastAsia="Arial" w:hAnsi="Arial"/>
                <w:sz w:val="13"/>
                <w:szCs w:val="13"/>
                <w:color w:val="838383"/>
              </w:rPr>
              <w:t>TEXAS INSTRUMENTS ● 2015 PROXY STATEMENT</w:t>
            </w:r>
          </w:p>
        </w:tc>
        <w:tc>
          <w:tcPr>
            <w:tcW w:w="2140" w:type="dxa"/>
            <w:vAlign w:val="bottom"/>
          </w:tcPr>
          <w:p>
            <w:pPr>
              <w:jc w:val="right"/>
              <w:spacing w:after="0"/>
              <w:rPr>
                <w:sz w:val="20"/>
                <w:szCs w:val="20"/>
                <w:color w:val="auto"/>
              </w:rPr>
            </w:pPr>
            <w:r>
              <w:rPr>
                <w:rFonts w:ascii="Arial" w:cs="Arial" w:eastAsia="Arial" w:hAnsi="Arial"/>
                <w:sz w:val="13"/>
                <w:szCs w:val="13"/>
                <w:color w:val="838383"/>
              </w:rPr>
              <w:t>79</w:t>
            </w:r>
          </w:p>
        </w:tc>
      </w:tr>
      <w:tr>
        <w:trPr>
          <w:trHeight w:val="355"/>
        </w:trPr>
        <w:tc>
          <w:tcPr>
            <w:tcW w:w="930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10" w:name="page11"/>
    <w:bookmarkEnd w:id="10"/>
    <w:p>
      <w:pPr>
        <w:jc w:val="both"/>
        <w:ind w:right="440"/>
        <w:spacing w:after="0" w:line="249" w:lineRule="auto"/>
        <w:rPr>
          <w:sz w:val="20"/>
          <w:szCs w:val="20"/>
          <w:color w:val="auto"/>
        </w:rPr>
      </w:pPr>
      <w:r>
        <w:rPr>
          <w:rFonts w:ascii="Arial" w:cs="Arial" w:eastAsia="Arial" w:hAnsi="Arial"/>
          <w:sz w:val="17"/>
          <w:szCs w:val="17"/>
          <w:color w:val="auto"/>
        </w:rPr>
        <w:t>The Audit Committee met six times in 2014. The Audit Committee holds regularly scheduled meetings and reports its activities to the board. The committee also continued its long-standing practice of meeting directly with our internal audit staff to discuss the audit plan and to allow for direct interaction between Audit Committee members and our internal auditors. Please see page 110 for a report of the committee.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Compensation Committee</w:t>
      </w:r>
    </w:p>
    <w:p>
      <w:pPr>
        <w:spacing w:after="0" w:line="214"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All members of the Compensation Committee are independent. From April 19, 2013, to April 17, 2014, the committee members were Ms. Cox (Chair), Ms. Patsley and Mr. Sanchez. Since April 18, 2014, the committee members have been Mr. Sanchez (chair), Ms. Patsley and Ms. Whitman. The committee is responsible for:</w:t>
      </w:r>
    </w:p>
    <w:p>
      <w:pPr>
        <w:spacing w:after="0" w:line="198" w:lineRule="exact"/>
        <w:rPr>
          <w:sz w:val="20"/>
          <w:szCs w:val="20"/>
          <w:color w:val="auto"/>
        </w:rPr>
      </w:pPr>
    </w:p>
    <w:p>
      <w:pPr>
        <w:ind w:left="520" w:hanging="241"/>
        <w:spacing w:after="0"/>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Reviewing the performance of the CEO and determining his compensation.</w:t>
      </w:r>
    </w:p>
    <w:p>
      <w:pPr>
        <w:spacing w:after="0" w:line="15" w:lineRule="exact"/>
        <w:rPr>
          <w:rFonts w:ascii="Arial" w:cs="Arial" w:eastAsia="Arial" w:hAnsi="Arial"/>
          <w:sz w:val="17"/>
          <w:szCs w:val="17"/>
          <w:color w:val="auto"/>
        </w:rPr>
      </w:pPr>
    </w:p>
    <w:p>
      <w:pPr>
        <w:ind w:left="520" w:hanging="241"/>
        <w:spacing w:after="0"/>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Setting the compensation of the company’s other executive officers.</w:t>
      </w:r>
    </w:p>
    <w:p>
      <w:pPr>
        <w:spacing w:after="0" w:line="15" w:lineRule="exact"/>
        <w:rPr>
          <w:rFonts w:ascii="Arial" w:cs="Arial" w:eastAsia="Arial" w:hAnsi="Arial"/>
          <w:sz w:val="17"/>
          <w:szCs w:val="17"/>
          <w:color w:val="auto"/>
        </w:rPr>
      </w:pPr>
    </w:p>
    <w:p>
      <w:pPr>
        <w:ind w:left="520" w:hanging="241"/>
        <w:spacing w:after="0"/>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Overseeing administration of employee benefit plans.</w:t>
      </w:r>
    </w:p>
    <w:p>
      <w:pPr>
        <w:spacing w:after="0" w:line="15" w:lineRule="exact"/>
        <w:rPr>
          <w:rFonts w:ascii="Arial" w:cs="Arial" w:eastAsia="Arial" w:hAnsi="Arial"/>
          <w:sz w:val="17"/>
          <w:szCs w:val="17"/>
          <w:color w:val="auto"/>
        </w:rPr>
      </w:pPr>
    </w:p>
    <w:p>
      <w:pPr>
        <w:ind w:left="520" w:hanging="241"/>
        <w:spacing w:after="0"/>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Making recommendations to the board regarding:</w:t>
      </w:r>
    </w:p>
    <w:p>
      <w:pPr>
        <w:spacing w:after="0" w:line="15" w:lineRule="exact"/>
        <w:rPr>
          <w:rFonts w:ascii="Arial" w:cs="Arial" w:eastAsia="Arial" w:hAnsi="Arial"/>
          <w:sz w:val="17"/>
          <w:szCs w:val="17"/>
          <w:color w:val="auto"/>
        </w:rPr>
      </w:pPr>
    </w:p>
    <w:p>
      <w:pPr>
        <w:ind w:left="800" w:right="460" w:hanging="257"/>
        <w:spacing w:after="0" w:line="248" w:lineRule="auto"/>
        <w:tabs>
          <w:tab w:leader="none" w:pos="778" w:val="left"/>
        </w:tabs>
        <w:numPr>
          <w:ilvl w:val="1"/>
          <w:numId w:val="21"/>
        </w:numPr>
        <w:rPr>
          <w:rFonts w:ascii="Arial" w:cs="Arial" w:eastAsia="Arial" w:hAnsi="Arial"/>
          <w:sz w:val="17"/>
          <w:szCs w:val="17"/>
          <w:color w:val="auto"/>
        </w:rPr>
      </w:pPr>
      <w:r>
        <w:rPr>
          <w:rFonts w:ascii="Arial" w:cs="Arial" w:eastAsia="Arial" w:hAnsi="Arial"/>
          <w:sz w:val="17"/>
          <w:szCs w:val="17"/>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the board must approve.</w:t>
      </w:r>
    </w:p>
    <w:p>
      <w:pPr>
        <w:spacing w:after="0" w:line="1" w:lineRule="exact"/>
        <w:rPr>
          <w:rFonts w:ascii="Arial" w:cs="Arial" w:eastAsia="Arial" w:hAnsi="Arial"/>
          <w:sz w:val="17"/>
          <w:szCs w:val="17"/>
          <w:color w:val="auto"/>
        </w:rPr>
      </w:pPr>
    </w:p>
    <w:p>
      <w:pPr>
        <w:ind w:left="800" w:right="200" w:hanging="257"/>
        <w:spacing w:after="0" w:line="251" w:lineRule="auto"/>
        <w:tabs>
          <w:tab w:leader="none" w:pos="778" w:val="left"/>
        </w:tabs>
        <w:numPr>
          <w:ilvl w:val="1"/>
          <w:numId w:val="21"/>
        </w:numPr>
        <w:rPr>
          <w:rFonts w:ascii="Arial" w:cs="Arial" w:eastAsia="Arial" w:hAnsi="Arial"/>
          <w:sz w:val="17"/>
          <w:szCs w:val="17"/>
          <w:color w:val="auto"/>
        </w:rPr>
      </w:pPr>
      <w:r>
        <w:rPr>
          <w:rFonts w:ascii="Arial" w:cs="Arial" w:eastAsia="Arial" w:hAnsi="Arial"/>
          <w:sz w:val="17"/>
          <w:szCs w:val="17"/>
          <w:color w:val="auto"/>
        </w:rPr>
        <w:t>Reservation of company stock for use as awards of grants under plans or as contributions or sales to any trustee of any employee benefit plan.</w:t>
      </w:r>
    </w:p>
    <w:p>
      <w:pPr>
        <w:ind w:left="520" w:hanging="241"/>
        <w:spacing w:after="0"/>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Taking action as appropriate regarding the institution and termination of, revisions in and actions under employee benefit plans that are not</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required to be approved by the board.</w:t>
      </w:r>
    </w:p>
    <w:p>
      <w:pPr>
        <w:spacing w:after="0" w:line="3" w:lineRule="exact"/>
        <w:rPr>
          <w:sz w:val="20"/>
          <w:szCs w:val="20"/>
          <w:color w:val="auto"/>
        </w:rPr>
      </w:pPr>
    </w:p>
    <w:p>
      <w:pPr>
        <w:ind w:left="520" w:hanging="241"/>
        <w:spacing w:after="0"/>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Appointing, setting the compensation of, overseeing and considering the independence of any compensation consultant or other advisor.</w:t>
      </w:r>
    </w:p>
    <w:p>
      <w:pPr>
        <w:spacing w:after="0" w:line="227"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The Compensation Committee met seven times in 2014. The Compensation Committee holds regularly scheduled meetings, reports its activities to the board, and consults with the board before setting annual executive compensation. Please see page 97 for a report of the committee.</w:t>
      </w:r>
    </w:p>
    <w:p>
      <w:pPr>
        <w:spacing w:after="0" w:line="192"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In performing its functions, the committee is supported by the company’s Human Resources organization. The committee has the authority to retain any advisors it deems appropriate to carry out its responsibilities. The committee retained Pearl Meyer &amp; Partners as its compensation consultant for the 2014 compensation cycle. The committee instructed the consultant to advise it directly on executive compensation philosophy, strategies, pay levels, decision-making processes and other matters within the scope of the committee’s charter. Additionally, the committee instructed the consultant to assist the company’s Human Resources organization in its support of the committee in these matters with such items as peer-group assessment, analysis of the executive compensation market, and compensation recommendations.</w:t>
      </w:r>
    </w:p>
    <w:p>
      <w:pPr>
        <w:spacing w:after="0" w:line="20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Compensation Committee considers it important that its compensation consultant’s objectivity not be compromised by other engagements with the company or its management. In support of this belief, the committee has a policy on compensation consultants, a copy of which may be found on www.ti.com/corporategovernance. During 2014, the committee determined that its compensation consultant was independent of the company and had no conflict of interest.</w:t>
      </w:r>
    </w:p>
    <w:p>
      <w:pPr>
        <w:spacing w:after="0" w:line="200"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200"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The CEO and the senior vice president responsible for Human Resources, who is an executive officer, are regularly invited to attend meetings of the committee. The CEO is excused from the meeting during any deliberations or vote on his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The CEO gives the committee and the board an assessment of his own performance during the year just ended. He also reviews the performance of the other executive officers with the committee and makes recommendations regarding their compensation. The senior vice president responsible for Human Resources assists in the preparation of and reviews the compensation recommendations made to the committee other than for her compensation.</w:t>
      </w:r>
    </w:p>
    <w:p>
      <w:pPr>
        <w:spacing w:after="0" w:line="211" w:lineRule="exact"/>
        <w:rPr>
          <w:sz w:val="20"/>
          <w:szCs w:val="20"/>
          <w:color w:val="auto"/>
        </w:rPr>
      </w:pPr>
    </w:p>
    <w:p>
      <w:pPr>
        <w:spacing w:after="0"/>
        <w:tabs>
          <w:tab w:leader="none" w:pos="4100" w:val="left"/>
        </w:tabs>
        <w:rPr>
          <w:sz w:val="20"/>
          <w:szCs w:val="20"/>
          <w:color w:val="auto"/>
        </w:rPr>
      </w:pPr>
      <w:r>
        <w:rPr>
          <w:rFonts w:ascii="Arial" w:cs="Arial" w:eastAsia="Arial" w:hAnsi="Arial"/>
          <w:sz w:val="13"/>
          <w:szCs w:val="13"/>
          <w:color w:val="838383"/>
        </w:rPr>
        <w:t>80</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400"/>
          </w:cols>
          <w:pgMar w:left="240" w:top="592" w:right="259" w:bottom="1440" w:gutter="0" w:footer="0" w:header="0"/>
        </w:sectPr>
      </w:pPr>
    </w:p>
    <w:bookmarkStart w:id="11" w:name="page12"/>
    <w:bookmarkEnd w:id="11"/>
    <w:p>
      <w:pPr>
        <w:ind w:right="180"/>
        <w:spacing w:after="0" w:line="247" w:lineRule="auto"/>
        <w:rPr>
          <w:sz w:val="20"/>
          <w:szCs w:val="20"/>
          <w:color w:val="auto"/>
        </w:rPr>
      </w:pPr>
      <w:r>
        <w:rPr>
          <w:rFonts w:ascii="Arial" w:cs="Arial" w:eastAsia="Arial" w:hAnsi="Arial"/>
          <w:sz w:val="17"/>
          <w:szCs w:val="17"/>
          <w:color w:val="auto"/>
        </w:rPr>
        <w:t>The Compensation Committee’s charter provides that it may delegate its power, authority and rights with respect to TI’s long-term incentive plans, employee stock purchase plan and employee benefit plans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200"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Pursuant to that authority, the Compensation Committee has delegated to a special committee established by the board the authority to grant a limited number of stock options and restricted stock units under the company’s long-term incentive plans. The sole member of the special committee is Mr. Templeton. The special committee has no authority to grant, amend or terminate any form of compensation for TI’s executive officers. The Compensation Committee reviews the grant activity of the special committee.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Governance and Stockholder Relations Committee</w:t>
      </w:r>
    </w:p>
    <w:p>
      <w:pPr>
        <w:spacing w:after="0" w:line="214"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All members of the G&amp;SR Committee are independent. From April 19, 2013 to April 17, 2014, the committee members were Ms. Whitman (Chair), Mr. Carp and Mr. Sanders, with Mr. Kirk joining the committee on September 19, 2013. Since April 18, 2014, the committee members have been Mr. Sanders (chair), Mr. Carp, Ms. Cox and Mr. Kirk. The G&amp;SR Committee is generally responsible for:</w:t>
      </w:r>
    </w:p>
    <w:p>
      <w:pPr>
        <w:spacing w:after="0" w:line="198" w:lineRule="exact"/>
        <w:rPr>
          <w:sz w:val="20"/>
          <w:szCs w:val="20"/>
          <w:color w:val="auto"/>
        </w:rPr>
      </w:pPr>
    </w:p>
    <w:p>
      <w:pPr>
        <w:ind w:left="520" w:hanging="250"/>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Making recommendations to the board regarding:</w:t>
      </w:r>
    </w:p>
    <w:p>
      <w:pPr>
        <w:spacing w:after="0" w:line="15" w:lineRule="exact"/>
        <w:rPr>
          <w:rFonts w:ascii="Arial" w:cs="Arial" w:eastAsia="Arial" w:hAnsi="Arial"/>
          <w:sz w:val="17"/>
          <w:szCs w:val="17"/>
          <w:color w:val="auto"/>
        </w:rPr>
      </w:pPr>
    </w:p>
    <w:p>
      <w:pPr>
        <w:ind w:left="780" w:hanging="259"/>
        <w:spacing w:after="0"/>
        <w:tabs>
          <w:tab w:leader="none" w:pos="7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development and revision of our corporate governance principles.</w:t>
      </w:r>
    </w:p>
    <w:p>
      <w:pPr>
        <w:spacing w:after="0" w:line="2" w:lineRule="exact"/>
        <w:rPr>
          <w:rFonts w:ascii="Arial" w:cs="Arial" w:eastAsia="Arial" w:hAnsi="Arial"/>
          <w:sz w:val="17"/>
          <w:szCs w:val="17"/>
          <w:color w:val="auto"/>
        </w:rPr>
      </w:pPr>
    </w:p>
    <w:p>
      <w:pPr>
        <w:ind w:left="780" w:hanging="259"/>
        <w:spacing w:after="0"/>
        <w:tabs>
          <w:tab w:leader="none" w:pos="7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size, composition and functioning of the board and board committees.</w:t>
      </w:r>
    </w:p>
    <w:p>
      <w:pPr>
        <w:spacing w:after="0" w:line="42" w:lineRule="exact"/>
        <w:rPr>
          <w:rFonts w:ascii="Arial" w:cs="Arial" w:eastAsia="Arial" w:hAnsi="Arial"/>
          <w:sz w:val="17"/>
          <w:szCs w:val="17"/>
          <w:color w:val="auto"/>
        </w:rPr>
      </w:pPr>
    </w:p>
    <w:p>
      <w:pPr>
        <w:ind w:left="780" w:hanging="259"/>
        <w:spacing w:after="0"/>
        <w:tabs>
          <w:tab w:leader="none" w:pos="7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Candidates to fill board positions.</w:t>
      </w:r>
    </w:p>
    <w:p>
      <w:pPr>
        <w:spacing w:after="0" w:line="42" w:lineRule="exact"/>
        <w:rPr>
          <w:rFonts w:ascii="Arial" w:cs="Arial" w:eastAsia="Arial" w:hAnsi="Arial"/>
          <w:sz w:val="17"/>
          <w:szCs w:val="17"/>
          <w:color w:val="auto"/>
        </w:rPr>
      </w:pPr>
    </w:p>
    <w:p>
      <w:pPr>
        <w:ind w:left="780" w:hanging="259"/>
        <w:spacing w:after="0"/>
        <w:tabs>
          <w:tab w:leader="none" w:pos="7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Nominees to be designated for election as directors.</w:t>
      </w:r>
    </w:p>
    <w:p>
      <w:pPr>
        <w:spacing w:after="0" w:line="2" w:lineRule="exact"/>
        <w:rPr>
          <w:rFonts w:ascii="Arial" w:cs="Arial" w:eastAsia="Arial" w:hAnsi="Arial"/>
          <w:sz w:val="17"/>
          <w:szCs w:val="17"/>
          <w:color w:val="auto"/>
        </w:rPr>
      </w:pPr>
    </w:p>
    <w:p>
      <w:pPr>
        <w:ind w:left="780" w:hanging="259"/>
        <w:spacing w:after="0"/>
        <w:tabs>
          <w:tab w:leader="none" w:pos="7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Compensation of board members.</w:t>
      </w:r>
    </w:p>
    <w:p>
      <w:pPr>
        <w:spacing w:after="0" w:line="42" w:lineRule="exact"/>
        <w:rPr>
          <w:rFonts w:ascii="Arial" w:cs="Arial" w:eastAsia="Arial" w:hAnsi="Arial"/>
          <w:sz w:val="17"/>
          <w:szCs w:val="17"/>
          <w:color w:val="auto"/>
        </w:rPr>
      </w:pPr>
    </w:p>
    <w:p>
      <w:pPr>
        <w:ind w:left="780" w:hanging="259"/>
        <w:spacing w:after="0"/>
        <w:tabs>
          <w:tab w:leader="none" w:pos="7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Organization and responsibilities of board committees.</w:t>
      </w:r>
    </w:p>
    <w:p>
      <w:pPr>
        <w:spacing w:after="0" w:line="2" w:lineRule="exact"/>
        <w:rPr>
          <w:rFonts w:ascii="Arial" w:cs="Arial" w:eastAsia="Arial" w:hAnsi="Arial"/>
          <w:sz w:val="17"/>
          <w:szCs w:val="17"/>
          <w:color w:val="auto"/>
        </w:rPr>
      </w:pPr>
    </w:p>
    <w:p>
      <w:pPr>
        <w:ind w:left="780" w:hanging="259"/>
        <w:spacing w:after="0"/>
        <w:tabs>
          <w:tab w:leader="none" w:pos="7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Succession planning by the company.</w:t>
      </w:r>
    </w:p>
    <w:p>
      <w:pPr>
        <w:spacing w:after="0" w:line="42" w:lineRule="exact"/>
        <w:rPr>
          <w:rFonts w:ascii="Arial" w:cs="Arial" w:eastAsia="Arial" w:hAnsi="Arial"/>
          <w:sz w:val="17"/>
          <w:szCs w:val="17"/>
          <w:color w:val="auto"/>
        </w:rPr>
      </w:pPr>
    </w:p>
    <w:p>
      <w:pPr>
        <w:ind w:left="780" w:hanging="259"/>
        <w:spacing w:after="0"/>
        <w:tabs>
          <w:tab w:leader="none" w:pos="7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Issues of potential conflicts of interest involving a board member raised under TI’s conflict of interest policy.</w:t>
      </w:r>
    </w:p>
    <w:p>
      <w:pPr>
        <w:spacing w:after="0" w:line="2" w:lineRule="exact"/>
        <w:rPr>
          <w:rFonts w:ascii="Arial" w:cs="Arial" w:eastAsia="Arial" w:hAnsi="Arial"/>
          <w:sz w:val="17"/>
          <w:szCs w:val="17"/>
          <w:color w:val="auto"/>
        </w:rPr>
      </w:pPr>
    </w:p>
    <w:p>
      <w:pPr>
        <w:ind w:left="780" w:hanging="259"/>
        <w:spacing w:after="0"/>
        <w:tabs>
          <w:tab w:leader="none" w:pos="7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Election of executive officers of the company.</w:t>
      </w:r>
    </w:p>
    <w:p>
      <w:pPr>
        <w:spacing w:after="0" w:line="42" w:lineRule="exact"/>
        <w:rPr>
          <w:rFonts w:ascii="Arial" w:cs="Arial" w:eastAsia="Arial" w:hAnsi="Arial"/>
          <w:sz w:val="17"/>
          <w:szCs w:val="17"/>
          <w:color w:val="auto"/>
        </w:rPr>
      </w:pPr>
    </w:p>
    <w:p>
      <w:pPr>
        <w:ind w:left="780" w:hanging="259"/>
        <w:spacing w:after="0"/>
        <w:tabs>
          <w:tab w:leader="none" w:pos="7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Topics affecting the relationship between the company and stockholders.</w:t>
      </w:r>
    </w:p>
    <w:p>
      <w:pPr>
        <w:spacing w:after="0" w:line="2" w:lineRule="exact"/>
        <w:rPr>
          <w:rFonts w:ascii="Arial" w:cs="Arial" w:eastAsia="Arial" w:hAnsi="Arial"/>
          <w:sz w:val="17"/>
          <w:szCs w:val="17"/>
          <w:color w:val="auto"/>
        </w:rPr>
      </w:pPr>
    </w:p>
    <w:p>
      <w:pPr>
        <w:ind w:left="780" w:hanging="259"/>
        <w:spacing w:after="0"/>
        <w:tabs>
          <w:tab w:leader="none" w:pos="7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Public issues likely to affect the company.</w:t>
      </w:r>
    </w:p>
    <w:p>
      <w:pPr>
        <w:spacing w:after="0" w:line="42" w:lineRule="exact"/>
        <w:rPr>
          <w:rFonts w:ascii="Arial" w:cs="Arial" w:eastAsia="Arial" w:hAnsi="Arial"/>
          <w:sz w:val="17"/>
          <w:szCs w:val="17"/>
          <w:color w:val="auto"/>
        </w:rPr>
      </w:pPr>
    </w:p>
    <w:p>
      <w:pPr>
        <w:ind w:left="780" w:hanging="259"/>
        <w:spacing w:after="0"/>
        <w:tabs>
          <w:tab w:leader="none" w:pos="7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Responses to proposals submitted by stockholders.</w:t>
      </w:r>
    </w:p>
    <w:p>
      <w:pPr>
        <w:spacing w:after="0" w:line="2" w:lineRule="exact"/>
        <w:rPr>
          <w:rFonts w:ascii="Arial" w:cs="Arial" w:eastAsia="Arial" w:hAnsi="Arial"/>
          <w:sz w:val="17"/>
          <w:szCs w:val="17"/>
          <w:color w:val="auto"/>
        </w:rPr>
      </w:pPr>
    </w:p>
    <w:p>
      <w:pPr>
        <w:ind w:left="520" w:hanging="250"/>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Reviewing:</w:t>
      </w:r>
    </w:p>
    <w:p>
      <w:pPr>
        <w:spacing w:after="0" w:line="15" w:lineRule="exact"/>
        <w:rPr>
          <w:rFonts w:ascii="Arial" w:cs="Arial" w:eastAsia="Arial" w:hAnsi="Arial"/>
          <w:sz w:val="17"/>
          <w:szCs w:val="17"/>
          <w:color w:val="auto"/>
        </w:rPr>
      </w:pPr>
    </w:p>
    <w:p>
      <w:pPr>
        <w:ind w:left="780" w:hanging="259"/>
        <w:spacing w:after="0"/>
        <w:tabs>
          <w:tab w:leader="none" w:pos="7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Contribution policies of the company and the TI Foundation.</w:t>
      </w:r>
    </w:p>
    <w:p>
      <w:pPr>
        <w:spacing w:after="0" w:line="2" w:lineRule="exact"/>
        <w:rPr>
          <w:rFonts w:ascii="Arial" w:cs="Arial" w:eastAsia="Arial" w:hAnsi="Arial"/>
          <w:sz w:val="17"/>
          <w:szCs w:val="17"/>
          <w:color w:val="auto"/>
        </w:rPr>
      </w:pPr>
    </w:p>
    <w:p>
      <w:pPr>
        <w:ind w:left="780" w:hanging="259"/>
        <w:spacing w:after="0"/>
        <w:tabs>
          <w:tab w:leader="none" w:pos="7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Revisions to TI’s code of ethics.</w:t>
      </w:r>
    </w:p>
    <w:p>
      <w:pPr>
        <w:spacing w:after="0" w:line="42" w:lineRule="exact"/>
        <w:rPr>
          <w:rFonts w:ascii="Arial" w:cs="Arial" w:eastAsia="Arial" w:hAnsi="Arial"/>
          <w:sz w:val="17"/>
          <w:szCs w:val="17"/>
          <w:color w:val="auto"/>
        </w:rPr>
      </w:pPr>
    </w:p>
    <w:p>
      <w:pPr>
        <w:ind w:left="520" w:hanging="250"/>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Electing officers of the company other than the executive officers.</w:t>
      </w:r>
    </w:p>
    <w:p>
      <w:pPr>
        <w:spacing w:after="0" w:line="15" w:lineRule="exact"/>
        <w:rPr>
          <w:rFonts w:ascii="Arial" w:cs="Arial" w:eastAsia="Arial" w:hAnsi="Arial"/>
          <w:sz w:val="17"/>
          <w:szCs w:val="17"/>
          <w:color w:val="auto"/>
        </w:rPr>
      </w:pPr>
    </w:p>
    <w:p>
      <w:pPr>
        <w:ind w:left="520" w:hanging="250"/>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Overseeing an annual evaluation of the board and the committee.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G&amp;SR Committee met seven times in 2014. The G&amp;SR Committee holds regularly scheduled meetings and reports its activities to the board.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Please see page 75 for a discussion of stockholder nominations and page 77 for a discussion of communications with the board.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234"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 board’s current leadership structure combines the positions of chairman and CEO, and includes a lead director who presides at executive sessions and performs the duties listed below. The board believes that this structure, combined with its other practices (such as (a) including on each board agenda an opportunity for the independent directors to comment on and influence the proposed strategic agenda for future meetings and (b) holding an executive session at each board meeting), allows it to maintain the active engagement of independent directors and appropriate oversight of management.</w:t>
      </w:r>
    </w:p>
    <w:p>
      <w:pPr>
        <w:spacing w:after="0" w:line="201"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The lead director is elected by the independent directors annually. The independent directors have elected Mr. Sanders to serve as lead director. The duties of the lead director are to:</w:t>
      </w:r>
    </w:p>
    <w:p>
      <w:pPr>
        <w:spacing w:after="0" w:line="192" w:lineRule="exact"/>
        <w:rPr>
          <w:sz w:val="20"/>
          <w:szCs w:val="20"/>
          <w:color w:val="auto"/>
        </w:rPr>
      </w:pPr>
    </w:p>
    <w:p>
      <w:pPr>
        <w:ind w:left="520" w:hanging="250"/>
        <w:spacing w:after="0"/>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Preside at all meetings of the board at which the chairman is not present, including executive sessions of the independent directors;</w:t>
      </w:r>
    </w:p>
    <w:p>
      <w:pPr>
        <w:spacing w:after="0" w:line="15" w:lineRule="exact"/>
        <w:rPr>
          <w:rFonts w:ascii="Arial" w:cs="Arial" w:eastAsia="Arial" w:hAnsi="Arial"/>
          <w:sz w:val="17"/>
          <w:szCs w:val="17"/>
          <w:color w:val="auto"/>
        </w:rPr>
      </w:pPr>
    </w:p>
    <w:p>
      <w:pPr>
        <w:ind w:left="520" w:hanging="250"/>
        <w:spacing w:after="0"/>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Serve as liaison between the chairman and the independent directors;</w:t>
      </w:r>
    </w:p>
    <w:p>
      <w:pPr>
        <w:spacing w:after="0" w:line="15" w:lineRule="exact"/>
        <w:rPr>
          <w:rFonts w:ascii="Arial" w:cs="Arial" w:eastAsia="Arial" w:hAnsi="Arial"/>
          <w:sz w:val="17"/>
          <w:szCs w:val="17"/>
          <w:color w:val="auto"/>
        </w:rPr>
      </w:pPr>
    </w:p>
    <w:p>
      <w:pPr>
        <w:ind w:left="520" w:hanging="250"/>
        <w:spacing w:after="0"/>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Approve information sent to the board;</w:t>
      </w:r>
    </w:p>
    <w:p>
      <w:pPr>
        <w:spacing w:after="0" w:line="15" w:lineRule="exact"/>
        <w:rPr>
          <w:rFonts w:ascii="Arial" w:cs="Arial" w:eastAsia="Arial" w:hAnsi="Arial"/>
          <w:sz w:val="17"/>
          <w:szCs w:val="17"/>
          <w:color w:val="auto"/>
        </w:rPr>
      </w:pPr>
    </w:p>
    <w:p>
      <w:pPr>
        <w:ind w:left="520" w:hanging="250"/>
        <w:spacing w:after="0"/>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Approve meeting agendas for the board;</w:t>
      </w:r>
    </w:p>
    <w:p>
      <w:pPr>
        <w:spacing w:after="0" w:line="15" w:lineRule="exact"/>
        <w:rPr>
          <w:rFonts w:ascii="Arial" w:cs="Arial" w:eastAsia="Arial" w:hAnsi="Arial"/>
          <w:sz w:val="17"/>
          <w:szCs w:val="17"/>
          <w:color w:val="auto"/>
        </w:rPr>
      </w:pPr>
    </w:p>
    <w:p>
      <w:pPr>
        <w:ind w:left="520" w:hanging="250"/>
        <w:spacing w:after="0"/>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Approve meeting schedules to assure that there is sufficient time for discussion of all agenda items; and</w:t>
      </w:r>
    </w:p>
    <w:p>
      <w:pPr>
        <w:spacing w:after="0" w:line="15" w:lineRule="exact"/>
        <w:rPr>
          <w:rFonts w:ascii="Arial" w:cs="Arial" w:eastAsia="Arial" w:hAnsi="Arial"/>
          <w:sz w:val="17"/>
          <w:szCs w:val="17"/>
          <w:color w:val="auto"/>
        </w:rPr>
      </w:pPr>
    </w:p>
    <w:p>
      <w:pPr>
        <w:ind w:left="520" w:hanging="250"/>
        <w:spacing w:after="0"/>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requested by major shareholders, ensure that he or she is available for consultation and direct communication.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300" w:type="dxa"/>
            <w:vAlign w:val="bottom"/>
          </w:tcPr>
          <w:p>
            <w:pPr>
              <w:ind w:left="4120"/>
              <w:spacing w:after="0"/>
              <w:rPr>
                <w:sz w:val="20"/>
                <w:szCs w:val="20"/>
                <w:color w:val="auto"/>
              </w:rPr>
            </w:pPr>
            <w:r>
              <w:rPr>
                <w:rFonts w:ascii="Arial" w:cs="Arial" w:eastAsia="Arial" w:hAnsi="Arial"/>
                <w:sz w:val="13"/>
                <w:szCs w:val="13"/>
                <w:color w:val="838383"/>
              </w:rPr>
              <w:t>TEXAS INSTRUMENTS ● 2015 PROXY STATEMENT</w:t>
            </w:r>
          </w:p>
        </w:tc>
        <w:tc>
          <w:tcPr>
            <w:tcW w:w="2140" w:type="dxa"/>
            <w:vAlign w:val="bottom"/>
          </w:tcPr>
          <w:p>
            <w:pPr>
              <w:jc w:val="right"/>
              <w:spacing w:after="0"/>
              <w:rPr>
                <w:sz w:val="20"/>
                <w:szCs w:val="20"/>
                <w:color w:val="auto"/>
              </w:rPr>
            </w:pPr>
            <w:r>
              <w:rPr>
                <w:rFonts w:ascii="Arial" w:cs="Arial" w:eastAsia="Arial" w:hAnsi="Arial"/>
                <w:sz w:val="13"/>
                <w:szCs w:val="13"/>
                <w:color w:val="838383"/>
              </w:rPr>
              <w:t>81</w:t>
            </w:r>
          </w:p>
        </w:tc>
      </w:tr>
      <w:tr>
        <w:trPr>
          <w:trHeight w:val="355"/>
        </w:trPr>
        <w:tc>
          <w:tcPr>
            <w:tcW w:w="930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92" w:right="21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In addition, the lead director has authority to call meetings of the independent directors.</w:t>
      </w:r>
    </w:p>
    <w:p>
      <w:pPr>
        <w:spacing w:after="0" w:line="214"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board, led by its G&amp;SR Committee, regularly reviews the board’s leadership structure. The board’s consideration is guided by two questions: would stockholders be better served and would the board be more effective with a different structure. The board’s views are informed by a review of the practices of other companies and insight into the preferences of top stockholders, as gathered from face-to-face dialogue and review of published guidelines. The board also considers how board roles and interactions would change if its leadership structure changed. The board’s goal is for each director to have an equal stake in the board’s actions and equal accountability to the corporation and its stockholders.</w:t>
      </w:r>
    </w:p>
    <w:p>
      <w:pPr>
        <w:spacing w:after="0" w:line="201"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The board continues to believe that there is no uniform solution for a board leadership structure. Indeed, the company has had varying board leadership models over its history, at times separating the positions of chairman and CEO and at times combining the two, and now utilizing a lead director.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oversight by the board</w:t>
      </w:r>
    </w:p>
    <w:p>
      <w:pPr>
        <w:spacing w:after="0" w:line="23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It is management’s responsibility to assess and manage the various risks TI faces. It is the board’s responsibility to oversee management in this effort. In exercising its oversight, the board has allocated some areas of focus to its committees and has retained areas of focus for itself, as more fully described below.</w:t>
      </w:r>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Management generally views the risks TI faces as falling into the following categories: strategic, operational, financial and compliance. The board as a whole has oversight responsibility for the company’s strategic and operational risks (e.g., major initiatives, competitive markets and products, sales and marketing, and research and development). Throughout the year the CEO discusses these risks with the board during strategy reviews that focus on a particular business or function. In addition, at the end of the year, the CEO provides a formal report on the top strategic and operational risks.</w:t>
      </w:r>
    </w:p>
    <w:p>
      <w:pPr>
        <w:spacing w:after="0" w:line="200"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color w:val="auto"/>
        </w:rPr>
        <w:t>TI’s Audit Committee has oversight responsibility for financial risk (such as accounting, finance, internal controls and tax strategy). Oversight responsibility for compliance risk is shared by the board committees. For example, the Audit Committee oversees compliance with the company’s code of conduct and finance- and accounting-related laws and policies, as well as the company’s compliance program itself; the Compensation Committee oversees compliance with the company’s executive compensation plans and related laws and policies; and the G&amp;SR Committee oversees compliance with governance-related laws and policies, including the company’s corporate governance guidelines.</w:t>
      </w:r>
    </w:p>
    <w:p>
      <w:pPr>
        <w:spacing w:after="0" w:line="201"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Audit Committee oversees the company’s approach to risk management as a whole. It reviews the company’s risk management process at least annually by means of a presentation by the CFO.</w:t>
      </w:r>
    </w:p>
    <w:p>
      <w:pPr>
        <w:spacing w:after="0" w:line="19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board’s leadership structure is consistent with the board and committees’ roles in risk oversight. As discussed above, the board has found that its current structure and practices are effective in fully engaging the independent directors. Allocating various aspects of risk oversight among the committees provides for similar engagement. Having the chairman and CEO review strategic and operational risks with the board ensures that the director most knowledgeable about the company, the industry in which it operates and the competition and other challenges it faces shares those insights with the board, providing for a thorough and efficient process.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compensation</w:t>
      </w:r>
    </w:p>
    <w:p>
      <w:pPr>
        <w:spacing w:after="0" w:line="243"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G&amp;SR Committee has responsibility for reviewing and making recommendations to the board on compensation for non-employee directors, with the board making the final determination. The committee has no authority to delegate its responsibility regarding director compensation. In carrying out this responsibility, it is supported by TI’s Human Resources organization. The CEO, the senior vice president responsible for Human Resources and the Secretary review the recommendations made to the committee. The CEO also votes, as a member of the board, on the compensation of non-employee directors.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arrangements in 2014 for the non-employee directors were:</w:t>
      </w:r>
    </w:p>
    <w:p>
      <w:pPr>
        <w:spacing w:after="0" w:line="214" w:lineRule="exact"/>
        <w:rPr>
          <w:sz w:val="20"/>
          <w:szCs w:val="20"/>
          <w:color w:val="auto"/>
        </w:rPr>
      </w:pPr>
    </w:p>
    <w:p>
      <w:pPr>
        <w:ind w:left="520" w:hanging="250"/>
        <w:spacing w:after="0"/>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Annual retainer of $80,000 for board and committee service.</w:t>
      </w:r>
    </w:p>
    <w:p>
      <w:pPr>
        <w:spacing w:after="0" w:line="15" w:lineRule="exact"/>
        <w:rPr>
          <w:rFonts w:ascii="Arial" w:cs="Arial" w:eastAsia="Arial" w:hAnsi="Arial"/>
          <w:sz w:val="17"/>
          <w:szCs w:val="17"/>
          <w:color w:val="auto"/>
        </w:rPr>
      </w:pPr>
    </w:p>
    <w:p>
      <w:pPr>
        <w:ind w:left="520" w:hanging="250"/>
        <w:spacing w:after="0"/>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Additional annual retainer of $25,000 for service as the lead director.</w:t>
      </w:r>
    </w:p>
    <w:p>
      <w:pPr>
        <w:spacing w:after="0" w:line="263" w:lineRule="exact"/>
        <w:rPr>
          <w:sz w:val="20"/>
          <w:szCs w:val="20"/>
          <w:color w:val="auto"/>
        </w:rPr>
      </w:pPr>
    </w:p>
    <w:p>
      <w:pPr>
        <w:spacing w:after="0"/>
        <w:tabs>
          <w:tab w:leader="none" w:pos="4100" w:val="left"/>
        </w:tabs>
        <w:rPr>
          <w:sz w:val="20"/>
          <w:szCs w:val="20"/>
          <w:color w:val="auto"/>
        </w:rPr>
      </w:pPr>
      <w:r>
        <w:rPr>
          <w:rFonts w:ascii="Arial" w:cs="Arial" w:eastAsia="Arial" w:hAnsi="Arial"/>
          <w:sz w:val="13"/>
          <w:szCs w:val="13"/>
          <w:color w:val="838383"/>
        </w:rPr>
        <w:t>82</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380"/>
          </w:cols>
          <w:pgMar w:left="240" w:top="592" w:right="279" w:bottom="1440" w:gutter="0" w:footer="0" w:header="0"/>
        </w:sectPr>
      </w:pPr>
    </w:p>
    <w:bookmarkStart w:id="13" w:name="page14"/>
    <w:bookmarkEnd w:id="13"/>
    <w:p>
      <w:pPr>
        <w:ind w:left="520" w:right="60" w:hanging="250"/>
        <w:spacing w:after="0" w:line="243"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Additional annual retainer of $30,000 for service as chair of the Audit Committee; $20,000 for service as chair of the Compensation Committee; and $15,000 for service as chair of the G&amp;SR Committee.</w:t>
      </w:r>
    </w:p>
    <w:p>
      <w:pPr>
        <w:ind w:left="520" w:right="60" w:hanging="250"/>
        <w:spacing w:after="0" w:line="243"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Annual grant of a 10-year option to purchase TI common stock pursuant to the terms of the Texas Instruments 2009 Director Compensation Plan (Director Plan), which was approved by stockholders in April 2009. The grant date value is $100,000, determined using a Black-Scholes option-pricing model (subject to the board’s ability to adjust the grant downward). These non-qualified options become exercisable in four equal annual installments beginning on the first anniversary of the grant and also will become fully exercisable in the event of termination of service following a change in control (as defined in the Director Plan) of TI. If a director’s service terminates due to death, disability or ineligibility to stand for re-election under the company’s by-laws, or after the director has completed eight years of service, then all outstanding options held by the director shall continue to full term. If a director’s service terminates for any other reason, all outstanding options held by the director shall be exercisable for 30 days after the date of termination, but only to the extent such options were exercisable on the date of termination.</w:t>
      </w:r>
    </w:p>
    <w:p>
      <w:pPr>
        <w:spacing w:after="0" w:line="2" w:lineRule="exact"/>
        <w:rPr>
          <w:rFonts w:ascii="Arial" w:cs="Arial" w:eastAsia="Arial" w:hAnsi="Arial"/>
          <w:sz w:val="17"/>
          <w:szCs w:val="17"/>
          <w:color w:val="auto"/>
        </w:rPr>
      </w:pPr>
    </w:p>
    <w:p>
      <w:pPr>
        <w:ind w:left="520" w:right="40" w:hanging="250"/>
        <w:spacing w:after="0" w:line="243"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Annual grant of restricted stock units pursuant to the Director Plan with a grant date value of $100,000 (subject to the board’s ability to adjust the grant downward). The restricted stock units vest on the fourth anniversary of their date of grant and upon a change in control as defined in the Director Plan. If a director is not a member of the board on the fourth anniversary of the grant, restricted stock units will nonetheless settle (i.e., the shares will issue) on such anniversary date if the director has completed eight years of service prior to termination or the director’s termination was due to death, disability or ineligibility to stand for re-election under the company’s by-laws. The director may defer settlement of the restricted stock units at his or her election. Upon settlement, the director will receive one share of TI common stock for each restricted stock unit. Dividend equivalents are paid on the restricted stock units at the same rate as dividends on TI common stock. The director may defer receipt of dividend equivalents.</w:t>
      </w:r>
    </w:p>
    <w:p>
      <w:pPr>
        <w:spacing w:after="0" w:line="2" w:lineRule="exact"/>
        <w:rPr>
          <w:rFonts w:ascii="Arial" w:cs="Arial" w:eastAsia="Arial" w:hAnsi="Arial"/>
          <w:sz w:val="17"/>
          <w:szCs w:val="17"/>
          <w:color w:val="auto"/>
        </w:rPr>
      </w:pPr>
    </w:p>
    <w:p>
      <w:pPr>
        <w:ind w:left="520" w:hanging="250"/>
        <w:spacing w:after="0"/>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$1,000 per day compensation for other activities designated by the chairman.</w:t>
      </w:r>
    </w:p>
    <w:p>
      <w:pPr>
        <w:spacing w:after="0" w:line="15" w:lineRule="exact"/>
        <w:rPr>
          <w:rFonts w:ascii="Arial" w:cs="Arial" w:eastAsia="Arial" w:hAnsi="Arial"/>
          <w:sz w:val="17"/>
          <w:szCs w:val="17"/>
          <w:color w:val="auto"/>
        </w:rPr>
      </w:pPr>
    </w:p>
    <w:p>
      <w:pPr>
        <w:ind w:left="520" w:hanging="250"/>
        <w:spacing w:after="0"/>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one-time grant of 2,000 restricted stock units upon a director’s initial election to the board.</w:t>
      </w:r>
    </w:p>
    <w:p>
      <w:pPr>
        <w:spacing w:after="0" w:line="227" w:lineRule="exact"/>
        <w:rPr>
          <w:sz w:val="20"/>
          <w:szCs w:val="20"/>
          <w:color w:val="auto"/>
        </w:rPr>
      </w:pPr>
    </w:p>
    <w:p>
      <w:pPr>
        <w:jc w:val="both"/>
        <w:ind w:right="200"/>
        <w:spacing w:after="0" w:line="249" w:lineRule="auto"/>
        <w:rPr>
          <w:sz w:val="20"/>
          <w:szCs w:val="20"/>
          <w:color w:val="auto"/>
        </w:rPr>
      </w:pPr>
      <w:r>
        <w:rPr>
          <w:rFonts w:ascii="Arial" w:cs="Arial" w:eastAsia="Arial" w:hAnsi="Arial"/>
          <w:sz w:val="17"/>
          <w:szCs w:val="17"/>
          <w:color w:val="auto"/>
        </w:rPr>
        <w:t>The board has determined that annual grants of equity compensation to non-employee directors will be timed to occur when grants are made to our U.S. employees in connection with the annual compensation review process. Accordingly, such equity grants to non-employee directors are made in January. Please see the discussion regarding the timing of equity compensation grants on page 95.</w:t>
      </w:r>
    </w:p>
    <w:p>
      <w:pPr>
        <w:spacing w:after="0" w:line="198" w:lineRule="exact"/>
        <w:rPr>
          <w:sz w:val="20"/>
          <w:szCs w:val="20"/>
          <w:color w:val="auto"/>
        </w:rPr>
      </w:pPr>
    </w:p>
    <w:p>
      <w:pPr>
        <w:ind w:right="200"/>
        <w:spacing w:after="0" w:line="247" w:lineRule="auto"/>
        <w:rPr>
          <w:sz w:val="20"/>
          <w:szCs w:val="20"/>
          <w:color w:val="auto"/>
        </w:rPr>
      </w:pPr>
      <w:r>
        <w:rPr>
          <w:rFonts w:ascii="Arial" w:cs="Arial" w:eastAsia="Arial" w:hAnsi="Arial"/>
          <w:sz w:val="17"/>
          <w:szCs w:val="17"/>
          <w:color w:val="auto"/>
        </w:rPr>
        <w:t>Directors are not paid a fee for meeting attendance, but we reimburse non-employee directors for their travel, lodging and related expenses incurred in connection with attending board, committee and stockholders meetings and other designated TI events. In addition, non-employee directors may travel on company aircraft to and from these meetings and other designated events. On occasion, directors’ spouses are invited to attend board events; the spouses’ expenses incurred in connection with attendance at those events are also reimbursed.</w:t>
      </w:r>
    </w:p>
    <w:p>
      <w:pPr>
        <w:spacing w:after="0" w:line="200"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Under the Director Plan, some directors have chosen to defer all or part of their cash compensation until they leave the board (or certain other specified times). These deferred amounts were credited to either a cash account or stock unit account. Cash accounts earn interest from TI at a rate currently based on Moody’s Seasoned Aaa Corporate Bonds. For 2014, that rate was 4.56 percent. Stock unit accounts fluctuate in value with the underlying shares of TI common stock, which will be issued after the deferral period. Dividend equivalents are paid on these stock units. Directors may also defer settlement of the restricted stock units they receive.</w:t>
      </w:r>
    </w:p>
    <w:p>
      <w:pPr>
        <w:spacing w:after="0" w:line="201"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We have arrangements with certain customers whereby our employees may purchase consumer products containing TI components at discounted pricing. In addition, the TI Foundation has an educational and cultural matching gift program. In both cases, directors are entitled to participate on the same terms and conditions available to employees.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Non-employee directors are not eligible to participate in any TI-sponsored pension plan.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300" w:type="dxa"/>
            <w:vAlign w:val="bottom"/>
          </w:tcPr>
          <w:p>
            <w:pPr>
              <w:ind w:left="4120"/>
              <w:spacing w:after="0"/>
              <w:rPr>
                <w:sz w:val="20"/>
                <w:szCs w:val="20"/>
                <w:color w:val="auto"/>
              </w:rPr>
            </w:pPr>
            <w:r>
              <w:rPr>
                <w:rFonts w:ascii="Arial" w:cs="Arial" w:eastAsia="Arial" w:hAnsi="Arial"/>
                <w:sz w:val="13"/>
                <w:szCs w:val="13"/>
                <w:color w:val="838383"/>
              </w:rPr>
              <w:t>TEXAS INSTRUMENTS ● 2015 PROXY STATEMENT</w:t>
            </w:r>
          </w:p>
        </w:tc>
        <w:tc>
          <w:tcPr>
            <w:tcW w:w="2140" w:type="dxa"/>
            <w:vAlign w:val="bottom"/>
          </w:tcPr>
          <w:p>
            <w:pPr>
              <w:jc w:val="right"/>
              <w:spacing w:after="0"/>
              <w:rPr>
                <w:sz w:val="20"/>
                <w:szCs w:val="20"/>
                <w:color w:val="auto"/>
              </w:rPr>
            </w:pPr>
            <w:r>
              <w:rPr>
                <w:rFonts w:ascii="Arial" w:cs="Arial" w:eastAsia="Arial" w:hAnsi="Arial"/>
                <w:sz w:val="13"/>
                <w:szCs w:val="13"/>
                <w:color w:val="838383"/>
              </w:rPr>
              <w:t>83</w:t>
            </w:r>
          </w:p>
        </w:tc>
      </w:tr>
      <w:tr>
        <w:trPr>
          <w:trHeight w:val="355"/>
        </w:trPr>
        <w:tc>
          <w:tcPr>
            <w:tcW w:w="930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2014 director compensation</w:t>
      </w:r>
    </w:p>
    <w:p>
      <w:pPr>
        <w:spacing w:after="0" w:line="23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following table shows the compensation of all persons who were non-employee members of the board during 2014 for services in all capacities to TI in 2014.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jc w:val="center"/>
              <w:ind w:right="2"/>
              <w:spacing w:after="0"/>
              <w:rPr>
                <w:sz w:val="20"/>
                <w:szCs w:val="20"/>
                <w:color w:val="auto"/>
              </w:rPr>
            </w:pPr>
            <w:r>
              <w:rPr>
                <w:rFonts w:ascii="Arial" w:cs="Arial" w:eastAsia="Arial" w:hAnsi="Arial"/>
                <w:sz w:val="13"/>
                <w:szCs w:val="13"/>
                <w:b w:val="1"/>
                <w:bCs w:val="1"/>
                <w:color w:val="auto"/>
              </w:rPr>
              <w:t>Change in</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8"/>
        </w:trPr>
        <w:tc>
          <w:tcPr>
            <w:tcW w:w="2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jc w:val="center"/>
              <w:ind w:right="2"/>
              <w:spacing w:after="0"/>
              <w:rPr>
                <w:sz w:val="20"/>
                <w:szCs w:val="20"/>
                <w:color w:val="auto"/>
              </w:rPr>
            </w:pPr>
            <w:r>
              <w:rPr>
                <w:rFonts w:ascii="Arial" w:cs="Arial" w:eastAsia="Arial" w:hAnsi="Arial"/>
                <w:sz w:val="13"/>
                <w:szCs w:val="13"/>
                <w:b w:val="1"/>
                <w:bCs w:val="1"/>
                <w:color w:val="auto"/>
              </w:rPr>
              <w:t>Pension</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8"/>
        </w:trPr>
        <w:tc>
          <w:tcPr>
            <w:tcW w:w="2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jc w:val="center"/>
              <w:ind w:right="2"/>
              <w:spacing w:after="0"/>
              <w:rPr>
                <w:sz w:val="20"/>
                <w:szCs w:val="20"/>
                <w:color w:val="auto"/>
              </w:rPr>
            </w:pPr>
            <w:r>
              <w:rPr>
                <w:rFonts w:ascii="Arial" w:cs="Arial" w:eastAsia="Arial" w:hAnsi="Arial"/>
                <w:sz w:val="13"/>
                <w:szCs w:val="13"/>
                <w:b w:val="1"/>
                <w:bCs w:val="1"/>
                <w:color w:val="auto"/>
                <w:w w:val="97"/>
              </w:rPr>
              <w:t>Value and</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8"/>
        </w:trPr>
        <w:tc>
          <w:tcPr>
            <w:tcW w:w="2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Non-Equity</w:t>
            </w:r>
          </w:p>
        </w:tc>
        <w:tc>
          <w:tcPr>
            <w:tcW w:w="1240" w:type="dxa"/>
            <w:vAlign w:val="bottom"/>
          </w:tcPr>
          <w:p>
            <w:pPr>
              <w:jc w:val="center"/>
              <w:ind w:right="2"/>
              <w:spacing w:after="0"/>
              <w:rPr>
                <w:sz w:val="20"/>
                <w:szCs w:val="20"/>
                <w:color w:val="auto"/>
              </w:rPr>
            </w:pPr>
            <w:r>
              <w:rPr>
                <w:rFonts w:ascii="Arial" w:cs="Arial" w:eastAsia="Arial" w:hAnsi="Arial"/>
                <w:sz w:val="13"/>
                <w:szCs w:val="13"/>
                <w:b w:val="1"/>
                <w:bCs w:val="1"/>
                <w:color w:val="auto"/>
              </w:rPr>
              <w:t>Nonqualified</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8"/>
        </w:trPr>
        <w:tc>
          <w:tcPr>
            <w:tcW w:w="2480" w:type="dxa"/>
            <w:vAlign w:val="bottom"/>
          </w:tcPr>
          <w:p>
            <w:pPr>
              <w:spacing w:after="0"/>
              <w:rPr>
                <w:sz w:val="20"/>
                <w:szCs w:val="20"/>
                <w:color w:val="auto"/>
              </w:rPr>
            </w:pPr>
          </w:p>
        </w:tc>
        <w:tc>
          <w:tcPr>
            <w:tcW w:w="244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rPr>
              <w:t>Fees Earned or</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Stock</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Incentive Plan</w:t>
            </w:r>
          </w:p>
        </w:tc>
        <w:tc>
          <w:tcPr>
            <w:tcW w:w="1240" w:type="dxa"/>
            <w:vAlign w:val="bottom"/>
          </w:tcPr>
          <w:p>
            <w:pPr>
              <w:jc w:val="center"/>
              <w:ind w:right="2"/>
              <w:spacing w:after="0"/>
              <w:rPr>
                <w:sz w:val="20"/>
                <w:szCs w:val="20"/>
                <w:color w:val="auto"/>
              </w:rPr>
            </w:pPr>
            <w:r>
              <w:rPr>
                <w:rFonts w:ascii="Arial" w:cs="Arial" w:eastAsia="Arial" w:hAnsi="Arial"/>
                <w:sz w:val="13"/>
                <w:szCs w:val="13"/>
                <w:b w:val="1"/>
                <w:bCs w:val="1"/>
                <w:color w:val="auto"/>
              </w:rPr>
              <w:t>Deferred</w:t>
            </w:r>
          </w:p>
        </w:tc>
        <w:tc>
          <w:tcPr>
            <w:tcW w:w="12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900" w:type="dxa"/>
            <w:vAlign w:val="bottom"/>
          </w:tcPr>
          <w:p>
            <w:pPr>
              <w:spacing w:after="0"/>
              <w:rPr>
                <w:sz w:val="20"/>
                <w:szCs w:val="20"/>
                <w:color w:val="auto"/>
              </w:rPr>
            </w:pPr>
          </w:p>
        </w:tc>
      </w:tr>
      <w:tr>
        <w:trPr>
          <w:trHeight w:val="238"/>
        </w:trPr>
        <w:tc>
          <w:tcPr>
            <w:tcW w:w="2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80" w:type="dxa"/>
            <w:vAlign w:val="bottom"/>
          </w:tcPr>
          <w:p>
            <w:pPr>
              <w:jc w:val="right"/>
              <w:ind w:right="316"/>
              <w:spacing w:after="0"/>
              <w:rPr>
                <w:sz w:val="20"/>
                <w:szCs w:val="20"/>
                <w:color w:val="auto"/>
              </w:rPr>
            </w:pPr>
            <w:r>
              <w:rPr>
                <w:rFonts w:ascii="Arial" w:cs="Arial" w:eastAsia="Arial" w:hAnsi="Arial"/>
                <w:sz w:val="13"/>
                <w:szCs w:val="13"/>
                <w:b w:val="1"/>
                <w:bCs w:val="1"/>
                <w:color w:val="auto"/>
              </w:rPr>
              <w:t>Paid in</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Compensation</w:t>
            </w:r>
          </w:p>
        </w:tc>
        <w:tc>
          <w:tcPr>
            <w:tcW w:w="1240" w:type="dxa"/>
            <w:vAlign w:val="bottom"/>
          </w:tcPr>
          <w:p>
            <w:pPr>
              <w:jc w:val="center"/>
              <w:ind w:right="2"/>
              <w:spacing w:after="0"/>
              <w:rPr>
                <w:sz w:val="20"/>
                <w:szCs w:val="20"/>
                <w:color w:val="auto"/>
              </w:rPr>
            </w:pPr>
            <w:r>
              <w:rPr>
                <w:rFonts w:ascii="Arial" w:cs="Arial" w:eastAsia="Arial" w:hAnsi="Arial"/>
                <w:sz w:val="13"/>
                <w:szCs w:val="13"/>
                <w:b w:val="1"/>
                <w:bCs w:val="1"/>
                <w:color w:val="auto"/>
              </w:rPr>
              <w:t>Compensation</w:t>
            </w:r>
          </w:p>
        </w:tc>
        <w:tc>
          <w:tcPr>
            <w:tcW w:w="12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Compensation</w:t>
            </w:r>
          </w:p>
        </w:tc>
        <w:tc>
          <w:tcPr>
            <w:tcW w:w="900" w:type="dxa"/>
            <w:vAlign w:val="bottom"/>
          </w:tcPr>
          <w:p>
            <w:pPr>
              <w:spacing w:after="0"/>
              <w:rPr>
                <w:sz w:val="20"/>
                <w:szCs w:val="20"/>
                <w:color w:val="auto"/>
              </w:rPr>
            </w:pPr>
          </w:p>
        </w:tc>
      </w:tr>
      <w:tr>
        <w:trPr>
          <w:trHeight w:val="238"/>
        </w:trPr>
        <w:tc>
          <w:tcPr>
            <w:tcW w:w="24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2440" w:type="dxa"/>
            <w:vAlign w:val="bottom"/>
            <w:gridSpan w:val="2"/>
          </w:tcPr>
          <w:p>
            <w:pPr>
              <w:ind w:left="1460"/>
              <w:spacing w:after="0"/>
              <w:rPr>
                <w:sz w:val="20"/>
                <w:szCs w:val="20"/>
                <w:color w:val="auto"/>
              </w:rPr>
            </w:pPr>
            <w:r>
              <w:rPr>
                <w:rFonts w:ascii="Arial" w:cs="Arial" w:eastAsia="Arial" w:hAnsi="Arial"/>
                <w:sz w:val="13"/>
                <w:szCs w:val="13"/>
                <w:b w:val="1"/>
                <w:bCs w:val="1"/>
                <w:color w:val="auto"/>
              </w:rPr>
              <w:t>Cash ($) (1)</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 (2)</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 (3)</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240" w:type="dxa"/>
            <w:vAlign w:val="bottom"/>
          </w:tcPr>
          <w:p>
            <w:pPr>
              <w:jc w:val="center"/>
              <w:ind w:right="2"/>
              <w:spacing w:after="0"/>
              <w:rPr>
                <w:sz w:val="20"/>
                <w:szCs w:val="20"/>
                <w:color w:val="auto"/>
              </w:rPr>
            </w:pPr>
            <w:r>
              <w:rPr>
                <w:rFonts w:ascii="Arial" w:cs="Arial" w:eastAsia="Arial" w:hAnsi="Arial"/>
                <w:sz w:val="13"/>
                <w:szCs w:val="13"/>
                <w:b w:val="1"/>
                <w:bCs w:val="1"/>
                <w:color w:val="auto"/>
              </w:rPr>
              <w:t>Earnings (4)</w:t>
            </w:r>
          </w:p>
        </w:tc>
        <w:tc>
          <w:tcPr>
            <w:tcW w:w="440" w:type="dxa"/>
            <w:vAlign w:val="bottom"/>
          </w:tcPr>
          <w:p>
            <w:pPr>
              <w:spacing w:after="0"/>
              <w:rPr>
                <w:sz w:val="20"/>
                <w:szCs w:val="20"/>
                <w:color w:val="auto"/>
              </w:rPr>
            </w:pPr>
          </w:p>
        </w:tc>
        <w:tc>
          <w:tcPr>
            <w:tcW w:w="820" w:type="dxa"/>
            <w:vAlign w:val="bottom"/>
          </w:tcPr>
          <w:p>
            <w:pPr>
              <w:jc w:val="center"/>
              <w:ind w:right="336"/>
              <w:spacing w:after="0"/>
              <w:rPr>
                <w:sz w:val="20"/>
                <w:szCs w:val="20"/>
                <w:color w:val="auto"/>
              </w:rPr>
            </w:pPr>
            <w:r>
              <w:rPr>
                <w:rFonts w:ascii="Arial" w:cs="Arial" w:eastAsia="Arial" w:hAnsi="Arial"/>
                <w:sz w:val="13"/>
                <w:szCs w:val="13"/>
                <w:b w:val="1"/>
                <w:bCs w:val="1"/>
                <w:color w:val="auto"/>
              </w:rPr>
              <w:t>($) (5)</w:t>
            </w:r>
          </w:p>
        </w:tc>
        <w:tc>
          <w:tcPr>
            <w:tcW w:w="900" w:type="dxa"/>
            <w:vAlign w:val="bottom"/>
          </w:tcPr>
          <w:p>
            <w:pPr>
              <w:jc w:val="center"/>
              <w:ind w:left="56"/>
              <w:spacing w:after="0"/>
              <w:rPr>
                <w:sz w:val="20"/>
                <w:szCs w:val="20"/>
                <w:color w:val="auto"/>
              </w:rPr>
            </w:pPr>
            <w:r>
              <w:rPr>
                <w:rFonts w:ascii="Arial" w:cs="Arial" w:eastAsia="Arial" w:hAnsi="Arial"/>
                <w:sz w:val="13"/>
                <w:szCs w:val="13"/>
                <w:b w:val="1"/>
                <w:bCs w:val="1"/>
                <w:color w:val="auto"/>
              </w:rPr>
              <w:t>Total ($)</w:t>
            </w:r>
          </w:p>
        </w:tc>
      </w:tr>
      <w:tr>
        <w:trPr>
          <w:trHeight w:val="41"/>
        </w:trPr>
        <w:tc>
          <w:tcPr>
            <w:tcW w:w="248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31"/>
        </w:trPr>
        <w:tc>
          <w:tcPr>
            <w:tcW w:w="2480" w:type="dxa"/>
            <w:vAlign w:val="bottom"/>
            <w:shd w:val="clear" w:color="auto" w:fill="E9E9E9"/>
          </w:tcPr>
          <w:p>
            <w:pPr>
              <w:spacing w:after="0"/>
              <w:rPr>
                <w:sz w:val="20"/>
                <w:szCs w:val="20"/>
                <w:color w:val="auto"/>
              </w:rPr>
            </w:pPr>
            <w:r>
              <w:rPr>
                <w:rFonts w:ascii="Arial" w:cs="Arial" w:eastAsia="Arial" w:hAnsi="Arial"/>
                <w:sz w:val="17"/>
                <w:szCs w:val="17"/>
                <w:color w:val="auto"/>
              </w:rPr>
              <w:t>R. W. Babb, Jr.</w:t>
            </w:r>
          </w:p>
        </w:tc>
        <w:tc>
          <w:tcPr>
            <w:tcW w:w="2440" w:type="dxa"/>
            <w:vAlign w:val="bottom"/>
            <w:gridSpan w:val="2"/>
            <w:shd w:val="clear" w:color="auto" w:fill="E9E9E9"/>
          </w:tcPr>
          <w:p>
            <w:pPr>
              <w:jc w:val="right"/>
              <w:ind w:right="156"/>
              <w:spacing w:after="0"/>
              <w:rPr>
                <w:sz w:val="20"/>
                <w:szCs w:val="20"/>
                <w:color w:val="auto"/>
              </w:rPr>
            </w:pPr>
            <w:r>
              <w:rPr>
                <w:rFonts w:ascii="Arial" w:cs="Arial" w:eastAsia="Arial" w:hAnsi="Arial"/>
                <w:sz w:val="17"/>
                <w:szCs w:val="17"/>
                <w:color w:val="auto"/>
              </w:rPr>
              <w:t>$ 110,000</w:t>
            </w:r>
          </w:p>
        </w:tc>
        <w:tc>
          <w:tcPr>
            <w:tcW w:w="9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$ 99,996</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$ 99,993</w:t>
            </w:r>
          </w:p>
        </w:tc>
        <w:tc>
          <w:tcPr>
            <w:tcW w:w="12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240" w:type="dxa"/>
            <w:vAlign w:val="bottom"/>
            <w:shd w:val="clear" w:color="auto" w:fill="E9E9E9"/>
          </w:tcPr>
          <w:p>
            <w:pPr>
              <w:jc w:val="right"/>
              <w:ind w:right="342"/>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196"/>
              <w:spacing w:after="0"/>
              <w:rPr>
                <w:sz w:val="20"/>
                <w:szCs w:val="20"/>
                <w:color w:val="auto"/>
              </w:rPr>
            </w:pPr>
            <w:r>
              <w:rPr>
                <w:rFonts w:ascii="Arial" w:cs="Arial" w:eastAsia="Arial" w:hAnsi="Arial"/>
                <w:sz w:val="17"/>
                <w:szCs w:val="17"/>
                <w:color w:val="auto"/>
              </w:rPr>
              <w:t>40</w:t>
            </w:r>
          </w:p>
        </w:tc>
        <w:tc>
          <w:tcPr>
            <w:tcW w:w="900" w:type="dxa"/>
            <w:vAlign w:val="bottom"/>
            <w:shd w:val="clear" w:color="auto" w:fill="E9E9E9"/>
          </w:tcPr>
          <w:p>
            <w:pPr>
              <w:jc w:val="center"/>
              <w:ind w:left="56"/>
              <w:spacing w:after="0"/>
              <w:rPr>
                <w:sz w:val="20"/>
                <w:szCs w:val="20"/>
                <w:color w:val="auto"/>
              </w:rPr>
            </w:pPr>
            <w:r>
              <w:rPr>
                <w:rFonts w:ascii="Arial" w:cs="Arial" w:eastAsia="Arial" w:hAnsi="Arial"/>
                <w:sz w:val="17"/>
                <w:szCs w:val="17"/>
                <w:color w:val="auto"/>
              </w:rPr>
              <w:t>$ 310,029</w:t>
            </w:r>
          </w:p>
        </w:tc>
      </w:tr>
      <w:tr>
        <w:trPr>
          <w:trHeight w:val="230"/>
        </w:trPr>
        <w:tc>
          <w:tcPr>
            <w:tcW w:w="2480" w:type="dxa"/>
            <w:vAlign w:val="bottom"/>
          </w:tcPr>
          <w:p>
            <w:pPr>
              <w:spacing w:after="0"/>
              <w:rPr>
                <w:sz w:val="20"/>
                <w:szCs w:val="20"/>
                <w:color w:val="auto"/>
              </w:rPr>
            </w:pPr>
            <w:r>
              <w:rPr>
                <w:rFonts w:ascii="Arial" w:cs="Arial" w:eastAsia="Arial" w:hAnsi="Arial"/>
                <w:sz w:val="17"/>
                <w:szCs w:val="17"/>
                <w:color w:val="auto"/>
              </w:rPr>
              <w:t>M. A. Blinn</w:t>
            </w:r>
          </w:p>
        </w:tc>
        <w:tc>
          <w:tcPr>
            <w:tcW w:w="1560" w:type="dxa"/>
            <w:vAlign w:val="bottom"/>
          </w:tcPr>
          <w:p>
            <w:pPr>
              <w:ind w:left="144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6"/>
              <w:spacing w:after="0"/>
              <w:rPr>
                <w:sz w:val="20"/>
                <w:szCs w:val="20"/>
                <w:color w:val="auto"/>
              </w:rPr>
            </w:pPr>
            <w:r>
              <w:rPr>
                <w:rFonts w:ascii="Arial" w:cs="Arial" w:eastAsia="Arial" w:hAnsi="Arial"/>
                <w:sz w:val="17"/>
                <w:szCs w:val="17"/>
                <w:color w:val="auto"/>
              </w:rPr>
              <w:t>80,000</w:t>
            </w:r>
          </w:p>
        </w:tc>
        <w:tc>
          <w:tcPr>
            <w:tcW w:w="960" w:type="dxa"/>
            <w:vAlign w:val="bottom"/>
          </w:tcPr>
          <w:p>
            <w:pPr>
              <w:jc w:val="center"/>
              <w:spacing w:after="0"/>
              <w:rPr>
                <w:sz w:val="20"/>
                <w:szCs w:val="20"/>
                <w:color w:val="auto"/>
              </w:rPr>
            </w:pPr>
            <w:r>
              <w:rPr>
                <w:rFonts w:ascii="Arial" w:cs="Arial" w:eastAsia="Arial" w:hAnsi="Arial"/>
                <w:sz w:val="17"/>
                <w:szCs w:val="17"/>
                <w:color w:val="auto"/>
              </w:rPr>
              <w:t>$ 99,996</w:t>
            </w:r>
          </w:p>
        </w:tc>
        <w:tc>
          <w:tcPr>
            <w:tcW w:w="940" w:type="dxa"/>
            <w:vAlign w:val="bottom"/>
          </w:tcPr>
          <w:p>
            <w:pPr>
              <w:jc w:val="center"/>
              <w:spacing w:after="0"/>
              <w:rPr>
                <w:sz w:val="20"/>
                <w:szCs w:val="20"/>
                <w:color w:val="auto"/>
              </w:rPr>
            </w:pPr>
            <w:r>
              <w:rPr>
                <w:rFonts w:ascii="Arial" w:cs="Arial" w:eastAsia="Arial" w:hAnsi="Arial"/>
                <w:sz w:val="17"/>
                <w:szCs w:val="17"/>
                <w:color w:val="auto"/>
              </w:rPr>
              <w:t>$ 99,993</w:t>
            </w:r>
          </w:p>
        </w:tc>
        <w:tc>
          <w:tcPr>
            <w:tcW w:w="12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240" w:type="dxa"/>
            <w:vAlign w:val="bottom"/>
          </w:tcPr>
          <w:p>
            <w:pPr>
              <w:jc w:val="right"/>
              <w:ind w:right="342"/>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96"/>
              <w:spacing w:after="0"/>
              <w:rPr>
                <w:sz w:val="20"/>
                <w:szCs w:val="20"/>
                <w:color w:val="auto"/>
              </w:rPr>
            </w:pPr>
            <w:r>
              <w:rPr>
                <w:rFonts w:ascii="Arial" w:cs="Arial" w:eastAsia="Arial" w:hAnsi="Arial"/>
                <w:sz w:val="17"/>
                <w:szCs w:val="17"/>
                <w:color w:val="auto"/>
              </w:rPr>
              <w:t>40</w:t>
            </w:r>
          </w:p>
        </w:tc>
        <w:tc>
          <w:tcPr>
            <w:tcW w:w="900" w:type="dxa"/>
            <w:vAlign w:val="bottom"/>
          </w:tcPr>
          <w:p>
            <w:pPr>
              <w:jc w:val="center"/>
              <w:ind w:left="56"/>
              <w:spacing w:after="0"/>
              <w:rPr>
                <w:sz w:val="20"/>
                <w:szCs w:val="20"/>
                <w:color w:val="auto"/>
              </w:rPr>
            </w:pPr>
            <w:r>
              <w:rPr>
                <w:rFonts w:ascii="Arial" w:cs="Arial" w:eastAsia="Arial" w:hAnsi="Arial"/>
                <w:sz w:val="17"/>
                <w:szCs w:val="17"/>
                <w:color w:val="auto"/>
              </w:rPr>
              <w:t>$ 280,029</w:t>
            </w:r>
          </w:p>
        </w:tc>
      </w:tr>
      <w:tr>
        <w:trPr>
          <w:trHeight w:val="246"/>
        </w:trPr>
        <w:tc>
          <w:tcPr>
            <w:tcW w:w="2480" w:type="dxa"/>
            <w:vAlign w:val="bottom"/>
            <w:shd w:val="clear" w:color="auto" w:fill="E9E9E9"/>
          </w:tcPr>
          <w:p>
            <w:pPr>
              <w:spacing w:after="0"/>
              <w:rPr>
                <w:sz w:val="20"/>
                <w:szCs w:val="20"/>
                <w:color w:val="auto"/>
              </w:rPr>
            </w:pPr>
            <w:r>
              <w:rPr>
                <w:rFonts w:ascii="Arial" w:cs="Arial" w:eastAsia="Arial" w:hAnsi="Arial"/>
                <w:sz w:val="17"/>
                <w:szCs w:val="17"/>
                <w:color w:val="auto"/>
              </w:rPr>
              <w:t>D. A. Carp</w:t>
            </w:r>
          </w:p>
        </w:tc>
        <w:tc>
          <w:tcPr>
            <w:tcW w:w="1560" w:type="dxa"/>
            <w:vAlign w:val="bottom"/>
            <w:shd w:val="clear" w:color="auto" w:fill="E9E9E9"/>
          </w:tcPr>
          <w:p>
            <w:pPr>
              <w:ind w:left="1440"/>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ind w:right="156"/>
              <w:spacing w:after="0"/>
              <w:rPr>
                <w:sz w:val="20"/>
                <w:szCs w:val="20"/>
                <w:color w:val="auto"/>
              </w:rPr>
            </w:pPr>
            <w:r>
              <w:rPr>
                <w:rFonts w:ascii="Arial" w:cs="Arial" w:eastAsia="Arial" w:hAnsi="Arial"/>
                <w:sz w:val="17"/>
                <w:szCs w:val="17"/>
                <w:color w:val="auto"/>
              </w:rPr>
              <w:t>80,000</w:t>
            </w:r>
          </w:p>
        </w:tc>
        <w:tc>
          <w:tcPr>
            <w:tcW w:w="9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$ 99,996</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$ 99,993</w:t>
            </w:r>
          </w:p>
        </w:tc>
        <w:tc>
          <w:tcPr>
            <w:tcW w:w="12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240" w:type="dxa"/>
            <w:vAlign w:val="bottom"/>
            <w:shd w:val="clear" w:color="auto" w:fill="E9E9E9"/>
          </w:tcPr>
          <w:p>
            <w:pPr>
              <w:jc w:val="right"/>
              <w:ind w:right="342"/>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196"/>
              <w:spacing w:after="0"/>
              <w:rPr>
                <w:sz w:val="20"/>
                <w:szCs w:val="20"/>
                <w:color w:val="auto"/>
              </w:rPr>
            </w:pPr>
            <w:r>
              <w:rPr>
                <w:rFonts w:ascii="Arial" w:cs="Arial" w:eastAsia="Arial" w:hAnsi="Arial"/>
                <w:sz w:val="17"/>
                <w:szCs w:val="17"/>
                <w:color w:val="auto"/>
              </w:rPr>
              <w:t>779</w:t>
            </w:r>
          </w:p>
        </w:tc>
        <w:tc>
          <w:tcPr>
            <w:tcW w:w="900" w:type="dxa"/>
            <w:vAlign w:val="bottom"/>
            <w:shd w:val="clear" w:color="auto" w:fill="E9E9E9"/>
          </w:tcPr>
          <w:p>
            <w:pPr>
              <w:jc w:val="center"/>
              <w:ind w:left="56"/>
              <w:spacing w:after="0"/>
              <w:rPr>
                <w:sz w:val="20"/>
                <w:szCs w:val="20"/>
                <w:color w:val="auto"/>
              </w:rPr>
            </w:pPr>
            <w:r>
              <w:rPr>
                <w:rFonts w:ascii="Arial" w:cs="Arial" w:eastAsia="Arial" w:hAnsi="Arial"/>
                <w:sz w:val="17"/>
                <w:szCs w:val="17"/>
                <w:color w:val="auto"/>
              </w:rPr>
              <w:t>$ 280,768</w:t>
            </w:r>
          </w:p>
        </w:tc>
      </w:tr>
      <w:tr>
        <w:trPr>
          <w:trHeight w:val="230"/>
        </w:trPr>
        <w:tc>
          <w:tcPr>
            <w:tcW w:w="2480" w:type="dxa"/>
            <w:vAlign w:val="bottom"/>
          </w:tcPr>
          <w:p>
            <w:pPr>
              <w:spacing w:after="0"/>
              <w:rPr>
                <w:sz w:val="20"/>
                <w:szCs w:val="20"/>
                <w:color w:val="auto"/>
              </w:rPr>
            </w:pPr>
            <w:r>
              <w:rPr>
                <w:rFonts w:ascii="Arial" w:cs="Arial" w:eastAsia="Arial" w:hAnsi="Arial"/>
                <w:sz w:val="17"/>
                <w:szCs w:val="17"/>
                <w:color w:val="auto"/>
              </w:rPr>
              <w:t>C. S. Cox</w:t>
            </w:r>
          </w:p>
        </w:tc>
        <w:tc>
          <w:tcPr>
            <w:tcW w:w="1560" w:type="dxa"/>
            <w:vAlign w:val="bottom"/>
          </w:tcPr>
          <w:p>
            <w:pPr>
              <w:ind w:left="144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6"/>
              <w:spacing w:after="0"/>
              <w:rPr>
                <w:sz w:val="20"/>
                <w:szCs w:val="20"/>
                <w:color w:val="auto"/>
              </w:rPr>
            </w:pPr>
            <w:r>
              <w:rPr>
                <w:rFonts w:ascii="Arial" w:cs="Arial" w:eastAsia="Arial" w:hAnsi="Arial"/>
                <w:sz w:val="17"/>
                <w:szCs w:val="17"/>
                <w:color w:val="auto"/>
              </w:rPr>
              <w:t>95,000</w:t>
            </w:r>
          </w:p>
        </w:tc>
        <w:tc>
          <w:tcPr>
            <w:tcW w:w="960" w:type="dxa"/>
            <w:vAlign w:val="bottom"/>
          </w:tcPr>
          <w:p>
            <w:pPr>
              <w:jc w:val="center"/>
              <w:spacing w:after="0"/>
              <w:rPr>
                <w:sz w:val="20"/>
                <w:szCs w:val="20"/>
                <w:color w:val="auto"/>
              </w:rPr>
            </w:pPr>
            <w:r>
              <w:rPr>
                <w:rFonts w:ascii="Arial" w:cs="Arial" w:eastAsia="Arial" w:hAnsi="Arial"/>
                <w:sz w:val="17"/>
                <w:szCs w:val="17"/>
                <w:color w:val="auto"/>
              </w:rPr>
              <w:t>$ 99,996</w:t>
            </w:r>
          </w:p>
        </w:tc>
        <w:tc>
          <w:tcPr>
            <w:tcW w:w="940" w:type="dxa"/>
            <w:vAlign w:val="bottom"/>
          </w:tcPr>
          <w:p>
            <w:pPr>
              <w:jc w:val="center"/>
              <w:spacing w:after="0"/>
              <w:rPr>
                <w:sz w:val="20"/>
                <w:szCs w:val="20"/>
                <w:color w:val="auto"/>
              </w:rPr>
            </w:pPr>
            <w:r>
              <w:rPr>
                <w:rFonts w:ascii="Arial" w:cs="Arial" w:eastAsia="Arial" w:hAnsi="Arial"/>
                <w:sz w:val="17"/>
                <w:szCs w:val="17"/>
                <w:color w:val="auto"/>
              </w:rPr>
              <w:t>$ 99,993</w:t>
            </w:r>
          </w:p>
        </w:tc>
        <w:tc>
          <w:tcPr>
            <w:tcW w:w="12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240" w:type="dxa"/>
            <w:vAlign w:val="bottom"/>
          </w:tcPr>
          <w:p>
            <w:pPr>
              <w:jc w:val="right"/>
              <w:ind w:right="342"/>
              <w:spacing w:after="0"/>
              <w:rPr>
                <w:sz w:val="20"/>
                <w:szCs w:val="20"/>
                <w:color w:val="auto"/>
              </w:rPr>
            </w:pPr>
            <w:r>
              <w:rPr>
                <w:rFonts w:ascii="Arial" w:cs="Arial" w:eastAsia="Arial" w:hAnsi="Arial"/>
                <w:sz w:val="17"/>
                <w:szCs w:val="17"/>
                <w:color w:val="auto"/>
              </w:rPr>
              <w:t>$ 2,352</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96"/>
              <w:spacing w:after="0"/>
              <w:rPr>
                <w:sz w:val="20"/>
                <w:szCs w:val="20"/>
                <w:color w:val="auto"/>
              </w:rPr>
            </w:pPr>
            <w:r>
              <w:rPr>
                <w:rFonts w:ascii="Arial" w:cs="Arial" w:eastAsia="Arial" w:hAnsi="Arial"/>
                <w:sz w:val="17"/>
                <w:szCs w:val="17"/>
                <w:color w:val="auto"/>
              </w:rPr>
              <w:t>9,040</w:t>
            </w:r>
          </w:p>
        </w:tc>
        <w:tc>
          <w:tcPr>
            <w:tcW w:w="900" w:type="dxa"/>
            <w:vAlign w:val="bottom"/>
          </w:tcPr>
          <w:p>
            <w:pPr>
              <w:jc w:val="center"/>
              <w:ind w:left="56"/>
              <w:spacing w:after="0"/>
              <w:rPr>
                <w:sz w:val="20"/>
                <w:szCs w:val="20"/>
                <w:color w:val="auto"/>
              </w:rPr>
            </w:pPr>
            <w:r>
              <w:rPr>
                <w:rFonts w:ascii="Arial" w:cs="Arial" w:eastAsia="Arial" w:hAnsi="Arial"/>
                <w:sz w:val="17"/>
                <w:szCs w:val="17"/>
                <w:color w:val="auto"/>
              </w:rPr>
              <w:t>$ 306,381</w:t>
            </w:r>
          </w:p>
        </w:tc>
      </w:tr>
      <w:tr>
        <w:trPr>
          <w:trHeight w:val="246"/>
        </w:trPr>
        <w:tc>
          <w:tcPr>
            <w:tcW w:w="2480" w:type="dxa"/>
            <w:vAlign w:val="bottom"/>
            <w:shd w:val="clear" w:color="auto" w:fill="E9E9E9"/>
          </w:tcPr>
          <w:p>
            <w:pPr>
              <w:spacing w:after="0"/>
              <w:rPr>
                <w:sz w:val="20"/>
                <w:szCs w:val="20"/>
                <w:color w:val="auto"/>
              </w:rPr>
            </w:pPr>
            <w:r>
              <w:rPr>
                <w:rFonts w:ascii="Arial" w:cs="Arial" w:eastAsia="Arial" w:hAnsi="Arial"/>
                <w:sz w:val="17"/>
                <w:szCs w:val="17"/>
                <w:color w:val="auto"/>
              </w:rPr>
              <w:t>R. Kirk</w:t>
            </w:r>
          </w:p>
        </w:tc>
        <w:tc>
          <w:tcPr>
            <w:tcW w:w="1560" w:type="dxa"/>
            <w:vAlign w:val="bottom"/>
            <w:shd w:val="clear" w:color="auto" w:fill="E9E9E9"/>
          </w:tcPr>
          <w:p>
            <w:pPr>
              <w:ind w:left="1440"/>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ind w:right="156"/>
              <w:spacing w:after="0"/>
              <w:rPr>
                <w:sz w:val="20"/>
                <w:szCs w:val="20"/>
                <w:color w:val="auto"/>
              </w:rPr>
            </w:pPr>
            <w:r>
              <w:rPr>
                <w:rFonts w:ascii="Arial" w:cs="Arial" w:eastAsia="Arial" w:hAnsi="Arial"/>
                <w:sz w:val="17"/>
                <w:szCs w:val="17"/>
                <w:color w:val="auto"/>
              </w:rPr>
              <w:t>80,000</w:t>
            </w:r>
          </w:p>
        </w:tc>
        <w:tc>
          <w:tcPr>
            <w:tcW w:w="9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$ 99,996</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$ 99,993</w:t>
            </w:r>
          </w:p>
        </w:tc>
        <w:tc>
          <w:tcPr>
            <w:tcW w:w="12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240" w:type="dxa"/>
            <w:vAlign w:val="bottom"/>
            <w:shd w:val="clear" w:color="auto" w:fill="E9E9E9"/>
          </w:tcPr>
          <w:p>
            <w:pPr>
              <w:jc w:val="right"/>
              <w:ind w:right="342"/>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196"/>
              <w:spacing w:after="0"/>
              <w:rPr>
                <w:sz w:val="20"/>
                <w:szCs w:val="20"/>
                <w:color w:val="auto"/>
              </w:rPr>
            </w:pPr>
            <w:r>
              <w:rPr>
                <w:rFonts w:ascii="Arial" w:cs="Arial" w:eastAsia="Arial" w:hAnsi="Arial"/>
                <w:sz w:val="17"/>
                <w:szCs w:val="17"/>
                <w:color w:val="auto"/>
              </w:rPr>
              <w:t>40</w:t>
            </w:r>
          </w:p>
        </w:tc>
        <w:tc>
          <w:tcPr>
            <w:tcW w:w="900" w:type="dxa"/>
            <w:vAlign w:val="bottom"/>
            <w:shd w:val="clear" w:color="auto" w:fill="E9E9E9"/>
          </w:tcPr>
          <w:p>
            <w:pPr>
              <w:jc w:val="center"/>
              <w:ind w:left="56"/>
              <w:spacing w:after="0"/>
              <w:rPr>
                <w:sz w:val="20"/>
                <w:szCs w:val="20"/>
                <w:color w:val="auto"/>
              </w:rPr>
            </w:pPr>
            <w:r>
              <w:rPr>
                <w:rFonts w:ascii="Arial" w:cs="Arial" w:eastAsia="Arial" w:hAnsi="Arial"/>
                <w:sz w:val="17"/>
                <w:szCs w:val="17"/>
                <w:color w:val="auto"/>
              </w:rPr>
              <w:t>$ 280,029</w:t>
            </w:r>
          </w:p>
        </w:tc>
      </w:tr>
      <w:tr>
        <w:trPr>
          <w:trHeight w:val="230"/>
        </w:trPr>
        <w:tc>
          <w:tcPr>
            <w:tcW w:w="2480" w:type="dxa"/>
            <w:vAlign w:val="bottom"/>
          </w:tcPr>
          <w:p>
            <w:pPr>
              <w:spacing w:after="0"/>
              <w:rPr>
                <w:sz w:val="20"/>
                <w:szCs w:val="20"/>
                <w:color w:val="auto"/>
              </w:rPr>
            </w:pPr>
            <w:r>
              <w:rPr>
                <w:rFonts w:ascii="Arial" w:cs="Arial" w:eastAsia="Arial" w:hAnsi="Arial"/>
                <w:sz w:val="17"/>
                <w:szCs w:val="17"/>
                <w:color w:val="auto"/>
              </w:rPr>
              <w:t>P. H. Patsley</w:t>
            </w:r>
          </w:p>
        </w:tc>
        <w:tc>
          <w:tcPr>
            <w:tcW w:w="1560" w:type="dxa"/>
            <w:vAlign w:val="bottom"/>
          </w:tcPr>
          <w:p>
            <w:pPr>
              <w:ind w:left="144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6"/>
              <w:spacing w:after="0"/>
              <w:rPr>
                <w:sz w:val="20"/>
                <w:szCs w:val="20"/>
                <w:color w:val="auto"/>
              </w:rPr>
            </w:pPr>
            <w:r>
              <w:rPr>
                <w:rFonts w:ascii="Arial" w:cs="Arial" w:eastAsia="Arial" w:hAnsi="Arial"/>
                <w:sz w:val="17"/>
                <w:szCs w:val="17"/>
                <w:color w:val="auto"/>
              </w:rPr>
              <w:t>80,000</w:t>
            </w:r>
          </w:p>
        </w:tc>
        <w:tc>
          <w:tcPr>
            <w:tcW w:w="960" w:type="dxa"/>
            <w:vAlign w:val="bottom"/>
          </w:tcPr>
          <w:p>
            <w:pPr>
              <w:jc w:val="center"/>
              <w:spacing w:after="0"/>
              <w:rPr>
                <w:sz w:val="20"/>
                <w:szCs w:val="20"/>
                <w:color w:val="auto"/>
              </w:rPr>
            </w:pPr>
            <w:r>
              <w:rPr>
                <w:rFonts w:ascii="Arial" w:cs="Arial" w:eastAsia="Arial" w:hAnsi="Arial"/>
                <w:sz w:val="17"/>
                <w:szCs w:val="17"/>
                <w:color w:val="auto"/>
              </w:rPr>
              <w:t>$ 99,996</w:t>
            </w:r>
          </w:p>
        </w:tc>
        <w:tc>
          <w:tcPr>
            <w:tcW w:w="940" w:type="dxa"/>
            <w:vAlign w:val="bottom"/>
          </w:tcPr>
          <w:p>
            <w:pPr>
              <w:jc w:val="center"/>
              <w:spacing w:after="0"/>
              <w:rPr>
                <w:sz w:val="20"/>
                <w:szCs w:val="20"/>
                <w:color w:val="auto"/>
              </w:rPr>
            </w:pPr>
            <w:r>
              <w:rPr>
                <w:rFonts w:ascii="Arial" w:cs="Arial" w:eastAsia="Arial" w:hAnsi="Arial"/>
                <w:sz w:val="17"/>
                <w:szCs w:val="17"/>
                <w:color w:val="auto"/>
              </w:rPr>
              <w:t>$ 99,993</w:t>
            </w:r>
          </w:p>
        </w:tc>
        <w:tc>
          <w:tcPr>
            <w:tcW w:w="12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240" w:type="dxa"/>
            <w:vAlign w:val="bottom"/>
          </w:tcPr>
          <w:p>
            <w:pPr>
              <w:jc w:val="right"/>
              <w:ind w:right="342"/>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96"/>
              <w:spacing w:after="0"/>
              <w:rPr>
                <w:sz w:val="20"/>
                <w:szCs w:val="20"/>
                <w:color w:val="auto"/>
              </w:rPr>
            </w:pPr>
            <w:r>
              <w:rPr>
                <w:rFonts w:ascii="Arial" w:cs="Arial" w:eastAsia="Arial" w:hAnsi="Arial"/>
                <w:sz w:val="17"/>
                <w:szCs w:val="17"/>
                <w:color w:val="auto"/>
              </w:rPr>
              <w:t>40</w:t>
            </w:r>
          </w:p>
        </w:tc>
        <w:tc>
          <w:tcPr>
            <w:tcW w:w="900" w:type="dxa"/>
            <w:vAlign w:val="bottom"/>
          </w:tcPr>
          <w:p>
            <w:pPr>
              <w:jc w:val="center"/>
              <w:ind w:left="56"/>
              <w:spacing w:after="0"/>
              <w:rPr>
                <w:sz w:val="20"/>
                <w:szCs w:val="20"/>
                <w:color w:val="auto"/>
              </w:rPr>
            </w:pPr>
            <w:r>
              <w:rPr>
                <w:rFonts w:ascii="Arial" w:cs="Arial" w:eastAsia="Arial" w:hAnsi="Arial"/>
                <w:sz w:val="17"/>
                <w:szCs w:val="17"/>
                <w:color w:val="auto"/>
              </w:rPr>
              <w:t>$ 280,029</w:t>
            </w:r>
          </w:p>
        </w:tc>
      </w:tr>
      <w:tr>
        <w:trPr>
          <w:trHeight w:val="246"/>
        </w:trPr>
        <w:tc>
          <w:tcPr>
            <w:tcW w:w="2480" w:type="dxa"/>
            <w:vAlign w:val="bottom"/>
            <w:shd w:val="clear" w:color="auto" w:fill="E9E9E9"/>
          </w:tcPr>
          <w:p>
            <w:pPr>
              <w:spacing w:after="0"/>
              <w:rPr>
                <w:sz w:val="20"/>
                <w:szCs w:val="20"/>
                <w:color w:val="auto"/>
              </w:rPr>
            </w:pPr>
            <w:r>
              <w:rPr>
                <w:rFonts w:ascii="Arial" w:cs="Arial" w:eastAsia="Arial" w:hAnsi="Arial"/>
                <w:sz w:val="17"/>
                <w:szCs w:val="17"/>
                <w:color w:val="auto"/>
              </w:rPr>
              <w:t>R. E. Sanchez</w:t>
            </w:r>
          </w:p>
        </w:tc>
        <w:tc>
          <w:tcPr>
            <w:tcW w:w="1560" w:type="dxa"/>
            <w:vAlign w:val="bottom"/>
            <w:shd w:val="clear" w:color="auto" w:fill="E9E9E9"/>
          </w:tcPr>
          <w:p>
            <w:pPr>
              <w:ind w:left="1440"/>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ind w:right="156"/>
              <w:spacing w:after="0"/>
              <w:rPr>
                <w:sz w:val="20"/>
                <w:szCs w:val="20"/>
                <w:color w:val="auto"/>
              </w:rPr>
            </w:pPr>
            <w:r>
              <w:rPr>
                <w:rFonts w:ascii="Arial" w:cs="Arial" w:eastAsia="Arial" w:hAnsi="Arial"/>
                <w:sz w:val="17"/>
                <w:szCs w:val="17"/>
                <w:color w:val="auto"/>
              </w:rPr>
              <w:t>93,333</w:t>
            </w:r>
          </w:p>
        </w:tc>
        <w:tc>
          <w:tcPr>
            <w:tcW w:w="9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$ 99,996</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$ 99,993</w:t>
            </w:r>
          </w:p>
        </w:tc>
        <w:tc>
          <w:tcPr>
            <w:tcW w:w="12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240" w:type="dxa"/>
            <w:vAlign w:val="bottom"/>
            <w:shd w:val="clear" w:color="auto" w:fill="E9E9E9"/>
          </w:tcPr>
          <w:p>
            <w:pPr>
              <w:jc w:val="right"/>
              <w:ind w:right="342"/>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E9E9E9"/>
          </w:tcPr>
          <w:p>
            <w:pPr>
              <w:jc w:val="right"/>
              <w:ind w:right="196"/>
              <w:spacing w:after="0"/>
              <w:rPr>
                <w:sz w:val="20"/>
                <w:szCs w:val="20"/>
                <w:color w:val="auto"/>
              </w:rPr>
            </w:pPr>
            <w:r>
              <w:rPr>
                <w:rFonts w:ascii="Arial" w:cs="Arial" w:eastAsia="Arial" w:hAnsi="Arial"/>
                <w:sz w:val="17"/>
                <w:szCs w:val="17"/>
                <w:color w:val="auto"/>
              </w:rPr>
              <w:t>$ 10,040</w:t>
            </w:r>
          </w:p>
        </w:tc>
        <w:tc>
          <w:tcPr>
            <w:tcW w:w="900" w:type="dxa"/>
            <w:vAlign w:val="bottom"/>
            <w:shd w:val="clear" w:color="auto" w:fill="E9E9E9"/>
          </w:tcPr>
          <w:p>
            <w:pPr>
              <w:jc w:val="center"/>
              <w:ind w:left="56"/>
              <w:spacing w:after="0"/>
              <w:rPr>
                <w:sz w:val="20"/>
                <w:szCs w:val="20"/>
                <w:color w:val="auto"/>
              </w:rPr>
            </w:pPr>
            <w:r>
              <w:rPr>
                <w:rFonts w:ascii="Arial" w:cs="Arial" w:eastAsia="Arial" w:hAnsi="Arial"/>
                <w:sz w:val="17"/>
                <w:szCs w:val="17"/>
                <w:color w:val="auto"/>
              </w:rPr>
              <w:t>$ 303,362</w:t>
            </w:r>
          </w:p>
        </w:tc>
      </w:tr>
      <w:tr>
        <w:trPr>
          <w:trHeight w:val="230"/>
        </w:trPr>
        <w:tc>
          <w:tcPr>
            <w:tcW w:w="2480" w:type="dxa"/>
            <w:vAlign w:val="bottom"/>
          </w:tcPr>
          <w:p>
            <w:pPr>
              <w:spacing w:after="0"/>
              <w:rPr>
                <w:sz w:val="20"/>
                <w:szCs w:val="20"/>
                <w:color w:val="auto"/>
              </w:rPr>
            </w:pPr>
            <w:r>
              <w:rPr>
                <w:rFonts w:ascii="Arial" w:cs="Arial" w:eastAsia="Arial" w:hAnsi="Arial"/>
                <w:sz w:val="17"/>
                <w:szCs w:val="17"/>
                <w:color w:val="auto"/>
              </w:rPr>
              <w:t>W. R. Sanders</w:t>
            </w:r>
          </w:p>
        </w:tc>
        <w:tc>
          <w:tcPr>
            <w:tcW w:w="2440" w:type="dxa"/>
            <w:vAlign w:val="bottom"/>
            <w:gridSpan w:val="2"/>
          </w:tcPr>
          <w:p>
            <w:pPr>
              <w:jc w:val="right"/>
              <w:ind w:right="156"/>
              <w:spacing w:after="0"/>
              <w:rPr>
                <w:sz w:val="20"/>
                <w:szCs w:val="20"/>
                <w:color w:val="auto"/>
              </w:rPr>
            </w:pPr>
            <w:r>
              <w:rPr>
                <w:rFonts w:ascii="Arial" w:cs="Arial" w:eastAsia="Arial" w:hAnsi="Arial"/>
                <w:sz w:val="17"/>
                <w:szCs w:val="17"/>
                <w:color w:val="auto"/>
              </w:rPr>
              <w:t>$ 106,667</w:t>
            </w:r>
          </w:p>
        </w:tc>
        <w:tc>
          <w:tcPr>
            <w:tcW w:w="960" w:type="dxa"/>
            <w:vAlign w:val="bottom"/>
          </w:tcPr>
          <w:p>
            <w:pPr>
              <w:jc w:val="center"/>
              <w:spacing w:after="0"/>
              <w:rPr>
                <w:sz w:val="20"/>
                <w:szCs w:val="20"/>
                <w:color w:val="auto"/>
              </w:rPr>
            </w:pPr>
            <w:r>
              <w:rPr>
                <w:rFonts w:ascii="Arial" w:cs="Arial" w:eastAsia="Arial" w:hAnsi="Arial"/>
                <w:sz w:val="17"/>
                <w:szCs w:val="17"/>
                <w:color w:val="auto"/>
              </w:rPr>
              <w:t>$ 99,996</w:t>
            </w:r>
          </w:p>
        </w:tc>
        <w:tc>
          <w:tcPr>
            <w:tcW w:w="940" w:type="dxa"/>
            <w:vAlign w:val="bottom"/>
          </w:tcPr>
          <w:p>
            <w:pPr>
              <w:jc w:val="center"/>
              <w:spacing w:after="0"/>
              <w:rPr>
                <w:sz w:val="20"/>
                <w:szCs w:val="20"/>
                <w:color w:val="auto"/>
              </w:rPr>
            </w:pPr>
            <w:r>
              <w:rPr>
                <w:rFonts w:ascii="Arial" w:cs="Arial" w:eastAsia="Arial" w:hAnsi="Arial"/>
                <w:sz w:val="17"/>
                <w:szCs w:val="17"/>
                <w:color w:val="auto"/>
              </w:rPr>
              <w:t>$ 99,993</w:t>
            </w:r>
          </w:p>
        </w:tc>
        <w:tc>
          <w:tcPr>
            <w:tcW w:w="12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240" w:type="dxa"/>
            <w:vAlign w:val="bottom"/>
          </w:tcPr>
          <w:p>
            <w:pPr>
              <w:jc w:val="right"/>
              <w:ind w:right="342"/>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96"/>
              <w:spacing w:after="0"/>
              <w:rPr>
                <w:sz w:val="20"/>
                <w:szCs w:val="20"/>
                <w:color w:val="auto"/>
              </w:rPr>
            </w:pPr>
            <w:r>
              <w:rPr>
                <w:rFonts w:ascii="Arial" w:cs="Arial" w:eastAsia="Arial" w:hAnsi="Arial"/>
                <w:sz w:val="17"/>
                <w:szCs w:val="17"/>
                <w:color w:val="auto"/>
              </w:rPr>
              <w:t>779</w:t>
            </w:r>
          </w:p>
        </w:tc>
        <w:tc>
          <w:tcPr>
            <w:tcW w:w="900" w:type="dxa"/>
            <w:vAlign w:val="bottom"/>
          </w:tcPr>
          <w:p>
            <w:pPr>
              <w:jc w:val="center"/>
              <w:ind w:left="56"/>
              <w:spacing w:after="0"/>
              <w:rPr>
                <w:sz w:val="20"/>
                <w:szCs w:val="20"/>
                <w:color w:val="auto"/>
              </w:rPr>
            </w:pPr>
            <w:r>
              <w:rPr>
                <w:rFonts w:ascii="Arial" w:cs="Arial" w:eastAsia="Arial" w:hAnsi="Arial"/>
                <w:sz w:val="17"/>
                <w:szCs w:val="17"/>
                <w:color w:val="auto"/>
              </w:rPr>
              <w:t>$ 307,435</w:t>
            </w:r>
          </w:p>
        </w:tc>
      </w:tr>
      <w:tr>
        <w:trPr>
          <w:trHeight w:val="246"/>
        </w:trPr>
        <w:tc>
          <w:tcPr>
            <w:tcW w:w="2480" w:type="dxa"/>
            <w:vAlign w:val="bottom"/>
            <w:shd w:val="clear" w:color="auto" w:fill="E9E9E9"/>
          </w:tcPr>
          <w:p>
            <w:pPr>
              <w:spacing w:after="0"/>
              <w:rPr>
                <w:sz w:val="20"/>
                <w:szCs w:val="20"/>
                <w:color w:val="auto"/>
              </w:rPr>
            </w:pPr>
            <w:r>
              <w:rPr>
                <w:rFonts w:ascii="Arial" w:cs="Arial" w:eastAsia="Arial" w:hAnsi="Arial"/>
                <w:sz w:val="17"/>
                <w:szCs w:val="17"/>
                <w:color w:val="auto"/>
              </w:rPr>
              <w:t>R. J. Simmons</w:t>
            </w:r>
          </w:p>
        </w:tc>
        <w:tc>
          <w:tcPr>
            <w:tcW w:w="1560" w:type="dxa"/>
            <w:vAlign w:val="bottom"/>
            <w:shd w:val="clear" w:color="auto" w:fill="E9E9E9"/>
          </w:tcPr>
          <w:p>
            <w:pPr>
              <w:ind w:left="1440"/>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ind w:right="156"/>
              <w:spacing w:after="0"/>
              <w:rPr>
                <w:sz w:val="20"/>
                <w:szCs w:val="20"/>
                <w:color w:val="auto"/>
              </w:rPr>
            </w:pPr>
            <w:r>
              <w:rPr>
                <w:rFonts w:ascii="Arial" w:cs="Arial" w:eastAsia="Arial" w:hAnsi="Arial"/>
                <w:sz w:val="17"/>
                <w:szCs w:val="17"/>
                <w:color w:val="auto"/>
              </w:rPr>
              <w:t>80,000</w:t>
            </w:r>
          </w:p>
        </w:tc>
        <w:tc>
          <w:tcPr>
            <w:tcW w:w="9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$ 99,996</w:t>
            </w:r>
          </w:p>
        </w:tc>
        <w:tc>
          <w:tcPr>
            <w:tcW w:w="9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$ 99,993</w:t>
            </w:r>
          </w:p>
        </w:tc>
        <w:tc>
          <w:tcPr>
            <w:tcW w:w="12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240" w:type="dxa"/>
            <w:vAlign w:val="bottom"/>
            <w:shd w:val="clear" w:color="auto" w:fill="E9E9E9"/>
          </w:tcPr>
          <w:p>
            <w:pPr>
              <w:jc w:val="right"/>
              <w:ind w:right="342"/>
              <w:spacing w:after="0"/>
              <w:rPr>
                <w:sz w:val="20"/>
                <w:szCs w:val="20"/>
                <w:color w:val="auto"/>
              </w:rPr>
            </w:pPr>
            <w:r>
              <w:rPr>
                <w:rFonts w:ascii="Arial" w:cs="Arial" w:eastAsia="Arial" w:hAnsi="Arial"/>
                <w:sz w:val="17"/>
                <w:szCs w:val="17"/>
                <w:color w:val="auto"/>
              </w:rPr>
              <w:t>$   471</w:t>
            </w: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196"/>
              <w:spacing w:after="0"/>
              <w:rPr>
                <w:sz w:val="20"/>
                <w:szCs w:val="20"/>
                <w:color w:val="auto"/>
              </w:rPr>
            </w:pPr>
            <w:r>
              <w:rPr>
                <w:rFonts w:ascii="Arial" w:cs="Arial" w:eastAsia="Arial" w:hAnsi="Arial"/>
                <w:sz w:val="17"/>
                <w:szCs w:val="17"/>
                <w:color w:val="auto"/>
              </w:rPr>
              <w:t>40</w:t>
            </w:r>
          </w:p>
        </w:tc>
        <w:tc>
          <w:tcPr>
            <w:tcW w:w="900" w:type="dxa"/>
            <w:vAlign w:val="bottom"/>
            <w:shd w:val="clear" w:color="auto" w:fill="E9E9E9"/>
          </w:tcPr>
          <w:p>
            <w:pPr>
              <w:jc w:val="center"/>
              <w:ind w:left="56"/>
              <w:spacing w:after="0"/>
              <w:rPr>
                <w:sz w:val="20"/>
                <w:szCs w:val="20"/>
                <w:color w:val="auto"/>
              </w:rPr>
            </w:pPr>
            <w:r>
              <w:rPr>
                <w:rFonts w:ascii="Arial" w:cs="Arial" w:eastAsia="Arial" w:hAnsi="Arial"/>
                <w:sz w:val="17"/>
                <w:szCs w:val="17"/>
                <w:color w:val="auto"/>
              </w:rPr>
              <w:t>$ 280,500</w:t>
            </w:r>
          </w:p>
        </w:tc>
      </w:tr>
      <w:tr>
        <w:trPr>
          <w:trHeight w:val="222"/>
        </w:trPr>
        <w:tc>
          <w:tcPr>
            <w:tcW w:w="2480" w:type="dxa"/>
            <w:vAlign w:val="bottom"/>
          </w:tcPr>
          <w:p>
            <w:pPr>
              <w:spacing w:after="0"/>
              <w:rPr>
                <w:sz w:val="20"/>
                <w:szCs w:val="20"/>
                <w:color w:val="auto"/>
              </w:rPr>
            </w:pPr>
            <w:r>
              <w:rPr>
                <w:rFonts w:ascii="Arial" w:cs="Arial" w:eastAsia="Arial" w:hAnsi="Arial"/>
                <w:sz w:val="17"/>
                <w:szCs w:val="17"/>
                <w:color w:val="auto"/>
              </w:rPr>
              <w:t>C. T. Whitman</w:t>
            </w:r>
          </w:p>
        </w:tc>
        <w:tc>
          <w:tcPr>
            <w:tcW w:w="1560" w:type="dxa"/>
            <w:vAlign w:val="bottom"/>
          </w:tcPr>
          <w:p>
            <w:pPr>
              <w:ind w:left="144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6"/>
              <w:spacing w:after="0"/>
              <w:rPr>
                <w:sz w:val="20"/>
                <w:szCs w:val="20"/>
                <w:color w:val="auto"/>
              </w:rPr>
            </w:pPr>
            <w:r>
              <w:rPr>
                <w:rFonts w:ascii="Arial" w:cs="Arial" w:eastAsia="Arial" w:hAnsi="Arial"/>
                <w:sz w:val="17"/>
                <w:szCs w:val="17"/>
                <w:color w:val="auto"/>
              </w:rPr>
              <w:t>85,000</w:t>
            </w:r>
          </w:p>
        </w:tc>
        <w:tc>
          <w:tcPr>
            <w:tcW w:w="960" w:type="dxa"/>
            <w:vAlign w:val="bottom"/>
          </w:tcPr>
          <w:p>
            <w:pPr>
              <w:jc w:val="center"/>
              <w:spacing w:after="0"/>
              <w:rPr>
                <w:sz w:val="20"/>
                <w:szCs w:val="20"/>
                <w:color w:val="auto"/>
              </w:rPr>
            </w:pPr>
            <w:r>
              <w:rPr>
                <w:rFonts w:ascii="Arial" w:cs="Arial" w:eastAsia="Arial" w:hAnsi="Arial"/>
                <w:sz w:val="17"/>
                <w:szCs w:val="17"/>
                <w:color w:val="auto"/>
              </w:rPr>
              <w:t>$ 99,996</w:t>
            </w:r>
          </w:p>
        </w:tc>
        <w:tc>
          <w:tcPr>
            <w:tcW w:w="940" w:type="dxa"/>
            <w:vAlign w:val="bottom"/>
          </w:tcPr>
          <w:p>
            <w:pPr>
              <w:jc w:val="center"/>
              <w:spacing w:after="0"/>
              <w:rPr>
                <w:sz w:val="20"/>
                <w:szCs w:val="20"/>
                <w:color w:val="auto"/>
              </w:rPr>
            </w:pPr>
            <w:r>
              <w:rPr>
                <w:rFonts w:ascii="Arial" w:cs="Arial" w:eastAsia="Arial" w:hAnsi="Arial"/>
                <w:sz w:val="17"/>
                <w:szCs w:val="17"/>
                <w:color w:val="auto"/>
              </w:rPr>
              <w:t>$ 99,993</w:t>
            </w:r>
          </w:p>
        </w:tc>
        <w:tc>
          <w:tcPr>
            <w:tcW w:w="12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240" w:type="dxa"/>
            <w:vAlign w:val="bottom"/>
          </w:tcPr>
          <w:p>
            <w:pPr>
              <w:jc w:val="right"/>
              <w:ind w:right="342"/>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96"/>
              <w:spacing w:after="0"/>
              <w:rPr>
                <w:sz w:val="20"/>
                <w:szCs w:val="20"/>
                <w:color w:val="auto"/>
              </w:rPr>
            </w:pPr>
            <w:r>
              <w:rPr>
                <w:rFonts w:ascii="Arial" w:cs="Arial" w:eastAsia="Arial" w:hAnsi="Arial"/>
                <w:sz w:val="17"/>
                <w:szCs w:val="17"/>
                <w:color w:val="auto"/>
              </w:rPr>
              <w:t>40</w:t>
            </w:r>
          </w:p>
        </w:tc>
        <w:tc>
          <w:tcPr>
            <w:tcW w:w="900" w:type="dxa"/>
            <w:vAlign w:val="bottom"/>
          </w:tcPr>
          <w:p>
            <w:pPr>
              <w:jc w:val="center"/>
              <w:ind w:left="56"/>
              <w:spacing w:after="0"/>
              <w:rPr>
                <w:sz w:val="20"/>
                <w:szCs w:val="20"/>
                <w:color w:val="auto"/>
              </w:rPr>
            </w:pPr>
            <w:r>
              <w:rPr>
                <w:rFonts w:ascii="Arial" w:cs="Arial" w:eastAsia="Arial" w:hAnsi="Arial"/>
                <w:sz w:val="17"/>
                <w:szCs w:val="17"/>
                <w:color w:val="auto"/>
              </w:rPr>
              <w:t>$ 285,029</w:t>
            </w:r>
          </w:p>
        </w:tc>
      </w:tr>
    </w:tbl>
    <w:p>
      <w:pPr>
        <w:spacing w:after="0" w:line="257" w:lineRule="exact"/>
        <w:rPr>
          <w:sz w:val="20"/>
          <w:szCs w:val="20"/>
          <w:color w:val="auto"/>
        </w:rPr>
      </w:pPr>
    </w:p>
    <w:p>
      <w:pPr>
        <w:ind w:left="420" w:hanging="414"/>
        <w:spacing w:after="0"/>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amounts deferred at the director’s election.</w:t>
      </w:r>
    </w:p>
    <w:p>
      <w:pPr>
        <w:spacing w:after="0" w:line="240" w:lineRule="exact"/>
        <w:rPr>
          <w:rFonts w:ascii="Arial" w:cs="Arial" w:eastAsia="Arial" w:hAnsi="Arial"/>
          <w:sz w:val="17"/>
          <w:szCs w:val="17"/>
          <w:color w:val="auto"/>
        </w:rPr>
      </w:pPr>
    </w:p>
    <w:p>
      <w:pPr>
        <w:ind w:left="420" w:right="320" w:hanging="414"/>
        <w:spacing w:after="0" w:line="247" w:lineRule="auto"/>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Shown is the aggregate grant date fair value of awards granted in 2014 calculated in accordance with Financial Accounting Standards Board Accounting Standards Codification™ Topic 718, Compensation-Stock Compensation (ASC 718). The discussion of the assumptions used for purposes of calculating the grant date fair value appears in Note 5 to the financial statements contained in Item 8 (“Note 5 to the Financial Statements”) in TI’s annual report on Form 10-K for the year ended December 31, 2014.</w:t>
      </w:r>
    </w:p>
    <w:p>
      <w:pPr>
        <w:spacing w:after="0" w:line="225" w:lineRule="exact"/>
        <w:rPr>
          <w:rFonts w:ascii="Arial" w:cs="Arial" w:eastAsia="Arial" w:hAnsi="Arial"/>
          <w:sz w:val="17"/>
          <w:szCs w:val="17"/>
          <w:color w:val="auto"/>
        </w:rPr>
      </w:pPr>
    </w:p>
    <w:p>
      <w:pPr>
        <w:ind w:left="420" w:right="640"/>
        <w:spacing w:after="0" w:line="255" w:lineRule="auto"/>
        <w:rPr>
          <w:rFonts w:ascii="Arial" w:cs="Arial" w:eastAsia="Arial" w:hAnsi="Arial"/>
          <w:sz w:val="17"/>
          <w:szCs w:val="17"/>
          <w:color w:val="auto"/>
        </w:rPr>
      </w:pPr>
      <w:r>
        <w:rPr>
          <w:rFonts w:ascii="Arial" w:cs="Arial" w:eastAsia="Arial" w:hAnsi="Arial"/>
          <w:sz w:val="17"/>
          <w:szCs w:val="17"/>
          <w:color w:val="auto"/>
        </w:rPr>
        <w:t>The table below shows the aggregate number of shares underlying outstanding restricted stock units held by the named individuals as of December 31, 2014.</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4360" w:type="dxa"/>
            <w:vAlign w:val="bottom"/>
          </w:tcPr>
          <w:p>
            <w:pPr>
              <w:jc w:val="center"/>
              <w:ind w:left="3539"/>
              <w:spacing w:after="0"/>
              <w:rPr>
                <w:sz w:val="20"/>
                <w:szCs w:val="20"/>
                <w:color w:val="auto"/>
              </w:rPr>
            </w:pPr>
            <w:r>
              <w:rPr>
                <w:rFonts w:ascii="Arial" w:cs="Arial" w:eastAsia="Arial" w:hAnsi="Arial"/>
                <w:sz w:val="13"/>
                <w:szCs w:val="13"/>
                <w:b w:val="1"/>
                <w:bCs w:val="1"/>
                <w:color w:val="auto"/>
              </w:rPr>
              <w:t>Restricted</w:t>
            </w:r>
          </w:p>
        </w:tc>
      </w:tr>
      <w:tr>
        <w:trPr>
          <w:trHeight w:val="238"/>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360" w:type="dxa"/>
            <w:vAlign w:val="bottom"/>
          </w:tcPr>
          <w:p>
            <w:pPr>
              <w:jc w:val="center"/>
              <w:ind w:left="3539"/>
              <w:spacing w:after="0"/>
              <w:rPr>
                <w:sz w:val="20"/>
                <w:szCs w:val="20"/>
                <w:color w:val="auto"/>
              </w:rPr>
            </w:pPr>
            <w:r>
              <w:rPr>
                <w:rFonts w:ascii="Arial" w:cs="Arial" w:eastAsia="Arial" w:hAnsi="Arial"/>
                <w:sz w:val="13"/>
                <w:szCs w:val="13"/>
                <w:b w:val="1"/>
                <w:bCs w:val="1"/>
                <w:color w:val="auto"/>
              </w:rPr>
              <w:t>Stock Units</w:t>
            </w:r>
          </w:p>
        </w:tc>
      </w:tr>
      <w:tr>
        <w:trPr>
          <w:trHeight w:val="238"/>
        </w:trPr>
        <w:tc>
          <w:tcPr>
            <w:tcW w:w="47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4360" w:type="dxa"/>
            <w:vAlign w:val="bottom"/>
          </w:tcPr>
          <w:p>
            <w:pPr>
              <w:jc w:val="center"/>
              <w:ind w:left="3539"/>
              <w:spacing w:after="0"/>
              <w:rPr>
                <w:sz w:val="20"/>
                <w:szCs w:val="20"/>
                <w:color w:val="auto"/>
              </w:rPr>
            </w:pPr>
            <w:r>
              <w:rPr>
                <w:rFonts w:ascii="Arial" w:cs="Arial" w:eastAsia="Arial" w:hAnsi="Arial"/>
                <w:sz w:val="13"/>
                <w:szCs w:val="13"/>
                <w:b w:val="1"/>
                <w:bCs w:val="1"/>
                <w:color w:val="auto"/>
              </w:rPr>
              <w:t>(in Shares)</w:t>
            </w:r>
          </w:p>
        </w:tc>
      </w:tr>
      <w:tr>
        <w:trPr>
          <w:trHeight w:val="41"/>
        </w:trPr>
        <w:tc>
          <w:tcPr>
            <w:tcW w:w="4780" w:type="dxa"/>
            <w:vAlign w:val="bottom"/>
            <w:gridSpan w:val="2"/>
          </w:tcPr>
          <w:p>
            <w:pPr>
              <w:spacing w:after="0"/>
              <w:rPr>
                <w:sz w:val="3"/>
                <w:szCs w:val="3"/>
                <w:color w:val="auto"/>
              </w:rPr>
            </w:pPr>
          </w:p>
        </w:tc>
        <w:tc>
          <w:tcPr>
            <w:tcW w:w="4360" w:type="dxa"/>
            <w:vAlign w:val="bottom"/>
          </w:tcPr>
          <w:p>
            <w:pPr>
              <w:spacing w:after="0"/>
              <w:rPr>
                <w:sz w:val="3"/>
                <w:szCs w:val="3"/>
                <w:color w:val="auto"/>
              </w:rPr>
            </w:pPr>
          </w:p>
        </w:tc>
      </w:tr>
      <w:tr>
        <w:trPr>
          <w:trHeight w:val="231"/>
        </w:trPr>
        <w:tc>
          <w:tcPr>
            <w:tcW w:w="20" w:type="dxa"/>
            <w:vAlign w:val="bottom"/>
          </w:tcPr>
          <w:p>
            <w:pPr>
              <w:spacing w:after="0"/>
              <w:rPr>
                <w:sz w:val="20"/>
                <w:szCs w:val="20"/>
                <w:color w:val="auto"/>
              </w:rPr>
            </w:pPr>
          </w:p>
        </w:tc>
        <w:tc>
          <w:tcPr>
            <w:tcW w:w="4760" w:type="dxa"/>
            <w:vAlign w:val="bottom"/>
            <w:tcBorders>
              <w:top w:val="single" w:sz="8" w:color="auto"/>
            </w:tcBorders>
            <w:shd w:val="clear" w:color="auto" w:fill="E9E9E9"/>
          </w:tcPr>
          <w:p>
            <w:pPr>
              <w:spacing w:after="0"/>
              <w:rPr>
                <w:sz w:val="20"/>
                <w:szCs w:val="20"/>
                <w:color w:val="auto"/>
              </w:rPr>
            </w:pPr>
            <w:r>
              <w:rPr>
                <w:rFonts w:ascii="Arial" w:cs="Arial" w:eastAsia="Arial" w:hAnsi="Arial"/>
                <w:sz w:val="17"/>
                <w:szCs w:val="17"/>
                <w:color w:val="auto"/>
              </w:rPr>
              <w:t>R. W. Babb, Jr.</w:t>
            </w:r>
          </w:p>
        </w:tc>
        <w:tc>
          <w:tcPr>
            <w:tcW w:w="4360" w:type="dxa"/>
            <w:vAlign w:val="bottom"/>
            <w:tcBorders>
              <w:top w:val="single" w:sz="8" w:color="auto"/>
            </w:tcBorders>
            <w:shd w:val="clear" w:color="auto" w:fill="E9E9E9"/>
          </w:tcPr>
          <w:p>
            <w:pPr>
              <w:jc w:val="right"/>
              <w:spacing w:after="0"/>
              <w:rPr>
                <w:sz w:val="20"/>
                <w:szCs w:val="20"/>
                <w:color w:val="auto"/>
              </w:rPr>
            </w:pPr>
            <w:r>
              <w:rPr>
                <w:rFonts w:ascii="Arial" w:cs="Arial" w:eastAsia="Arial" w:hAnsi="Arial"/>
                <w:sz w:val="17"/>
                <w:szCs w:val="17"/>
                <w:color w:val="auto"/>
              </w:rPr>
              <w:t>13,293</w:t>
            </w:r>
          </w:p>
        </w:tc>
      </w:tr>
      <w:tr>
        <w:trPr>
          <w:trHeight w:val="230"/>
        </w:trPr>
        <w:tc>
          <w:tcPr>
            <w:tcW w:w="4780" w:type="dxa"/>
            <w:vAlign w:val="bottom"/>
            <w:gridSpan w:val="2"/>
          </w:tcPr>
          <w:p>
            <w:pPr>
              <w:spacing w:after="0"/>
              <w:rPr>
                <w:sz w:val="20"/>
                <w:szCs w:val="20"/>
                <w:color w:val="auto"/>
              </w:rPr>
            </w:pPr>
            <w:r>
              <w:rPr>
                <w:rFonts w:ascii="Arial" w:cs="Arial" w:eastAsia="Arial" w:hAnsi="Arial"/>
                <w:sz w:val="17"/>
                <w:szCs w:val="17"/>
                <w:color w:val="auto"/>
              </w:rPr>
              <w:t>M. A. Blinn</w:t>
            </w:r>
          </w:p>
        </w:tc>
        <w:tc>
          <w:tcPr>
            <w:tcW w:w="4360" w:type="dxa"/>
            <w:vAlign w:val="bottom"/>
          </w:tcPr>
          <w:p>
            <w:pPr>
              <w:jc w:val="right"/>
              <w:spacing w:after="0"/>
              <w:rPr>
                <w:sz w:val="20"/>
                <w:szCs w:val="20"/>
                <w:color w:val="auto"/>
              </w:rPr>
            </w:pPr>
            <w:r>
              <w:rPr>
                <w:rFonts w:ascii="Arial" w:cs="Arial" w:eastAsia="Arial" w:hAnsi="Arial"/>
                <w:sz w:val="17"/>
                <w:szCs w:val="17"/>
                <w:color w:val="auto"/>
              </w:rPr>
              <w:t>4,268</w:t>
            </w:r>
          </w:p>
        </w:tc>
      </w:tr>
      <w:tr>
        <w:trPr>
          <w:trHeight w:val="246"/>
        </w:trPr>
        <w:tc>
          <w:tcPr>
            <w:tcW w:w="20" w:type="dxa"/>
            <w:vAlign w:val="bottom"/>
          </w:tcPr>
          <w:p>
            <w:pPr>
              <w:spacing w:after="0"/>
              <w:rPr>
                <w:sz w:val="21"/>
                <w:szCs w:val="21"/>
                <w:color w:val="auto"/>
              </w:rPr>
            </w:pPr>
          </w:p>
        </w:tc>
        <w:tc>
          <w:tcPr>
            <w:tcW w:w="4760" w:type="dxa"/>
            <w:vAlign w:val="bottom"/>
            <w:shd w:val="clear" w:color="auto" w:fill="E9E9E9"/>
          </w:tcPr>
          <w:p>
            <w:pPr>
              <w:spacing w:after="0"/>
              <w:rPr>
                <w:sz w:val="20"/>
                <w:szCs w:val="20"/>
                <w:color w:val="auto"/>
              </w:rPr>
            </w:pPr>
            <w:r>
              <w:rPr>
                <w:rFonts w:ascii="Arial" w:cs="Arial" w:eastAsia="Arial" w:hAnsi="Arial"/>
                <w:sz w:val="17"/>
                <w:szCs w:val="17"/>
                <w:color w:val="auto"/>
              </w:rPr>
              <w:t>D. A. Carp</w:t>
            </w:r>
          </w:p>
        </w:tc>
        <w:tc>
          <w:tcPr>
            <w:tcW w:w="43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29,957</w:t>
            </w:r>
          </w:p>
        </w:tc>
      </w:tr>
      <w:tr>
        <w:trPr>
          <w:trHeight w:val="230"/>
        </w:trPr>
        <w:tc>
          <w:tcPr>
            <w:tcW w:w="4780" w:type="dxa"/>
            <w:vAlign w:val="bottom"/>
            <w:gridSpan w:val="2"/>
          </w:tcPr>
          <w:p>
            <w:pPr>
              <w:spacing w:after="0"/>
              <w:rPr>
                <w:sz w:val="20"/>
                <w:szCs w:val="20"/>
                <w:color w:val="auto"/>
              </w:rPr>
            </w:pPr>
            <w:r>
              <w:rPr>
                <w:rFonts w:ascii="Arial" w:cs="Arial" w:eastAsia="Arial" w:hAnsi="Arial"/>
                <w:sz w:val="17"/>
                <w:szCs w:val="17"/>
                <w:color w:val="auto"/>
              </w:rPr>
              <w:t>C. S. Cox</w:t>
            </w:r>
          </w:p>
        </w:tc>
        <w:tc>
          <w:tcPr>
            <w:tcW w:w="4360" w:type="dxa"/>
            <w:vAlign w:val="bottom"/>
          </w:tcPr>
          <w:p>
            <w:pPr>
              <w:jc w:val="right"/>
              <w:spacing w:after="0"/>
              <w:rPr>
                <w:sz w:val="20"/>
                <w:szCs w:val="20"/>
                <w:color w:val="auto"/>
              </w:rPr>
            </w:pPr>
            <w:r>
              <w:rPr>
                <w:rFonts w:ascii="Arial" w:cs="Arial" w:eastAsia="Arial" w:hAnsi="Arial"/>
                <w:sz w:val="17"/>
                <w:szCs w:val="17"/>
                <w:color w:val="auto"/>
              </w:rPr>
              <w:t>23,293</w:t>
            </w:r>
          </w:p>
        </w:tc>
      </w:tr>
      <w:tr>
        <w:trPr>
          <w:trHeight w:val="246"/>
        </w:trPr>
        <w:tc>
          <w:tcPr>
            <w:tcW w:w="20" w:type="dxa"/>
            <w:vAlign w:val="bottom"/>
          </w:tcPr>
          <w:p>
            <w:pPr>
              <w:spacing w:after="0"/>
              <w:rPr>
                <w:sz w:val="21"/>
                <w:szCs w:val="21"/>
                <w:color w:val="auto"/>
              </w:rPr>
            </w:pPr>
          </w:p>
        </w:tc>
        <w:tc>
          <w:tcPr>
            <w:tcW w:w="4760" w:type="dxa"/>
            <w:vAlign w:val="bottom"/>
            <w:shd w:val="clear" w:color="auto" w:fill="E9E9E9"/>
          </w:tcPr>
          <w:p>
            <w:pPr>
              <w:spacing w:after="0"/>
              <w:rPr>
                <w:sz w:val="20"/>
                <w:szCs w:val="20"/>
                <w:color w:val="auto"/>
              </w:rPr>
            </w:pPr>
            <w:r>
              <w:rPr>
                <w:rFonts w:ascii="Arial" w:cs="Arial" w:eastAsia="Arial" w:hAnsi="Arial"/>
                <w:sz w:val="17"/>
                <w:szCs w:val="17"/>
                <w:color w:val="auto"/>
              </w:rPr>
              <w:t>R. Kirk</w:t>
            </w:r>
          </w:p>
        </w:tc>
        <w:tc>
          <w:tcPr>
            <w:tcW w:w="43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4,268</w:t>
            </w:r>
          </w:p>
        </w:tc>
      </w:tr>
      <w:tr>
        <w:trPr>
          <w:trHeight w:val="230"/>
        </w:trPr>
        <w:tc>
          <w:tcPr>
            <w:tcW w:w="4780" w:type="dxa"/>
            <w:vAlign w:val="bottom"/>
            <w:gridSpan w:val="2"/>
          </w:tcPr>
          <w:p>
            <w:pPr>
              <w:spacing w:after="0"/>
              <w:rPr>
                <w:sz w:val="20"/>
                <w:szCs w:val="20"/>
                <w:color w:val="auto"/>
              </w:rPr>
            </w:pPr>
            <w:r>
              <w:rPr>
                <w:rFonts w:ascii="Arial" w:cs="Arial" w:eastAsia="Arial" w:hAnsi="Arial"/>
                <w:sz w:val="17"/>
                <w:szCs w:val="17"/>
                <w:color w:val="auto"/>
              </w:rPr>
              <w:t>P. H. Patsley</w:t>
            </w:r>
          </w:p>
        </w:tc>
        <w:tc>
          <w:tcPr>
            <w:tcW w:w="4360" w:type="dxa"/>
            <w:vAlign w:val="bottom"/>
          </w:tcPr>
          <w:p>
            <w:pPr>
              <w:jc w:val="right"/>
              <w:spacing w:after="0"/>
              <w:rPr>
                <w:sz w:val="20"/>
                <w:szCs w:val="20"/>
                <w:color w:val="auto"/>
              </w:rPr>
            </w:pPr>
            <w:r>
              <w:rPr>
                <w:rFonts w:ascii="Arial" w:cs="Arial" w:eastAsia="Arial" w:hAnsi="Arial"/>
                <w:sz w:val="17"/>
                <w:szCs w:val="17"/>
                <w:color w:val="auto"/>
              </w:rPr>
              <w:t>13,293</w:t>
            </w:r>
          </w:p>
        </w:tc>
      </w:tr>
      <w:tr>
        <w:trPr>
          <w:trHeight w:val="246"/>
        </w:trPr>
        <w:tc>
          <w:tcPr>
            <w:tcW w:w="20" w:type="dxa"/>
            <w:vAlign w:val="bottom"/>
          </w:tcPr>
          <w:p>
            <w:pPr>
              <w:spacing w:after="0"/>
              <w:rPr>
                <w:sz w:val="21"/>
                <w:szCs w:val="21"/>
                <w:color w:val="auto"/>
              </w:rPr>
            </w:pPr>
          </w:p>
        </w:tc>
        <w:tc>
          <w:tcPr>
            <w:tcW w:w="4760" w:type="dxa"/>
            <w:vAlign w:val="bottom"/>
            <w:shd w:val="clear" w:color="auto" w:fill="E9E9E9"/>
          </w:tcPr>
          <w:p>
            <w:pPr>
              <w:spacing w:after="0"/>
              <w:rPr>
                <w:sz w:val="20"/>
                <w:szCs w:val="20"/>
                <w:color w:val="auto"/>
              </w:rPr>
            </w:pPr>
            <w:r>
              <w:rPr>
                <w:rFonts w:ascii="Arial" w:cs="Arial" w:eastAsia="Arial" w:hAnsi="Arial"/>
                <w:sz w:val="17"/>
                <w:szCs w:val="17"/>
                <w:color w:val="auto"/>
              </w:rPr>
              <w:t>R. E. Sanchez</w:t>
            </w:r>
          </w:p>
        </w:tc>
        <w:tc>
          <w:tcPr>
            <w:tcW w:w="43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10,406</w:t>
            </w:r>
          </w:p>
        </w:tc>
      </w:tr>
      <w:tr>
        <w:trPr>
          <w:trHeight w:val="230"/>
        </w:trPr>
        <w:tc>
          <w:tcPr>
            <w:tcW w:w="4780" w:type="dxa"/>
            <w:vAlign w:val="bottom"/>
            <w:gridSpan w:val="2"/>
          </w:tcPr>
          <w:p>
            <w:pPr>
              <w:spacing w:after="0"/>
              <w:rPr>
                <w:sz w:val="20"/>
                <w:szCs w:val="20"/>
                <w:color w:val="auto"/>
              </w:rPr>
            </w:pPr>
            <w:r>
              <w:rPr>
                <w:rFonts w:ascii="Arial" w:cs="Arial" w:eastAsia="Arial" w:hAnsi="Arial"/>
                <w:sz w:val="17"/>
                <w:szCs w:val="17"/>
                <w:color w:val="auto"/>
              </w:rPr>
              <w:t>W. R. Sanders</w:t>
            </w:r>
          </w:p>
        </w:tc>
        <w:tc>
          <w:tcPr>
            <w:tcW w:w="4360" w:type="dxa"/>
            <w:vAlign w:val="bottom"/>
          </w:tcPr>
          <w:p>
            <w:pPr>
              <w:jc w:val="right"/>
              <w:spacing w:after="0"/>
              <w:rPr>
                <w:sz w:val="20"/>
                <w:szCs w:val="20"/>
                <w:color w:val="auto"/>
              </w:rPr>
            </w:pPr>
            <w:r>
              <w:rPr>
                <w:rFonts w:ascii="Arial" w:cs="Arial" w:eastAsia="Arial" w:hAnsi="Arial"/>
                <w:sz w:val="17"/>
                <w:szCs w:val="17"/>
                <w:color w:val="auto"/>
              </w:rPr>
              <w:t>20,893</w:t>
            </w:r>
          </w:p>
        </w:tc>
      </w:tr>
      <w:tr>
        <w:trPr>
          <w:trHeight w:val="246"/>
        </w:trPr>
        <w:tc>
          <w:tcPr>
            <w:tcW w:w="20" w:type="dxa"/>
            <w:vAlign w:val="bottom"/>
          </w:tcPr>
          <w:p>
            <w:pPr>
              <w:spacing w:after="0"/>
              <w:rPr>
                <w:sz w:val="21"/>
                <w:szCs w:val="21"/>
                <w:color w:val="auto"/>
              </w:rPr>
            </w:pPr>
          </w:p>
        </w:tc>
        <w:tc>
          <w:tcPr>
            <w:tcW w:w="4760" w:type="dxa"/>
            <w:vAlign w:val="bottom"/>
            <w:shd w:val="clear" w:color="auto" w:fill="E9E9E9"/>
          </w:tcPr>
          <w:p>
            <w:pPr>
              <w:spacing w:after="0"/>
              <w:rPr>
                <w:sz w:val="20"/>
                <w:szCs w:val="20"/>
                <w:color w:val="auto"/>
              </w:rPr>
            </w:pPr>
            <w:r>
              <w:rPr>
                <w:rFonts w:ascii="Arial" w:cs="Arial" w:eastAsia="Arial" w:hAnsi="Arial"/>
                <w:sz w:val="17"/>
                <w:szCs w:val="17"/>
                <w:color w:val="auto"/>
              </w:rPr>
              <w:t>R. J. Simmons</w:t>
            </w:r>
          </w:p>
        </w:tc>
        <w:tc>
          <w:tcPr>
            <w:tcW w:w="43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29,293</w:t>
            </w:r>
          </w:p>
        </w:tc>
      </w:tr>
      <w:tr>
        <w:trPr>
          <w:trHeight w:val="222"/>
        </w:trPr>
        <w:tc>
          <w:tcPr>
            <w:tcW w:w="4780" w:type="dxa"/>
            <w:vAlign w:val="bottom"/>
            <w:gridSpan w:val="2"/>
          </w:tcPr>
          <w:p>
            <w:pPr>
              <w:spacing w:after="0"/>
              <w:rPr>
                <w:sz w:val="20"/>
                <w:szCs w:val="20"/>
                <w:color w:val="auto"/>
              </w:rPr>
            </w:pPr>
            <w:r>
              <w:rPr>
                <w:rFonts w:ascii="Arial" w:cs="Arial" w:eastAsia="Arial" w:hAnsi="Arial"/>
                <w:sz w:val="17"/>
                <w:szCs w:val="17"/>
                <w:color w:val="auto"/>
              </w:rPr>
              <w:t>C. T. Whitman</w:t>
            </w:r>
          </w:p>
        </w:tc>
        <w:tc>
          <w:tcPr>
            <w:tcW w:w="4360" w:type="dxa"/>
            <w:vAlign w:val="bottom"/>
          </w:tcPr>
          <w:p>
            <w:pPr>
              <w:jc w:val="right"/>
              <w:spacing w:after="0"/>
              <w:rPr>
                <w:sz w:val="20"/>
                <w:szCs w:val="20"/>
                <w:color w:val="auto"/>
              </w:rPr>
            </w:pPr>
            <w:r>
              <w:rPr>
                <w:rFonts w:ascii="Arial" w:cs="Arial" w:eastAsia="Arial" w:hAnsi="Arial"/>
                <w:sz w:val="17"/>
                <w:szCs w:val="17"/>
                <w:color w:val="auto"/>
              </w:rPr>
              <w:t>20,793</w:t>
            </w:r>
          </w:p>
        </w:tc>
      </w:tr>
    </w:tbl>
    <w:p>
      <w:pPr>
        <w:spacing w:after="0" w:line="257" w:lineRule="exact"/>
        <w:rPr>
          <w:sz w:val="20"/>
          <w:szCs w:val="20"/>
          <w:color w:val="auto"/>
        </w:rPr>
      </w:pPr>
    </w:p>
    <w:p>
      <w:pPr>
        <w:ind w:left="420" w:right="20"/>
        <w:spacing w:after="0" w:line="247" w:lineRule="auto"/>
        <w:rPr>
          <w:sz w:val="20"/>
          <w:szCs w:val="20"/>
          <w:color w:val="auto"/>
        </w:rPr>
      </w:pPr>
      <w:r>
        <w:rPr>
          <w:rFonts w:ascii="Arial" w:cs="Arial" w:eastAsia="Arial" w:hAnsi="Arial"/>
          <w:sz w:val="17"/>
          <w:szCs w:val="17"/>
          <w:color w:val="auto"/>
        </w:rPr>
        <w:t>Each restricted stock unit represents the right to receive one share of TI common stock. For restricted stock units granted prior to 2007, shares are issued at the time of mandatory retirement from the board (age 70) or upon the earlier of termination of service from the board after completing eight years of service or death or disability. For information regarding share issuances under restricted stock units granted after 2006, please see the discussion on page 83.</w:t>
      </w:r>
    </w:p>
    <w:p>
      <w:pPr>
        <w:spacing w:after="0" w:line="226" w:lineRule="exact"/>
        <w:rPr>
          <w:sz w:val="20"/>
          <w:szCs w:val="20"/>
          <w:color w:val="auto"/>
        </w:rPr>
      </w:pPr>
    </w:p>
    <w:p>
      <w:pPr>
        <w:ind w:left="420" w:right="380" w:hanging="414"/>
        <w:spacing w:after="0" w:line="249" w:lineRule="auto"/>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Shown is the aggregate grant date fair value of awards granted in 2014 calculated in accordance with ASC 718. The discussion of the assumptions used for purposes of calculating the grant date fair value appears in Note 5 to the Financial Statements in TI’s annual report on Form 10-K for the year ended December 31, 2014.</w:t>
      </w:r>
    </w:p>
    <w:p>
      <w:pPr>
        <w:spacing w:after="0" w:line="233" w:lineRule="exact"/>
        <w:rPr>
          <w:sz w:val="20"/>
          <w:szCs w:val="20"/>
          <w:color w:val="auto"/>
        </w:rPr>
      </w:pPr>
    </w:p>
    <w:p>
      <w:pPr>
        <w:spacing w:after="0"/>
        <w:tabs>
          <w:tab w:leader="none" w:pos="4100" w:val="left"/>
        </w:tabs>
        <w:rPr>
          <w:sz w:val="20"/>
          <w:szCs w:val="20"/>
          <w:color w:val="auto"/>
        </w:rPr>
      </w:pPr>
      <w:r>
        <w:rPr>
          <w:rFonts w:ascii="Arial" w:cs="Arial" w:eastAsia="Arial" w:hAnsi="Arial"/>
          <w:sz w:val="13"/>
          <w:szCs w:val="13"/>
          <w:color w:val="838383"/>
        </w:rPr>
        <w:t>84</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The table below shows the aggregate number of shares underlying outstanding stock options held by the named individuals as of December 31, 2014.</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4340" w:type="dxa"/>
            <w:vAlign w:val="bottom"/>
          </w:tcPr>
          <w:p>
            <w:pPr>
              <w:jc w:val="right"/>
              <w:ind w:right="17"/>
              <w:spacing w:after="0"/>
              <w:rPr>
                <w:sz w:val="20"/>
                <w:szCs w:val="20"/>
                <w:color w:val="auto"/>
              </w:rPr>
            </w:pPr>
            <w:r>
              <w:rPr>
                <w:rFonts w:ascii="Arial" w:cs="Arial" w:eastAsia="Arial" w:hAnsi="Arial"/>
                <w:sz w:val="13"/>
                <w:szCs w:val="13"/>
                <w:b w:val="1"/>
                <w:bCs w:val="1"/>
                <w:color w:val="auto"/>
              </w:rPr>
              <w:t>Options</w:t>
            </w:r>
          </w:p>
        </w:tc>
      </w:tr>
      <w:tr>
        <w:trPr>
          <w:trHeight w:val="238"/>
        </w:trPr>
        <w:tc>
          <w:tcPr>
            <w:tcW w:w="48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4340" w:type="dxa"/>
            <w:vAlign w:val="bottom"/>
          </w:tcPr>
          <w:p>
            <w:pPr>
              <w:jc w:val="right"/>
              <w:spacing w:after="0"/>
              <w:rPr>
                <w:sz w:val="20"/>
                <w:szCs w:val="20"/>
                <w:color w:val="auto"/>
              </w:rPr>
            </w:pPr>
            <w:r>
              <w:rPr>
                <w:rFonts w:ascii="Arial" w:cs="Arial" w:eastAsia="Arial" w:hAnsi="Arial"/>
                <w:sz w:val="13"/>
                <w:szCs w:val="13"/>
                <w:b w:val="1"/>
                <w:bCs w:val="1"/>
                <w:color w:val="auto"/>
              </w:rPr>
              <w:t>(in Shares)</w:t>
            </w:r>
          </w:p>
        </w:tc>
      </w:tr>
      <w:tr>
        <w:trPr>
          <w:trHeight w:val="41"/>
        </w:trPr>
        <w:tc>
          <w:tcPr>
            <w:tcW w:w="4800" w:type="dxa"/>
            <w:vAlign w:val="bottom"/>
            <w:gridSpan w:val="2"/>
          </w:tcPr>
          <w:p>
            <w:pPr>
              <w:spacing w:after="0"/>
              <w:rPr>
                <w:sz w:val="3"/>
                <w:szCs w:val="3"/>
                <w:color w:val="auto"/>
              </w:rPr>
            </w:pPr>
          </w:p>
        </w:tc>
        <w:tc>
          <w:tcPr>
            <w:tcW w:w="4340" w:type="dxa"/>
            <w:vAlign w:val="bottom"/>
          </w:tcPr>
          <w:p>
            <w:pPr>
              <w:spacing w:after="0"/>
              <w:rPr>
                <w:sz w:val="3"/>
                <w:szCs w:val="3"/>
                <w:color w:val="auto"/>
              </w:rPr>
            </w:pPr>
          </w:p>
        </w:tc>
      </w:tr>
      <w:tr>
        <w:trPr>
          <w:trHeight w:val="231"/>
        </w:trPr>
        <w:tc>
          <w:tcPr>
            <w:tcW w:w="20" w:type="dxa"/>
            <w:vAlign w:val="bottom"/>
          </w:tcPr>
          <w:p>
            <w:pPr>
              <w:spacing w:after="0"/>
              <w:rPr>
                <w:sz w:val="20"/>
                <w:szCs w:val="20"/>
                <w:color w:val="auto"/>
              </w:rPr>
            </w:pPr>
          </w:p>
        </w:tc>
        <w:tc>
          <w:tcPr>
            <w:tcW w:w="4780" w:type="dxa"/>
            <w:vAlign w:val="bottom"/>
            <w:tcBorders>
              <w:top w:val="single" w:sz="8" w:color="auto"/>
            </w:tcBorders>
            <w:shd w:val="clear" w:color="auto" w:fill="E9E9E9"/>
          </w:tcPr>
          <w:p>
            <w:pPr>
              <w:spacing w:after="0"/>
              <w:rPr>
                <w:sz w:val="20"/>
                <w:szCs w:val="20"/>
                <w:color w:val="auto"/>
              </w:rPr>
            </w:pPr>
            <w:r>
              <w:rPr>
                <w:rFonts w:ascii="Arial" w:cs="Arial" w:eastAsia="Arial" w:hAnsi="Arial"/>
                <w:sz w:val="17"/>
                <w:szCs w:val="17"/>
                <w:color w:val="auto"/>
              </w:rPr>
              <w:t>R. W. Babb, Jr.</w:t>
            </w:r>
          </w:p>
        </w:tc>
        <w:tc>
          <w:tcPr>
            <w:tcW w:w="4340" w:type="dxa"/>
            <w:vAlign w:val="bottom"/>
            <w:tcBorders>
              <w:top w:val="single" w:sz="8" w:color="auto"/>
            </w:tcBorders>
            <w:shd w:val="clear" w:color="auto" w:fill="E9E9E9"/>
          </w:tcPr>
          <w:p>
            <w:pPr>
              <w:jc w:val="right"/>
              <w:spacing w:after="0"/>
              <w:rPr>
                <w:sz w:val="20"/>
                <w:szCs w:val="20"/>
                <w:color w:val="auto"/>
              </w:rPr>
            </w:pPr>
            <w:r>
              <w:rPr>
                <w:rFonts w:ascii="Arial" w:cs="Arial" w:eastAsia="Arial" w:hAnsi="Arial"/>
                <w:sz w:val="17"/>
                <w:szCs w:val="17"/>
                <w:color w:val="auto"/>
              </w:rPr>
              <w:t>49,206</w:t>
            </w:r>
          </w:p>
        </w:tc>
      </w:tr>
      <w:tr>
        <w:trPr>
          <w:trHeight w:val="230"/>
        </w:trPr>
        <w:tc>
          <w:tcPr>
            <w:tcW w:w="4800" w:type="dxa"/>
            <w:vAlign w:val="bottom"/>
            <w:gridSpan w:val="2"/>
          </w:tcPr>
          <w:p>
            <w:pPr>
              <w:spacing w:after="0"/>
              <w:rPr>
                <w:sz w:val="20"/>
                <w:szCs w:val="20"/>
                <w:color w:val="auto"/>
              </w:rPr>
            </w:pPr>
            <w:r>
              <w:rPr>
                <w:rFonts w:ascii="Arial" w:cs="Arial" w:eastAsia="Arial" w:hAnsi="Arial"/>
                <w:sz w:val="17"/>
                <w:szCs w:val="17"/>
                <w:color w:val="auto"/>
              </w:rPr>
              <w:t>M. A. Blinn</w:t>
            </w:r>
          </w:p>
        </w:tc>
        <w:tc>
          <w:tcPr>
            <w:tcW w:w="4340" w:type="dxa"/>
            <w:vAlign w:val="bottom"/>
          </w:tcPr>
          <w:p>
            <w:pPr>
              <w:jc w:val="right"/>
              <w:spacing w:after="0"/>
              <w:rPr>
                <w:sz w:val="20"/>
                <w:szCs w:val="20"/>
                <w:color w:val="auto"/>
              </w:rPr>
            </w:pPr>
            <w:r>
              <w:rPr>
                <w:rFonts w:ascii="Arial" w:cs="Arial" w:eastAsia="Arial" w:hAnsi="Arial"/>
                <w:sz w:val="17"/>
                <w:szCs w:val="17"/>
                <w:color w:val="auto"/>
              </w:rPr>
              <w:t>12,299</w:t>
            </w:r>
          </w:p>
        </w:tc>
      </w:tr>
      <w:tr>
        <w:trPr>
          <w:trHeight w:val="246"/>
        </w:trPr>
        <w:tc>
          <w:tcPr>
            <w:tcW w:w="20" w:type="dxa"/>
            <w:vAlign w:val="bottom"/>
          </w:tcPr>
          <w:p>
            <w:pPr>
              <w:spacing w:after="0"/>
              <w:rPr>
                <w:sz w:val="21"/>
                <w:szCs w:val="21"/>
                <w:color w:val="auto"/>
              </w:rPr>
            </w:pPr>
          </w:p>
        </w:tc>
        <w:tc>
          <w:tcPr>
            <w:tcW w:w="4780" w:type="dxa"/>
            <w:vAlign w:val="bottom"/>
            <w:shd w:val="clear" w:color="auto" w:fill="E9E9E9"/>
          </w:tcPr>
          <w:p>
            <w:pPr>
              <w:spacing w:after="0"/>
              <w:rPr>
                <w:sz w:val="20"/>
                <w:szCs w:val="20"/>
                <w:color w:val="auto"/>
              </w:rPr>
            </w:pPr>
            <w:r>
              <w:rPr>
                <w:rFonts w:ascii="Arial" w:cs="Arial" w:eastAsia="Arial" w:hAnsi="Arial"/>
                <w:sz w:val="17"/>
                <w:szCs w:val="17"/>
                <w:color w:val="auto"/>
              </w:rPr>
              <w:t>D. A. Carp</w:t>
            </w:r>
          </w:p>
        </w:tc>
        <w:tc>
          <w:tcPr>
            <w:tcW w:w="43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92,206</w:t>
            </w:r>
          </w:p>
        </w:tc>
      </w:tr>
      <w:tr>
        <w:trPr>
          <w:trHeight w:val="230"/>
        </w:trPr>
        <w:tc>
          <w:tcPr>
            <w:tcW w:w="4800" w:type="dxa"/>
            <w:vAlign w:val="bottom"/>
            <w:gridSpan w:val="2"/>
          </w:tcPr>
          <w:p>
            <w:pPr>
              <w:spacing w:after="0"/>
              <w:rPr>
                <w:sz w:val="20"/>
                <w:szCs w:val="20"/>
                <w:color w:val="auto"/>
              </w:rPr>
            </w:pPr>
            <w:r>
              <w:rPr>
                <w:rFonts w:ascii="Arial" w:cs="Arial" w:eastAsia="Arial" w:hAnsi="Arial"/>
                <w:sz w:val="17"/>
                <w:szCs w:val="17"/>
                <w:color w:val="auto"/>
              </w:rPr>
              <w:t>C. S. Cox</w:t>
            </w:r>
          </w:p>
        </w:tc>
        <w:tc>
          <w:tcPr>
            <w:tcW w:w="4340" w:type="dxa"/>
            <w:vAlign w:val="bottom"/>
          </w:tcPr>
          <w:p>
            <w:pPr>
              <w:jc w:val="right"/>
              <w:spacing w:after="0"/>
              <w:rPr>
                <w:sz w:val="20"/>
                <w:szCs w:val="20"/>
                <w:color w:val="auto"/>
              </w:rPr>
            </w:pPr>
            <w:r>
              <w:rPr>
                <w:rFonts w:ascii="Arial" w:cs="Arial" w:eastAsia="Arial" w:hAnsi="Arial"/>
                <w:sz w:val="17"/>
                <w:szCs w:val="17"/>
                <w:color w:val="auto"/>
              </w:rPr>
              <w:t>92,206</w:t>
            </w:r>
          </w:p>
        </w:tc>
      </w:tr>
      <w:tr>
        <w:trPr>
          <w:trHeight w:val="246"/>
        </w:trPr>
        <w:tc>
          <w:tcPr>
            <w:tcW w:w="20" w:type="dxa"/>
            <w:vAlign w:val="bottom"/>
          </w:tcPr>
          <w:p>
            <w:pPr>
              <w:spacing w:after="0"/>
              <w:rPr>
                <w:sz w:val="21"/>
                <w:szCs w:val="21"/>
                <w:color w:val="auto"/>
              </w:rPr>
            </w:pPr>
          </w:p>
        </w:tc>
        <w:tc>
          <w:tcPr>
            <w:tcW w:w="4780" w:type="dxa"/>
            <w:vAlign w:val="bottom"/>
            <w:shd w:val="clear" w:color="auto" w:fill="E9E9E9"/>
          </w:tcPr>
          <w:p>
            <w:pPr>
              <w:spacing w:after="0"/>
              <w:rPr>
                <w:sz w:val="20"/>
                <w:szCs w:val="20"/>
                <w:color w:val="auto"/>
              </w:rPr>
            </w:pPr>
            <w:r>
              <w:rPr>
                <w:rFonts w:ascii="Arial" w:cs="Arial" w:eastAsia="Arial" w:hAnsi="Arial"/>
                <w:sz w:val="17"/>
                <w:szCs w:val="17"/>
                <w:color w:val="auto"/>
              </w:rPr>
              <w:t>R. Kirk</w:t>
            </w:r>
          </w:p>
        </w:tc>
        <w:tc>
          <w:tcPr>
            <w:tcW w:w="43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12,299</w:t>
            </w:r>
          </w:p>
        </w:tc>
      </w:tr>
      <w:tr>
        <w:trPr>
          <w:trHeight w:val="230"/>
        </w:trPr>
        <w:tc>
          <w:tcPr>
            <w:tcW w:w="4800" w:type="dxa"/>
            <w:vAlign w:val="bottom"/>
            <w:gridSpan w:val="2"/>
          </w:tcPr>
          <w:p>
            <w:pPr>
              <w:spacing w:after="0"/>
              <w:rPr>
                <w:sz w:val="20"/>
                <w:szCs w:val="20"/>
                <w:color w:val="auto"/>
              </w:rPr>
            </w:pPr>
            <w:r>
              <w:rPr>
                <w:rFonts w:ascii="Arial" w:cs="Arial" w:eastAsia="Arial" w:hAnsi="Arial"/>
                <w:sz w:val="17"/>
                <w:szCs w:val="17"/>
                <w:color w:val="auto"/>
              </w:rPr>
              <w:t>P. H. Patsley</w:t>
            </w:r>
          </w:p>
        </w:tc>
        <w:tc>
          <w:tcPr>
            <w:tcW w:w="4340" w:type="dxa"/>
            <w:vAlign w:val="bottom"/>
          </w:tcPr>
          <w:p>
            <w:pPr>
              <w:jc w:val="right"/>
              <w:spacing w:after="0"/>
              <w:rPr>
                <w:sz w:val="20"/>
                <w:szCs w:val="20"/>
                <w:color w:val="auto"/>
              </w:rPr>
            </w:pPr>
            <w:r>
              <w:rPr>
                <w:rFonts w:ascii="Arial" w:cs="Arial" w:eastAsia="Arial" w:hAnsi="Arial"/>
                <w:sz w:val="17"/>
                <w:szCs w:val="17"/>
                <w:color w:val="auto"/>
              </w:rPr>
              <w:t>92,206</w:t>
            </w:r>
          </w:p>
        </w:tc>
      </w:tr>
      <w:tr>
        <w:trPr>
          <w:trHeight w:val="246"/>
        </w:trPr>
        <w:tc>
          <w:tcPr>
            <w:tcW w:w="20" w:type="dxa"/>
            <w:vAlign w:val="bottom"/>
          </w:tcPr>
          <w:p>
            <w:pPr>
              <w:spacing w:after="0"/>
              <w:rPr>
                <w:sz w:val="21"/>
                <w:szCs w:val="21"/>
                <w:color w:val="auto"/>
              </w:rPr>
            </w:pPr>
          </w:p>
        </w:tc>
        <w:tc>
          <w:tcPr>
            <w:tcW w:w="4780" w:type="dxa"/>
            <w:vAlign w:val="bottom"/>
            <w:shd w:val="clear" w:color="auto" w:fill="E9E9E9"/>
          </w:tcPr>
          <w:p>
            <w:pPr>
              <w:spacing w:after="0"/>
              <w:rPr>
                <w:sz w:val="20"/>
                <w:szCs w:val="20"/>
                <w:color w:val="auto"/>
              </w:rPr>
            </w:pPr>
            <w:r>
              <w:rPr>
                <w:rFonts w:ascii="Arial" w:cs="Arial" w:eastAsia="Arial" w:hAnsi="Arial"/>
                <w:sz w:val="17"/>
                <w:szCs w:val="17"/>
                <w:color w:val="auto"/>
              </w:rPr>
              <w:t>R. E. Sanchez</w:t>
            </w:r>
          </w:p>
        </w:tc>
        <w:tc>
          <w:tcPr>
            <w:tcW w:w="43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39,204</w:t>
            </w:r>
          </w:p>
        </w:tc>
      </w:tr>
      <w:tr>
        <w:trPr>
          <w:trHeight w:val="230"/>
        </w:trPr>
        <w:tc>
          <w:tcPr>
            <w:tcW w:w="4800" w:type="dxa"/>
            <w:vAlign w:val="bottom"/>
            <w:gridSpan w:val="2"/>
          </w:tcPr>
          <w:p>
            <w:pPr>
              <w:spacing w:after="0"/>
              <w:rPr>
                <w:sz w:val="20"/>
                <w:szCs w:val="20"/>
                <w:color w:val="auto"/>
              </w:rPr>
            </w:pPr>
            <w:r>
              <w:rPr>
                <w:rFonts w:ascii="Arial" w:cs="Arial" w:eastAsia="Arial" w:hAnsi="Arial"/>
                <w:sz w:val="17"/>
                <w:szCs w:val="17"/>
                <w:color w:val="auto"/>
              </w:rPr>
              <w:t>W. R. Sanders</w:t>
            </w:r>
          </w:p>
        </w:tc>
        <w:tc>
          <w:tcPr>
            <w:tcW w:w="4340" w:type="dxa"/>
            <w:vAlign w:val="bottom"/>
          </w:tcPr>
          <w:p>
            <w:pPr>
              <w:jc w:val="right"/>
              <w:spacing w:after="0"/>
              <w:rPr>
                <w:sz w:val="20"/>
                <w:szCs w:val="20"/>
                <w:color w:val="auto"/>
              </w:rPr>
            </w:pPr>
            <w:r>
              <w:rPr>
                <w:rFonts w:ascii="Arial" w:cs="Arial" w:eastAsia="Arial" w:hAnsi="Arial"/>
                <w:sz w:val="17"/>
                <w:szCs w:val="17"/>
                <w:color w:val="auto"/>
              </w:rPr>
              <w:t>64,206</w:t>
            </w:r>
          </w:p>
        </w:tc>
      </w:tr>
      <w:tr>
        <w:trPr>
          <w:trHeight w:val="246"/>
        </w:trPr>
        <w:tc>
          <w:tcPr>
            <w:tcW w:w="20" w:type="dxa"/>
            <w:vAlign w:val="bottom"/>
          </w:tcPr>
          <w:p>
            <w:pPr>
              <w:spacing w:after="0"/>
              <w:rPr>
                <w:sz w:val="21"/>
                <w:szCs w:val="21"/>
                <w:color w:val="auto"/>
              </w:rPr>
            </w:pPr>
          </w:p>
        </w:tc>
        <w:tc>
          <w:tcPr>
            <w:tcW w:w="4780" w:type="dxa"/>
            <w:vAlign w:val="bottom"/>
            <w:shd w:val="clear" w:color="auto" w:fill="E9E9E9"/>
          </w:tcPr>
          <w:p>
            <w:pPr>
              <w:spacing w:after="0"/>
              <w:rPr>
                <w:sz w:val="20"/>
                <w:szCs w:val="20"/>
                <w:color w:val="auto"/>
              </w:rPr>
            </w:pPr>
            <w:r>
              <w:rPr>
                <w:rFonts w:ascii="Arial" w:cs="Arial" w:eastAsia="Arial" w:hAnsi="Arial"/>
                <w:sz w:val="17"/>
                <w:szCs w:val="17"/>
                <w:color w:val="auto"/>
              </w:rPr>
              <w:t>R. J. Simmons</w:t>
            </w:r>
          </w:p>
        </w:tc>
        <w:tc>
          <w:tcPr>
            <w:tcW w:w="43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49,206</w:t>
            </w:r>
          </w:p>
        </w:tc>
      </w:tr>
      <w:tr>
        <w:trPr>
          <w:trHeight w:val="222"/>
        </w:trPr>
        <w:tc>
          <w:tcPr>
            <w:tcW w:w="4800" w:type="dxa"/>
            <w:vAlign w:val="bottom"/>
            <w:gridSpan w:val="2"/>
          </w:tcPr>
          <w:p>
            <w:pPr>
              <w:spacing w:after="0"/>
              <w:rPr>
                <w:sz w:val="20"/>
                <w:szCs w:val="20"/>
                <w:color w:val="auto"/>
              </w:rPr>
            </w:pPr>
            <w:r>
              <w:rPr>
                <w:rFonts w:ascii="Arial" w:cs="Arial" w:eastAsia="Arial" w:hAnsi="Arial"/>
                <w:sz w:val="17"/>
                <w:szCs w:val="17"/>
                <w:color w:val="auto"/>
              </w:rPr>
              <w:t>C. T. Whitman</w:t>
            </w:r>
          </w:p>
        </w:tc>
        <w:tc>
          <w:tcPr>
            <w:tcW w:w="4340" w:type="dxa"/>
            <w:vAlign w:val="bottom"/>
          </w:tcPr>
          <w:p>
            <w:pPr>
              <w:jc w:val="right"/>
              <w:spacing w:after="0"/>
              <w:rPr>
                <w:sz w:val="20"/>
                <w:szCs w:val="20"/>
                <w:color w:val="auto"/>
              </w:rPr>
            </w:pPr>
            <w:r>
              <w:rPr>
                <w:rFonts w:ascii="Arial" w:cs="Arial" w:eastAsia="Arial" w:hAnsi="Arial"/>
                <w:sz w:val="17"/>
                <w:szCs w:val="17"/>
                <w:color w:val="auto"/>
              </w:rPr>
              <w:t>92,206</w:t>
            </w:r>
          </w:p>
        </w:tc>
      </w:tr>
    </w:tbl>
    <w:p>
      <w:pPr>
        <w:spacing w:after="0" w:line="257" w:lineRule="exact"/>
        <w:rPr>
          <w:sz w:val="20"/>
          <w:szCs w:val="20"/>
          <w:color w:val="auto"/>
        </w:rPr>
      </w:pPr>
    </w:p>
    <w:p>
      <w:pPr>
        <w:ind w:left="460" w:right="100"/>
        <w:spacing w:after="0" w:line="249" w:lineRule="auto"/>
        <w:rPr>
          <w:sz w:val="20"/>
          <w:szCs w:val="20"/>
          <w:color w:val="auto"/>
        </w:rPr>
      </w:pPr>
      <w:r>
        <w:rPr>
          <w:rFonts w:ascii="Arial" w:cs="Arial" w:eastAsia="Arial" w:hAnsi="Arial"/>
          <w:sz w:val="17"/>
          <w:szCs w:val="17"/>
          <w:color w:val="auto"/>
        </w:rPr>
        <w:t>The terms of these options are as set forth on page 83 except that for options granted before November 2006, the exercise price is the average of the high and low price of TI common stock on the date of grant, and for options granted before 2010, the grant becomes fully exercisable upon a change in control of TI.</w:t>
      </w:r>
    </w:p>
    <w:p>
      <w:pPr>
        <w:spacing w:after="0" w:line="224" w:lineRule="exact"/>
        <w:rPr>
          <w:sz w:val="20"/>
          <w:szCs w:val="20"/>
          <w:color w:val="auto"/>
        </w:rPr>
      </w:pPr>
    </w:p>
    <w:p>
      <w:pPr>
        <w:ind w:left="460" w:right="100" w:hanging="454"/>
        <w:spacing w:after="0" w:line="246"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SEC rules require the disclosure of earnings on deferred compensation to the extent that the interest rate exceeds a specified rate (Federal Rate), which is 120 percent of the applicable federal long-term interest rate with compounding. Under the terms of the Director Plan, deferred compensation cash amounts earn interest at a rate based on Moody’s Seasoned Aaa Corporate Bonds. For 2014, this interest rate exceeded the Federal Rate by 0.69 percentage points. Shown is the amount of interest earned on the directors’ deferred compensation accounts that was in excess of the Federal Rate.</w:t>
      </w:r>
    </w:p>
    <w:p>
      <w:pPr>
        <w:spacing w:after="0" w:line="227" w:lineRule="exact"/>
        <w:rPr>
          <w:rFonts w:ascii="Arial" w:cs="Arial" w:eastAsia="Arial" w:hAnsi="Arial"/>
          <w:sz w:val="17"/>
          <w:szCs w:val="17"/>
          <w:color w:val="auto"/>
        </w:rPr>
      </w:pPr>
    </w:p>
    <w:p>
      <w:pPr>
        <w:ind w:left="460" w:right="60" w:hanging="454"/>
        <w:spacing w:after="0" w:line="245"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Consists of (a) the annual cost ($40 per director) of premiums for travel and accident insurance policies, (b) contributions under the TI Foundation matching gift program of $10,000 for Mr. Sanchez and $9,000 for Ms. Cox and (c) for Messrs. Carp and Sanders, third-party administration fees for the Director Award Program. Each director whose service commenced prior to June 20, 2002, is eligible to participate in the Director Award Program, a charitable donation program under which we will contribute a total of $500,000 per eligible director to as many as three educational institutions recommended by the director and approved by us. The contributions are made following the director’s death. Directors receive no financial benefit from the program, and all charitable deductions belong to the company. In accordance with SEC rules, we have included the company’s annual costs under the program in All Other Compensation of the directors who participate. The cost attributable to each of Messrs. Carp and Sanders for their participation in this program was $739.</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We are providing the following advisory vote on named executive officer compensation as required by Section 14A of the Securities Exchange Act.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The company holds this vote annually.</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regarding advisory approval of the company’s executive compensation</w:t>
      </w:r>
    </w:p>
    <w:p>
      <w:pPr>
        <w:spacing w:after="0" w:line="234"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The board asks the shareholders to cast an advisory vote on the compensation of our named executive officers. The “named executive officers” are the chief executive officer, chief financial officer and three other most highly compensated executive officers, as named in the compensation tables on pages 98-110.</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Specifically, we ask the shareholders to approve the following resolution:</w:t>
      </w:r>
    </w:p>
    <w:p>
      <w:pPr>
        <w:spacing w:after="0" w:line="214" w:lineRule="exact"/>
        <w:rPr>
          <w:sz w:val="20"/>
          <w:szCs w:val="20"/>
          <w:color w:val="auto"/>
        </w:rPr>
      </w:pPr>
    </w:p>
    <w:p>
      <w:pPr>
        <w:ind w:left="280" w:right="20"/>
        <w:spacing w:after="0" w:line="249" w:lineRule="auto"/>
        <w:rPr>
          <w:sz w:val="20"/>
          <w:szCs w:val="20"/>
          <w:color w:val="auto"/>
        </w:rPr>
      </w:pPr>
      <w:r>
        <w:rPr>
          <w:rFonts w:ascii="Arial" w:cs="Arial" w:eastAsia="Arial" w:hAnsi="Arial"/>
          <w:sz w:val="17"/>
          <w:szCs w:val="17"/>
          <w:color w:val="auto"/>
        </w:rPr>
        <w:t>RESOLVED, that the compensation paid to the company’s named executive officers, as disclosed in this proxy statement pursuant to the Securities and Exchange Commission’s compensation disclosure rules, including the Compensation Discussion and Analysis, compensation tables and narrative discussion on pages 86-110 of this proxy statement, is hereby approved.</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We encourage shareholders to review the Compensation Discussion and Analysis section of the proxy statement, which follows. It discusses our executive compensation policies and programs and explains the compensation decisions relating to the named executive officers for 2014. We believe that the policies and programs serve the interests of our shareholders and that the compensation received by the named executive officers is commensurate with the performance and strategic position of the company.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300" w:type="dxa"/>
            <w:vAlign w:val="bottom"/>
          </w:tcPr>
          <w:p>
            <w:pPr>
              <w:ind w:left="4120"/>
              <w:spacing w:after="0"/>
              <w:rPr>
                <w:sz w:val="20"/>
                <w:szCs w:val="20"/>
                <w:color w:val="auto"/>
              </w:rPr>
            </w:pPr>
            <w:r>
              <w:rPr>
                <w:rFonts w:ascii="Arial" w:cs="Arial" w:eastAsia="Arial" w:hAnsi="Arial"/>
                <w:sz w:val="13"/>
                <w:szCs w:val="13"/>
                <w:color w:val="838383"/>
              </w:rPr>
              <w:t>TEXAS INSTRUMENTS ● 2015 PROXY STATEMENT</w:t>
            </w:r>
          </w:p>
        </w:tc>
        <w:tc>
          <w:tcPr>
            <w:tcW w:w="2140" w:type="dxa"/>
            <w:vAlign w:val="bottom"/>
          </w:tcPr>
          <w:p>
            <w:pPr>
              <w:jc w:val="right"/>
              <w:spacing w:after="0"/>
              <w:rPr>
                <w:sz w:val="20"/>
                <w:szCs w:val="20"/>
                <w:color w:val="auto"/>
              </w:rPr>
            </w:pPr>
            <w:r>
              <w:rPr>
                <w:rFonts w:ascii="Arial" w:cs="Arial" w:eastAsia="Arial" w:hAnsi="Arial"/>
                <w:sz w:val="13"/>
                <w:szCs w:val="13"/>
                <w:color w:val="838383"/>
              </w:rPr>
              <w:t>85</w:t>
            </w:r>
          </w:p>
        </w:tc>
      </w:tr>
      <w:tr>
        <w:trPr>
          <w:trHeight w:val="355"/>
        </w:trPr>
        <w:tc>
          <w:tcPr>
            <w:tcW w:w="930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92" w:right="219" w:bottom="1440" w:gutter="0" w:footer="0" w:header="0"/>
        </w:sectPr>
      </w:pPr>
    </w:p>
    <w:bookmarkStart w:id="16" w:name="page17"/>
    <w:bookmarkEnd w:id="16"/>
    <w:p>
      <w:pPr>
        <w:ind w:right="100"/>
        <w:spacing w:after="0" w:line="255" w:lineRule="auto"/>
        <w:rPr>
          <w:sz w:val="20"/>
          <w:szCs w:val="20"/>
          <w:color w:val="auto"/>
        </w:rPr>
      </w:pPr>
      <w:r>
        <w:rPr>
          <w:rFonts w:ascii="Arial" w:cs="Arial" w:eastAsia="Arial" w:hAnsi="Arial"/>
          <w:sz w:val="17"/>
          <w:szCs w:val="17"/>
          <w:color w:val="auto"/>
        </w:rPr>
        <w:t>Although the outcome of this vote is not binding on the company or the board, the Compensation Committee of the board will consider it when setting future compensation for the executive officers.</w:t>
      </w:r>
    </w:p>
    <w:p>
      <w:pPr>
        <w:spacing w:after="0" w:line="172"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b w:val="1"/>
          <w:bCs w:val="1"/>
          <w:color w:val="auto"/>
        </w:rPr>
        <w:t>The board of directors recommends a vote FOR the resolution approving the named executive officer compensation for 2014, as disclosed in this proxy statement.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This section describes TI’s compensation program for executive officers. It will provide insight into the following:</w:t>
      </w:r>
    </w:p>
    <w:p>
      <w:pPr>
        <w:spacing w:after="0" w:line="214" w:lineRule="exact"/>
        <w:rPr>
          <w:sz w:val="20"/>
          <w:szCs w:val="20"/>
          <w:color w:val="auto"/>
        </w:rPr>
      </w:pPr>
    </w:p>
    <w:p>
      <w:pPr>
        <w:ind w:left="520" w:hanging="250"/>
        <w:spacing w:after="0"/>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elements of the 2014 compensation program, why we selected them and how they relate to one another; and</w:t>
      </w:r>
    </w:p>
    <w:p>
      <w:pPr>
        <w:spacing w:after="0" w:line="15" w:lineRule="exact"/>
        <w:rPr>
          <w:rFonts w:ascii="Arial" w:cs="Arial" w:eastAsia="Arial" w:hAnsi="Arial"/>
          <w:sz w:val="17"/>
          <w:szCs w:val="17"/>
          <w:color w:val="auto"/>
        </w:rPr>
      </w:pPr>
    </w:p>
    <w:p>
      <w:pPr>
        <w:ind w:left="520" w:hanging="250"/>
        <w:spacing w:after="0"/>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How we determined the amount of compensation for 2014.</w:t>
      </w:r>
    </w:p>
    <w:p>
      <w:pPr>
        <w:spacing w:after="0" w:line="227"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Currently, TI has 10 executive officers. These executives have the broadest job responsibilities and policy-making authority in the company. We hold them accountable for the company’s performance and for maintaining a culture of strong ethics. Details of compensation for our CEO, CFO and the three other highest paid individuals who were executive officers in 2014 (collectively called the “named executive officers”) can be found in the tables beginning on page 98.</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Executive summary</w:t>
      </w:r>
    </w:p>
    <w:p>
      <w:pPr>
        <w:spacing w:after="0" w:line="194" w:lineRule="exact"/>
        <w:rPr>
          <w:sz w:val="20"/>
          <w:szCs w:val="20"/>
          <w:color w:val="auto"/>
        </w:rPr>
      </w:pPr>
    </w:p>
    <w:p>
      <w:pPr>
        <w:ind w:left="520" w:right="160" w:hanging="250"/>
        <w:spacing w:after="0" w:line="248"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TI’s compensation program is structured to pay for performance and deliver rewards that encourage executives to think and act in both the short- and long-term interests of our shareholders. The majority of total compensation for our executives each year comes in the form of variable cash and equity compensation. Variable cash is tied to the short-term performance of the company, and the value of equity is tied to the long-term performance of the company. We believe our compensation program holds our executive officers accountable for the financial and competitive performance of TI.</w:t>
      </w:r>
    </w:p>
    <w:p>
      <w:pPr>
        <w:spacing w:after="0" w:line="1" w:lineRule="exact"/>
        <w:rPr>
          <w:rFonts w:ascii="Arial" w:cs="Arial" w:eastAsia="Arial" w:hAnsi="Arial"/>
          <w:sz w:val="17"/>
          <w:szCs w:val="17"/>
          <w:color w:val="auto"/>
        </w:rPr>
      </w:pPr>
    </w:p>
    <w:p>
      <w:pPr>
        <w:ind w:left="520" w:hanging="250"/>
        <w:spacing w:after="0"/>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2014 compensation decisions for the CEO:</w:t>
      </w:r>
    </w:p>
    <w:p>
      <w:pPr>
        <w:spacing w:after="0" w:line="15" w:lineRule="exact"/>
        <w:rPr>
          <w:rFonts w:ascii="Arial" w:cs="Arial" w:eastAsia="Arial" w:hAnsi="Arial"/>
          <w:sz w:val="17"/>
          <w:szCs w:val="17"/>
          <w:color w:val="auto"/>
        </w:rPr>
      </w:pPr>
    </w:p>
    <w:p>
      <w:pPr>
        <w:ind w:left="780" w:hanging="259"/>
        <w:spacing w:after="0"/>
        <w:tabs>
          <w:tab w:leader="none" w:pos="7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Base salary was increased by 3.3 percent over 2013.</w:t>
      </w:r>
    </w:p>
    <w:p>
      <w:pPr>
        <w:spacing w:after="0" w:line="15" w:lineRule="exact"/>
        <w:rPr>
          <w:rFonts w:ascii="Arial" w:cs="Arial" w:eastAsia="Arial" w:hAnsi="Arial"/>
          <w:sz w:val="17"/>
          <w:szCs w:val="17"/>
          <w:color w:val="auto"/>
        </w:rPr>
      </w:pPr>
    </w:p>
    <w:p>
      <w:pPr>
        <w:ind w:left="780" w:hanging="259"/>
        <w:spacing w:after="0"/>
        <w:tabs>
          <w:tab w:leader="none" w:pos="7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grant date fair value of equity compensation awarded in 2014 was 5 percent higher than in 2013.</w:t>
      </w:r>
    </w:p>
    <w:p>
      <w:pPr>
        <w:spacing w:after="0" w:line="15" w:lineRule="exact"/>
        <w:rPr>
          <w:rFonts w:ascii="Arial" w:cs="Arial" w:eastAsia="Arial" w:hAnsi="Arial"/>
          <w:sz w:val="17"/>
          <w:szCs w:val="17"/>
          <w:color w:val="auto"/>
        </w:rPr>
      </w:pPr>
    </w:p>
    <w:p>
      <w:pPr>
        <w:ind w:left="780" w:hanging="259"/>
        <w:spacing w:after="0"/>
        <w:tabs>
          <w:tab w:leader="none" w:pos="7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bonus decision was based primarily on the following performance results in 2014:</w:t>
      </w:r>
    </w:p>
    <w:p>
      <w:pPr>
        <w:spacing w:after="0" w:line="231" w:lineRule="exact"/>
        <w:rPr>
          <w:sz w:val="20"/>
          <w:szCs w:val="20"/>
          <w:color w:val="auto"/>
        </w:rPr>
      </w:pPr>
    </w:p>
    <w:tbl>
      <w:tblPr>
        <w:tblLayout w:type="fixed"/>
        <w:tblInd w:w="430" w:type="dxa"/>
        <w:tblCellMar>
          <w:top w:w="0" w:type="dxa"/>
          <w:left w:w="0" w:type="dxa"/>
          <w:bottom w:w="0" w:type="dxa"/>
          <w:right w:w="0" w:type="dxa"/>
        </w:tblCellMar>
      </w:tblPr>
      <w:tr>
        <w:trPr>
          <w:trHeight w:val="244"/>
        </w:trPr>
        <w:tc>
          <w:tcPr>
            <w:tcW w:w="112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spacing w:after="0"/>
              <w:rPr>
                <w:sz w:val="21"/>
                <w:szCs w:val="21"/>
                <w:color w:val="auto"/>
              </w:rPr>
            </w:pPr>
          </w:p>
        </w:tc>
        <w:tc>
          <w:tcPr>
            <w:tcW w:w="2760" w:type="dxa"/>
            <w:vAlign w:val="bottom"/>
            <w:tcBorders>
              <w:top w:val="single" w:sz="8" w:color="auto"/>
              <w:left w:val="single" w:sz="8" w:color="E9E9E9"/>
              <w:bottom w:val="single" w:sz="8" w:color="auto"/>
              <w:right w:val="single" w:sz="8" w:color="auto"/>
            </w:tcBorders>
            <w:shd w:val="clear" w:color="auto" w:fill="E9E9E9"/>
          </w:tcPr>
          <w:p>
            <w:pPr>
              <w:jc w:val="right"/>
              <w:ind w:right="234"/>
              <w:spacing w:after="0"/>
              <w:rPr>
                <w:sz w:val="20"/>
                <w:szCs w:val="20"/>
                <w:color w:val="auto"/>
              </w:rPr>
            </w:pPr>
            <w:r>
              <w:rPr>
                <w:rFonts w:ascii="Arial" w:cs="Arial" w:eastAsia="Arial" w:hAnsi="Arial"/>
                <w:sz w:val="17"/>
                <w:szCs w:val="17"/>
                <w:color w:val="auto"/>
              </w:rPr>
              <w:t>2014 Absolute Performance</w:t>
            </w:r>
          </w:p>
        </w:tc>
        <w:tc>
          <w:tcPr>
            <w:tcW w:w="2800" w:type="dxa"/>
            <w:vAlign w:val="bottom"/>
            <w:tcBorders>
              <w:top w:val="single" w:sz="8" w:color="auto"/>
              <w:bottom w:val="single" w:sz="8" w:color="auto"/>
              <w:right w:val="single" w:sz="8" w:color="auto"/>
            </w:tcBorders>
            <w:gridSpan w:val="2"/>
            <w:shd w:val="clear" w:color="auto" w:fill="E9E9E9"/>
          </w:tcPr>
          <w:p>
            <w:pPr>
              <w:jc w:val="center"/>
              <w:ind w:right="20"/>
              <w:spacing w:after="0"/>
              <w:rPr>
                <w:sz w:val="20"/>
                <w:szCs w:val="20"/>
                <w:color w:val="auto"/>
              </w:rPr>
            </w:pPr>
            <w:r>
              <w:rPr>
                <w:rFonts w:ascii="Arial" w:cs="Arial" w:eastAsia="Arial" w:hAnsi="Arial"/>
                <w:sz w:val="17"/>
                <w:szCs w:val="17"/>
                <w:color w:val="auto"/>
              </w:rPr>
              <w:t>2014 Relative Performance **</w:t>
            </w:r>
          </w:p>
        </w:tc>
        <w:tc>
          <w:tcPr>
            <w:tcW w:w="0" w:type="dxa"/>
            <w:vAlign w:val="bottom"/>
          </w:tcPr>
          <w:p>
            <w:pPr>
              <w:spacing w:after="0"/>
              <w:rPr>
                <w:sz w:val="1"/>
                <w:szCs w:val="1"/>
                <w:color w:val="auto"/>
              </w:rPr>
            </w:pPr>
          </w:p>
        </w:tc>
      </w:tr>
      <w:tr>
        <w:trPr>
          <w:trHeight w:val="222"/>
        </w:trPr>
        <w:tc>
          <w:tcPr>
            <w:tcW w:w="5440" w:type="dxa"/>
            <w:vAlign w:val="bottom"/>
            <w:tcBorders>
              <w:left w:val="single" w:sz="8" w:color="auto"/>
              <w:right w:val="single" w:sz="8" w:color="auto"/>
            </w:tcBorders>
            <w:gridSpan w:val="2"/>
            <w:shd w:val="clear" w:color="auto" w:fill="E9E9E9"/>
          </w:tcPr>
          <w:p>
            <w:pPr>
              <w:ind w:left="60"/>
              <w:spacing w:after="0"/>
              <w:rPr>
                <w:sz w:val="20"/>
                <w:szCs w:val="20"/>
                <w:color w:val="auto"/>
              </w:rPr>
            </w:pPr>
            <w:r>
              <w:rPr>
                <w:rFonts w:ascii="Arial" w:cs="Arial" w:eastAsia="Arial" w:hAnsi="Arial"/>
                <w:sz w:val="17"/>
                <w:szCs w:val="17"/>
                <w:color w:val="auto"/>
              </w:rPr>
              <w:t>Revenue Growth: Total TI</w:t>
            </w:r>
          </w:p>
        </w:tc>
        <w:tc>
          <w:tcPr>
            <w:tcW w:w="2760" w:type="dxa"/>
            <w:vAlign w:val="bottom"/>
            <w:tcBorders>
              <w:right w:val="single" w:sz="8" w:color="auto"/>
            </w:tcBorders>
          </w:tcPr>
          <w:p>
            <w:pPr>
              <w:jc w:val="right"/>
              <w:ind w:right="1034"/>
              <w:spacing w:after="0"/>
              <w:rPr>
                <w:sz w:val="20"/>
                <w:szCs w:val="20"/>
                <w:color w:val="auto"/>
              </w:rPr>
            </w:pPr>
            <w:r>
              <w:rPr>
                <w:rFonts w:ascii="Arial" w:cs="Arial" w:eastAsia="Arial" w:hAnsi="Arial"/>
                <w:sz w:val="17"/>
                <w:szCs w:val="17"/>
                <w:color w:val="auto"/>
              </w:rPr>
              <w:t>6.9%</w:t>
            </w:r>
          </w:p>
        </w:tc>
        <w:tc>
          <w:tcPr>
            <w:tcW w:w="280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rPr>
              <w:t>Median</w:t>
            </w:r>
          </w:p>
        </w:tc>
        <w:tc>
          <w:tcPr>
            <w:tcW w:w="0" w:type="dxa"/>
            <w:vAlign w:val="bottom"/>
          </w:tcPr>
          <w:p>
            <w:pPr>
              <w:spacing w:after="0"/>
              <w:rPr>
                <w:sz w:val="1"/>
                <w:szCs w:val="1"/>
                <w:color w:val="auto"/>
              </w:rPr>
            </w:pPr>
          </w:p>
        </w:tc>
      </w:tr>
      <w:tr>
        <w:trPr>
          <w:trHeight w:val="247"/>
        </w:trPr>
        <w:tc>
          <w:tcPr>
            <w:tcW w:w="5440" w:type="dxa"/>
            <w:vAlign w:val="bottom"/>
            <w:tcBorders>
              <w:left w:val="single" w:sz="8" w:color="auto"/>
              <w:bottom w:val="single" w:sz="8" w:color="auto"/>
              <w:right w:val="single" w:sz="8" w:color="auto"/>
            </w:tcBorders>
            <w:gridSpan w:val="2"/>
            <w:shd w:val="clear" w:color="auto" w:fill="E9E9E9"/>
          </w:tcPr>
          <w:p>
            <w:pPr>
              <w:ind w:left="60"/>
              <w:spacing w:after="0"/>
              <w:rPr>
                <w:sz w:val="20"/>
                <w:szCs w:val="20"/>
                <w:color w:val="auto"/>
              </w:rPr>
            </w:pPr>
            <w:r>
              <w:rPr>
                <w:rFonts w:ascii="Arial" w:cs="Arial" w:eastAsia="Arial" w:hAnsi="Arial"/>
                <w:sz w:val="17"/>
                <w:szCs w:val="17"/>
                <w:color w:val="auto"/>
              </w:rPr>
              <w:t>Revenue Growth without legacy wireless products *</w:t>
            </w:r>
          </w:p>
        </w:tc>
        <w:tc>
          <w:tcPr>
            <w:tcW w:w="2760" w:type="dxa"/>
            <w:vAlign w:val="bottom"/>
            <w:tcBorders>
              <w:bottom w:val="single" w:sz="8" w:color="auto"/>
              <w:right w:val="single" w:sz="8" w:color="auto"/>
            </w:tcBorders>
          </w:tcPr>
          <w:p>
            <w:pPr>
              <w:jc w:val="right"/>
              <w:ind w:right="1034"/>
              <w:spacing w:after="0"/>
              <w:rPr>
                <w:sz w:val="20"/>
                <w:szCs w:val="20"/>
                <w:color w:val="auto"/>
              </w:rPr>
            </w:pPr>
            <w:r>
              <w:rPr>
                <w:rFonts w:ascii="Arial" w:cs="Arial" w:eastAsia="Arial" w:hAnsi="Arial"/>
                <w:sz w:val="17"/>
                <w:szCs w:val="17"/>
                <w:color w:val="auto"/>
              </w:rPr>
              <w:t>11.0%</w:t>
            </w:r>
          </w:p>
        </w:tc>
        <w:tc>
          <w:tcPr>
            <w:tcW w:w="280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color w:val="auto"/>
              </w:rPr>
              <w:t>Above Median</w:t>
            </w:r>
          </w:p>
        </w:tc>
        <w:tc>
          <w:tcPr>
            <w:tcW w:w="0" w:type="dxa"/>
            <w:vAlign w:val="bottom"/>
          </w:tcPr>
          <w:p>
            <w:pPr>
              <w:spacing w:after="0"/>
              <w:rPr>
                <w:sz w:val="1"/>
                <w:szCs w:val="1"/>
                <w:color w:val="auto"/>
              </w:rPr>
            </w:pPr>
          </w:p>
        </w:tc>
      </w:tr>
      <w:tr>
        <w:trPr>
          <w:trHeight w:val="231"/>
        </w:trPr>
        <w:tc>
          <w:tcPr>
            <w:tcW w:w="5440" w:type="dxa"/>
            <w:vAlign w:val="bottom"/>
            <w:tcBorders>
              <w:left w:val="single" w:sz="8" w:color="auto"/>
              <w:bottom w:val="single" w:sz="8" w:color="auto"/>
              <w:right w:val="single" w:sz="8" w:color="auto"/>
            </w:tcBorders>
            <w:gridSpan w:val="2"/>
            <w:shd w:val="clear" w:color="auto" w:fill="E9E9E9"/>
          </w:tcPr>
          <w:p>
            <w:pPr>
              <w:ind w:left="60"/>
              <w:spacing w:after="0"/>
              <w:rPr>
                <w:sz w:val="20"/>
                <w:szCs w:val="20"/>
                <w:color w:val="auto"/>
              </w:rPr>
            </w:pPr>
            <w:r>
              <w:rPr>
                <w:rFonts w:ascii="Arial" w:cs="Arial" w:eastAsia="Arial" w:hAnsi="Arial"/>
                <w:sz w:val="17"/>
                <w:szCs w:val="17"/>
                <w:color w:val="auto"/>
              </w:rPr>
              <w:t>Profit from Operations as a % of Revenue (PFO%)</w:t>
            </w:r>
          </w:p>
        </w:tc>
        <w:tc>
          <w:tcPr>
            <w:tcW w:w="2760" w:type="dxa"/>
            <w:vAlign w:val="bottom"/>
            <w:tcBorders>
              <w:bottom w:val="single" w:sz="8" w:color="auto"/>
              <w:right w:val="single" w:sz="8" w:color="auto"/>
            </w:tcBorders>
          </w:tcPr>
          <w:p>
            <w:pPr>
              <w:jc w:val="right"/>
              <w:ind w:right="1034"/>
              <w:spacing w:after="0"/>
              <w:rPr>
                <w:sz w:val="20"/>
                <w:szCs w:val="20"/>
                <w:color w:val="auto"/>
              </w:rPr>
            </w:pPr>
            <w:r>
              <w:rPr>
                <w:rFonts w:ascii="Arial" w:cs="Arial" w:eastAsia="Arial" w:hAnsi="Arial"/>
                <w:sz w:val="17"/>
                <w:szCs w:val="17"/>
                <w:color w:val="auto"/>
              </w:rPr>
              <w:t>30.3%</w:t>
            </w:r>
          </w:p>
        </w:tc>
        <w:tc>
          <w:tcPr>
            <w:tcW w:w="280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color w:val="auto"/>
              </w:rPr>
              <w:t>Above Median</w:t>
            </w:r>
          </w:p>
        </w:tc>
        <w:tc>
          <w:tcPr>
            <w:tcW w:w="0" w:type="dxa"/>
            <w:vAlign w:val="bottom"/>
          </w:tcPr>
          <w:p>
            <w:pPr>
              <w:spacing w:after="0"/>
              <w:rPr>
                <w:sz w:val="1"/>
                <w:szCs w:val="1"/>
                <w:color w:val="auto"/>
              </w:rPr>
            </w:pPr>
          </w:p>
        </w:tc>
      </w:tr>
      <w:tr>
        <w:trPr>
          <w:trHeight w:val="231"/>
        </w:trPr>
        <w:tc>
          <w:tcPr>
            <w:tcW w:w="5440" w:type="dxa"/>
            <w:vAlign w:val="bottom"/>
            <w:tcBorders>
              <w:left w:val="single" w:sz="8" w:color="auto"/>
              <w:bottom w:val="single" w:sz="8" w:color="auto"/>
              <w:right w:val="single" w:sz="8" w:color="auto"/>
            </w:tcBorders>
            <w:gridSpan w:val="2"/>
            <w:shd w:val="clear" w:color="auto" w:fill="E9E9E9"/>
          </w:tcPr>
          <w:p>
            <w:pPr>
              <w:ind w:left="60"/>
              <w:spacing w:after="0"/>
              <w:rPr>
                <w:sz w:val="20"/>
                <w:szCs w:val="20"/>
                <w:color w:val="auto"/>
              </w:rPr>
            </w:pPr>
            <w:r>
              <w:rPr>
                <w:rFonts w:ascii="Arial" w:cs="Arial" w:eastAsia="Arial" w:hAnsi="Arial"/>
                <w:sz w:val="17"/>
                <w:szCs w:val="17"/>
                <w:color w:val="auto"/>
              </w:rPr>
              <w:t>Total Shareholder Return (TSR)</w:t>
            </w:r>
          </w:p>
        </w:tc>
        <w:tc>
          <w:tcPr>
            <w:tcW w:w="2760" w:type="dxa"/>
            <w:vAlign w:val="bottom"/>
            <w:tcBorders>
              <w:bottom w:val="single" w:sz="8" w:color="auto"/>
              <w:right w:val="single" w:sz="8" w:color="auto"/>
            </w:tcBorders>
          </w:tcPr>
          <w:p>
            <w:pPr>
              <w:jc w:val="right"/>
              <w:ind w:right="1034"/>
              <w:spacing w:after="0"/>
              <w:rPr>
                <w:sz w:val="20"/>
                <w:szCs w:val="20"/>
                <w:color w:val="auto"/>
              </w:rPr>
            </w:pPr>
            <w:r>
              <w:rPr>
                <w:rFonts w:ascii="Arial" w:cs="Arial" w:eastAsia="Arial" w:hAnsi="Arial"/>
                <w:sz w:val="17"/>
                <w:szCs w:val="17"/>
                <w:color w:val="auto"/>
              </w:rPr>
              <w:t>25.1%</w:t>
            </w:r>
          </w:p>
        </w:tc>
        <w:tc>
          <w:tcPr>
            <w:tcW w:w="280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color w:val="auto"/>
              </w:rPr>
              <w:t>Above Median</w:t>
            </w: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12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shd w:val="clear" w:color="auto" w:fill="E9E9E9"/>
          </w:tcPr>
          <w:p>
            <w:pPr>
              <w:ind w:left="780"/>
              <w:spacing w:after="0"/>
              <w:rPr>
                <w:sz w:val="20"/>
                <w:szCs w:val="20"/>
                <w:color w:val="auto"/>
              </w:rPr>
            </w:pPr>
            <w:r>
              <w:rPr>
                <w:rFonts w:ascii="Arial" w:cs="Arial" w:eastAsia="Arial" w:hAnsi="Arial"/>
                <w:sz w:val="17"/>
                <w:szCs w:val="17"/>
                <w:color w:val="auto"/>
              </w:rPr>
              <w:t>Year-on-Year Change in CEO Bonus</w:t>
            </w:r>
          </w:p>
        </w:tc>
        <w:tc>
          <w:tcPr>
            <w:tcW w:w="2760" w:type="dxa"/>
            <w:vAlign w:val="bottom"/>
            <w:tcBorders>
              <w:left w:val="single" w:sz="8" w:color="auto"/>
            </w:tcBorders>
            <w:vMerge w:val="restart"/>
          </w:tcPr>
          <w:p>
            <w:pPr>
              <w:jc w:val="right"/>
              <w:ind w:right="94"/>
              <w:spacing w:after="0"/>
              <w:rPr>
                <w:sz w:val="20"/>
                <w:szCs w:val="20"/>
                <w:color w:val="auto"/>
              </w:rPr>
            </w:pPr>
            <w:r>
              <w:rPr>
                <w:rFonts w:ascii="Arial" w:cs="Arial" w:eastAsia="Arial" w:hAnsi="Arial"/>
                <w:sz w:val="17"/>
                <w:szCs w:val="17"/>
                <w:color w:val="auto"/>
              </w:rPr>
              <w:t>15% change</w:t>
            </w:r>
          </w:p>
        </w:tc>
        <w:tc>
          <w:tcPr>
            <w:tcW w:w="1460" w:type="dxa"/>
            <w:vAlign w:val="bottom"/>
            <w:tcBorders>
              <w:right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120" w:type="dxa"/>
            <w:vAlign w:val="bottom"/>
            <w:tcBorders>
              <w:right w:val="single" w:sz="8" w:color="auto"/>
            </w:tcBorders>
          </w:tcPr>
          <w:p>
            <w:pPr>
              <w:spacing w:after="0"/>
              <w:rPr>
                <w:sz w:val="9"/>
                <w:szCs w:val="9"/>
                <w:color w:val="auto"/>
              </w:rPr>
            </w:pPr>
          </w:p>
        </w:tc>
        <w:tc>
          <w:tcPr>
            <w:tcW w:w="4320" w:type="dxa"/>
            <w:vAlign w:val="bottom"/>
            <w:tcBorders>
              <w:right w:val="single" w:sz="8" w:color="auto"/>
            </w:tcBorders>
            <w:vMerge w:val="restart"/>
            <w:shd w:val="clear" w:color="auto" w:fill="E9E9E9"/>
          </w:tcPr>
          <w:p>
            <w:pPr>
              <w:ind w:left="760"/>
              <w:spacing w:after="0"/>
              <w:rPr>
                <w:sz w:val="20"/>
                <w:szCs w:val="20"/>
                <w:color w:val="auto"/>
              </w:rPr>
            </w:pPr>
            <w:r>
              <w:rPr>
                <w:rFonts w:ascii="Arial" w:cs="Arial" w:eastAsia="Arial" w:hAnsi="Arial"/>
                <w:sz w:val="17"/>
                <w:szCs w:val="17"/>
                <w:color w:val="auto"/>
              </w:rPr>
              <w:t>(2014 bonus compared to 2013)</w:t>
            </w:r>
          </w:p>
        </w:tc>
        <w:tc>
          <w:tcPr>
            <w:tcW w:w="2760" w:type="dxa"/>
            <w:vAlign w:val="bottom"/>
            <w:tcBorders>
              <w:left w:val="single" w:sz="8" w:color="auto"/>
            </w:tcBorders>
            <w:vMerge w:val="continue"/>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20" w:type="dxa"/>
            <w:vAlign w:val="bottom"/>
            <w:tcBorders>
              <w:right w:val="single" w:sz="8" w:color="auto"/>
            </w:tcBorders>
          </w:tcPr>
          <w:p>
            <w:pPr>
              <w:spacing w:after="0"/>
              <w:rPr>
                <w:sz w:val="12"/>
                <w:szCs w:val="12"/>
                <w:color w:val="auto"/>
              </w:rPr>
            </w:pPr>
          </w:p>
        </w:tc>
        <w:tc>
          <w:tcPr>
            <w:tcW w:w="4320" w:type="dxa"/>
            <w:vAlign w:val="bottom"/>
            <w:tcBorders>
              <w:bottom w:val="single" w:sz="8" w:color="auto"/>
              <w:right w:val="single" w:sz="8" w:color="auto"/>
            </w:tcBorders>
            <w:vMerge w:val="continue"/>
            <w:shd w:val="clear" w:color="auto" w:fill="E9E9E9"/>
          </w:tcPr>
          <w:p>
            <w:pPr>
              <w:spacing w:after="0"/>
              <w:rPr>
                <w:sz w:val="12"/>
                <w:szCs w:val="12"/>
                <w:color w:val="auto"/>
              </w:rPr>
            </w:pPr>
          </w:p>
        </w:tc>
        <w:tc>
          <w:tcPr>
            <w:tcW w:w="2760" w:type="dxa"/>
            <w:vAlign w:val="bottom"/>
            <w:tcBorders>
              <w:left w:val="single" w:sz="8" w:color="auto"/>
              <w:bottom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860" w:hanging="326"/>
        <w:spacing w:after="0"/>
        <w:tabs>
          <w:tab w:leader="none" w:pos="8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Revenue growth for total TI excluding wireless products that we exited by year-end 2013. See note 3 on page 92.</w:t>
      </w:r>
    </w:p>
    <w:p>
      <w:pPr>
        <w:spacing w:after="0" w:line="254" w:lineRule="exact"/>
        <w:rPr>
          <w:sz w:val="20"/>
          <w:szCs w:val="20"/>
          <w:color w:val="auto"/>
        </w:rPr>
      </w:pPr>
    </w:p>
    <w:p>
      <w:pPr>
        <w:ind w:left="860" w:right="120" w:hanging="326"/>
        <w:spacing w:after="0" w:line="255" w:lineRule="auto"/>
        <w:tabs>
          <w:tab w:leader="none" w:pos="860" w:val="left"/>
        </w:tabs>
        <w:numPr>
          <w:ilvl w:val="2"/>
          <w:numId w:val="33"/>
        </w:numPr>
        <w:rPr>
          <w:rFonts w:ascii="Arial" w:cs="Arial" w:eastAsia="Arial" w:hAnsi="Arial"/>
          <w:sz w:val="17"/>
          <w:szCs w:val="17"/>
          <w:color w:val="auto"/>
        </w:rPr>
      </w:pPr>
      <w:r>
        <w:rPr>
          <w:rFonts w:ascii="Arial" w:cs="Arial" w:eastAsia="Arial" w:hAnsi="Arial"/>
          <w:sz w:val="17"/>
          <w:szCs w:val="17"/>
          <w:color w:val="auto"/>
        </w:rPr>
        <w:t>Relative to semiconductor competitors as outlined on page 91. Includes estimates and projections of certain competitors’ financial results. See pages 92-93 for details of the Compensation Committee’s assessment of TI’s performance.</w:t>
      </w:r>
    </w:p>
    <w:p>
      <w:pPr>
        <w:spacing w:after="0" w:line="218" w:lineRule="exact"/>
        <w:rPr>
          <w:rFonts w:ascii="Arial" w:cs="Arial" w:eastAsia="Arial" w:hAnsi="Arial"/>
          <w:sz w:val="17"/>
          <w:szCs w:val="17"/>
          <w:color w:val="auto"/>
        </w:rPr>
      </w:pPr>
    </w:p>
    <w:p>
      <w:pPr>
        <w:ind w:left="520" w:right="140" w:hanging="250"/>
        <w:spacing w:after="0" w:line="243"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executive compensation program is designed to encourage executive officers to pursue strategies that serve the interests of the company and shareholders, and not to promote excessive risk-taking by our executives. It is built on a foundation of sound corporate governance and includes:</w:t>
      </w:r>
    </w:p>
    <w:p>
      <w:pPr>
        <w:ind w:left="780" w:hanging="259"/>
        <w:spacing w:after="0"/>
        <w:tabs>
          <w:tab w:leader="none" w:pos="7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Executive officers do not have employment contracts and are not guaranteed salary increases or bonus amounts.</w:t>
      </w:r>
    </w:p>
    <w:p>
      <w:pPr>
        <w:spacing w:after="0" w:line="15" w:lineRule="exact"/>
        <w:rPr>
          <w:rFonts w:ascii="Arial" w:cs="Arial" w:eastAsia="Arial" w:hAnsi="Arial"/>
          <w:sz w:val="17"/>
          <w:szCs w:val="17"/>
          <w:color w:val="auto"/>
        </w:rPr>
      </w:pPr>
    </w:p>
    <w:p>
      <w:pPr>
        <w:ind w:left="780" w:right="80" w:hanging="259"/>
        <w:spacing w:after="0" w:line="249" w:lineRule="auto"/>
        <w:tabs>
          <w:tab w:leader="none" w:pos="7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We have never repriced stock options. We do not grant reload options. We grant equity compensation with double-trigger change-in-control terms, which accelerate the vesting of grants only if the grantee has been terminated involuntarily within a limited time after a change in control of the company.</w:t>
      </w:r>
    </w:p>
    <w:p>
      <w:pPr>
        <w:spacing w:after="0" w:line="233" w:lineRule="exact"/>
        <w:rPr>
          <w:sz w:val="20"/>
          <w:szCs w:val="20"/>
          <w:color w:val="auto"/>
        </w:rPr>
      </w:pPr>
    </w:p>
    <w:p>
      <w:pPr>
        <w:spacing w:after="0"/>
        <w:tabs>
          <w:tab w:leader="none" w:pos="4100" w:val="left"/>
        </w:tabs>
        <w:rPr>
          <w:sz w:val="20"/>
          <w:szCs w:val="20"/>
          <w:color w:val="auto"/>
        </w:rPr>
      </w:pPr>
      <w:r>
        <w:rPr>
          <w:rFonts w:ascii="Arial" w:cs="Arial" w:eastAsia="Arial" w:hAnsi="Arial"/>
          <w:sz w:val="13"/>
          <w:szCs w:val="13"/>
          <w:color w:val="838383"/>
        </w:rPr>
        <w:t>86</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sectPr>
      </w:pPr>
    </w:p>
    <w:bookmarkStart w:id="17" w:name="page18"/>
    <w:bookmarkEnd w:id="17"/>
    <w:p>
      <w:pPr>
        <w:ind w:left="520" w:hanging="250"/>
        <w:spacing w:after="0"/>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Bonus and equity compensation awards are subject to clawback under the committee’s policy described on page 95.</w:t>
      </w:r>
    </w:p>
    <w:p>
      <w:pPr>
        <w:spacing w:after="0" w:line="15" w:lineRule="exact"/>
        <w:rPr>
          <w:rFonts w:ascii="Arial" w:cs="Arial" w:eastAsia="Arial" w:hAnsi="Arial"/>
          <w:sz w:val="17"/>
          <w:szCs w:val="17"/>
          <w:color w:val="auto"/>
        </w:rPr>
      </w:pPr>
    </w:p>
    <w:p>
      <w:pPr>
        <w:ind w:left="520" w:hanging="250"/>
        <w:spacing w:after="0"/>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do not provide excessive perquisites. We provide no tax gross-ups for perquisites.</w:t>
      </w:r>
    </w:p>
    <w:p>
      <w:pPr>
        <w:spacing w:after="0" w:line="15" w:lineRule="exact"/>
        <w:rPr>
          <w:rFonts w:ascii="Arial" w:cs="Arial" w:eastAsia="Arial" w:hAnsi="Arial"/>
          <w:sz w:val="17"/>
          <w:szCs w:val="17"/>
          <w:color w:val="auto"/>
        </w:rPr>
      </w:pPr>
    </w:p>
    <w:p>
      <w:pPr>
        <w:ind w:left="520" w:hanging="250"/>
        <w:spacing w:after="0"/>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do not guarantee a return or provide above-market returns on compensation that has been deferred.</w:t>
      </w:r>
    </w:p>
    <w:p>
      <w:pPr>
        <w:spacing w:after="0" w:line="15" w:lineRule="exact"/>
        <w:rPr>
          <w:rFonts w:ascii="Arial" w:cs="Arial" w:eastAsia="Arial" w:hAnsi="Arial"/>
          <w:sz w:val="17"/>
          <w:szCs w:val="17"/>
          <w:color w:val="auto"/>
        </w:rPr>
      </w:pPr>
    </w:p>
    <w:p>
      <w:pPr>
        <w:ind w:left="520" w:right="500" w:hanging="250"/>
        <w:spacing w:after="0" w:line="255"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Pension benefits are calculated on salary and bonus only; the proceeds earned on equity or other performance awards are not part of the pension calculation.</w:t>
      </w:r>
    </w:p>
    <w:p>
      <w:pPr>
        <w:spacing w:after="0" w:line="192" w:lineRule="exact"/>
        <w:rPr>
          <w:sz w:val="20"/>
          <w:szCs w:val="20"/>
          <w:color w:val="auto"/>
        </w:rPr>
      </w:pPr>
    </w:p>
    <w:p>
      <w:pPr>
        <w:ind w:right="340"/>
        <w:spacing w:after="0" w:line="249" w:lineRule="auto"/>
        <w:rPr>
          <w:sz w:val="20"/>
          <w:szCs w:val="20"/>
          <w:color w:val="auto"/>
        </w:rPr>
      </w:pPr>
      <w:r>
        <w:rPr>
          <w:rFonts w:ascii="Arial" w:cs="Arial" w:eastAsia="Arial" w:hAnsi="Arial"/>
          <w:sz w:val="17"/>
          <w:szCs w:val="17"/>
          <w:color w:val="auto"/>
        </w:rPr>
        <w:t>The committee’s strategy for setting cash and non-cash compensation is described in the table that follows immediately below. Its compensation decisions for the named executive officers for 2014 are discussed on pages 89-94. Benefit programs in which the executive officers participate are discussed on pages 95-96. Perquisites are discussed on page 96.</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Detailed discussion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philosophy and elements</w:t>
      </w:r>
    </w:p>
    <w:p>
      <w:pPr>
        <w:spacing w:after="0" w:line="21"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The Compensation Committee of TI’s board of directors is responsible for setting the compensation of all TI executive officers. The committee consults with the other independent directors and its compensation consultant, Pearl Meyer &amp; Partners, before setting annual compensation for the executives. The committee chair regularly reports on committee actions at board meetings.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primary elements of our executive compensation program are as follows: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Near-term compensation, paid in cash</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80" w:type="dxa"/>
            <w:vAlign w:val="bottom"/>
          </w:tcPr>
          <w:p>
            <w:pPr>
              <w:spacing w:after="0"/>
              <w:rPr>
                <w:sz w:val="20"/>
                <w:szCs w:val="20"/>
                <w:color w:val="auto"/>
              </w:rPr>
            </w:pPr>
            <w:r>
              <w:rPr>
                <w:rFonts w:ascii="Arial" w:cs="Arial" w:eastAsia="Arial" w:hAnsi="Arial"/>
                <w:sz w:val="13"/>
                <w:szCs w:val="13"/>
                <w:b w:val="1"/>
                <w:bCs w:val="1"/>
                <w:color w:val="auto"/>
              </w:rPr>
              <w:t>Element</w:t>
            </w:r>
          </w:p>
        </w:tc>
        <w:tc>
          <w:tcPr>
            <w:tcW w:w="2840" w:type="dxa"/>
            <w:vAlign w:val="bottom"/>
          </w:tcPr>
          <w:p>
            <w:pPr>
              <w:ind w:left="1380"/>
              <w:spacing w:after="0"/>
              <w:rPr>
                <w:sz w:val="20"/>
                <w:szCs w:val="20"/>
                <w:color w:val="auto"/>
              </w:rPr>
            </w:pPr>
            <w:r>
              <w:rPr>
                <w:rFonts w:ascii="Arial" w:cs="Arial" w:eastAsia="Arial" w:hAnsi="Arial"/>
                <w:sz w:val="13"/>
                <w:szCs w:val="13"/>
                <w:b w:val="1"/>
                <w:bCs w:val="1"/>
                <w:color w:val="auto"/>
              </w:rPr>
              <w:t>Purpose</w:t>
            </w:r>
          </w:p>
        </w:tc>
        <w:tc>
          <w:tcPr>
            <w:tcW w:w="3280" w:type="dxa"/>
            <w:vAlign w:val="bottom"/>
          </w:tcPr>
          <w:p>
            <w:pPr>
              <w:ind w:left="1560"/>
              <w:spacing w:after="0"/>
              <w:rPr>
                <w:sz w:val="20"/>
                <w:szCs w:val="20"/>
                <w:color w:val="auto"/>
              </w:rPr>
            </w:pPr>
            <w:r>
              <w:rPr>
                <w:rFonts w:ascii="Arial" w:cs="Arial" w:eastAsia="Arial" w:hAnsi="Arial"/>
                <w:sz w:val="13"/>
                <w:szCs w:val="13"/>
                <w:b w:val="1"/>
                <w:bCs w:val="1"/>
                <w:color w:val="auto"/>
              </w:rPr>
              <w:t>Strategy</w:t>
            </w:r>
          </w:p>
        </w:tc>
        <w:tc>
          <w:tcPr>
            <w:tcW w:w="2820" w:type="dxa"/>
            <w:vAlign w:val="bottom"/>
          </w:tcPr>
          <w:p>
            <w:pPr>
              <w:ind w:left="1300"/>
              <w:spacing w:after="0"/>
              <w:rPr>
                <w:sz w:val="20"/>
                <w:szCs w:val="20"/>
                <w:color w:val="auto"/>
              </w:rPr>
            </w:pPr>
            <w:r>
              <w:rPr>
                <w:rFonts w:ascii="Arial" w:cs="Arial" w:eastAsia="Arial" w:hAnsi="Arial"/>
                <w:sz w:val="13"/>
                <w:szCs w:val="13"/>
                <w:b w:val="1"/>
                <w:bCs w:val="1"/>
                <w:color w:val="auto"/>
              </w:rPr>
              <w:t>Terms</w:t>
            </w:r>
          </w:p>
        </w:tc>
      </w:tr>
      <w:tr>
        <w:trPr>
          <w:trHeight w:val="41"/>
        </w:trPr>
        <w:tc>
          <w:tcPr>
            <w:tcW w:w="248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r>
      <w:tr>
        <w:trPr>
          <w:trHeight w:val="195"/>
        </w:trPr>
        <w:tc>
          <w:tcPr>
            <w:tcW w:w="2480" w:type="dxa"/>
            <w:vAlign w:val="bottom"/>
            <w:shd w:val="clear" w:color="auto" w:fill="E9E9E9"/>
          </w:tcPr>
          <w:p>
            <w:pPr>
              <w:spacing w:after="0"/>
              <w:rPr>
                <w:sz w:val="20"/>
                <w:szCs w:val="20"/>
                <w:color w:val="auto"/>
              </w:rPr>
            </w:pPr>
            <w:r>
              <w:rPr>
                <w:rFonts w:ascii="Arial" w:cs="Arial" w:eastAsia="Arial" w:hAnsi="Arial"/>
                <w:sz w:val="17"/>
                <w:szCs w:val="17"/>
                <w:color w:val="auto"/>
              </w:rPr>
              <w:t>Base salary</w:t>
            </w:r>
          </w:p>
        </w:tc>
        <w:tc>
          <w:tcPr>
            <w:tcW w:w="2840" w:type="dxa"/>
            <w:vAlign w:val="bottom"/>
            <w:shd w:val="clear" w:color="auto" w:fill="E9E9E9"/>
          </w:tcPr>
          <w:p>
            <w:pPr>
              <w:ind w:left="280"/>
              <w:spacing w:after="0"/>
              <w:rPr>
                <w:sz w:val="20"/>
                <w:szCs w:val="20"/>
                <w:color w:val="auto"/>
              </w:rPr>
            </w:pPr>
            <w:r>
              <w:rPr>
                <w:rFonts w:ascii="Arial" w:cs="Arial" w:eastAsia="Arial" w:hAnsi="Arial"/>
                <w:sz w:val="17"/>
                <w:szCs w:val="17"/>
                <w:color w:val="auto"/>
              </w:rPr>
              <w:t>Basic, least variable form of</w:t>
            </w:r>
          </w:p>
        </w:tc>
        <w:tc>
          <w:tcPr>
            <w:tcW w:w="3280" w:type="dxa"/>
            <w:vAlign w:val="bottom"/>
            <w:shd w:val="clear" w:color="auto" w:fill="E9E9E9"/>
          </w:tcPr>
          <w:p>
            <w:pPr>
              <w:ind w:left="440"/>
              <w:spacing w:after="0"/>
              <w:rPr>
                <w:sz w:val="20"/>
                <w:szCs w:val="20"/>
                <w:color w:val="auto"/>
              </w:rPr>
            </w:pPr>
            <w:r>
              <w:rPr>
                <w:rFonts w:ascii="Arial" w:cs="Arial" w:eastAsia="Arial" w:hAnsi="Arial"/>
                <w:sz w:val="17"/>
                <w:szCs w:val="17"/>
                <w:color w:val="auto"/>
              </w:rPr>
              <w:t>Pay below market median in order</w:t>
            </w:r>
          </w:p>
        </w:tc>
        <w:tc>
          <w:tcPr>
            <w:tcW w:w="2820" w:type="dxa"/>
            <w:vAlign w:val="bottom"/>
            <w:shd w:val="clear" w:color="auto" w:fill="E9E9E9"/>
          </w:tcPr>
          <w:p>
            <w:pPr>
              <w:ind w:left="180"/>
              <w:spacing w:after="0"/>
              <w:rPr>
                <w:sz w:val="20"/>
                <w:szCs w:val="20"/>
                <w:color w:val="auto"/>
              </w:rPr>
            </w:pPr>
            <w:r>
              <w:rPr>
                <w:rFonts w:ascii="Arial" w:cs="Arial" w:eastAsia="Arial" w:hAnsi="Arial"/>
                <w:sz w:val="17"/>
                <w:szCs w:val="17"/>
                <w:color w:val="auto"/>
              </w:rPr>
              <w:t>Paid twice monthly</w:t>
            </w:r>
          </w:p>
        </w:tc>
      </w:tr>
      <w:tr>
        <w:trPr>
          <w:trHeight w:val="198"/>
        </w:trPr>
        <w:tc>
          <w:tcPr>
            <w:tcW w:w="2480" w:type="dxa"/>
            <w:vAlign w:val="bottom"/>
            <w:shd w:val="clear" w:color="auto" w:fill="E9E9E9"/>
          </w:tcPr>
          <w:p>
            <w:pPr>
              <w:spacing w:after="0"/>
              <w:rPr>
                <w:sz w:val="17"/>
                <w:szCs w:val="17"/>
                <w:color w:val="auto"/>
              </w:rPr>
            </w:pPr>
          </w:p>
        </w:tc>
        <w:tc>
          <w:tcPr>
            <w:tcW w:w="2840" w:type="dxa"/>
            <w:vAlign w:val="bottom"/>
            <w:shd w:val="clear" w:color="auto" w:fill="E9E9E9"/>
          </w:tcPr>
          <w:p>
            <w:pPr>
              <w:ind w:left="280"/>
              <w:spacing w:after="0"/>
              <w:rPr>
                <w:sz w:val="20"/>
                <w:szCs w:val="20"/>
                <w:color w:val="auto"/>
              </w:rPr>
            </w:pPr>
            <w:r>
              <w:rPr>
                <w:rFonts w:ascii="Arial" w:cs="Arial" w:eastAsia="Arial" w:hAnsi="Arial"/>
                <w:sz w:val="17"/>
                <w:szCs w:val="17"/>
                <w:color w:val="auto"/>
              </w:rPr>
              <w:t>compensation</w:t>
            </w:r>
          </w:p>
        </w:tc>
        <w:tc>
          <w:tcPr>
            <w:tcW w:w="3280" w:type="dxa"/>
            <w:vAlign w:val="bottom"/>
            <w:shd w:val="clear" w:color="auto" w:fill="E9E9E9"/>
          </w:tcPr>
          <w:p>
            <w:pPr>
              <w:ind w:left="440"/>
              <w:spacing w:after="0"/>
              <w:rPr>
                <w:sz w:val="20"/>
                <w:szCs w:val="20"/>
                <w:color w:val="auto"/>
              </w:rPr>
            </w:pPr>
            <w:r>
              <w:rPr>
                <w:rFonts w:ascii="Arial" w:cs="Arial" w:eastAsia="Arial" w:hAnsi="Arial"/>
                <w:sz w:val="17"/>
                <w:szCs w:val="17"/>
                <w:color w:val="auto"/>
              </w:rPr>
              <w:t>to weight total compensation to the</w:t>
            </w:r>
          </w:p>
        </w:tc>
        <w:tc>
          <w:tcPr>
            <w:tcW w:w="2820" w:type="dxa"/>
            <w:vAlign w:val="bottom"/>
            <w:shd w:val="clear" w:color="auto" w:fill="E9E9E9"/>
          </w:tcPr>
          <w:p>
            <w:pPr>
              <w:spacing w:after="0"/>
              <w:rPr>
                <w:sz w:val="17"/>
                <w:szCs w:val="17"/>
                <w:color w:val="auto"/>
              </w:rPr>
            </w:pPr>
          </w:p>
        </w:tc>
      </w:tr>
      <w:tr>
        <w:trPr>
          <w:trHeight w:val="198"/>
        </w:trPr>
        <w:tc>
          <w:tcPr>
            <w:tcW w:w="2480" w:type="dxa"/>
            <w:vAlign w:val="bottom"/>
            <w:shd w:val="clear" w:color="auto" w:fill="E9E9E9"/>
          </w:tcPr>
          <w:p>
            <w:pPr>
              <w:spacing w:after="0"/>
              <w:rPr>
                <w:sz w:val="17"/>
                <w:szCs w:val="17"/>
                <w:color w:val="auto"/>
              </w:rPr>
            </w:pPr>
          </w:p>
        </w:tc>
        <w:tc>
          <w:tcPr>
            <w:tcW w:w="2840" w:type="dxa"/>
            <w:vAlign w:val="bottom"/>
            <w:shd w:val="clear" w:color="auto" w:fill="E9E9E9"/>
          </w:tcPr>
          <w:p>
            <w:pPr>
              <w:spacing w:after="0"/>
              <w:rPr>
                <w:sz w:val="17"/>
                <w:szCs w:val="17"/>
                <w:color w:val="auto"/>
              </w:rPr>
            </w:pPr>
          </w:p>
        </w:tc>
        <w:tc>
          <w:tcPr>
            <w:tcW w:w="3280" w:type="dxa"/>
            <w:vAlign w:val="bottom"/>
            <w:shd w:val="clear" w:color="auto" w:fill="E9E9E9"/>
          </w:tcPr>
          <w:p>
            <w:pPr>
              <w:ind w:left="440"/>
              <w:spacing w:after="0"/>
              <w:rPr>
                <w:sz w:val="20"/>
                <w:szCs w:val="20"/>
                <w:color w:val="auto"/>
              </w:rPr>
            </w:pPr>
            <w:r>
              <w:rPr>
                <w:rFonts w:ascii="Arial" w:cs="Arial" w:eastAsia="Arial" w:hAnsi="Arial"/>
                <w:sz w:val="17"/>
                <w:szCs w:val="17"/>
                <w:color w:val="auto"/>
              </w:rPr>
              <w:t>performance-based elements</w:t>
            </w:r>
          </w:p>
        </w:tc>
        <w:tc>
          <w:tcPr>
            <w:tcW w:w="2820" w:type="dxa"/>
            <w:vAlign w:val="bottom"/>
            <w:shd w:val="clear" w:color="auto" w:fill="E9E9E9"/>
          </w:tcPr>
          <w:p>
            <w:pPr>
              <w:spacing w:after="0"/>
              <w:rPr>
                <w:sz w:val="17"/>
                <w:szCs w:val="17"/>
                <w:color w:val="auto"/>
              </w:rPr>
            </w:pPr>
          </w:p>
        </w:tc>
      </w:tr>
      <w:tr>
        <w:trPr>
          <w:trHeight w:val="195"/>
        </w:trPr>
        <w:tc>
          <w:tcPr>
            <w:tcW w:w="2480" w:type="dxa"/>
            <w:vAlign w:val="bottom"/>
            <w:shd w:val="clear" w:color="auto" w:fill="E9E9E9"/>
          </w:tcPr>
          <w:p>
            <w:pPr>
              <w:spacing w:after="0"/>
              <w:rPr>
                <w:sz w:val="16"/>
                <w:szCs w:val="16"/>
                <w:color w:val="auto"/>
              </w:rPr>
            </w:pPr>
          </w:p>
        </w:tc>
        <w:tc>
          <w:tcPr>
            <w:tcW w:w="2840" w:type="dxa"/>
            <w:vAlign w:val="bottom"/>
            <w:shd w:val="clear" w:color="auto" w:fill="E9E9E9"/>
          </w:tcPr>
          <w:p>
            <w:pPr>
              <w:spacing w:after="0"/>
              <w:rPr>
                <w:sz w:val="16"/>
                <w:szCs w:val="16"/>
                <w:color w:val="auto"/>
              </w:rPr>
            </w:pPr>
          </w:p>
        </w:tc>
        <w:tc>
          <w:tcPr>
            <w:tcW w:w="3280" w:type="dxa"/>
            <w:vAlign w:val="bottom"/>
            <w:shd w:val="clear" w:color="auto" w:fill="E9E9E9"/>
          </w:tcPr>
          <w:p>
            <w:pPr>
              <w:ind w:left="440"/>
              <w:spacing w:after="0"/>
              <w:rPr>
                <w:sz w:val="20"/>
                <w:szCs w:val="20"/>
                <w:color w:val="auto"/>
              </w:rPr>
            </w:pPr>
            <w:r>
              <w:rPr>
                <w:rFonts w:ascii="Arial" w:cs="Arial" w:eastAsia="Arial" w:hAnsi="Arial"/>
                <w:sz w:val="17"/>
                <w:szCs w:val="17"/>
                <w:color w:val="auto"/>
              </w:rPr>
              <w:t>described below in this chart.</w:t>
            </w:r>
          </w:p>
        </w:tc>
        <w:tc>
          <w:tcPr>
            <w:tcW w:w="2820" w:type="dxa"/>
            <w:vAlign w:val="bottom"/>
            <w:shd w:val="clear" w:color="auto" w:fill="E9E9E9"/>
          </w:tcPr>
          <w:p>
            <w:pPr>
              <w:spacing w:after="0"/>
              <w:rPr>
                <w:sz w:val="16"/>
                <w:szCs w:val="16"/>
                <w:color w:val="auto"/>
              </w:rPr>
            </w:pPr>
          </w:p>
        </w:tc>
      </w:tr>
      <w:tr>
        <w:trPr>
          <w:trHeight w:val="238"/>
        </w:trPr>
        <w:tc>
          <w:tcPr>
            <w:tcW w:w="2480" w:type="dxa"/>
            <w:vAlign w:val="bottom"/>
            <w:shd w:val="clear" w:color="auto" w:fill="E9E9E9"/>
          </w:tcPr>
          <w:p>
            <w:pPr>
              <w:spacing w:after="0"/>
              <w:rPr>
                <w:sz w:val="20"/>
                <w:szCs w:val="20"/>
                <w:color w:val="auto"/>
              </w:rPr>
            </w:pPr>
          </w:p>
        </w:tc>
        <w:tc>
          <w:tcPr>
            <w:tcW w:w="2840" w:type="dxa"/>
            <w:vAlign w:val="bottom"/>
            <w:shd w:val="clear" w:color="auto" w:fill="E9E9E9"/>
          </w:tcPr>
          <w:p>
            <w:pPr>
              <w:spacing w:after="0"/>
              <w:rPr>
                <w:sz w:val="20"/>
                <w:szCs w:val="20"/>
                <w:color w:val="auto"/>
              </w:rPr>
            </w:pPr>
          </w:p>
        </w:tc>
        <w:tc>
          <w:tcPr>
            <w:tcW w:w="3280" w:type="dxa"/>
            <w:vAlign w:val="bottom"/>
            <w:shd w:val="clear" w:color="auto" w:fill="E9E9E9"/>
          </w:tcPr>
          <w:p>
            <w:pPr>
              <w:spacing w:after="0"/>
              <w:rPr>
                <w:sz w:val="20"/>
                <w:szCs w:val="20"/>
                <w:color w:val="auto"/>
              </w:rPr>
            </w:pPr>
          </w:p>
        </w:tc>
        <w:tc>
          <w:tcPr>
            <w:tcW w:w="2820" w:type="dxa"/>
            <w:vAlign w:val="bottom"/>
            <w:shd w:val="clear" w:color="auto" w:fill="E9E9E9"/>
          </w:tcPr>
          <w:p>
            <w:pPr>
              <w:spacing w:after="0"/>
              <w:rPr>
                <w:sz w:val="20"/>
                <w:szCs w:val="20"/>
                <w:color w:val="auto"/>
              </w:rPr>
            </w:pPr>
          </w:p>
        </w:tc>
      </w:tr>
    </w:tbl>
    <w:p>
      <w:pPr>
        <w:spacing w:after="0" w:line="3" w:lineRule="exact"/>
        <w:rPr>
          <w:sz w:val="20"/>
          <w:szCs w:val="20"/>
          <w:color w:val="auto"/>
        </w:rPr>
      </w:pPr>
    </w:p>
    <w:p>
      <w:pPr>
        <w:sectPr>
          <w:pgSz w:w="11900" w:h="16838" w:orient="portrait"/>
          <w:cols w:equalWidth="0" w:num="1">
            <w:col w:w="11440"/>
          </w:cols>
          <w:pgMar w:left="240" w:top="380" w:right="219" w:bottom="1440" w:gutter="0" w:footer="0" w:header="0"/>
        </w:sectPr>
      </w:pPr>
    </w:p>
    <w:p>
      <w:pPr>
        <w:spacing w:after="0"/>
        <w:tabs>
          <w:tab w:leader="none" w:pos="2740" w:val="left"/>
        </w:tabs>
        <w:rPr>
          <w:sz w:val="20"/>
          <w:szCs w:val="20"/>
          <w:color w:val="auto"/>
        </w:rPr>
      </w:pPr>
      <w:r>
        <w:rPr>
          <w:rFonts w:ascii="Arial" w:cs="Arial" w:eastAsia="Arial" w:hAnsi="Arial"/>
          <w:sz w:val="17"/>
          <w:szCs w:val="17"/>
          <w:color w:val="auto"/>
        </w:rPr>
        <w:t>Profit sharing</w:t>
      </w:r>
      <w:r>
        <w:rPr>
          <w:sz w:val="20"/>
          <w:szCs w:val="20"/>
          <w:color w:val="auto"/>
        </w:rPr>
        <w:tab/>
      </w:r>
      <w:r>
        <w:rPr>
          <w:rFonts w:ascii="Arial" w:cs="Arial" w:eastAsia="Arial" w:hAnsi="Arial"/>
          <w:sz w:val="17"/>
          <w:szCs w:val="17"/>
          <w:color w:val="auto"/>
        </w:rPr>
        <w:t>Broad-based program designed to</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emphasize that each employee</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contributes to the company’s</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profitability and can share in it</w:t>
      </w:r>
    </w:p>
    <w:p>
      <w:pPr>
        <w:spacing w:after="0" w:line="20" w:lineRule="exact"/>
        <w:rPr>
          <w:sz w:val="20"/>
          <w:szCs w:val="20"/>
          <w:color w:val="auto"/>
        </w:rPr>
      </w:pPr>
      <w:r>
        <w:rPr>
          <w:sz w:val="20"/>
          <w:szCs w:val="20"/>
          <w:color w:val="auto"/>
        </w:rPr>
        <w:br w:type="column"/>
      </w:r>
    </w:p>
    <w:p>
      <w:pPr>
        <w:ind w:right="60"/>
        <w:spacing w:after="0" w:line="245" w:lineRule="auto"/>
        <w:rPr>
          <w:sz w:val="20"/>
          <w:szCs w:val="20"/>
          <w:color w:val="auto"/>
        </w:rPr>
      </w:pPr>
      <w:r>
        <w:rPr>
          <w:rFonts w:ascii="Arial" w:cs="Arial" w:eastAsia="Arial" w:hAnsi="Arial"/>
          <w:sz w:val="17"/>
          <w:szCs w:val="17"/>
          <w:color w:val="auto"/>
        </w:rPr>
        <w:t>Pay according to a formula that focuses employees on a company goal, and at a level that will affect behavior. Profit sharing is paid in addition to any performance bonus awarded for the year.</w:t>
      </w:r>
    </w:p>
    <w:p>
      <w:pPr>
        <w:spacing w:after="0" w:line="203" w:lineRule="exact"/>
        <w:rPr>
          <w:sz w:val="20"/>
          <w:szCs w:val="20"/>
          <w:color w:val="auto"/>
        </w:rPr>
      </w:pPr>
    </w:p>
    <w:p>
      <w:pPr>
        <w:jc w:val="both"/>
        <w:ind w:right="40"/>
        <w:spacing w:after="0" w:line="243" w:lineRule="auto"/>
        <w:rPr>
          <w:sz w:val="20"/>
          <w:szCs w:val="20"/>
          <w:color w:val="auto"/>
        </w:rPr>
      </w:pPr>
      <w:r>
        <w:rPr>
          <w:rFonts w:ascii="Arial" w:cs="Arial" w:eastAsia="Arial" w:hAnsi="Arial"/>
          <w:sz w:val="17"/>
          <w:szCs w:val="17"/>
          <w:color w:val="auto"/>
        </w:rPr>
        <w:t>For the last ten years, the formula has been based on company-level annual operating profit margin. The formula was set by the TI board.</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committee’s practice has been not to adjust amounts earned under the formula.</w:t>
      </w:r>
    </w:p>
    <w:p>
      <w:pPr>
        <w:spacing w:after="0" w:line="20" w:lineRule="exact"/>
        <w:rPr>
          <w:sz w:val="20"/>
          <w:szCs w:val="20"/>
          <w:color w:val="auto"/>
        </w:rPr>
      </w:pPr>
      <w:r>
        <w:rPr>
          <w:sz w:val="20"/>
          <w:szCs w:val="20"/>
          <w:color w:val="auto"/>
        </w:rPr>
        <w:br w:type="column"/>
      </w:r>
    </w:p>
    <w:p>
      <w:pPr>
        <w:ind w:right="100"/>
        <w:spacing w:after="0" w:line="249" w:lineRule="auto"/>
        <w:rPr>
          <w:sz w:val="20"/>
          <w:szCs w:val="20"/>
          <w:color w:val="auto"/>
        </w:rPr>
      </w:pPr>
      <w:r>
        <w:rPr>
          <w:rFonts w:ascii="Arial" w:cs="Arial" w:eastAsia="Arial" w:hAnsi="Arial"/>
          <w:sz w:val="17"/>
          <w:szCs w:val="17"/>
          <w:color w:val="auto"/>
        </w:rPr>
        <w:t>Payable in a single cash payment shortly after the end of the performance year</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As in recent years, the formula for 2014 was:</w:t>
      </w:r>
    </w:p>
    <w:p>
      <w:pPr>
        <w:spacing w:after="0" w:line="192" w:lineRule="exact"/>
        <w:rPr>
          <w:sz w:val="20"/>
          <w:szCs w:val="20"/>
          <w:color w:val="auto"/>
        </w:rPr>
      </w:pPr>
    </w:p>
    <w:p>
      <w:pPr>
        <w:ind w:left="260" w:right="320" w:hanging="252"/>
        <w:spacing w:after="0" w:line="243" w:lineRule="auto"/>
        <w:tabs>
          <w:tab w:leader="none" w:pos="238" w:val="left"/>
        </w:tabs>
        <w:numPr>
          <w:ilvl w:val="0"/>
          <w:numId w:val="35"/>
        </w:numPr>
        <w:rPr>
          <w:rFonts w:ascii="Arial" w:cs="Arial" w:eastAsia="Arial" w:hAnsi="Arial"/>
          <w:sz w:val="17"/>
          <w:szCs w:val="17"/>
          <w:color w:val="auto"/>
        </w:rPr>
      </w:pPr>
      <w:r>
        <w:rPr>
          <w:rFonts w:ascii="Arial" w:cs="Arial" w:eastAsia="Arial" w:hAnsi="Arial"/>
          <w:sz w:val="17"/>
          <w:szCs w:val="17"/>
          <w:color w:val="auto"/>
        </w:rPr>
        <w:t>Below 10% company-level annual operating profit as a percentage of revenue (“Margin”): no profit sharing</w:t>
      </w:r>
    </w:p>
    <w:p>
      <w:pPr>
        <w:spacing w:after="0" w:line="1" w:lineRule="exact"/>
        <w:rPr>
          <w:rFonts w:ascii="Arial" w:cs="Arial" w:eastAsia="Arial" w:hAnsi="Arial"/>
          <w:sz w:val="17"/>
          <w:szCs w:val="17"/>
          <w:color w:val="auto"/>
        </w:rPr>
      </w:pPr>
    </w:p>
    <w:p>
      <w:pPr>
        <w:ind w:left="260" w:right="60" w:hanging="252"/>
        <w:spacing w:after="0" w:line="243" w:lineRule="auto"/>
        <w:tabs>
          <w:tab w:leader="none" w:pos="238" w:val="left"/>
        </w:tabs>
        <w:numPr>
          <w:ilvl w:val="0"/>
          <w:numId w:val="35"/>
        </w:numPr>
        <w:rPr>
          <w:rFonts w:ascii="Arial" w:cs="Arial" w:eastAsia="Arial" w:hAnsi="Arial"/>
          <w:sz w:val="17"/>
          <w:szCs w:val="17"/>
          <w:color w:val="auto"/>
        </w:rPr>
      </w:pPr>
      <w:r>
        <w:rPr>
          <w:rFonts w:ascii="Arial" w:cs="Arial" w:eastAsia="Arial" w:hAnsi="Arial"/>
          <w:sz w:val="17"/>
          <w:szCs w:val="17"/>
          <w:color w:val="auto"/>
        </w:rPr>
        <w:t>At 10% Margin: profit sharing = 2% of base salary</w:t>
      </w:r>
    </w:p>
    <w:p>
      <w:pPr>
        <w:ind w:left="260" w:right="200" w:hanging="252"/>
        <w:spacing w:after="0" w:line="244" w:lineRule="auto"/>
        <w:tabs>
          <w:tab w:leader="none" w:pos="238" w:val="left"/>
        </w:tabs>
        <w:numPr>
          <w:ilvl w:val="0"/>
          <w:numId w:val="35"/>
        </w:numPr>
        <w:rPr>
          <w:rFonts w:ascii="Arial" w:cs="Arial" w:eastAsia="Arial" w:hAnsi="Arial"/>
          <w:sz w:val="17"/>
          <w:szCs w:val="17"/>
          <w:color w:val="auto"/>
        </w:rPr>
      </w:pPr>
      <w:r>
        <w:rPr>
          <w:rFonts w:ascii="Arial" w:cs="Arial" w:eastAsia="Arial" w:hAnsi="Arial"/>
          <w:sz w:val="17"/>
          <w:szCs w:val="17"/>
          <w:color w:val="auto"/>
        </w:rPr>
        <w:t>At Margin above 10%: profit sharing increases by 0.5% of base salary for each percentage point of Margin between 10% and 24%, and 1% of base salary for each percentage point of Margin above 24%. The maximum profit sharing is 20% of base salary.</w:t>
      </w:r>
    </w:p>
    <w:p>
      <w:pPr>
        <w:spacing w:after="0" w:line="206"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In 2014, TI delivered Margin of 30.3%. As a result, all eligible employees, including executive officers, received profit sharing of 15.3% of base salary.</w:t>
      </w:r>
    </w:p>
    <w:p>
      <w:pPr>
        <w:spacing w:after="0" w:line="200" w:lineRule="exact"/>
        <w:rPr>
          <w:sz w:val="20"/>
          <w:szCs w:val="20"/>
          <w:color w:val="auto"/>
        </w:rPr>
      </w:pPr>
    </w:p>
    <w:p>
      <w:pPr>
        <w:sectPr>
          <w:pgSz w:w="11900" w:h="16838" w:orient="portrait"/>
          <w:cols w:equalWidth="0" w:num="3">
            <w:col w:w="5360" w:space="400"/>
            <w:col w:w="2720" w:space="300"/>
            <w:col w:w="2660"/>
          </w:cols>
          <w:pgMar w:left="240" w:top="380" w:right="219" w:bottom="1440"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300" w:type="dxa"/>
            <w:vAlign w:val="bottom"/>
          </w:tcPr>
          <w:p>
            <w:pPr>
              <w:ind w:left="4120"/>
              <w:spacing w:after="0"/>
              <w:rPr>
                <w:sz w:val="20"/>
                <w:szCs w:val="20"/>
                <w:color w:val="auto"/>
              </w:rPr>
            </w:pPr>
            <w:r>
              <w:rPr>
                <w:rFonts w:ascii="Arial" w:cs="Arial" w:eastAsia="Arial" w:hAnsi="Arial"/>
                <w:sz w:val="13"/>
                <w:szCs w:val="13"/>
                <w:color w:val="838383"/>
              </w:rPr>
              <w:t>TEXAS INSTRUMENTS ● 2015 PROXY STATEMENT</w:t>
            </w:r>
          </w:p>
        </w:tc>
        <w:tc>
          <w:tcPr>
            <w:tcW w:w="2140" w:type="dxa"/>
            <w:vAlign w:val="bottom"/>
          </w:tcPr>
          <w:p>
            <w:pPr>
              <w:jc w:val="right"/>
              <w:spacing w:after="0"/>
              <w:rPr>
                <w:sz w:val="20"/>
                <w:szCs w:val="20"/>
                <w:color w:val="auto"/>
              </w:rPr>
            </w:pPr>
            <w:r>
              <w:rPr>
                <w:rFonts w:ascii="Arial" w:cs="Arial" w:eastAsia="Arial" w:hAnsi="Arial"/>
                <w:sz w:val="13"/>
                <w:szCs w:val="13"/>
                <w:color w:val="838383"/>
              </w:rPr>
              <w:t>87</w:t>
            </w:r>
          </w:p>
        </w:tc>
      </w:tr>
      <w:tr>
        <w:trPr>
          <w:trHeight w:val="355"/>
        </w:trPr>
        <w:tc>
          <w:tcPr>
            <w:tcW w:w="930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type w:val="continuous"/>
        </w:sectPr>
      </w:pPr>
    </w:p>
    <w:bookmarkStart w:id="18" w:name="page19"/>
    <w:bookmarkEnd w:id="18"/>
    <w:p>
      <w:pPr>
        <w:ind w:left="1000"/>
        <w:spacing w:after="0"/>
        <w:tabs>
          <w:tab w:leader="none" w:pos="3860" w:val="left"/>
          <w:tab w:leader="none" w:pos="6880" w:val="left"/>
          <w:tab w:leader="none" w:pos="9900" w:val="left"/>
        </w:tabs>
        <w:rPr>
          <w:sz w:val="20"/>
          <w:szCs w:val="20"/>
          <w:color w:val="auto"/>
        </w:rPr>
      </w:pPr>
      <w:r>
        <w:rPr>
          <w:rFonts w:ascii="Arial" w:cs="Arial" w:eastAsia="Arial" w:hAnsi="Arial"/>
          <w:sz w:val="13"/>
          <w:szCs w:val="13"/>
          <w:b w:val="1"/>
          <w:bCs w:val="1"/>
          <w:color w:val="auto"/>
        </w:rPr>
        <w:t>Element</w:t>
      </w:r>
      <w:r>
        <w:rPr>
          <w:sz w:val="20"/>
          <w:szCs w:val="20"/>
          <w:color w:val="auto"/>
        </w:rPr>
        <w:tab/>
      </w:r>
      <w:r>
        <w:rPr>
          <w:rFonts w:ascii="Arial" w:cs="Arial" w:eastAsia="Arial" w:hAnsi="Arial"/>
          <w:sz w:val="13"/>
          <w:szCs w:val="13"/>
          <w:b w:val="1"/>
          <w:bCs w:val="1"/>
          <w:color w:val="auto"/>
        </w:rPr>
        <w:t>Purpose</w:t>
      </w:r>
      <w:r>
        <w:rPr>
          <w:sz w:val="20"/>
          <w:szCs w:val="20"/>
          <w:color w:val="auto"/>
        </w:rPr>
        <w:tab/>
      </w:r>
      <w:r>
        <w:rPr>
          <w:rFonts w:ascii="Arial" w:cs="Arial" w:eastAsia="Arial" w:hAnsi="Arial"/>
          <w:sz w:val="13"/>
          <w:szCs w:val="13"/>
          <w:b w:val="1"/>
          <w:bCs w:val="1"/>
          <w:color w:val="auto"/>
        </w:rPr>
        <w:t>Strategy</w:t>
      </w:r>
      <w:r>
        <w:rPr>
          <w:sz w:val="20"/>
          <w:szCs w:val="20"/>
          <w:color w:val="auto"/>
        </w:rPr>
        <w:tab/>
      </w:r>
      <w:r>
        <w:rPr>
          <w:rFonts w:ascii="Arial" w:cs="Arial" w:eastAsia="Arial" w:hAnsi="Arial"/>
          <w:sz w:val="12"/>
          <w:szCs w:val="12"/>
          <w:b w:val="1"/>
          <w:bCs w:val="1"/>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41275</wp:posOffset>
            </wp:positionV>
            <wp:extent cx="7249795" cy="385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9795" cy="3851275"/>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140" w:type="dxa"/>
            <w:vAlign w:val="bottom"/>
          </w:tcPr>
          <w:p>
            <w:pPr>
              <w:spacing w:after="0"/>
              <w:rPr>
                <w:sz w:val="20"/>
                <w:szCs w:val="20"/>
                <w:color w:val="auto"/>
              </w:rPr>
            </w:pPr>
            <w:r>
              <w:rPr>
                <w:rFonts w:ascii="Arial" w:cs="Arial" w:eastAsia="Arial" w:hAnsi="Arial"/>
                <w:sz w:val="17"/>
                <w:szCs w:val="17"/>
                <w:color w:val="auto"/>
              </w:rPr>
              <w:t>Performance bonus</w:t>
            </w:r>
          </w:p>
        </w:tc>
        <w:tc>
          <w:tcPr>
            <w:tcW w:w="3280" w:type="dxa"/>
            <w:vAlign w:val="bottom"/>
          </w:tcPr>
          <w:p>
            <w:pPr>
              <w:ind w:left="620"/>
              <w:spacing w:after="0"/>
              <w:rPr>
                <w:sz w:val="20"/>
                <w:szCs w:val="20"/>
                <w:color w:val="auto"/>
              </w:rPr>
            </w:pPr>
            <w:r>
              <w:rPr>
                <w:rFonts w:ascii="Arial" w:cs="Arial" w:eastAsia="Arial" w:hAnsi="Arial"/>
                <w:sz w:val="17"/>
                <w:szCs w:val="17"/>
                <w:color w:val="auto"/>
              </w:rPr>
              <w:t>To motivate executives and reward</w:t>
            </w:r>
          </w:p>
        </w:tc>
      </w:tr>
      <w:tr>
        <w:trPr>
          <w:trHeight w:val="198"/>
        </w:trPr>
        <w:tc>
          <w:tcPr>
            <w:tcW w:w="2140" w:type="dxa"/>
            <w:vAlign w:val="bottom"/>
          </w:tcPr>
          <w:p>
            <w:pPr>
              <w:spacing w:after="0"/>
              <w:rPr>
                <w:sz w:val="17"/>
                <w:szCs w:val="17"/>
                <w:color w:val="auto"/>
              </w:rPr>
            </w:pPr>
          </w:p>
        </w:tc>
        <w:tc>
          <w:tcPr>
            <w:tcW w:w="3280" w:type="dxa"/>
            <w:vAlign w:val="bottom"/>
          </w:tcPr>
          <w:p>
            <w:pPr>
              <w:ind w:left="620"/>
              <w:spacing w:after="0"/>
              <w:rPr>
                <w:sz w:val="20"/>
                <w:szCs w:val="20"/>
                <w:color w:val="auto"/>
              </w:rPr>
            </w:pPr>
            <w:r>
              <w:rPr>
                <w:rFonts w:ascii="Arial" w:cs="Arial" w:eastAsia="Arial" w:hAnsi="Arial"/>
                <w:sz w:val="17"/>
                <w:szCs w:val="17"/>
                <w:color w:val="auto"/>
              </w:rPr>
              <w:t>them according to the company’s</w:t>
            </w:r>
          </w:p>
        </w:tc>
      </w:tr>
    </w:tbl>
    <w:p>
      <w:pPr>
        <w:ind w:left="2760"/>
        <w:spacing w:after="0"/>
        <w:rPr>
          <w:sz w:val="20"/>
          <w:szCs w:val="20"/>
          <w:color w:val="auto"/>
        </w:rPr>
      </w:pPr>
      <w:r>
        <w:rPr>
          <w:rFonts w:ascii="Arial" w:cs="Arial" w:eastAsia="Arial" w:hAnsi="Arial"/>
          <w:sz w:val="17"/>
          <w:szCs w:val="17"/>
          <w:color w:val="auto"/>
        </w:rPr>
        <w:t>relative and absolute performance</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and the executive’s individual</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Long-term compensation, awarded in equity</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Determined primarily on the basis of one-year and three-year company performance on certain measures (revenue growth percent, operating margin and total</w:t>
      </w:r>
    </w:p>
    <w:p>
      <w:pPr>
        <w:spacing w:after="0" w:line="1" w:lineRule="exact"/>
        <w:rPr>
          <w:sz w:val="20"/>
          <w:szCs w:val="20"/>
          <w:color w:val="auto"/>
        </w:rPr>
      </w:pPr>
    </w:p>
    <w:p>
      <w:pPr>
        <w:ind w:right="100"/>
        <w:spacing w:after="0" w:line="231" w:lineRule="auto"/>
        <w:rPr>
          <w:sz w:val="20"/>
          <w:szCs w:val="20"/>
          <w:color w:val="auto"/>
        </w:rPr>
      </w:pPr>
      <w:r>
        <w:rPr>
          <w:rFonts w:ascii="Arial" w:cs="Arial" w:eastAsia="Arial" w:hAnsi="Arial"/>
          <w:sz w:val="17"/>
          <w:szCs w:val="17"/>
          <w:color w:val="auto"/>
        </w:rPr>
        <w:t>shareholder return</w:t>
      </w:r>
      <w:r>
        <w:rPr>
          <w:rFonts w:ascii="Arial" w:cs="Arial" w:eastAsia="Arial" w:hAnsi="Arial"/>
          <w:sz w:val="28"/>
          <w:szCs w:val="28"/>
          <w:color w:val="auto"/>
          <w:vertAlign w:val="superscript"/>
        </w:rPr>
        <w:t>1</w:t>
      </w:r>
      <w:r>
        <w:rPr>
          <w:rFonts w:ascii="Arial" w:cs="Arial" w:eastAsia="Arial" w:hAnsi="Arial"/>
          <w:sz w:val="17"/>
          <w:szCs w:val="17"/>
          <w:color w:val="auto"/>
        </w:rPr>
        <w:t>) as compared to competitors and on our strategic progress in key markets and with customers. These factors have been chosen to reflect our near-term financial performance as well as our progress in building long-term shareholder value.</w:t>
      </w:r>
    </w:p>
    <w:p>
      <w:pPr>
        <w:spacing w:after="0" w:line="21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committee aims to pay total cash compensation (base salary, profit sharing and bonus) appropriately above median if company performance is above that of competitors, and pay total cash compensation appropriately below the median if company performance is below competitors.</w:t>
      </w:r>
    </w:p>
    <w:p>
      <w:pPr>
        <w:spacing w:after="0" w:line="207"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committee does not rely on formulas or performance targets or thresholds. Instead it uses its judgment based on its assessment of the factors described above.</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jc w:val="both"/>
        <w:ind w:right="40"/>
        <w:spacing w:after="0" w:line="249" w:lineRule="auto"/>
        <w:rPr>
          <w:sz w:val="20"/>
          <w:szCs w:val="20"/>
          <w:color w:val="auto"/>
        </w:rPr>
      </w:pPr>
      <w:r>
        <w:rPr>
          <w:rFonts w:ascii="Arial" w:cs="Arial" w:eastAsia="Arial" w:hAnsi="Arial"/>
          <w:sz w:val="17"/>
          <w:szCs w:val="17"/>
          <w:color w:val="auto"/>
        </w:rPr>
        <w:t>Determined by the committee and paid in a single payment after the performance year</w:t>
      </w:r>
    </w:p>
    <w:p>
      <w:pPr>
        <w:spacing w:after="0" w:line="5834" w:lineRule="exact"/>
        <w:rPr>
          <w:sz w:val="20"/>
          <w:szCs w:val="20"/>
          <w:color w:val="auto"/>
        </w:rPr>
      </w:pPr>
    </w:p>
    <w:p>
      <w:pPr>
        <w:sectPr>
          <w:pgSz w:w="11900" w:h="16838" w:orient="portrait"/>
          <w:cols w:equalWidth="0" w:num="3">
            <w:col w:w="5420" w:space="360"/>
            <w:col w:w="2740" w:space="280"/>
            <w:col w:w="2620"/>
          </w:cols>
          <w:pgMar w:left="240" w:top="400" w:right="239" w:bottom="1440" w:gutter="0" w:footer="0" w:header="0"/>
          <w:type w:val="continuous"/>
        </w:sectPr>
      </w:pP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900" w:type="dxa"/>
            <w:vAlign w:val="bottom"/>
            <w:shd w:val="clear" w:color="auto" w:fill="E9E9E9"/>
          </w:tcPr>
          <w:p>
            <w:pPr>
              <w:spacing w:after="0"/>
              <w:rPr>
                <w:sz w:val="20"/>
                <w:szCs w:val="20"/>
                <w:color w:val="auto"/>
              </w:rPr>
            </w:pPr>
            <w:r>
              <w:rPr>
                <w:rFonts w:ascii="Arial" w:cs="Arial" w:eastAsia="Arial" w:hAnsi="Arial"/>
                <w:sz w:val="17"/>
                <w:szCs w:val="17"/>
                <w:color w:val="auto"/>
              </w:rPr>
              <w:t>Stock options</w:t>
            </w:r>
          </w:p>
        </w:tc>
        <w:tc>
          <w:tcPr>
            <w:tcW w:w="3740" w:type="dxa"/>
            <w:vAlign w:val="bottom"/>
            <w:shd w:val="clear" w:color="auto" w:fill="E9E9E9"/>
          </w:tcPr>
          <w:p>
            <w:pPr>
              <w:ind w:left="860"/>
              <w:spacing w:after="0"/>
              <w:rPr>
                <w:sz w:val="20"/>
                <w:szCs w:val="20"/>
                <w:color w:val="auto"/>
              </w:rPr>
            </w:pPr>
            <w:r>
              <w:rPr>
                <w:rFonts w:ascii="Arial" w:cs="Arial" w:eastAsia="Arial" w:hAnsi="Arial"/>
                <w:sz w:val="17"/>
                <w:szCs w:val="17"/>
                <w:color w:val="auto"/>
              </w:rPr>
              <w:t>Alignment with shareholders; long-</w:t>
            </w:r>
          </w:p>
        </w:tc>
        <w:tc>
          <w:tcPr>
            <w:tcW w:w="3020" w:type="dxa"/>
            <w:vAlign w:val="bottom"/>
            <w:shd w:val="clear" w:color="auto" w:fill="E9E9E9"/>
          </w:tcPr>
          <w:p>
            <w:pPr>
              <w:ind w:left="140"/>
              <w:spacing w:after="0"/>
              <w:rPr>
                <w:sz w:val="20"/>
                <w:szCs w:val="20"/>
                <w:color w:val="auto"/>
              </w:rPr>
            </w:pPr>
            <w:r>
              <w:rPr>
                <w:rFonts w:ascii="Arial" w:cs="Arial" w:eastAsia="Arial" w:hAnsi="Arial"/>
                <w:sz w:val="17"/>
                <w:szCs w:val="17"/>
                <w:color w:val="auto"/>
              </w:rPr>
              <w:t>We grant a combination of</w:t>
            </w:r>
          </w:p>
        </w:tc>
        <w:tc>
          <w:tcPr>
            <w:tcW w:w="27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The terms and conditions of stock</w:t>
            </w:r>
          </w:p>
        </w:tc>
      </w:tr>
      <w:tr>
        <w:trPr>
          <w:trHeight w:val="198"/>
        </w:trPr>
        <w:tc>
          <w:tcPr>
            <w:tcW w:w="1900" w:type="dxa"/>
            <w:vAlign w:val="bottom"/>
            <w:shd w:val="clear" w:color="auto" w:fill="E9E9E9"/>
          </w:tcPr>
          <w:p>
            <w:pPr>
              <w:spacing w:after="0"/>
              <w:rPr>
                <w:sz w:val="20"/>
                <w:szCs w:val="20"/>
                <w:color w:val="auto"/>
              </w:rPr>
            </w:pPr>
            <w:r>
              <w:rPr>
                <w:rFonts w:ascii="Arial" w:cs="Arial" w:eastAsia="Arial" w:hAnsi="Arial"/>
                <w:sz w:val="17"/>
                <w:szCs w:val="17"/>
                <w:color w:val="auto"/>
              </w:rPr>
              <w:t>and restricted</w:t>
            </w:r>
          </w:p>
        </w:tc>
        <w:tc>
          <w:tcPr>
            <w:tcW w:w="3740" w:type="dxa"/>
            <w:vAlign w:val="bottom"/>
            <w:shd w:val="clear" w:color="auto" w:fill="E9E9E9"/>
          </w:tcPr>
          <w:p>
            <w:pPr>
              <w:ind w:left="860"/>
              <w:spacing w:after="0"/>
              <w:rPr>
                <w:sz w:val="20"/>
                <w:szCs w:val="20"/>
                <w:color w:val="auto"/>
              </w:rPr>
            </w:pPr>
            <w:r>
              <w:rPr>
                <w:rFonts w:ascii="Arial" w:cs="Arial" w:eastAsia="Arial" w:hAnsi="Arial"/>
                <w:sz w:val="17"/>
                <w:szCs w:val="17"/>
                <w:color w:val="auto"/>
              </w:rPr>
              <w:t>term focus; retention, particularly</w:t>
            </w:r>
          </w:p>
        </w:tc>
        <w:tc>
          <w:tcPr>
            <w:tcW w:w="3020" w:type="dxa"/>
            <w:vAlign w:val="bottom"/>
            <w:shd w:val="clear" w:color="auto" w:fill="E9E9E9"/>
          </w:tcPr>
          <w:p>
            <w:pPr>
              <w:ind w:left="140"/>
              <w:spacing w:after="0"/>
              <w:rPr>
                <w:sz w:val="20"/>
                <w:szCs w:val="20"/>
                <w:color w:val="auto"/>
              </w:rPr>
            </w:pPr>
            <w:r>
              <w:rPr>
                <w:rFonts w:ascii="Arial" w:cs="Arial" w:eastAsia="Arial" w:hAnsi="Arial"/>
                <w:sz w:val="17"/>
                <w:szCs w:val="17"/>
                <w:color w:val="auto"/>
              </w:rPr>
              <w:t>nonqualified stock options and</w:t>
            </w:r>
          </w:p>
        </w:tc>
        <w:tc>
          <w:tcPr>
            <w:tcW w:w="27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options and restricted stock units</w:t>
            </w:r>
          </w:p>
        </w:tc>
      </w:tr>
      <w:tr>
        <w:trPr>
          <w:trHeight w:val="198"/>
        </w:trPr>
        <w:tc>
          <w:tcPr>
            <w:tcW w:w="1900" w:type="dxa"/>
            <w:vAlign w:val="bottom"/>
            <w:shd w:val="clear" w:color="auto" w:fill="E9E9E9"/>
          </w:tcPr>
          <w:p>
            <w:pPr>
              <w:spacing w:after="0"/>
              <w:rPr>
                <w:sz w:val="20"/>
                <w:szCs w:val="20"/>
                <w:color w:val="auto"/>
              </w:rPr>
            </w:pPr>
            <w:r>
              <w:rPr>
                <w:rFonts w:ascii="Arial" w:cs="Arial" w:eastAsia="Arial" w:hAnsi="Arial"/>
                <w:sz w:val="17"/>
                <w:szCs w:val="17"/>
                <w:color w:val="auto"/>
              </w:rPr>
              <w:t>stock units</w:t>
            </w:r>
          </w:p>
        </w:tc>
        <w:tc>
          <w:tcPr>
            <w:tcW w:w="3740" w:type="dxa"/>
            <w:vAlign w:val="bottom"/>
            <w:shd w:val="clear" w:color="auto" w:fill="E9E9E9"/>
          </w:tcPr>
          <w:p>
            <w:pPr>
              <w:ind w:left="860"/>
              <w:spacing w:after="0"/>
              <w:rPr>
                <w:sz w:val="20"/>
                <w:szCs w:val="20"/>
                <w:color w:val="auto"/>
              </w:rPr>
            </w:pPr>
            <w:r>
              <w:rPr>
                <w:rFonts w:ascii="Arial" w:cs="Arial" w:eastAsia="Arial" w:hAnsi="Arial"/>
                <w:sz w:val="17"/>
                <w:szCs w:val="17"/>
                <w:color w:val="auto"/>
              </w:rPr>
              <w:t>with respect to restricted stock units</w:t>
            </w:r>
          </w:p>
        </w:tc>
        <w:tc>
          <w:tcPr>
            <w:tcW w:w="3020" w:type="dxa"/>
            <w:vAlign w:val="bottom"/>
            <w:shd w:val="clear" w:color="auto" w:fill="E9E9E9"/>
          </w:tcPr>
          <w:p>
            <w:pPr>
              <w:ind w:left="140"/>
              <w:spacing w:after="0"/>
              <w:rPr>
                <w:sz w:val="20"/>
                <w:szCs w:val="20"/>
                <w:color w:val="auto"/>
              </w:rPr>
            </w:pPr>
            <w:r>
              <w:rPr>
                <w:rFonts w:ascii="Arial" w:cs="Arial" w:eastAsia="Arial" w:hAnsi="Arial"/>
                <w:sz w:val="17"/>
                <w:szCs w:val="17"/>
                <w:color w:val="auto"/>
              </w:rPr>
              <w:t>restricted stock units, generally</w:t>
            </w:r>
          </w:p>
        </w:tc>
        <w:tc>
          <w:tcPr>
            <w:tcW w:w="27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are summarized on pages 102-</w:t>
            </w:r>
          </w:p>
        </w:tc>
      </w:tr>
      <w:tr>
        <w:trPr>
          <w:trHeight w:val="198"/>
        </w:trPr>
        <w:tc>
          <w:tcPr>
            <w:tcW w:w="1900" w:type="dxa"/>
            <w:vAlign w:val="bottom"/>
            <w:shd w:val="clear" w:color="auto" w:fill="E9E9E9"/>
          </w:tcPr>
          <w:p>
            <w:pPr>
              <w:spacing w:after="0"/>
              <w:rPr>
                <w:sz w:val="17"/>
                <w:szCs w:val="17"/>
                <w:color w:val="auto"/>
              </w:rPr>
            </w:pPr>
          </w:p>
        </w:tc>
        <w:tc>
          <w:tcPr>
            <w:tcW w:w="3740" w:type="dxa"/>
            <w:vAlign w:val="bottom"/>
            <w:shd w:val="clear" w:color="auto" w:fill="E9E9E9"/>
          </w:tcPr>
          <w:p>
            <w:pPr>
              <w:spacing w:after="0"/>
              <w:rPr>
                <w:sz w:val="17"/>
                <w:szCs w:val="17"/>
                <w:color w:val="auto"/>
              </w:rPr>
            </w:pPr>
          </w:p>
        </w:tc>
        <w:tc>
          <w:tcPr>
            <w:tcW w:w="3020" w:type="dxa"/>
            <w:vAlign w:val="bottom"/>
            <w:shd w:val="clear" w:color="auto" w:fill="E9E9E9"/>
          </w:tcPr>
          <w:p>
            <w:pPr>
              <w:ind w:left="140"/>
              <w:spacing w:after="0"/>
              <w:rPr>
                <w:sz w:val="20"/>
                <w:szCs w:val="20"/>
                <w:color w:val="auto"/>
              </w:rPr>
            </w:pPr>
            <w:r>
              <w:rPr>
                <w:rFonts w:ascii="Arial" w:cs="Arial" w:eastAsia="Arial" w:hAnsi="Arial"/>
                <w:sz w:val="17"/>
                <w:szCs w:val="17"/>
                <w:color w:val="auto"/>
              </w:rPr>
              <w:t>targeted at the median level of</w:t>
            </w:r>
          </w:p>
        </w:tc>
        <w:tc>
          <w:tcPr>
            <w:tcW w:w="27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103. The committee’s grant</w:t>
            </w:r>
          </w:p>
        </w:tc>
      </w:tr>
      <w:tr>
        <w:trPr>
          <w:trHeight w:val="198"/>
        </w:trPr>
        <w:tc>
          <w:tcPr>
            <w:tcW w:w="1900" w:type="dxa"/>
            <w:vAlign w:val="bottom"/>
            <w:shd w:val="clear" w:color="auto" w:fill="E9E9E9"/>
          </w:tcPr>
          <w:p>
            <w:pPr>
              <w:spacing w:after="0"/>
              <w:rPr>
                <w:sz w:val="17"/>
                <w:szCs w:val="17"/>
                <w:color w:val="auto"/>
              </w:rPr>
            </w:pPr>
          </w:p>
        </w:tc>
        <w:tc>
          <w:tcPr>
            <w:tcW w:w="3740" w:type="dxa"/>
            <w:vAlign w:val="bottom"/>
            <w:shd w:val="clear" w:color="auto" w:fill="E9E9E9"/>
          </w:tcPr>
          <w:p>
            <w:pPr>
              <w:spacing w:after="0"/>
              <w:rPr>
                <w:sz w:val="17"/>
                <w:szCs w:val="17"/>
                <w:color w:val="auto"/>
              </w:rPr>
            </w:pPr>
          </w:p>
        </w:tc>
        <w:tc>
          <w:tcPr>
            <w:tcW w:w="3020" w:type="dxa"/>
            <w:vAlign w:val="bottom"/>
            <w:shd w:val="clear" w:color="auto" w:fill="E9E9E9"/>
          </w:tcPr>
          <w:p>
            <w:pPr>
              <w:ind w:left="140"/>
              <w:spacing w:after="0"/>
              <w:rPr>
                <w:sz w:val="20"/>
                <w:szCs w:val="20"/>
                <w:color w:val="auto"/>
              </w:rPr>
            </w:pPr>
            <w:r>
              <w:rPr>
                <w:rFonts w:ascii="Arial" w:cs="Arial" w:eastAsia="Arial" w:hAnsi="Arial"/>
                <w:sz w:val="17"/>
                <w:szCs w:val="17"/>
                <w:color w:val="auto"/>
              </w:rPr>
              <w:t>equity compensation awarded to</w:t>
            </w:r>
          </w:p>
        </w:tc>
        <w:tc>
          <w:tcPr>
            <w:tcW w:w="27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procedures are described on page</w:t>
            </w:r>
          </w:p>
        </w:tc>
      </w:tr>
      <w:tr>
        <w:trPr>
          <w:trHeight w:val="198"/>
        </w:trPr>
        <w:tc>
          <w:tcPr>
            <w:tcW w:w="1900" w:type="dxa"/>
            <w:vAlign w:val="bottom"/>
            <w:shd w:val="clear" w:color="auto" w:fill="E9E9E9"/>
          </w:tcPr>
          <w:p>
            <w:pPr>
              <w:spacing w:after="0"/>
              <w:rPr>
                <w:sz w:val="17"/>
                <w:szCs w:val="17"/>
                <w:color w:val="auto"/>
              </w:rPr>
            </w:pPr>
          </w:p>
        </w:tc>
        <w:tc>
          <w:tcPr>
            <w:tcW w:w="3740" w:type="dxa"/>
            <w:vAlign w:val="bottom"/>
            <w:shd w:val="clear" w:color="auto" w:fill="E9E9E9"/>
          </w:tcPr>
          <w:p>
            <w:pPr>
              <w:spacing w:after="0"/>
              <w:rPr>
                <w:sz w:val="17"/>
                <w:szCs w:val="17"/>
                <w:color w:val="auto"/>
              </w:rPr>
            </w:pPr>
          </w:p>
        </w:tc>
        <w:tc>
          <w:tcPr>
            <w:tcW w:w="3020" w:type="dxa"/>
            <w:vAlign w:val="bottom"/>
            <w:shd w:val="clear" w:color="auto" w:fill="E9E9E9"/>
          </w:tcPr>
          <w:p>
            <w:pPr>
              <w:ind w:left="140"/>
              <w:spacing w:after="0"/>
              <w:rPr>
                <w:sz w:val="20"/>
                <w:szCs w:val="20"/>
                <w:color w:val="auto"/>
              </w:rPr>
            </w:pPr>
            <w:r>
              <w:rPr>
                <w:rFonts w:ascii="Arial" w:cs="Arial" w:eastAsia="Arial" w:hAnsi="Arial"/>
                <w:sz w:val="17"/>
                <w:szCs w:val="17"/>
                <w:color w:val="auto"/>
              </w:rPr>
              <w:t>executives in similar positions at the</w:t>
            </w:r>
          </w:p>
        </w:tc>
        <w:tc>
          <w:tcPr>
            <w:tcW w:w="27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95.</w:t>
            </w:r>
          </w:p>
        </w:tc>
      </w:tr>
      <w:tr>
        <w:trPr>
          <w:trHeight w:val="195"/>
        </w:trPr>
        <w:tc>
          <w:tcPr>
            <w:tcW w:w="1900" w:type="dxa"/>
            <w:vAlign w:val="bottom"/>
            <w:shd w:val="clear" w:color="auto" w:fill="E9E9E9"/>
          </w:tcPr>
          <w:p>
            <w:pPr>
              <w:spacing w:after="0"/>
              <w:rPr>
                <w:sz w:val="16"/>
                <w:szCs w:val="16"/>
                <w:color w:val="auto"/>
              </w:rPr>
            </w:pPr>
          </w:p>
        </w:tc>
        <w:tc>
          <w:tcPr>
            <w:tcW w:w="3740" w:type="dxa"/>
            <w:vAlign w:val="bottom"/>
            <w:shd w:val="clear" w:color="auto" w:fill="E9E9E9"/>
          </w:tcPr>
          <w:p>
            <w:pPr>
              <w:spacing w:after="0"/>
              <w:rPr>
                <w:sz w:val="16"/>
                <w:szCs w:val="16"/>
                <w:color w:val="auto"/>
              </w:rPr>
            </w:pPr>
          </w:p>
        </w:tc>
        <w:tc>
          <w:tcPr>
            <w:tcW w:w="3020" w:type="dxa"/>
            <w:vAlign w:val="bottom"/>
            <w:shd w:val="clear" w:color="auto" w:fill="E9E9E9"/>
          </w:tcPr>
          <w:p>
            <w:pPr>
              <w:ind w:left="140"/>
              <w:spacing w:after="0"/>
              <w:rPr>
                <w:sz w:val="20"/>
                <w:szCs w:val="20"/>
                <w:color w:val="auto"/>
              </w:rPr>
            </w:pPr>
            <w:r>
              <w:rPr>
                <w:rFonts w:ascii="Arial" w:cs="Arial" w:eastAsia="Arial" w:hAnsi="Arial"/>
                <w:sz w:val="17"/>
                <w:szCs w:val="17"/>
                <w:color w:val="auto"/>
              </w:rPr>
              <w:t>Comparator Group.</w:t>
            </w:r>
          </w:p>
        </w:tc>
        <w:tc>
          <w:tcPr>
            <w:tcW w:w="2760" w:type="dxa"/>
            <w:vAlign w:val="bottom"/>
            <w:shd w:val="clear" w:color="auto" w:fill="E9E9E9"/>
          </w:tcPr>
          <w:p>
            <w:pPr>
              <w:spacing w:after="0"/>
              <w:rPr>
                <w:sz w:val="16"/>
                <w:szCs w:val="16"/>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Comparator group</w:t>
      </w:r>
    </w:p>
    <w:p>
      <w:pPr>
        <w:spacing w:after="0" w:line="21" w:lineRule="exact"/>
        <w:rPr>
          <w:sz w:val="20"/>
          <w:szCs w:val="20"/>
          <w:color w:val="auto"/>
        </w:rPr>
      </w:pPr>
    </w:p>
    <w:p>
      <w:pPr>
        <w:ind w:right="500"/>
        <w:spacing w:after="0" w:line="247" w:lineRule="auto"/>
        <w:rPr>
          <w:sz w:val="20"/>
          <w:szCs w:val="20"/>
          <w:color w:val="auto"/>
        </w:rPr>
      </w:pPr>
      <w:r>
        <w:rPr>
          <w:rFonts w:ascii="Arial" w:cs="Arial" w:eastAsia="Arial" w:hAnsi="Arial"/>
          <w:sz w:val="17"/>
          <w:szCs w:val="17"/>
          <w:color w:val="auto"/>
        </w:rPr>
        <w:t>The Compensation Committee considers the market level of compensation when setting the salary, bonuses and equity compensation of the executive officers. The committee targets salary below market median in order to weight total compensation to performance-based elements. To estimate the market level of pay, the committee uses information provided by its compensation consultant and TI’s Compensation and Benefits organization about compensation paid to executives in similar positions at a peer group of companies (the “Comparator Group”).</w:t>
      </w:r>
    </w:p>
    <w:p>
      <w:pPr>
        <w:spacing w:after="0" w:line="200" w:lineRule="exact"/>
        <w:rPr>
          <w:sz w:val="20"/>
          <w:szCs w:val="20"/>
          <w:color w:val="auto"/>
        </w:rPr>
      </w:pPr>
    </w:p>
    <w:p>
      <w:pPr>
        <w:ind w:right="360"/>
        <w:spacing w:after="0" w:line="249" w:lineRule="auto"/>
        <w:rPr>
          <w:sz w:val="20"/>
          <w:szCs w:val="20"/>
          <w:color w:val="auto"/>
        </w:rPr>
      </w:pPr>
      <w:r>
        <w:rPr>
          <w:rFonts w:ascii="Arial" w:cs="Arial" w:eastAsia="Arial" w:hAnsi="Arial"/>
          <w:sz w:val="17"/>
          <w:szCs w:val="17"/>
          <w:color w:val="auto"/>
        </w:rPr>
        <w:t>The committee sets the Comparator Group. In general, the Comparator Group companies (1) are U.S.-based, (2) engage in the semiconductor business or other electronics or information technology activities, (3) have executive positions comparable in complexity to those of TI and (4) use forms of executive compensation comparable to TI’s.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Shown in the table below is the Comparator Group used for the compensation decisions for 2014.</w:t>
      </w:r>
    </w:p>
    <w:p>
      <w:pPr>
        <w:spacing w:after="0" w:line="227" w:lineRule="exact"/>
        <w:rPr>
          <w:sz w:val="20"/>
          <w:szCs w:val="20"/>
          <w:color w:val="auto"/>
        </w:rPr>
      </w:pPr>
    </w:p>
    <w:p>
      <w:pPr>
        <w:ind w:left="1140"/>
        <w:spacing w:after="0"/>
        <w:tabs>
          <w:tab w:leader="none" w:pos="5920" w:val="left"/>
        </w:tabs>
        <w:rPr>
          <w:sz w:val="20"/>
          <w:szCs w:val="20"/>
          <w:color w:val="auto"/>
        </w:rPr>
      </w:pPr>
      <w:r>
        <w:rPr>
          <w:rFonts w:ascii="Arial" w:cs="Arial" w:eastAsia="Arial" w:hAnsi="Arial"/>
          <w:sz w:val="17"/>
          <w:szCs w:val="17"/>
          <w:color w:val="auto"/>
        </w:rPr>
        <w:t>Analog Devices, Inc.</w:t>
      </w:r>
      <w:r>
        <w:rPr>
          <w:sz w:val="20"/>
          <w:szCs w:val="20"/>
          <w:color w:val="auto"/>
        </w:rPr>
        <w:tab/>
      </w:r>
      <w:r>
        <w:rPr>
          <w:rFonts w:ascii="Arial" w:cs="Arial" w:eastAsia="Arial" w:hAnsi="Arial"/>
          <w:sz w:val="17"/>
          <w:szCs w:val="17"/>
          <w:color w:val="auto"/>
        </w:rPr>
        <w:t>Intel Corporation</w:t>
      </w:r>
    </w:p>
    <w:p>
      <w:pPr>
        <w:spacing w:after="0" w:line="42" w:lineRule="exact"/>
        <w:rPr>
          <w:sz w:val="20"/>
          <w:szCs w:val="20"/>
          <w:color w:val="auto"/>
        </w:rPr>
      </w:pPr>
    </w:p>
    <w:p>
      <w:pPr>
        <w:ind w:left="1140"/>
        <w:spacing w:after="0"/>
        <w:tabs>
          <w:tab w:leader="none" w:pos="5920" w:val="left"/>
        </w:tabs>
        <w:rPr>
          <w:sz w:val="20"/>
          <w:szCs w:val="20"/>
          <w:color w:val="auto"/>
        </w:rPr>
      </w:pPr>
      <w:r>
        <w:rPr>
          <w:rFonts w:ascii="Arial" w:cs="Arial" w:eastAsia="Arial" w:hAnsi="Arial"/>
          <w:sz w:val="17"/>
          <w:szCs w:val="17"/>
          <w:color w:val="auto"/>
        </w:rPr>
        <w:t>Applied Materials, Inc.</w:t>
      </w:r>
      <w:r>
        <w:rPr>
          <w:sz w:val="20"/>
          <w:szCs w:val="20"/>
          <w:color w:val="auto"/>
        </w:rPr>
        <w:tab/>
      </w:r>
      <w:r>
        <w:rPr>
          <w:rFonts w:ascii="Arial" w:cs="Arial" w:eastAsia="Arial" w:hAnsi="Arial"/>
          <w:sz w:val="17"/>
          <w:szCs w:val="17"/>
          <w:color w:val="auto"/>
        </w:rPr>
        <w:t>Motorola Solutions, Inc.</w:t>
      </w:r>
    </w:p>
    <w:p>
      <w:pPr>
        <w:spacing w:after="0" w:line="42" w:lineRule="exact"/>
        <w:rPr>
          <w:sz w:val="20"/>
          <w:szCs w:val="20"/>
          <w:color w:val="auto"/>
        </w:rPr>
      </w:pPr>
    </w:p>
    <w:p>
      <w:pPr>
        <w:ind w:left="1140"/>
        <w:spacing w:after="0"/>
        <w:tabs>
          <w:tab w:leader="none" w:pos="5920" w:val="left"/>
        </w:tabs>
        <w:rPr>
          <w:sz w:val="20"/>
          <w:szCs w:val="20"/>
          <w:color w:val="auto"/>
        </w:rPr>
      </w:pPr>
      <w:r>
        <w:rPr>
          <w:rFonts w:ascii="Arial" w:cs="Arial" w:eastAsia="Arial" w:hAnsi="Arial"/>
          <w:sz w:val="17"/>
          <w:szCs w:val="17"/>
          <w:color w:val="auto"/>
        </w:rPr>
        <w:t>Broadcom Corporation</w:t>
      </w:r>
      <w:r>
        <w:rPr>
          <w:sz w:val="20"/>
          <w:szCs w:val="20"/>
          <w:color w:val="auto"/>
        </w:rPr>
        <w:tab/>
      </w:r>
      <w:r>
        <w:rPr>
          <w:rFonts w:ascii="Arial" w:cs="Arial" w:eastAsia="Arial" w:hAnsi="Arial"/>
          <w:sz w:val="17"/>
          <w:szCs w:val="17"/>
          <w:color w:val="auto"/>
        </w:rPr>
        <w:t>QUALCOMM Incorporated</w:t>
      </w:r>
    </w:p>
    <w:p>
      <w:pPr>
        <w:spacing w:after="0" w:line="42" w:lineRule="exact"/>
        <w:rPr>
          <w:sz w:val="20"/>
          <w:szCs w:val="20"/>
          <w:color w:val="auto"/>
        </w:rPr>
      </w:pPr>
    </w:p>
    <w:p>
      <w:pPr>
        <w:ind w:left="1140"/>
        <w:spacing w:after="0"/>
        <w:tabs>
          <w:tab w:leader="none" w:pos="5920" w:val="left"/>
        </w:tabs>
        <w:rPr>
          <w:sz w:val="20"/>
          <w:szCs w:val="20"/>
          <w:color w:val="auto"/>
        </w:rPr>
      </w:pPr>
      <w:r>
        <w:rPr>
          <w:rFonts w:ascii="Arial" w:cs="Arial" w:eastAsia="Arial" w:hAnsi="Arial"/>
          <w:sz w:val="17"/>
          <w:szCs w:val="17"/>
          <w:color w:val="auto"/>
        </w:rPr>
        <w:t>Computer Sciences Corporation</w:t>
      </w:r>
      <w:r>
        <w:rPr>
          <w:sz w:val="20"/>
          <w:szCs w:val="20"/>
          <w:color w:val="auto"/>
        </w:rPr>
        <w:tab/>
      </w:r>
      <w:r>
        <w:rPr>
          <w:rFonts w:ascii="Arial" w:cs="Arial" w:eastAsia="Arial" w:hAnsi="Arial"/>
          <w:sz w:val="17"/>
          <w:szCs w:val="17"/>
          <w:color w:val="auto"/>
        </w:rPr>
        <w:t>Seagate Technology</w:t>
      </w:r>
    </w:p>
    <w:p>
      <w:pPr>
        <w:spacing w:after="0" w:line="42" w:lineRule="exact"/>
        <w:rPr>
          <w:sz w:val="20"/>
          <w:szCs w:val="20"/>
          <w:color w:val="auto"/>
        </w:rPr>
      </w:pPr>
    </w:p>
    <w:p>
      <w:pPr>
        <w:ind w:left="1140"/>
        <w:spacing w:after="0"/>
        <w:tabs>
          <w:tab w:leader="none" w:pos="5920" w:val="left"/>
        </w:tabs>
        <w:rPr>
          <w:sz w:val="20"/>
          <w:szCs w:val="20"/>
          <w:color w:val="auto"/>
        </w:rPr>
      </w:pPr>
      <w:r>
        <w:rPr>
          <w:rFonts w:ascii="Arial" w:cs="Arial" w:eastAsia="Arial" w:hAnsi="Arial"/>
          <w:sz w:val="17"/>
          <w:szCs w:val="17"/>
          <w:color w:val="auto"/>
        </w:rPr>
        <w:t>eBay Inc.</w:t>
      </w:r>
      <w:r>
        <w:rPr>
          <w:sz w:val="20"/>
          <w:szCs w:val="20"/>
          <w:color w:val="auto"/>
        </w:rPr>
        <w:tab/>
      </w:r>
      <w:r>
        <w:rPr>
          <w:rFonts w:ascii="Arial" w:cs="Arial" w:eastAsia="Arial" w:hAnsi="Arial"/>
          <w:sz w:val="17"/>
          <w:szCs w:val="17"/>
          <w:color w:val="auto"/>
        </w:rPr>
        <w:t>TE Connectivity Ltd.</w:t>
      </w:r>
    </w:p>
    <w:p>
      <w:pPr>
        <w:spacing w:after="0" w:line="42" w:lineRule="exact"/>
        <w:rPr>
          <w:sz w:val="20"/>
          <w:szCs w:val="20"/>
          <w:color w:val="auto"/>
        </w:rPr>
      </w:pPr>
    </w:p>
    <w:p>
      <w:pPr>
        <w:ind w:left="1140"/>
        <w:spacing w:after="0"/>
        <w:tabs>
          <w:tab w:leader="none" w:pos="5920" w:val="left"/>
        </w:tabs>
        <w:rPr>
          <w:sz w:val="20"/>
          <w:szCs w:val="20"/>
          <w:color w:val="auto"/>
        </w:rPr>
      </w:pPr>
      <w:r>
        <w:rPr>
          <w:rFonts w:ascii="Arial" w:cs="Arial" w:eastAsia="Arial" w:hAnsi="Arial"/>
          <w:sz w:val="17"/>
          <w:szCs w:val="17"/>
          <w:color w:val="auto"/>
        </w:rPr>
        <w:t>EMC Corporation</w:t>
      </w:r>
      <w:r>
        <w:rPr>
          <w:sz w:val="20"/>
          <w:szCs w:val="20"/>
          <w:color w:val="auto"/>
        </w:rPr>
        <w:tab/>
      </w:r>
      <w:r>
        <w:rPr>
          <w:rFonts w:ascii="Arial" w:cs="Arial" w:eastAsia="Arial" w:hAnsi="Arial"/>
          <w:sz w:val="17"/>
          <w:szCs w:val="17"/>
          <w:color w:val="auto"/>
        </w:rPr>
        <w:t>Western Digital Corporation</w:t>
      </w:r>
    </w:p>
    <w:p>
      <w:pPr>
        <w:spacing w:after="0" w:line="42" w:lineRule="exact"/>
        <w:rPr>
          <w:sz w:val="20"/>
          <w:szCs w:val="20"/>
          <w:color w:val="auto"/>
        </w:rPr>
      </w:pPr>
    </w:p>
    <w:p>
      <w:pPr>
        <w:ind w:left="1140"/>
        <w:spacing w:after="0"/>
        <w:tabs>
          <w:tab w:leader="none" w:pos="5920" w:val="left"/>
        </w:tabs>
        <w:rPr>
          <w:sz w:val="20"/>
          <w:szCs w:val="20"/>
          <w:color w:val="auto"/>
        </w:rPr>
      </w:pPr>
      <w:r>
        <w:rPr>
          <w:rFonts w:ascii="Arial" w:cs="Arial" w:eastAsia="Arial" w:hAnsi="Arial"/>
          <w:sz w:val="17"/>
          <w:szCs w:val="17"/>
          <w:color w:val="auto"/>
        </w:rPr>
        <w:t>Emerson Electric Co.</w:t>
      </w:r>
      <w:r>
        <w:rPr>
          <w:sz w:val="20"/>
          <w:szCs w:val="20"/>
          <w:color w:val="auto"/>
        </w:rPr>
        <w:tab/>
      </w:r>
      <w:r>
        <w:rPr>
          <w:rFonts w:ascii="Arial" w:cs="Arial" w:eastAsia="Arial" w:hAnsi="Arial"/>
          <w:sz w:val="17"/>
          <w:szCs w:val="17"/>
          <w:color w:val="auto"/>
        </w:rPr>
        <w:t>Xerox Corporation</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253" w:lineRule="exact"/>
        <w:rPr>
          <w:sz w:val="20"/>
          <w:szCs w:val="20"/>
          <w:color w:val="auto"/>
        </w:rPr>
      </w:pPr>
    </w:p>
    <w:p>
      <w:pPr>
        <w:ind w:left="300" w:right="60" w:hanging="294"/>
        <w:spacing w:after="0" w:line="255" w:lineRule="auto"/>
        <w:tabs>
          <w:tab w:leader="none" w:pos="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Total shareholder return refers to the percentage change in the value of a stockholder’s investment in a company over the relevant time period, as determined by dividends paid and the change in the company’s share price during the period. See page 93.</w:t>
      </w:r>
    </w:p>
    <w:p>
      <w:pPr>
        <w:spacing w:after="0" w:line="228" w:lineRule="exact"/>
        <w:rPr>
          <w:sz w:val="20"/>
          <w:szCs w:val="20"/>
          <w:color w:val="auto"/>
        </w:rPr>
      </w:pPr>
    </w:p>
    <w:p>
      <w:pPr>
        <w:spacing w:after="0"/>
        <w:tabs>
          <w:tab w:leader="none" w:pos="4100" w:val="left"/>
        </w:tabs>
        <w:rPr>
          <w:sz w:val="20"/>
          <w:szCs w:val="20"/>
          <w:color w:val="auto"/>
        </w:rPr>
      </w:pPr>
      <w:r>
        <w:rPr>
          <w:rFonts w:ascii="Arial" w:cs="Arial" w:eastAsia="Arial" w:hAnsi="Arial"/>
          <w:sz w:val="13"/>
          <w:szCs w:val="13"/>
          <w:color w:val="838383"/>
        </w:rPr>
        <w:t>88</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19" w:name="page20"/>
    <w:bookmarkEnd w:id="19"/>
    <w:p>
      <w:pPr>
        <w:ind w:right="160"/>
        <w:spacing w:after="0" w:line="255" w:lineRule="auto"/>
        <w:rPr>
          <w:sz w:val="20"/>
          <w:szCs w:val="20"/>
          <w:color w:val="auto"/>
        </w:rPr>
      </w:pPr>
      <w:r>
        <w:rPr>
          <w:rFonts w:ascii="Arial" w:cs="Arial" w:eastAsia="Arial" w:hAnsi="Arial"/>
          <w:sz w:val="17"/>
          <w:szCs w:val="17"/>
          <w:color w:val="auto"/>
        </w:rPr>
        <w:t>The committee set the Comparator Group in July 2013 for the base salary and equity compensation decisions it made in January 2014. For a discussion of the factors considered by the committee in setting the Comparator Group, please see page 72 of the company’s 2014 proxy statement.</w:t>
      </w:r>
    </w:p>
    <w:p>
      <w:pPr>
        <w:spacing w:after="0" w:line="192"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In July 2014, the committee conducted its regular review of the Comparator Group in terms of industry, revenue and market capitalization. With the advice of its compensation consultant, the committee determined that the group was still comparable overall to TI. Accordingly, it used the same Comparator Group for the bonus decisions in January 2015 relating to 2014 performance as it used to set salary and equity compensation in January 2014. The table below compares the group to TI in terms of revenue and market capitalization.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20" w:type="dxa"/>
            <w:vAlign w:val="bottom"/>
          </w:tcPr>
          <w:p>
            <w:pPr>
              <w:spacing w:after="0"/>
              <w:rPr>
                <w:sz w:val="15"/>
                <w:szCs w:val="15"/>
                <w:color w:val="auto"/>
              </w:rPr>
            </w:pPr>
          </w:p>
        </w:tc>
        <w:tc>
          <w:tcPr>
            <w:tcW w:w="4440" w:type="dxa"/>
            <w:vAlign w:val="bottom"/>
          </w:tcPr>
          <w:p>
            <w:pPr>
              <w:jc w:val="right"/>
              <w:ind w:right="156"/>
              <w:spacing w:after="0"/>
              <w:rPr>
                <w:sz w:val="20"/>
                <w:szCs w:val="20"/>
                <w:color w:val="auto"/>
              </w:rPr>
            </w:pPr>
            <w:r>
              <w:rPr>
                <w:rFonts w:ascii="Arial" w:cs="Arial" w:eastAsia="Arial" w:hAnsi="Arial"/>
                <w:sz w:val="13"/>
                <w:szCs w:val="13"/>
                <w:b w:val="1"/>
                <w:bCs w:val="1"/>
                <w:color w:val="auto"/>
              </w:rPr>
              <w:t>Revenue</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Market Cap</w:t>
            </w:r>
          </w:p>
        </w:tc>
      </w:tr>
      <w:tr>
        <w:trPr>
          <w:trHeight w:val="238"/>
        </w:trPr>
        <w:tc>
          <w:tcPr>
            <w:tcW w:w="6020" w:type="dxa"/>
            <w:vAlign w:val="bottom"/>
          </w:tcPr>
          <w:p>
            <w:pPr>
              <w:spacing w:after="0"/>
              <w:rPr>
                <w:sz w:val="20"/>
                <w:szCs w:val="20"/>
                <w:color w:val="auto"/>
              </w:rPr>
            </w:pPr>
            <w:r>
              <w:rPr>
                <w:rFonts w:ascii="Arial" w:cs="Arial" w:eastAsia="Arial" w:hAnsi="Arial"/>
                <w:sz w:val="13"/>
                <w:szCs w:val="13"/>
                <w:b w:val="1"/>
                <w:bCs w:val="1"/>
                <w:color w:val="auto"/>
              </w:rPr>
              <w:t>Company</w:t>
            </w:r>
          </w:p>
        </w:tc>
        <w:tc>
          <w:tcPr>
            <w:tcW w:w="4440" w:type="dxa"/>
            <w:vAlign w:val="bottom"/>
          </w:tcPr>
          <w:p>
            <w:pPr>
              <w:jc w:val="right"/>
              <w:ind w:right="96"/>
              <w:spacing w:after="0"/>
              <w:rPr>
                <w:sz w:val="20"/>
                <w:szCs w:val="20"/>
                <w:color w:val="auto"/>
              </w:rPr>
            </w:pPr>
            <w:r>
              <w:rPr>
                <w:rFonts w:ascii="Arial" w:cs="Arial" w:eastAsia="Arial" w:hAnsi="Arial"/>
                <w:sz w:val="13"/>
                <w:szCs w:val="13"/>
                <w:b w:val="1"/>
                <w:bCs w:val="1"/>
                <w:color w:val="auto"/>
              </w:rPr>
              <w:t>($ billion) *</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 billion) *</w:t>
            </w:r>
          </w:p>
        </w:tc>
      </w:tr>
      <w:tr>
        <w:trPr>
          <w:trHeight w:val="41"/>
        </w:trPr>
        <w:tc>
          <w:tcPr>
            <w:tcW w:w="6020" w:type="dxa"/>
            <w:vAlign w:val="bottom"/>
            <w:tcBorders>
              <w:bottom w:val="single" w:sz="8" w:color="auto"/>
            </w:tcBorders>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1"/>
        </w:trPr>
        <w:tc>
          <w:tcPr>
            <w:tcW w:w="6020" w:type="dxa"/>
            <w:vAlign w:val="bottom"/>
            <w:shd w:val="clear" w:color="auto" w:fill="E9E9E9"/>
          </w:tcPr>
          <w:p>
            <w:pPr>
              <w:spacing w:after="0"/>
              <w:rPr>
                <w:sz w:val="20"/>
                <w:szCs w:val="20"/>
                <w:color w:val="auto"/>
              </w:rPr>
            </w:pPr>
            <w:r>
              <w:rPr>
                <w:rFonts w:ascii="Arial" w:cs="Arial" w:eastAsia="Arial" w:hAnsi="Arial"/>
                <w:sz w:val="17"/>
                <w:szCs w:val="17"/>
                <w:color w:val="auto"/>
              </w:rPr>
              <w:t>Intel Corporation</w:t>
            </w:r>
          </w:p>
        </w:tc>
        <w:tc>
          <w:tcPr>
            <w:tcW w:w="4440" w:type="dxa"/>
            <w:vAlign w:val="bottom"/>
            <w:shd w:val="clear" w:color="auto" w:fill="E9E9E9"/>
          </w:tcPr>
          <w:p>
            <w:pPr>
              <w:jc w:val="right"/>
              <w:ind w:right="236"/>
              <w:spacing w:after="0"/>
              <w:rPr>
                <w:sz w:val="20"/>
                <w:szCs w:val="20"/>
                <w:color w:val="auto"/>
              </w:rPr>
            </w:pPr>
            <w:r>
              <w:rPr>
                <w:rFonts w:ascii="Arial" w:cs="Arial" w:eastAsia="Arial" w:hAnsi="Arial"/>
                <w:sz w:val="17"/>
                <w:szCs w:val="17"/>
                <w:color w:val="auto"/>
              </w:rPr>
              <w:t>55.0</w:t>
            </w:r>
          </w:p>
        </w:tc>
        <w:tc>
          <w:tcPr>
            <w:tcW w:w="96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rPr>
              <w:t>174.9</w:t>
            </w:r>
          </w:p>
        </w:tc>
      </w:tr>
      <w:tr>
        <w:trPr>
          <w:trHeight w:val="230"/>
        </w:trPr>
        <w:tc>
          <w:tcPr>
            <w:tcW w:w="6020" w:type="dxa"/>
            <w:vAlign w:val="bottom"/>
          </w:tcPr>
          <w:p>
            <w:pPr>
              <w:spacing w:after="0"/>
              <w:rPr>
                <w:sz w:val="20"/>
                <w:szCs w:val="20"/>
                <w:color w:val="auto"/>
              </w:rPr>
            </w:pPr>
            <w:r>
              <w:rPr>
                <w:rFonts w:ascii="Arial" w:cs="Arial" w:eastAsia="Arial" w:hAnsi="Arial"/>
                <w:sz w:val="17"/>
                <w:szCs w:val="17"/>
                <w:color w:val="auto"/>
              </w:rPr>
              <w:t>QUALCOMM Corporation</w:t>
            </w:r>
          </w:p>
        </w:tc>
        <w:tc>
          <w:tcPr>
            <w:tcW w:w="4440" w:type="dxa"/>
            <w:vAlign w:val="bottom"/>
          </w:tcPr>
          <w:p>
            <w:pPr>
              <w:jc w:val="right"/>
              <w:ind w:right="236"/>
              <w:spacing w:after="0"/>
              <w:rPr>
                <w:sz w:val="20"/>
                <w:szCs w:val="20"/>
                <w:color w:val="auto"/>
              </w:rPr>
            </w:pPr>
            <w:r>
              <w:rPr>
                <w:rFonts w:ascii="Arial" w:cs="Arial" w:eastAsia="Arial" w:hAnsi="Arial"/>
                <w:sz w:val="17"/>
                <w:szCs w:val="17"/>
                <w:color w:val="auto"/>
              </w:rPr>
              <w:t>26.5</w:t>
            </w:r>
          </w:p>
        </w:tc>
        <w:tc>
          <w:tcPr>
            <w:tcW w:w="960" w:type="dxa"/>
            <w:vAlign w:val="bottom"/>
          </w:tcPr>
          <w:p>
            <w:pPr>
              <w:jc w:val="right"/>
              <w:ind w:right="116"/>
              <w:spacing w:after="0"/>
              <w:rPr>
                <w:sz w:val="20"/>
                <w:szCs w:val="20"/>
                <w:color w:val="auto"/>
              </w:rPr>
            </w:pPr>
            <w:r>
              <w:rPr>
                <w:rFonts w:ascii="Arial" w:cs="Arial" w:eastAsia="Arial" w:hAnsi="Arial"/>
                <w:sz w:val="17"/>
                <w:szCs w:val="17"/>
                <w:color w:val="auto"/>
              </w:rPr>
              <w:t>123.3</w:t>
            </w:r>
          </w:p>
        </w:tc>
      </w:tr>
      <w:tr>
        <w:trPr>
          <w:trHeight w:val="246"/>
        </w:trPr>
        <w:tc>
          <w:tcPr>
            <w:tcW w:w="6020" w:type="dxa"/>
            <w:vAlign w:val="bottom"/>
            <w:shd w:val="clear" w:color="auto" w:fill="E9E9E9"/>
          </w:tcPr>
          <w:p>
            <w:pPr>
              <w:spacing w:after="0"/>
              <w:rPr>
                <w:sz w:val="20"/>
                <w:szCs w:val="20"/>
                <w:color w:val="auto"/>
              </w:rPr>
            </w:pPr>
            <w:r>
              <w:rPr>
                <w:rFonts w:ascii="Arial" w:cs="Arial" w:eastAsia="Arial" w:hAnsi="Arial"/>
                <w:sz w:val="17"/>
                <w:szCs w:val="17"/>
                <w:color w:val="auto"/>
              </w:rPr>
              <w:t>Emerson Electric Co.</w:t>
            </w:r>
          </w:p>
        </w:tc>
        <w:tc>
          <w:tcPr>
            <w:tcW w:w="4440" w:type="dxa"/>
            <w:vAlign w:val="bottom"/>
            <w:shd w:val="clear" w:color="auto" w:fill="E9E9E9"/>
          </w:tcPr>
          <w:p>
            <w:pPr>
              <w:jc w:val="right"/>
              <w:ind w:right="236"/>
              <w:spacing w:after="0"/>
              <w:rPr>
                <w:sz w:val="20"/>
                <w:szCs w:val="20"/>
                <w:color w:val="auto"/>
              </w:rPr>
            </w:pPr>
            <w:r>
              <w:rPr>
                <w:rFonts w:ascii="Arial" w:cs="Arial" w:eastAsia="Arial" w:hAnsi="Arial"/>
                <w:sz w:val="17"/>
                <w:szCs w:val="17"/>
                <w:color w:val="auto"/>
              </w:rPr>
              <w:t>24.5</w:t>
            </w:r>
          </w:p>
        </w:tc>
        <w:tc>
          <w:tcPr>
            <w:tcW w:w="96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rPr>
              <w:t>42.6</w:t>
            </w:r>
          </w:p>
        </w:tc>
      </w:tr>
      <w:tr>
        <w:trPr>
          <w:trHeight w:val="230"/>
        </w:trPr>
        <w:tc>
          <w:tcPr>
            <w:tcW w:w="6020" w:type="dxa"/>
            <w:vAlign w:val="bottom"/>
          </w:tcPr>
          <w:p>
            <w:pPr>
              <w:spacing w:after="0"/>
              <w:rPr>
                <w:sz w:val="20"/>
                <w:szCs w:val="20"/>
                <w:color w:val="auto"/>
              </w:rPr>
            </w:pPr>
            <w:r>
              <w:rPr>
                <w:rFonts w:ascii="Arial" w:cs="Arial" w:eastAsia="Arial" w:hAnsi="Arial"/>
                <w:sz w:val="17"/>
                <w:szCs w:val="17"/>
                <w:color w:val="auto"/>
              </w:rPr>
              <w:t>EMC Corporation</w:t>
            </w:r>
          </w:p>
        </w:tc>
        <w:tc>
          <w:tcPr>
            <w:tcW w:w="4440" w:type="dxa"/>
            <w:vAlign w:val="bottom"/>
          </w:tcPr>
          <w:p>
            <w:pPr>
              <w:jc w:val="right"/>
              <w:ind w:right="236"/>
              <w:spacing w:after="0"/>
              <w:rPr>
                <w:sz w:val="20"/>
                <w:szCs w:val="20"/>
                <w:color w:val="auto"/>
              </w:rPr>
            </w:pPr>
            <w:r>
              <w:rPr>
                <w:rFonts w:ascii="Arial" w:cs="Arial" w:eastAsia="Arial" w:hAnsi="Arial"/>
                <w:sz w:val="17"/>
                <w:szCs w:val="17"/>
                <w:color w:val="auto"/>
              </w:rPr>
              <w:t>24.1</w:t>
            </w:r>
          </w:p>
        </w:tc>
        <w:tc>
          <w:tcPr>
            <w:tcW w:w="960" w:type="dxa"/>
            <w:vAlign w:val="bottom"/>
          </w:tcPr>
          <w:p>
            <w:pPr>
              <w:jc w:val="right"/>
              <w:ind w:right="116"/>
              <w:spacing w:after="0"/>
              <w:rPr>
                <w:sz w:val="20"/>
                <w:szCs w:val="20"/>
                <w:color w:val="auto"/>
              </w:rPr>
            </w:pPr>
            <w:r>
              <w:rPr>
                <w:rFonts w:ascii="Arial" w:cs="Arial" w:eastAsia="Arial" w:hAnsi="Arial"/>
                <w:sz w:val="17"/>
                <w:szCs w:val="17"/>
                <w:color w:val="auto"/>
              </w:rPr>
              <w:t>60.4</w:t>
            </w:r>
          </w:p>
        </w:tc>
      </w:tr>
      <w:tr>
        <w:trPr>
          <w:trHeight w:val="246"/>
        </w:trPr>
        <w:tc>
          <w:tcPr>
            <w:tcW w:w="6020" w:type="dxa"/>
            <w:vAlign w:val="bottom"/>
            <w:shd w:val="clear" w:color="auto" w:fill="E9E9E9"/>
          </w:tcPr>
          <w:p>
            <w:pPr>
              <w:spacing w:after="0"/>
              <w:rPr>
                <w:sz w:val="20"/>
                <w:szCs w:val="20"/>
                <w:color w:val="auto"/>
              </w:rPr>
            </w:pPr>
            <w:r>
              <w:rPr>
                <w:rFonts w:ascii="Arial" w:cs="Arial" w:eastAsia="Arial" w:hAnsi="Arial"/>
                <w:sz w:val="17"/>
                <w:szCs w:val="17"/>
                <w:color w:val="auto"/>
              </w:rPr>
              <w:t>Xerox Corporation</w:t>
            </w:r>
          </w:p>
        </w:tc>
        <w:tc>
          <w:tcPr>
            <w:tcW w:w="4440" w:type="dxa"/>
            <w:vAlign w:val="bottom"/>
            <w:shd w:val="clear" w:color="auto" w:fill="E9E9E9"/>
          </w:tcPr>
          <w:p>
            <w:pPr>
              <w:jc w:val="right"/>
              <w:ind w:right="236"/>
              <w:spacing w:after="0"/>
              <w:rPr>
                <w:sz w:val="20"/>
                <w:szCs w:val="20"/>
                <w:color w:val="auto"/>
              </w:rPr>
            </w:pPr>
            <w:r>
              <w:rPr>
                <w:rFonts w:ascii="Arial" w:cs="Arial" w:eastAsia="Arial" w:hAnsi="Arial"/>
                <w:sz w:val="17"/>
                <w:szCs w:val="17"/>
                <w:color w:val="auto"/>
              </w:rPr>
              <w:t>21.1</w:t>
            </w:r>
          </w:p>
        </w:tc>
        <w:tc>
          <w:tcPr>
            <w:tcW w:w="96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rPr>
              <w:t>15.6</w:t>
            </w:r>
          </w:p>
        </w:tc>
      </w:tr>
      <w:tr>
        <w:trPr>
          <w:trHeight w:val="230"/>
        </w:trPr>
        <w:tc>
          <w:tcPr>
            <w:tcW w:w="6020" w:type="dxa"/>
            <w:vAlign w:val="bottom"/>
          </w:tcPr>
          <w:p>
            <w:pPr>
              <w:spacing w:after="0"/>
              <w:rPr>
                <w:sz w:val="20"/>
                <w:szCs w:val="20"/>
                <w:color w:val="auto"/>
              </w:rPr>
            </w:pPr>
            <w:r>
              <w:rPr>
                <w:rFonts w:ascii="Arial" w:cs="Arial" w:eastAsia="Arial" w:hAnsi="Arial"/>
                <w:sz w:val="17"/>
                <w:szCs w:val="17"/>
                <w:color w:val="auto"/>
              </w:rPr>
              <w:t>eBay Inc.</w:t>
            </w:r>
          </w:p>
        </w:tc>
        <w:tc>
          <w:tcPr>
            <w:tcW w:w="4440" w:type="dxa"/>
            <w:vAlign w:val="bottom"/>
          </w:tcPr>
          <w:p>
            <w:pPr>
              <w:jc w:val="right"/>
              <w:ind w:right="236"/>
              <w:spacing w:after="0"/>
              <w:rPr>
                <w:sz w:val="20"/>
                <w:szCs w:val="20"/>
                <w:color w:val="auto"/>
              </w:rPr>
            </w:pPr>
            <w:r>
              <w:rPr>
                <w:rFonts w:ascii="Arial" w:cs="Arial" w:eastAsia="Arial" w:hAnsi="Arial"/>
                <w:sz w:val="17"/>
                <w:szCs w:val="17"/>
                <w:color w:val="auto"/>
              </w:rPr>
              <w:t>17.5</w:t>
            </w:r>
          </w:p>
        </w:tc>
        <w:tc>
          <w:tcPr>
            <w:tcW w:w="960" w:type="dxa"/>
            <w:vAlign w:val="bottom"/>
          </w:tcPr>
          <w:p>
            <w:pPr>
              <w:jc w:val="right"/>
              <w:ind w:right="116"/>
              <w:spacing w:after="0"/>
              <w:rPr>
                <w:sz w:val="20"/>
                <w:szCs w:val="20"/>
                <w:color w:val="auto"/>
              </w:rPr>
            </w:pPr>
            <w:r>
              <w:rPr>
                <w:rFonts w:ascii="Arial" w:cs="Arial" w:eastAsia="Arial" w:hAnsi="Arial"/>
                <w:sz w:val="17"/>
                <w:szCs w:val="17"/>
                <w:color w:val="auto"/>
              </w:rPr>
              <w:t>69.6</w:t>
            </w:r>
          </w:p>
        </w:tc>
      </w:tr>
      <w:tr>
        <w:trPr>
          <w:trHeight w:val="246"/>
        </w:trPr>
        <w:tc>
          <w:tcPr>
            <w:tcW w:w="6020" w:type="dxa"/>
            <w:vAlign w:val="bottom"/>
            <w:shd w:val="clear" w:color="auto" w:fill="E9E9E9"/>
          </w:tcPr>
          <w:p>
            <w:pPr>
              <w:spacing w:after="0"/>
              <w:rPr>
                <w:sz w:val="20"/>
                <w:szCs w:val="20"/>
                <w:color w:val="auto"/>
              </w:rPr>
            </w:pPr>
            <w:r>
              <w:rPr>
                <w:rFonts w:ascii="Arial" w:cs="Arial" w:eastAsia="Arial" w:hAnsi="Arial"/>
                <w:sz w:val="17"/>
                <w:szCs w:val="17"/>
                <w:color w:val="auto"/>
              </w:rPr>
              <w:t>Western Digital Corporation</w:t>
            </w:r>
          </w:p>
        </w:tc>
        <w:tc>
          <w:tcPr>
            <w:tcW w:w="4440" w:type="dxa"/>
            <w:vAlign w:val="bottom"/>
            <w:shd w:val="clear" w:color="auto" w:fill="E9E9E9"/>
          </w:tcPr>
          <w:p>
            <w:pPr>
              <w:jc w:val="right"/>
              <w:ind w:right="236"/>
              <w:spacing w:after="0"/>
              <w:rPr>
                <w:sz w:val="20"/>
                <w:szCs w:val="20"/>
                <w:color w:val="auto"/>
              </w:rPr>
            </w:pPr>
            <w:r>
              <w:rPr>
                <w:rFonts w:ascii="Arial" w:cs="Arial" w:eastAsia="Arial" w:hAnsi="Arial"/>
                <w:sz w:val="17"/>
                <w:szCs w:val="17"/>
                <w:color w:val="auto"/>
              </w:rPr>
              <w:t>15.3</w:t>
            </w:r>
          </w:p>
        </w:tc>
        <w:tc>
          <w:tcPr>
            <w:tcW w:w="96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rPr>
              <w:t>25.5</w:t>
            </w:r>
          </w:p>
        </w:tc>
      </w:tr>
      <w:tr>
        <w:trPr>
          <w:trHeight w:val="230"/>
        </w:trPr>
        <w:tc>
          <w:tcPr>
            <w:tcW w:w="6020" w:type="dxa"/>
            <w:vAlign w:val="bottom"/>
          </w:tcPr>
          <w:p>
            <w:pPr>
              <w:spacing w:after="0"/>
              <w:rPr>
                <w:sz w:val="20"/>
                <w:szCs w:val="20"/>
                <w:color w:val="auto"/>
              </w:rPr>
            </w:pPr>
            <w:r>
              <w:rPr>
                <w:rFonts w:ascii="Arial" w:cs="Arial" w:eastAsia="Arial" w:hAnsi="Arial"/>
                <w:sz w:val="17"/>
                <w:szCs w:val="17"/>
                <w:color w:val="auto"/>
              </w:rPr>
              <w:t>TE Connectivity Ltd.</w:t>
            </w:r>
          </w:p>
        </w:tc>
        <w:tc>
          <w:tcPr>
            <w:tcW w:w="4440" w:type="dxa"/>
            <w:vAlign w:val="bottom"/>
          </w:tcPr>
          <w:p>
            <w:pPr>
              <w:jc w:val="right"/>
              <w:ind w:right="236"/>
              <w:spacing w:after="0"/>
              <w:rPr>
                <w:sz w:val="20"/>
                <w:szCs w:val="20"/>
                <w:color w:val="auto"/>
              </w:rPr>
            </w:pPr>
            <w:r>
              <w:rPr>
                <w:rFonts w:ascii="Arial" w:cs="Arial" w:eastAsia="Arial" w:hAnsi="Arial"/>
                <w:sz w:val="17"/>
                <w:szCs w:val="17"/>
                <w:color w:val="auto"/>
              </w:rPr>
              <w:t>14.1</w:t>
            </w:r>
          </w:p>
        </w:tc>
        <w:tc>
          <w:tcPr>
            <w:tcW w:w="960" w:type="dxa"/>
            <w:vAlign w:val="bottom"/>
          </w:tcPr>
          <w:p>
            <w:pPr>
              <w:jc w:val="right"/>
              <w:ind w:right="116"/>
              <w:spacing w:after="0"/>
              <w:rPr>
                <w:sz w:val="20"/>
                <w:szCs w:val="20"/>
                <w:color w:val="auto"/>
              </w:rPr>
            </w:pPr>
            <w:r>
              <w:rPr>
                <w:rFonts w:ascii="Arial" w:cs="Arial" w:eastAsia="Arial" w:hAnsi="Arial"/>
                <w:sz w:val="17"/>
                <w:szCs w:val="17"/>
                <w:color w:val="auto"/>
              </w:rPr>
              <w:t>25.5</w:t>
            </w:r>
          </w:p>
        </w:tc>
      </w:tr>
      <w:tr>
        <w:trPr>
          <w:trHeight w:val="246"/>
        </w:trPr>
        <w:tc>
          <w:tcPr>
            <w:tcW w:w="6020" w:type="dxa"/>
            <w:vAlign w:val="bottom"/>
            <w:shd w:val="clear" w:color="auto" w:fill="E9E9E9"/>
          </w:tcPr>
          <w:p>
            <w:pPr>
              <w:spacing w:after="0"/>
              <w:rPr>
                <w:sz w:val="20"/>
                <w:szCs w:val="20"/>
                <w:color w:val="auto"/>
              </w:rPr>
            </w:pPr>
            <w:r>
              <w:rPr>
                <w:rFonts w:ascii="Arial" w:cs="Arial" w:eastAsia="Arial" w:hAnsi="Arial"/>
                <w:sz w:val="17"/>
                <w:szCs w:val="17"/>
                <w:color w:val="auto"/>
              </w:rPr>
              <w:t>Seagate Technology</w:t>
            </w:r>
          </w:p>
        </w:tc>
        <w:tc>
          <w:tcPr>
            <w:tcW w:w="4440" w:type="dxa"/>
            <w:vAlign w:val="bottom"/>
            <w:shd w:val="clear" w:color="auto" w:fill="E9E9E9"/>
          </w:tcPr>
          <w:p>
            <w:pPr>
              <w:jc w:val="right"/>
              <w:ind w:right="236"/>
              <w:spacing w:after="0"/>
              <w:rPr>
                <w:sz w:val="20"/>
                <w:szCs w:val="20"/>
                <w:color w:val="auto"/>
              </w:rPr>
            </w:pPr>
            <w:r>
              <w:rPr>
                <w:rFonts w:ascii="Arial" w:cs="Arial" w:eastAsia="Arial" w:hAnsi="Arial"/>
                <w:sz w:val="17"/>
                <w:szCs w:val="17"/>
                <w:color w:val="auto"/>
              </w:rPr>
              <w:t>14.0</w:t>
            </w:r>
          </w:p>
        </w:tc>
        <w:tc>
          <w:tcPr>
            <w:tcW w:w="96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rPr>
              <w:t>21.6</w:t>
            </w:r>
          </w:p>
        </w:tc>
      </w:tr>
      <w:tr>
        <w:trPr>
          <w:trHeight w:val="230"/>
        </w:trPr>
        <w:tc>
          <w:tcPr>
            <w:tcW w:w="6020" w:type="dxa"/>
            <w:vAlign w:val="bottom"/>
          </w:tcPr>
          <w:p>
            <w:pPr>
              <w:spacing w:after="0"/>
              <w:rPr>
                <w:sz w:val="20"/>
                <w:szCs w:val="20"/>
                <w:color w:val="auto"/>
              </w:rPr>
            </w:pPr>
            <w:r>
              <w:rPr>
                <w:rFonts w:ascii="Arial" w:cs="Arial" w:eastAsia="Arial" w:hAnsi="Arial"/>
                <w:sz w:val="17"/>
                <w:szCs w:val="17"/>
                <w:color w:val="auto"/>
              </w:rPr>
              <w:t>Computer Sciences Corporation</w:t>
            </w:r>
          </w:p>
        </w:tc>
        <w:tc>
          <w:tcPr>
            <w:tcW w:w="4440" w:type="dxa"/>
            <w:vAlign w:val="bottom"/>
          </w:tcPr>
          <w:p>
            <w:pPr>
              <w:jc w:val="right"/>
              <w:ind w:right="236"/>
              <w:spacing w:after="0"/>
              <w:rPr>
                <w:sz w:val="20"/>
                <w:szCs w:val="20"/>
                <w:color w:val="auto"/>
              </w:rPr>
            </w:pPr>
            <w:r>
              <w:rPr>
                <w:rFonts w:ascii="Arial" w:cs="Arial" w:eastAsia="Arial" w:hAnsi="Arial"/>
                <w:sz w:val="17"/>
                <w:szCs w:val="17"/>
                <w:color w:val="auto"/>
              </w:rPr>
              <w:t>12.9</w:t>
            </w:r>
          </w:p>
        </w:tc>
        <w:tc>
          <w:tcPr>
            <w:tcW w:w="960" w:type="dxa"/>
            <w:vAlign w:val="bottom"/>
          </w:tcPr>
          <w:p>
            <w:pPr>
              <w:jc w:val="right"/>
              <w:ind w:right="116"/>
              <w:spacing w:after="0"/>
              <w:rPr>
                <w:sz w:val="20"/>
                <w:szCs w:val="20"/>
                <w:color w:val="auto"/>
              </w:rPr>
            </w:pPr>
            <w:r>
              <w:rPr>
                <w:rFonts w:ascii="Arial" w:cs="Arial" w:eastAsia="Arial" w:hAnsi="Arial"/>
                <w:sz w:val="17"/>
                <w:szCs w:val="17"/>
                <w:color w:val="auto"/>
              </w:rPr>
              <w:t>8.8</w:t>
            </w:r>
          </w:p>
        </w:tc>
      </w:tr>
      <w:tr>
        <w:trPr>
          <w:trHeight w:val="246"/>
        </w:trPr>
        <w:tc>
          <w:tcPr>
            <w:tcW w:w="6020" w:type="dxa"/>
            <w:vAlign w:val="bottom"/>
            <w:shd w:val="clear" w:color="auto" w:fill="E9E9E9"/>
          </w:tcPr>
          <w:p>
            <w:pPr>
              <w:spacing w:after="0"/>
              <w:rPr>
                <w:sz w:val="20"/>
                <w:szCs w:val="20"/>
                <w:color w:val="auto"/>
              </w:rPr>
            </w:pPr>
            <w:r>
              <w:rPr>
                <w:rFonts w:ascii="Arial" w:cs="Arial" w:eastAsia="Arial" w:hAnsi="Arial"/>
                <w:sz w:val="17"/>
                <w:szCs w:val="17"/>
                <w:color w:val="auto"/>
              </w:rPr>
              <w:t>Applied Materials, Inc.</w:t>
            </w:r>
          </w:p>
        </w:tc>
        <w:tc>
          <w:tcPr>
            <w:tcW w:w="4440" w:type="dxa"/>
            <w:vAlign w:val="bottom"/>
            <w:shd w:val="clear" w:color="auto" w:fill="E9E9E9"/>
          </w:tcPr>
          <w:p>
            <w:pPr>
              <w:jc w:val="right"/>
              <w:ind w:right="236"/>
              <w:spacing w:after="0"/>
              <w:rPr>
                <w:sz w:val="20"/>
                <w:szCs w:val="20"/>
                <w:color w:val="auto"/>
              </w:rPr>
            </w:pPr>
            <w:r>
              <w:rPr>
                <w:rFonts w:ascii="Arial" w:cs="Arial" w:eastAsia="Arial" w:hAnsi="Arial"/>
                <w:sz w:val="17"/>
                <w:szCs w:val="17"/>
                <w:color w:val="auto"/>
              </w:rPr>
              <w:t>9.1</w:t>
            </w:r>
          </w:p>
        </w:tc>
        <w:tc>
          <w:tcPr>
            <w:tcW w:w="96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rPr>
              <w:t>30.2</w:t>
            </w:r>
          </w:p>
        </w:tc>
      </w:tr>
      <w:tr>
        <w:trPr>
          <w:trHeight w:val="230"/>
        </w:trPr>
        <w:tc>
          <w:tcPr>
            <w:tcW w:w="6020" w:type="dxa"/>
            <w:vAlign w:val="bottom"/>
          </w:tcPr>
          <w:p>
            <w:pPr>
              <w:spacing w:after="0"/>
              <w:rPr>
                <w:sz w:val="20"/>
                <w:szCs w:val="20"/>
                <w:color w:val="auto"/>
              </w:rPr>
            </w:pPr>
            <w:r>
              <w:rPr>
                <w:rFonts w:ascii="Arial" w:cs="Arial" w:eastAsia="Arial" w:hAnsi="Arial"/>
                <w:sz w:val="17"/>
                <w:szCs w:val="17"/>
                <w:color w:val="auto"/>
              </w:rPr>
              <w:t>Broadcom Corporation</w:t>
            </w:r>
          </w:p>
        </w:tc>
        <w:tc>
          <w:tcPr>
            <w:tcW w:w="4440" w:type="dxa"/>
            <w:vAlign w:val="bottom"/>
          </w:tcPr>
          <w:p>
            <w:pPr>
              <w:jc w:val="right"/>
              <w:ind w:right="236"/>
              <w:spacing w:after="0"/>
              <w:rPr>
                <w:sz w:val="20"/>
                <w:szCs w:val="20"/>
                <w:color w:val="auto"/>
              </w:rPr>
            </w:pPr>
            <w:r>
              <w:rPr>
                <w:rFonts w:ascii="Arial" w:cs="Arial" w:eastAsia="Arial" w:hAnsi="Arial"/>
                <w:sz w:val="17"/>
                <w:szCs w:val="17"/>
                <w:color w:val="auto"/>
              </w:rPr>
              <w:t>8.3</w:t>
            </w:r>
          </w:p>
        </w:tc>
        <w:tc>
          <w:tcPr>
            <w:tcW w:w="960" w:type="dxa"/>
            <w:vAlign w:val="bottom"/>
          </w:tcPr>
          <w:p>
            <w:pPr>
              <w:jc w:val="right"/>
              <w:ind w:right="116"/>
              <w:spacing w:after="0"/>
              <w:rPr>
                <w:sz w:val="20"/>
                <w:szCs w:val="20"/>
                <w:color w:val="auto"/>
              </w:rPr>
            </w:pPr>
            <w:r>
              <w:rPr>
                <w:rFonts w:ascii="Arial" w:cs="Arial" w:eastAsia="Arial" w:hAnsi="Arial"/>
                <w:sz w:val="17"/>
                <w:szCs w:val="17"/>
                <w:color w:val="auto"/>
              </w:rPr>
              <w:t>25.4</w:t>
            </w:r>
          </w:p>
        </w:tc>
      </w:tr>
      <w:tr>
        <w:trPr>
          <w:trHeight w:val="246"/>
        </w:trPr>
        <w:tc>
          <w:tcPr>
            <w:tcW w:w="6020" w:type="dxa"/>
            <w:vAlign w:val="bottom"/>
            <w:shd w:val="clear" w:color="auto" w:fill="E9E9E9"/>
          </w:tcPr>
          <w:p>
            <w:pPr>
              <w:spacing w:after="0"/>
              <w:rPr>
                <w:sz w:val="20"/>
                <w:szCs w:val="20"/>
                <w:color w:val="auto"/>
              </w:rPr>
            </w:pPr>
            <w:r>
              <w:rPr>
                <w:rFonts w:ascii="Arial" w:cs="Arial" w:eastAsia="Arial" w:hAnsi="Arial"/>
                <w:sz w:val="17"/>
                <w:szCs w:val="17"/>
                <w:color w:val="auto"/>
              </w:rPr>
              <w:t>Motorola Solutions, Inc.</w:t>
            </w:r>
          </w:p>
        </w:tc>
        <w:tc>
          <w:tcPr>
            <w:tcW w:w="4440" w:type="dxa"/>
            <w:vAlign w:val="bottom"/>
            <w:shd w:val="clear" w:color="auto" w:fill="E9E9E9"/>
          </w:tcPr>
          <w:p>
            <w:pPr>
              <w:jc w:val="right"/>
              <w:ind w:right="236"/>
              <w:spacing w:after="0"/>
              <w:rPr>
                <w:sz w:val="20"/>
                <w:szCs w:val="20"/>
                <w:color w:val="auto"/>
              </w:rPr>
            </w:pPr>
            <w:r>
              <w:rPr>
                <w:rFonts w:ascii="Arial" w:cs="Arial" w:eastAsia="Arial" w:hAnsi="Arial"/>
                <w:sz w:val="17"/>
                <w:szCs w:val="17"/>
                <w:color w:val="auto"/>
              </w:rPr>
              <w:t>6.6</w:t>
            </w:r>
          </w:p>
        </w:tc>
        <w:tc>
          <w:tcPr>
            <w:tcW w:w="96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rPr>
              <w:t>16.0</w:t>
            </w:r>
          </w:p>
        </w:tc>
      </w:tr>
      <w:tr>
        <w:trPr>
          <w:trHeight w:val="231"/>
        </w:trPr>
        <w:tc>
          <w:tcPr>
            <w:tcW w:w="6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Analog Devices, Inc.</w:t>
            </w:r>
          </w:p>
        </w:tc>
        <w:tc>
          <w:tcPr>
            <w:tcW w:w="44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2.9</w:t>
            </w:r>
          </w:p>
        </w:tc>
        <w:tc>
          <w:tcPr>
            <w:tcW w:w="9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17.3</w:t>
            </w:r>
          </w:p>
        </w:tc>
      </w:tr>
      <w:tr>
        <w:trPr>
          <w:trHeight w:val="238"/>
        </w:trPr>
        <w:tc>
          <w:tcPr>
            <w:tcW w:w="60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6020" w:type="dxa"/>
            <w:vAlign w:val="bottom"/>
            <w:shd w:val="clear" w:color="auto" w:fill="E9E9E9"/>
          </w:tcPr>
          <w:p>
            <w:pPr>
              <w:spacing w:after="0"/>
              <w:rPr>
                <w:sz w:val="20"/>
                <w:szCs w:val="20"/>
                <w:color w:val="auto"/>
              </w:rPr>
            </w:pPr>
            <w:r>
              <w:rPr>
                <w:rFonts w:ascii="Arial" w:cs="Arial" w:eastAsia="Arial" w:hAnsi="Arial"/>
                <w:sz w:val="17"/>
                <w:szCs w:val="17"/>
                <w:color w:val="auto"/>
              </w:rPr>
              <w:t>Median</w:t>
            </w:r>
          </w:p>
        </w:tc>
        <w:tc>
          <w:tcPr>
            <w:tcW w:w="4440" w:type="dxa"/>
            <w:vAlign w:val="bottom"/>
            <w:shd w:val="clear" w:color="auto" w:fill="E9E9E9"/>
          </w:tcPr>
          <w:p>
            <w:pPr>
              <w:jc w:val="right"/>
              <w:ind w:right="236"/>
              <w:spacing w:after="0"/>
              <w:rPr>
                <w:sz w:val="20"/>
                <w:szCs w:val="20"/>
                <w:color w:val="auto"/>
              </w:rPr>
            </w:pPr>
            <w:r>
              <w:rPr>
                <w:rFonts w:ascii="Arial" w:cs="Arial" w:eastAsia="Arial" w:hAnsi="Arial"/>
                <w:sz w:val="17"/>
                <w:szCs w:val="17"/>
                <w:color w:val="auto"/>
              </w:rPr>
              <w:t>14.7</w:t>
            </w:r>
          </w:p>
        </w:tc>
        <w:tc>
          <w:tcPr>
            <w:tcW w:w="96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rPr>
              <w:t>25.5</w:t>
            </w:r>
          </w:p>
        </w:tc>
      </w:tr>
      <w:tr>
        <w:trPr>
          <w:trHeight w:val="222"/>
        </w:trPr>
        <w:tc>
          <w:tcPr>
            <w:tcW w:w="6020" w:type="dxa"/>
            <w:vAlign w:val="bottom"/>
          </w:tcPr>
          <w:p>
            <w:pPr>
              <w:spacing w:after="0"/>
              <w:rPr>
                <w:sz w:val="20"/>
                <w:szCs w:val="20"/>
                <w:color w:val="auto"/>
              </w:rPr>
            </w:pPr>
            <w:r>
              <w:rPr>
                <w:rFonts w:ascii="Arial" w:cs="Arial" w:eastAsia="Arial" w:hAnsi="Arial"/>
                <w:sz w:val="17"/>
                <w:szCs w:val="17"/>
                <w:color w:val="auto"/>
              </w:rPr>
              <w:t>Texas Instruments Incorporated</w:t>
            </w:r>
          </w:p>
        </w:tc>
        <w:tc>
          <w:tcPr>
            <w:tcW w:w="4440" w:type="dxa"/>
            <w:vAlign w:val="bottom"/>
          </w:tcPr>
          <w:p>
            <w:pPr>
              <w:jc w:val="right"/>
              <w:ind w:right="236"/>
              <w:spacing w:after="0"/>
              <w:rPr>
                <w:sz w:val="20"/>
                <w:szCs w:val="20"/>
                <w:color w:val="auto"/>
              </w:rPr>
            </w:pPr>
            <w:r>
              <w:rPr>
                <w:rFonts w:ascii="Arial" w:cs="Arial" w:eastAsia="Arial" w:hAnsi="Arial"/>
                <w:sz w:val="17"/>
                <w:szCs w:val="17"/>
                <w:color w:val="auto"/>
              </w:rPr>
              <w:t>13.0</w:t>
            </w:r>
          </w:p>
        </w:tc>
        <w:tc>
          <w:tcPr>
            <w:tcW w:w="960" w:type="dxa"/>
            <w:vAlign w:val="bottom"/>
          </w:tcPr>
          <w:p>
            <w:pPr>
              <w:jc w:val="right"/>
              <w:ind w:right="116"/>
              <w:spacing w:after="0"/>
              <w:rPr>
                <w:sz w:val="20"/>
                <w:szCs w:val="20"/>
                <w:color w:val="auto"/>
              </w:rPr>
            </w:pPr>
            <w:r>
              <w:rPr>
                <w:rFonts w:ascii="Arial" w:cs="Arial" w:eastAsia="Arial" w:hAnsi="Arial"/>
                <w:sz w:val="17"/>
                <w:szCs w:val="17"/>
                <w:color w:val="auto"/>
              </w:rPr>
              <w:t>56.3</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 Trailing four-quarter revenue as reported by Thomson Reuters on February 2, 2015. Market capitalization as of December 31, 2014.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Analysis of compensation determinations for 2014</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Total compensation</w:t>
      </w:r>
    </w:p>
    <w:p>
      <w:pPr>
        <w:spacing w:after="0" w:line="2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Before finalizing the compensation of the executive officers, the committee reviewed all elements of compensation. The information included total cash compensation (salary, profit sharing and projected bonus), the grant date fair value of equity compensation, the impact that proposed compensation would have on other compensation elements such as pension, and a summary of benefits that the executives would receive under various termination scenarios. The review enabled the committee to see how various compensation elements relate to one another and what impact its decisions would have on the total earnings opportunity of the executives. In assessing the information, the committee did not target a specific level of total compensation or use a formula to allocate compensation among the various elements. Instead, it used its judgment in assessing whether the total was consistent with the objectives of the program. Based on this review, the committee determined that the level of compensation was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Base salary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committee set the 2014 rate of base salary for the named executive officers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3"/>
                <w:szCs w:val="13"/>
                <w:b w:val="1"/>
                <w:bCs w:val="1"/>
                <w:color w:val="auto"/>
              </w:rPr>
              <w:t>Change from</w:t>
            </w:r>
          </w:p>
        </w:tc>
      </w:tr>
      <w:tr>
        <w:trPr>
          <w:trHeight w:val="238"/>
        </w:trPr>
        <w:tc>
          <w:tcPr>
            <w:tcW w:w="4980" w:type="dxa"/>
            <w:vAlign w:val="bottom"/>
          </w:tcPr>
          <w:p>
            <w:pPr>
              <w:spacing w:after="0"/>
              <w:rPr>
                <w:sz w:val="20"/>
                <w:szCs w:val="20"/>
                <w:color w:val="auto"/>
              </w:rPr>
            </w:pPr>
            <w:r>
              <w:rPr>
                <w:rFonts w:ascii="Arial" w:cs="Arial" w:eastAsia="Arial" w:hAnsi="Arial"/>
                <w:sz w:val="13"/>
                <w:szCs w:val="13"/>
                <w:b w:val="1"/>
                <w:bCs w:val="1"/>
                <w:color w:val="auto"/>
              </w:rPr>
              <w:t>Officer</w:t>
            </w:r>
          </w:p>
        </w:tc>
        <w:tc>
          <w:tcPr>
            <w:tcW w:w="5100" w:type="dxa"/>
            <w:vAlign w:val="bottom"/>
            <w:gridSpan w:val="3"/>
          </w:tcPr>
          <w:p>
            <w:pPr>
              <w:ind w:left="3760"/>
              <w:spacing w:after="0"/>
              <w:rPr>
                <w:sz w:val="20"/>
                <w:szCs w:val="20"/>
                <w:color w:val="auto"/>
              </w:rPr>
            </w:pPr>
            <w:r>
              <w:rPr>
                <w:rFonts w:ascii="Arial" w:cs="Arial" w:eastAsia="Arial" w:hAnsi="Arial"/>
                <w:sz w:val="13"/>
                <w:szCs w:val="13"/>
                <w:b w:val="1"/>
                <w:bCs w:val="1"/>
                <w:color w:val="auto"/>
              </w:rPr>
              <w:t>2014 Annual Rate</w:t>
            </w: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2013 Annual Rate</w:t>
            </w:r>
          </w:p>
        </w:tc>
      </w:tr>
      <w:tr>
        <w:trPr>
          <w:trHeight w:val="41"/>
        </w:trPr>
        <w:tc>
          <w:tcPr>
            <w:tcW w:w="498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1"/>
        </w:trPr>
        <w:tc>
          <w:tcPr>
            <w:tcW w:w="498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3880" w:type="dxa"/>
            <w:vAlign w:val="bottom"/>
            <w:shd w:val="clear" w:color="auto" w:fill="E9E9E9"/>
          </w:tcPr>
          <w:p>
            <w:pPr>
              <w:ind w:left="374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1,110,000</w:t>
            </w:r>
          </w:p>
        </w:tc>
        <w:tc>
          <w:tcPr>
            <w:tcW w:w="380" w:type="dxa"/>
            <w:vAlign w:val="bottom"/>
            <w:shd w:val="clear" w:color="auto" w:fill="E9E9E9"/>
          </w:tcPr>
          <w:p>
            <w:pPr>
              <w:spacing w:after="0"/>
              <w:rPr>
                <w:sz w:val="20"/>
                <w:szCs w:val="20"/>
                <w:color w:val="auto"/>
              </w:rPr>
            </w:pPr>
          </w:p>
        </w:tc>
        <w:tc>
          <w:tcPr>
            <w:tcW w:w="1340" w:type="dxa"/>
            <w:vAlign w:val="bottom"/>
            <w:shd w:val="clear" w:color="auto" w:fill="E9E9E9"/>
          </w:tcPr>
          <w:p>
            <w:pPr>
              <w:jc w:val="right"/>
              <w:ind w:right="240"/>
              <w:spacing w:after="0"/>
              <w:rPr>
                <w:sz w:val="20"/>
                <w:szCs w:val="20"/>
                <w:color w:val="auto"/>
              </w:rPr>
            </w:pPr>
            <w:r>
              <w:rPr>
                <w:rFonts w:ascii="Arial" w:cs="Arial" w:eastAsia="Arial" w:hAnsi="Arial"/>
                <w:sz w:val="17"/>
                <w:szCs w:val="17"/>
                <w:color w:val="auto"/>
              </w:rPr>
              <w:t>3.3%</w:t>
            </w:r>
          </w:p>
        </w:tc>
      </w:tr>
      <w:tr>
        <w:trPr>
          <w:trHeight w:val="230"/>
        </w:trPr>
        <w:tc>
          <w:tcPr>
            <w:tcW w:w="4980" w:type="dxa"/>
            <w:vAlign w:val="bottom"/>
          </w:tcPr>
          <w:p>
            <w:pPr>
              <w:spacing w:after="0"/>
              <w:rPr>
                <w:sz w:val="20"/>
                <w:szCs w:val="20"/>
                <w:color w:val="auto"/>
              </w:rPr>
            </w:pPr>
            <w:r>
              <w:rPr>
                <w:rFonts w:ascii="Arial" w:cs="Arial" w:eastAsia="Arial" w:hAnsi="Arial"/>
                <w:sz w:val="17"/>
                <w:szCs w:val="17"/>
                <w:color w:val="auto"/>
              </w:rPr>
              <w:t>K. P. March</w:t>
            </w:r>
          </w:p>
        </w:tc>
        <w:tc>
          <w:tcPr>
            <w:tcW w:w="3880" w:type="dxa"/>
            <w:vAlign w:val="bottom"/>
          </w:tcPr>
          <w:p>
            <w:pPr>
              <w:ind w:left="37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630,000</w:t>
            </w:r>
          </w:p>
        </w:tc>
        <w:tc>
          <w:tcPr>
            <w:tcW w:w="380" w:type="dxa"/>
            <w:vAlign w:val="bottom"/>
          </w:tcPr>
          <w:p>
            <w:pPr>
              <w:spacing w:after="0"/>
              <w:rPr>
                <w:sz w:val="19"/>
                <w:szCs w:val="19"/>
                <w:color w:val="auto"/>
              </w:rPr>
            </w:pPr>
          </w:p>
        </w:tc>
        <w:tc>
          <w:tcPr>
            <w:tcW w:w="1340" w:type="dxa"/>
            <w:vAlign w:val="bottom"/>
          </w:tcPr>
          <w:p>
            <w:pPr>
              <w:jc w:val="right"/>
              <w:ind w:right="240"/>
              <w:spacing w:after="0"/>
              <w:rPr>
                <w:sz w:val="20"/>
                <w:szCs w:val="20"/>
                <w:color w:val="auto"/>
              </w:rPr>
            </w:pPr>
            <w:r>
              <w:rPr>
                <w:rFonts w:ascii="Arial" w:cs="Arial" w:eastAsia="Arial" w:hAnsi="Arial"/>
                <w:sz w:val="17"/>
                <w:szCs w:val="17"/>
                <w:color w:val="auto"/>
              </w:rPr>
              <w:t>3.3%</w:t>
            </w:r>
          </w:p>
        </w:tc>
      </w:tr>
      <w:tr>
        <w:trPr>
          <w:trHeight w:val="246"/>
        </w:trPr>
        <w:tc>
          <w:tcPr>
            <w:tcW w:w="4980" w:type="dxa"/>
            <w:vAlign w:val="bottom"/>
            <w:shd w:val="clear" w:color="auto" w:fill="E9E9E9"/>
          </w:tcPr>
          <w:p>
            <w:pPr>
              <w:spacing w:after="0"/>
              <w:rPr>
                <w:sz w:val="20"/>
                <w:szCs w:val="20"/>
                <w:color w:val="auto"/>
              </w:rPr>
            </w:pPr>
            <w:r>
              <w:rPr>
                <w:rFonts w:ascii="Arial" w:cs="Arial" w:eastAsia="Arial" w:hAnsi="Arial"/>
                <w:sz w:val="17"/>
                <w:szCs w:val="17"/>
                <w:color w:val="auto"/>
              </w:rPr>
              <w:t>B. T. Crutcher</w:t>
            </w:r>
          </w:p>
        </w:tc>
        <w:tc>
          <w:tcPr>
            <w:tcW w:w="3880" w:type="dxa"/>
            <w:vAlign w:val="bottom"/>
            <w:shd w:val="clear" w:color="auto" w:fill="E9E9E9"/>
          </w:tcPr>
          <w:p>
            <w:pPr>
              <w:ind w:left="374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775,000</w:t>
            </w:r>
          </w:p>
        </w:tc>
        <w:tc>
          <w:tcPr>
            <w:tcW w:w="380" w:type="dxa"/>
            <w:vAlign w:val="bottom"/>
            <w:shd w:val="clear" w:color="auto" w:fill="E9E9E9"/>
          </w:tcPr>
          <w:p>
            <w:pPr>
              <w:jc w:val="right"/>
              <w:ind w:right="194"/>
              <w:spacing w:after="0"/>
              <w:rPr>
                <w:sz w:val="20"/>
                <w:szCs w:val="20"/>
                <w:color w:val="auto"/>
              </w:rPr>
            </w:pPr>
            <w:r>
              <w:rPr>
                <w:rFonts w:ascii="Arial" w:cs="Arial" w:eastAsia="Arial" w:hAnsi="Arial"/>
                <w:sz w:val="17"/>
                <w:szCs w:val="17"/>
                <w:color w:val="auto"/>
              </w:rPr>
              <w:t>*</w:t>
            </w:r>
          </w:p>
        </w:tc>
        <w:tc>
          <w:tcPr>
            <w:tcW w:w="1340" w:type="dxa"/>
            <w:vAlign w:val="bottom"/>
            <w:shd w:val="clear" w:color="auto" w:fill="E9E9E9"/>
          </w:tcPr>
          <w:p>
            <w:pPr>
              <w:jc w:val="right"/>
              <w:ind w:right="240"/>
              <w:spacing w:after="0"/>
              <w:rPr>
                <w:sz w:val="20"/>
                <w:szCs w:val="20"/>
                <w:color w:val="auto"/>
              </w:rPr>
            </w:pPr>
            <w:r>
              <w:rPr>
                <w:rFonts w:ascii="Arial" w:cs="Arial" w:eastAsia="Arial" w:hAnsi="Arial"/>
                <w:sz w:val="17"/>
                <w:szCs w:val="17"/>
                <w:color w:val="auto"/>
              </w:rPr>
              <w:t>14.8%</w:t>
            </w:r>
          </w:p>
        </w:tc>
      </w:tr>
      <w:tr>
        <w:trPr>
          <w:trHeight w:val="230"/>
        </w:trPr>
        <w:tc>
          <w:tcPr>
            <w:tcW w:w="4980" w:type="dxa"/>
            <w:vAlign w:val="bottom"/>
          </w:tcPr>
          <w:p>
            <w:pPr>
              <w:spacing w:after="0"/>
              <w:rPr>
                <w:sz w:val="20"/>
                <w:szCs w:val="20"/>
                <w:color w:val="auto"/>
              </w:rPr>
            </w:pPr>
            <w:r>
              <w:rPr>
                <w:rFonts w:ascii="Arial" w:cs="Arial" w:eastAsia="Arial" w:hAnsi="Arial"/>
                <w:sz w:val="17"/>
                <w:szCs w:val="17"/>
                <w:color w:val="auto"/>
              </w:rPr>
              <w:t>S. A. Anderson</w:t>
            </w:r>
          </w:p>
        </w:tc>
        <w:tc>
          <w:tcPr>
            <w:tcW w:w="3880" w:type="dxa"/>
            <w:vAlign w:val="bottom"/>
          </w:tcPr>
          <w:p>
            <w:pPr>
              <w:ind w:left="37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550,000</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240"/>
              <w:spacing w:after="0"/>
              <w:rPr>
                <w:sz w:val="20"/>
                <w:szCs w:val="20"/>
                <w:color w:val="auto"/>
              </w:rPr>
            </w:pPr>
            <w:r>
              <w:rPr>
                <w:rFonts w:ascii="Arial" w:cs="Arial" w:eastAsia="Arial" w:hAnsi="Arial"/>
                <w:sz w:val="17"/>
                <w:szCs w:val="17"/>
                <w:color w:val="auto"/>
              </w:rPr>
              <w:t>20.9%</w:t>
            </w:r>
          </w:p>
        </w:tc>
      </w:tr>
      <w:tr>
        <w:trPr>
          <w:trHeight w:val="246"/>
        </w:trPr>
        <w:tc>
          <w:tcPr>
            <w:tcW w:w="498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3880" w:type="dxa"/>
            <w:vAlign w:val="bottom"/>
            <w:shd w:val="clear" w:color="auto" w:fill="E9E9E9"/>
          </w:tcPr>
          <w:p>
            <w:pPr>
              <w:ind w:left="374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650,000</w:t>
            </w:r>
          </w:p>
        </w:tc>
        <w:tc>
          <w:tcPr>
            <w:tcW w:w="380" w:type="dxa"/>
            <w:vAlign w:val="bottom"/>
            <w:shd w:val="clear" w:color="auto" w:fill="E9E9E9"/>
          </w:tcPr>
          <w:p>
            <w:pPr>
              <w:spacing w:after="0"/>
              <w:rPr>
                <w:sz w:val="21"/>
                <w:szCs w:val="21"/>
                <w:color w:val="auto"/>
              </w:rPr>
            </w:pPr>
          </w:p>
        </w:tc>
        <w:tc>
          <w:tcPr>
            <w:tcW w:w="1340" w:type="dxa"/>
            <w:vAlign w:val="bottom"/>
            <w:shd w:val="clear" w:color="auto" w:fill="E9E9E9"/>
          </w:tcPr>
          <w:p>
            <w:pPr>
              <w:jc w:val="right"/>
              <w:ind w:right="240"/>
              <w:spacing w:after="0"/>
              <w:rPr>
                <w:sz w:val="20"/>
                <w:szCs w:val="20"/>
                <w:color w:val="auto"/>
              </w:rPr>
            </w:pPr>
            <w:r>
              <w:rPr>
                <w:rFonts w:ascii="Arial" w:cs="Arial" w:eastAsia="Arial" w:hAnsi="Arial"/>
                <w:sz w:val="17"/>
                <w:szCs w:val="17"/>
                <w:color w:val="auto"/>
              </w:rPr>
              <w:t>4.0%</w:t>
            </w: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 2014 annual rate for Mr. Crutcher and Mr. Anderson includes salary increase approved in June 2014.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300" w:type="dxa"/>
            <w:vAlign w:val="bottom"/>
          </w:tcPr>
          <w:p>
            <w:pPr>
              <w:ind w:left="4120"/>
              <w:spacing w:after="0"/>
              <w:rPr>
                <w:sz w:val="20"/>
                <w:szCs w:val="20"/>
                <w:color w:val="auto"/>
              </w:rPr>
            </w:pPr>
            <w:r>
              <w:rPr>
                <w:rFonts w:ascii="Arial" w:cs="Arial" w:eastAsia="Arial" w:hAnsi="Arial"/>
                <w:sz w:val="13"/>
                <w:szCs w:val="13"/>
                <w:color w:val="838383"/>
              </w:rPr>
              <w:t>TEXAS INSTRUMENTS ● 2015 PROXY STATEMENT</w:t>
            </w:r>
          </w:p>
        </w:tc>
        <w:tc>
          <w:tcPr>
            <w:tcW w:w="2140" w:type="dxa"/>
            <w:vAlign w:val="bottom"/>
          </w:tcPr>
          <w:p>
            <w:pPr>
              <w:jc w:val="right"/>
              <w:spacing w:after="0"/>
              <w:rPr>
                <w:sz w:val="20"/>
                <w:szCs w:val="20"/>
                <w:color w:val="auto"/>
              </w:rPr>
            </w:pPr>
            <w:r>
              <w:rPr>
                <w:rFonts w:ascii="Arial" w:cs="Arial" w:eastAsia="Arial" w:hAnsi="Arial"/>
                <w:sz w:val="13"/>
                <w:szCs w:val="13"/>
                <w:color w:val="838383"/>
              </w:rPr>
              <w:t>89</w:t>
            </w:r>
          </w:p>
        </w:tc>
      </w:tr>
      <w:tr>
        <w:trPr>
          <w:trHeight w:val="355"/>
        </w:trPr>
        <w:tc>
          <w:tcPr>
            <w:tcW w:w="930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92" w:right="219" w:bottom="1440" w:gutter="0" w:footer="0" w:header="0"/>
        </w:sectPr>
      </w:pPr>
    </w:p>
    <w:bookmarkStart w:id="20" w:name="page21"/>
    <w:bookmarkEnd w:id="20"/>
    <w:p>
      <w:pPr>
        <w:jc w:val="both"/>
        <w:ind w:right="60"/>
        <w:spacing w:after="0" w:line="249" w:lineRule="auto"/>
        <w:rPr>
          <w:sz w:val="20"/>
          <w:szCs w:val="20"/>
          <w:color w:val="auto"/>
        </w:rPr>
      </w:pPr>
      <w:r>
        <w:rPr>
          <w:rFonts w:ascii="Arial" w:cs="Arial" w:eastAsia="Arial" w:hAnsi="Arial"/>
          <w:sz w:val="17"/>
          <w:szCs w:val="17"/>
          <w:color w:val="auto"/>
        </w:rPr>
        <w:t>The committee set the 2014 base-salary rate for each of the named executive officers in January 2014. In keeping with its strategy, the committee set the annual base-salary rates to be below the estimated median level of salaries expected to be paid to similarly situated executives of the Comparator Group in 2014.</w:t>
      </w:r>
    </w:p>
    <w:p>
      <w:pPr>
        <w:spacing w:after="0" w:line="198" w:lineRule="exact"/>
        <w:rPr>
          <w:sz w:val="20"/>
          <w:szCs w:val="20"/>
          <w:color w:val="auto"/>
        </w:rPr>
      </w:pPr>
    </w:p>
    <w:p>
      <w:pPr>
        <w:ind w:right="800"/>
        <w:spacing w:after="0" w:line="255" w:lineRule="auto"/>
        <w:rPr>
          <w:sz w:val="20"/>
          <w:szCs w:val="20"/>
          <w:color w:val="auto"/>
        </w:rPr>
      </w:pPr>
      <w:r>
        <w:rPr>
          <w:rFonts w:ascii="Arial" w:cs="Arial" w:eastAsia="Arial" w:hAnsi="Arial"/>
          <w:sz w:val="17"/>
          <w:szCs w:val="17"/>
          <w:color w:val="auto"/>
        </w:rPr>
        <w:t>In June 2014, the committee increased the salary rate for Mr. Crutcher and Mr. Anderson as they assumed new leadership roles. The salary adjustments were consistent with the policy described in the preceding paragraph.</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salary differences between the named executive officers were driven primarily by the market rate of pay for each officer, and not the application of a formula designed to maintain a differential between the officers.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Equity compensation</w:t>
      </w:r>
    </w:p>
    <w:p>
      <w:pPr>
        <w:spacing w:after="0" w:line="21"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In 2014, the committee awarded equity compensation to each of the named executive officers. The grants are shown in the Grants of plan-based awards in 2014 table on page 100. The grant date fair value of the awards is reflected in that table and in the “Stock Awards” and “Option Awards” columns of the 2014 summary compensation table on page 98. The table below is provided to assist the reader in comparing the grant date fair values and number of shares for each of the years shown in the summary compensation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jc w:val="center"/>
              <w:ind w:left="177"/>
              <w:spacing w:after="0"/>
              <w:rPr>
                <w:sz w:val="20"/>
                <w:szCs w:val="20"/>
                <w:color w:val="auto"/>
              </w:rPr>
            </w:pPr>
            <w:r>
              <w:rPr>
                <w:rFonts w:ascii="Arial" w:cs="Arial" w:eastAsia="Arial" w:hAnsi="Arial"/>
                <w:sz w:val="13"/>
                <w:szCs w:val="13"/>
                <w:b w:val="1"/>
                <w:bCs w:val="1"/>
                <w:color w:val="auto"/>
              </w:rPr>
              <w:t>Restricted</w:t>
            </w:r>
          </w:p>
        </w:tc>
        <w:tc>
          <w:tcPr>
            <w:tcW w:w="200" w:type="dxa"/>
            <w:vAlign w:val="bottom"/>
          </w:tcPr>
          <w:p>
            <w:pPr>
              <w:spacing w:after="0"/>
              <w:rPr>
                <w:sz w:val="15"/>
                <w:szCs w:val="15"/>
                <w:color w:val="auto"/>
              </w:rPr>
            </w:pPr>
          </w:p>
        </w:tc>
      </w:tr>
      <w:tr>
        <w:trPr>
          <w:trHeight w:val="238"/>
        </w:trPr>
        <w:tc>
          <w:tcPr>
            <w:tcW w:w="6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00" w:type="dxa"/>
            <w:vAlign w:val="bottom"/>
          </w:tcPr>
          <w:p>
            <w:pPr>
              <w:ind w:left="420"/>
              <w:spacing w:after="0"/>
              <w:rPr>
                <w:sz w:val="20"/>
                <w:szCs w:val="20"/>
                <w:color w:val="auto"/>
              </w:rPr>
            </w:pPr>
            <w:r>
              <w:rPr>
                <w:rFonts w:ascii="Arial" w:cs="Arial" w:eastAsia="Arial" w:hAnsi="Arial"/>
                <w:sz w:val="13"/>
                <w:szCs w:val="13"/>
                <w:b w:val="1"/>
                <w:bCs w:val="1"/>
                <w:color w:val="auto"/>
              </w:rPr>
              <w:t>Grant Date</w:t>
            </w:r>
          </w:p>
        </w:tc>
        <w:tc>
          <w:tcPr>
            <w:tcW w:w="1340" w:type="dxa"/>
            <w:vAlign w:val="bottom"/>
          </w:tcPr>
          <w:p>
            <w:pPr>
              <w:jc w:val="right"/>
              <w:ind w:right="156"/>
              <w:spacing w:after="0"/>
              <w:rPr>
                <w:sz w:val="20"/>
                <w:szCs w:val="20"/>
                <w:color w:val="auto"/>
              </w:rPr>
            </w:pPr>
            <w:r>
              <w:rPr>
                <w:rFonts w:ascii="Arial" w:cs="Arial" w:eastAsia="Arial" w:hAnsi="Arial"/>
                <w:sz w:val="13"/>
                <w:szCs w:val="13"/>
                <w:b w:val="1"/>
                <w:bCs w:val="1"/>
                <w:color w:val="auto"/>
              </w:rPr>
              <w:t>Stock Options</w:t>
            </w: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rPr>
              <w:t>Stock Units</w:t>
            </w:r>
          </w:p>
        </w:tc>
      </w:tr>
      <w:tr>
        <w:trPr>
          <w:trHeight w:val="238"/>
        </w:trPr>
        <w:tc>
          <w:tcPr>
            <w:tcW w:w="6580" w:type="dxa"/>
            <w:vAlign w:val="bottom"/>
          </w:tcPr>
          <w:p>
            <w:pPr>
              <w:spacing w:after="0"/>
              <w:rPr>
                <w:sz w:val="20"/>
                <w:szCs w:val="20"/>
                <w:color w:val="auto"/>
              </w:rPr>
            </w:pPr>
            <w:r>
              <w:rPr>
                <w:rFonts w:ascii="Arial" w:cs="Arial" w:eastAsia="Arial" w:hAnsi="Arial"/>
                <w:sz w:val="13"/>
                <w:szCs w:val="13"/>
                <w:b w:val="1"/>
                <w:bCs w:val="1"/>
                <w:color w:val="auto"/>
              </w:rPr>
              <w:t>Officer</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Year</w:t>
            </w:r>
          </w:p>
        </w:tc>
        <w:tc>
          <w:tcPr>
            <w:tcW w:w="1700" w:type="dxa"/>
            <w:vAlign w:val="bottom"/>
          </w:tcPr>
          <w:p>
            <w:pPr>
              <w:ind w:left="400"/>
              <w:spacing w:after="0"/>
              <w:rPr>
                <w:sz w:val="20"/>
                <w:szCs w:val="20"/>
                <w:color w:val="auto"/>
              </w:rPr>
            </w:pPr>
            <w:r>
              <w:rPr>
                <w:rFonts w:ascii="Arial" w:cs="Arial" w:eastAsia="Arial" w:hAnsi="Arial"/>
                <w:sz w:val="13"/>
                <w:szCs w:val="13"/>
                <w:b w:val="1"/>
                <w:bCs w:val="1"/>
                <w:color w:val="auto"/>
              </w:rPr>
              <w:t>Fair Value *</w:t>
            </w:r>
          </w:p>
        </w:tc>
        <w:tc>
          <w:tcPr>
            <w:tcW w:w="1340" w:type="dxa"/>
            <w:vAlign w:val="bottom"/>
          </w:tcPr>
          <w:p>
            <w:pPr>
              <w:jc w:val="right"/>
              <w:ind w:right="256"/>
              <w:spacing w:after="0"/>
              <w:rPr>
                <w:sz w:val="20"/>
                <w:szCs w:val="20"/>
                <w:color w:val="auto"/>
              </w:rPr>
            </w:pPr>
            <w:r>
              <w:rPr>
                <w:rFonts w:ascii="Arial" w:cs="Arial" w:eastAsia="Arial" w:hAnsi="Arial"/>
                <w:sz w:val="13"/>
                <w:szCs w:val="13"/>
                <w:b w:val="1"/>
                <w:bCs w:val="1"/>
                <w:color w:val="auto"/>
              </w:rPr>
              <w:t>(in Shares)</w:t>
            </w: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rPr>
              <w:t>(in Shares)</w:t>
            </w:r>
          </w:p>
        </w:tc>
      </w:tr>
      <w:tr>
        <w:trPr>
          <w:trHeight w:val="41"/>
        </w:trPr>
        <w:tc>
          <w:tcPr>
            <w:tcW w:w="65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15"/>
        </w:trPr>
        <w:tc>
          <w:tcPr>
            <w:tcW w:w="658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2014</w:t>
            </w:r>
          </w:p>
        </w:tc>
        <w:tc>
          <w:tcPr>
            <w:tcW w:w="1700" w:type="dxa"/>
            <w:vAlign w:val="bottom"/>
            <w:shd w:val="clear" w:color="auto" w:fill="E9E9E9"/>
          </w:tcPr>
          <w:p>
            <w:pPr>
              <w:ind w:left="360"/>
              <w:spacing w:after="0"/>
              <w:rPr>
                <w:sz w:val="20"/>
                <w:szCs w:val="20"/>
                <w:color w:val="auto"/>
              </w:rPr>
            </w:pPr>
            <w:r>
              <w:rPr>
                <w:rFonts w:ascii="Arial" w:cs="Arial" w:eastAsia="Arial" w:hAnsi="Arial"/>
                <w:sz w:val="17"/>
                <w:szCs w:val="17"/>
                <w:color w:val="auto"/>
              </w:rPr>
              <w:t>$ 9,800,034</w:t>
            </w:r>
          </w:p>
        </w:tc>
        <w:tc>
          <w:tcPr>
            <w:tcW w:w="1340" w:type="dxa"/>
            <w:vAlign w:val="bottom"/>
            <w:shd w:val="clear" w:color="auto" w:fill="E9E9E9"/>
          </w:tcPr>
          <w:p>
            <w:pPr>
              <w:jc w:val="right"/>
              <w:ind w:right="296"/>
              <w:spacing w:after="0"/>
              <w:rPr>
                <w:sz w:val="20"/>
                <w:szCs w:val="20"/>
                <w:color w:val="auto"/>
              </w:rPr>
            </w:pPr>
            <w:r>
              <w:rPr>
                <w:rFonts w:ascii="Arial" w:cs="Arial" w:eastAsia="Arial" w:hAnsi="Arial"/>
                <w:sz w:val="17"/>
                <w:szCs w:val="17"/>
                <w:color w:val="auto"/>
              </w:rPr>
              <w:t>602,692</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111,137</w:t>
            </w:r>
          </w:p>
        </w:tc>
        <w:tc>
          <w:tcPr>
            <w:tcW w:w="200" w:type="dxa"/>
            <w:vAlign w:val="bottom"/>
            <w:shd w:val="clear" w:color="auto" w:fill="E9E9E9"/>
          </w:tcPr>
          <w:p>
            <w:pPr>
              <w:spacing w:after="0"/>
              <w:rPr>
                <w:sz w:val="18"/>
                <w:szCs w:val="18"/>
                <w:color w:val="auto"/>
              </w:rPr>
            </w:pPr>
          </w:p>
        </w:tc>
      </w:tr>
      <w:tr>
        <w:trPr>
          <w:trHeight w:val="238"/>
        </w:trPr>
        <w:tc>
          <w:tcPr>
            <w:tcW w:w="65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2013</w:t>
            </w:r>
          </w:p>
        </w:tc>
        <w:tc>
          <w:tcPr>
            <w:tcW w:w="1700" w:type="dxa"/>
            <w:vAlign w:val="bottom"/>
            <w:shd w:val="clear" w:color="auto" w:fill="E9E9E9"/>
          </w:tcPr>
          <w:p>
            <w:pPr>
              <w:ind w:left="360"/>
              <w:spacing w:after="0"/>
              <w:rPr>
                <w:sz w:val="20"/>
                <w:szCs w:val="20"/>
                <w:color w:val="auto"/>
              </w:rPr>
            </w:pPr>
            <w:r>
              <w:rPr>
                <w:rFonts w:ascii="Arial" w:cs="Arial" w:eastAsia="Arial" w:hAnsi="Arial"/>
                <w:sz w:val="17"/>
                <w:szCs w:val="17"/>
                <w:color w:val="auto"/>
              </w:rPr>
              <w:t>$ 9,299,374</w:t>
            </w:r>
          </w:p>
        </w:tc>
        <w:tc>
          <w:tcPr>
            <w:tcW w:w="1340" w:type="dxa"/>
            <w:vAlign w:val="bottom"/>
            <w:shd w:val="clear" w:color="auto" w:fill="E9E9E9"/>
          </w:tcPr>
          <w:p>
            <w:pPr>
              <w:jc w:val="right"/>
              <w:ind w:right="296"/>
              <w:spacing w:after="0"/>
              <w:rPr>
                <w:sz w:val="20"/>
                <w:szCs w:val="20"/>
                <w:color w:val="auto"/>
              </w:rPr>
            </w:pPr>
            <w:r>
              <w:rPr>
                <w:rFonts w:ascii="Arial" w:cs="Arial" w:eastAsia="Arial" w:hAnsi="Arial"/>
                <w:sz w:val="17"/>
                <w:szCs w:val="17"/>
                <w:color w:val="auto"/>
              </w:rPr>
              <w:t>525,000</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175,000</w:t>
            </w:r>
          </w:p>
        </w:tc>
        <w:tc>
          <w:tcPr>
            <w:tcW w:w="200" w:type="dxa"/>
            <w:vAlign w:val="bottom"/>
            <w:shd w:val="clear" w:color="auto" w:fill="E9E9E9"/>
          </w:tcPr>
          <w:p>
            <w:pPr>
              <w:spacing w:after="0"/>
              <w:rPr>
                <w:sz w:val="20"/>
                <w:szCs w:val="20"/>
                <w:color w:val="auto"/>
              </w:rPr>
            </w:pPr>
          </w:p>
        </w:tc>
      </w:tr>
      <w:tr>
        <w:trPr>
          <w:trHeight w:val="238"/>
        </w:trPr>
        <w:tc>
          <w:tcPr>
            <w:tcW w:w="65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2012</w:t>
            </w:r>
          </w:p>
        </w:tc>
        <w:tc>
          <w:tcPr>
            <w:tcW w:w="1700" w:type="dxa"/>
            <w:vAlign w:val="bottom"/>
            <w:shd w:val="clear" w:color="auto" w:fill="E9E9E9"/>
          </w:tcPr>
          <w:p>
            <w:pPr>
              <w:ind w:left="360"/>
              <w:spacing w:after="0"/>
              <w:rPr>
                <w:sz w:val="20"/>
                <w:szCs w:val="20"/>
                <w:color w:val="auto"/>
              </w:rPr>
            </w:pPr>
            <w:r>
              <w:rPr>
                <w:rFonts w:ascii="Arial" w:cs="Arial" w:eastAsia="Arial" w:hAnsi="Arial"/>
                <w:sz w:val="17"/>
                <w:szCs w:val="17"/>
                <w:color w:val="auto"/>
              </w:rPr>
              <w:t>$ 9,074,035</w:t>
            </w:r>
          </w:p>
        </w:tc>
        <w:tc>
          <w:tcPr>
            <w:tcW w:w="1340" w:type="dxa"/>
            <w:vAlign w:val="bottom"/>
            <w:shd w:val="clear" w:color="auto" w:fill="E9E9E9"/>
          </w:tcPr>
          <w:p>
            <w:pPr>
              <w:jc w:val="right"/>
              <w:ind w:right="296"/>
              <w:spacing w:after="0"/>
              <w:rPr>
                <w:sz w:val="20"/>
                <w:szCs w:val="20"/>
                <w:color w:val="auto"/>
              </w:rPr>
            </w:pPr>
            <w:r>
              <w:rPr>
                <w:rFonts w:ascii="Arial" w:cs="Arial" w:eastAsia="Arial" w:hAnsi="Arial"/>
                <w:sz w:val="17"/>
                <w:szCs w:val="17"/>
                <w:color w:val="auto"/>
              </w:rPr>
              <w:t>475,000</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158,334</w:t>
            </w:r>
          </w:p>
        </w:tc>
        <w:tc>
          <w:tcPr>
            <w:tcW w:w="200" w:type="dxa"/>
            <w:vAlign w:val="bottom"/>
            <w:shd w:val="clear" w:color="auto" w:fill="E9E9E9"/>
          </w:tcPr>
          <w:p>
            <w:pPr>
              <w:spacing w:after="0"/>
              <w:rPr>
                <w:sz w:val="20"/>
                <w:szCs w:val="20"/>
                <w:color w:val="auto"/>
              </w:rPr>
            </w:pPr>
          </w:p>
        </w:tc>
      </w:tr>
      <w:tr>
        <w:trPr>
          <w:trHeight w:val="254"/>
        </w:trPr>
        <w:tc>
          <w:tcPr>
            <w:tcW w:w="6580" w:type="dxa"/>
            <w:vAlign w:val="bottom"/>
            <w:shd w:val="clear" w:color="auto" w:fill="E9E9E9"/>
          </w:tcPr>
          <w:p>
            <w:pPr>
              <w:spacing w:after="0"/>
              <w:rPr>
                <w:sz w:val="22"/>
                <w:szCs w:val="22"/>
                <w:color w:val="auto"/>
              </w:rPr>
            </w:pPr>
          </w:p>
        </w:tc>
        <w:tc>
          <w:tcPr>
            <w:tcW w:w="660" w:type="dxa"/>
            <w:vAlign w:val="bottom"/>
            <w:shd w:val="clear" w:color="auto" w:fill="E9E9E9"/>
          </w:tcPr>
          <w:p>
            <w:pPr>
              <w:spacing w:after="0"/>
              <w:rPr>
                <w:sz w:val="22"/>
                <w:szCs w:val="22"/>
                <w:color w:val="auto"/>
              </w:rPr>
            </w:pPr>
          </w:p>
        </w:tc>
        <w:tc>
          <w:tcPr>
            <w:tcW w:w="1700" w:type="dxa"/>
            <w:vAlign w:val="bottom"/>
            <w:shd w:val="clear" w:color="auto" w:fill="E9E9E9"/>
          </w:tcPr>
          <w:p>
            <w:pPr>
              <w:spacing w:after="0"/>
              <w:rPr>
                <w:sz w:val="22"/>
                <w:szCs w:val="22"/>
                <w:color w:val="auto"/>
              </w:rPr>
            </w:pPr>
          </w:p>
        </w:tc>
        <w:tc>
          <w:tcPr>
            <w:tcW w:w="1340" w:type="dxa"/>
            <w:vAlign w:val="bottom"/>
            <w:shd w:val="clear" w:color="auto" w:fill="E9E9E9"/>
          </w:tcPr>
          <w:p>
            <w:pPr>
              <w:spacing w:after="0"/>
              <w:rPr>
                <w:sz w:val="22"/>
                <w:szCs w:val="22"/>
                <w:color w:val="auto"/>
              </w:rPr>
            </w:pPr>
          </w:p>
        </w:tc>
        <w:tc>
          <w:tcPr>
            <w:tcW w:w="940" w:type="dxa"/>
            <w:vAlign w:val="bottom"/>
            <w:shd w:val="clear" w:color="auto" w:fill="E9E9E9"/>
          </w:tcPr>
          <w:p>
            <w:pPr>
              <w:spacing w:after="0"/>
              <w:rPr>
                <w:sz w:val="22"/>
                <w:szCs w:val="22"/>
                <w:color w:val="auto"/>
              </w:rPr>
            </w:pPr>
          </w:p>
        </w:tc>
        <w:tc>
          <w:tcPr>
            <w:tcW w:w="200" w:type="dxa"/>
            <w:vAlign w:val="bottom"/>
            <w:shd w:val="clear" w:color="auto" w:fill="E9E9E9"/>
          </w:tcPr>
          <w:p>
            <w:pPr>
              <w:spacing w:after="0"/>
              <w:rPr>
                <w:sz w:val="22"/>
                <w:szCs w:val="22"/>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7"/>
                <w:szCs w:val="17"/>
                <w:color w:val="auto"/>
              </w:rPr>
              <w:t>K. P. March</w:t>
            </w:r>
          </w:p>
        </w:tc>
        <w:tc>
          <w:tcPr>
            <w:tcW w:w="660" w:type="dxa"/>
            <w:vAlign w:val="bottom"/>
          </w:tcPr>
          <w:p>
            <w:pPr>
              <w:jc w:val="right"/>
              <w:spacing w:after="0"/>
              <w:rPr>
                <w:sz w:val="20"/>
                <w:szCs w:val="20"/>
                <w:color w:val="auto"/>
              </w:rPr>
            </w:pPr>
            <w:r>
              <w:rPr>
                <w:rFonts w:ascii="Arial" w:cs="Arial" w:eastAsia="Arial" w:hAnsi="Arial"/>
                <w:sz w:val="17"/>
                <w:szCs w:val="17"/>
                <w:color w:val="auto"/>
              </w:rPr>
              <w:t>2014</w:t>
            </w:r>
          </w:p>
        </w:tc>
        <w:tc>
          <w:tcPr>
            <w:tcW w:w="1700" w:type="dxa"/>
            <w:vAlign w:val="bottom"/>
          </w:tcPr>
          <w:p>
            <w:pPr>
              <w:ind w:left="360"/>
              <w:spacing w:after="0"/>
              <w:rPr>
                <w:sz w:val="20"/>
                <w:szCs w:val="20"/>
                <w:color w:val="auto"/>
              </w:rPr>
            </w:pPr>
            <w:r>
              <w:rPr>
                <w:rFonts w:ascii="Arial" w:cs="Arial" w:eastAsia="Arial" w:hAnsi="Arial"/>
                <w:sz w:val="17"/>
                <w:szCs w:val="17"/>
                <w:color w:val="auto"/>
              </w:rPr>
              <w:t>$ 2,700,039</w:t>
            </w:r>
          </w:p>
        </w:tc>
        <w:tc>
          <w:tcPr>
            <w:tcW w:w="1340" w:type="dxa"/>
            <w:vAlign w:val="bottom"/>
          </w:tcPr>
          <w:p>
            <w:pPr>
              <w:jc w:val="right"/>
              <w:ind w:right="296"/>
              <w:spacing w:after="0"/>
              <w:rPr>
                <w:sz w:val="20"/>
                <w:szCs w:val="20"/>
                <w:color w:val="auto"/>
              </w:rPr>
            </w:pPr>
            <w:r>
              <w:rPr>
                <w:rFonts w:ascii="Arial" w:cs="Arial" w:eastAsia="Arial" w:hAnsi="Arial"/>
                <w:sz w:val="17"/>
                <w:szCs w:val="17"/>
                <w:color w:val="auto"/>
              </w:rPr>
              <w:t>166,048</w:t>
            </w:r>
          </w:p>
        </w:tc>
        <w:tc>
          <w:tcPr>
            <w:tcW w:w="940" w:type="dxa"/>
            <w:vAlign w:val="bottom"/>
          </w:tcPr>
          <w:p>
            <w:pPr>
              <w:jc w:val="right"/>
              <w:spacing w:after="0"/>
              <w:rPr>
                <w:sz w:val="20"/>
                <w:szCs w:val="20"/>
                <w:color w:val="auto"/>
              </w:rPr>
            </w:pPr>
            <w:r>
              <w:rPr>
                <w:rFonts w:ascii="Arial" w:cs="Arial" w:eastAsia="Arial" w:hAnsi="Arial"/>
                <w:sz w:val="17"/>
                <w:szCs w:val="17"/>
                <w:color w:val="auto"/>
              </w:rPr>
              <w:t>30,620</w:t>
            </w:r>
          </w:p>
        </w:tc>
        <w:tc>
          <w:tcPr>
            <w:tcW w:w="200" w:type="dxa"/>
            <w:vAlign w:val="bottom"/>
          </w:tcPr>
          <w:p>
            <w:pPr>
              <w:spacing w:after="0"/>
              <w:rPr>
                <w:sz w:val="19"/>
                <w:szCs w:val="19"/>
                <w:color w:val="auto"/>
              </w:rPr>
            </w:pPr>
          </w:p>
        </w:tc>
      </w:tr>
      <w:tr>
        <w:trPr>
          <w:trHeight w:val="238"/>
        </w:trPr>
        <w:tc>
          <w:tcPr>
            <w:tcW w:w="65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2013</w:t>
            </w:r>
          </w:p>
        </w:tc>
        <w:tc>
          <w:tcPr>
            <w:tcW w:w="1700" w:type="dxa"/>
            <w:vAlign w:val="bottom"/>
          </w:tcPr>
          <w:p>
            <w:pPr>
              <w:ind w:left="360"/>
              <w:spacing w:after="0"/>
              <w:rPr>
                <w:sz w:val="20"/>
                <w:szCs w:val="20"/>
                <w:color w:val="auto"/>
              </w:rPr>
            </w:pPr>
            <w:r>
              <w:rPr>
                <w:rFonts w:ascii="Arial" w:cs="Arial" w:eastAsia="Arial" w:hAnsi="Arial"/>
                <w:sz w:val="17"/>
                <w:szCs w:val="17"/>
                <w:color w:val="auto"/>
              </w:rPr>
              <w:t>$ 2,656,964</w:t>
            </w:r>
          </w:p>
        </w:tc>
        <w:tc>
          <w:tcPr>
            <w:tcW w:w="1340" w:type="dxa"/>
            <w:vAlign w:val="bottom"/>
          </w:tcPr>
          <w:p>
            <w:pPr>
              <w:jc w:val="right"/>
              <w:ind w:right="296"/>
              <w:spacing w:after="0"/>
              <w:rPr>
                <w:sz w:val="20"/>
                <w:szCs w:val="20"/>
                <w:color w:val="auto"/>
              </w:rPr>
            </w:pPr>
            <w:r>
              <w:rPr>
                <w:rFonts w:ascii="Arial" w:cs="Arial" w:eastAsia="Arial" w:hAnsi="Arial"/>
                <w:sz w:val="17"/>
                <w:szCs w:val="17"/>
                <w:color w:val="auto"/>
              </w:rPr>
              <w:t>150,000</w:t>
            </w:r>
          </w:p>
        </w:tc>
        <w:tc>
          <w:tcPr>
            <w:tcW w:w="940" w:type="dxa"/>
            <w:vAlign w:val="bottom"/>
          </w:tcPr>
          <w:p>
            <w:pPr>
              <w:jc w:val="right"/>
              <w:spacing w:after="0"/>
              <w:rPr>
                <w:sz w:val="20"/>
                <w:szCs w:val="20"/>
                <w:color w:val="auto"/>
              </w:rPr>
            </w:pPr>
            <w:r>
              <w:rPr>
                <w:rFonts w:ascii="Arial" w:cs="Arial" w:eastAsia="Arial" w:hAnsi="Arial"/>
                <w:sz w:val="17"/>
                <w:szCs w:val="17"/>
                <w:color w:val="auto"/>
              </w:rPr>
              <w:t>50,000</w:t>
            </w:r>
          </w:p>
        </w:tc>
        <w:tc>
          <w:tcPr>
            <w:tcW w:w="200" w:type="dxa"/>
            <w:vAlign w:val="bottom"/>
          </w:tcPr>
          <w:p>
            <w:pPr>
              <w:spacing w:after="0"/>
              <w:rPr>
                <w:sz w:val="20"/>
                <w:szCs w:val="20"/>
                <w:color w:val="auto"/>
              </w:rPr>
            </w:pPr>
          </w:p>
        </w:tc>
      </w:tr>
      <w:tr>
        <w:trPr>
          <w:trHeight w:val="238"/>
        </w:trPr>
        <w:tc>
          <w:tcPr>
            <w:tcW w:w="65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2012</w:t>
            </w:r>
          </w:p>
        </w:tc>
        <w:tc>
          <w:tcPr>
            <w:tcW w:w="1700" w:type="dxa"/>
            <w:vAlign w:val="bottom"/>
          </w:tcPr>
          <w:p>
            <w:pPr>
              <w:ind w:left="360"/>
              <w:spacing w:after="0"/>
              <w:rPr>
                <w:sz w:val="20"/>
                <w:szCs w:val="20"/>
                <w:color w:val="auto"/>
              </w:rPr>
            </w:pPr>
            <w:r>
              <w:rPr>
                <w:rFonts w:ascii="Arial" w:cs="Arial" w:eastAsia="Arial" w:hAnsi="Arial"/>
                <w:sz w:val="17"/>
                <w:szCs w:val="17"/>
                <w:color w:val="auto"/>
              </w:rPr>
              <w:t>$ 2,865,478</w:t>
            </w:r>
          </w:p>
        </w:tc>
        <w:tc>
          <w:tcPr>
            <w:tcW w:w="1340" w:type="dxa"/>
            <w:vAlign w:val="bottom"/>
          </w:tcPr>
          <w:p>
            <w:pPr>
              <w:jc w:val="right"/>
              <w:ind w:right="296"/>
              <w:spacing w:after="0"/>
              <w:rPr>
                <w:sz w:val="20"/>
                <w:szCs w:val="20"/>
                <w:color w:val="auto"/>
              </w:rPr>
            </w:pPr>
            <w:r>
              <w:rPr>
                <w:rFonts w:ascii="Arial" w:cs="Arial" w:eastAsia="Arial" w:hAnsi="Arial"/>
                <w:sz w:val="17"/>
                <w:szCs w:val="17"/>
                <w:color w:val="auto"/>
              </w:rPr>
              <w:t>150,000</w:t>
            </w:r>
          </w:p>
        </w:tc>
        <w:tc>
          <w:tcPr>
            <w:tcW w:w="940" w:type="dxa"/>
            <w:vAlign w:val="bottom"/>
          </w:tcPr>
          <w:p>
            <w:pPr>
              <w:jc w:val="right"/>
              <w:spacing w:after="0"/>
              <w:rPr>
                <w:sz w:val="20"/>
                <w:szCs w:val="20"/>
                <w:color w:val="auto"/>
              </w:rPr>
            </w:pPr>
            <w:r>
              <w:rPr>
                <w:rFonts w:ascii="Arial" w:cs="Arial" w:eastAsia="Arial" w:hAnsi="Arial"/>
                <w:sz w:val="17"/>
                <w:szCs w:val="17"/>
                <w:color w:val="auto"/>
              </w:rPr>
              <w:t>50,000</w:t>
            </w:r>
          </w:p>
        </w:tc>
        <w:tc>
          <w:tcPr>
            <w:tcW w:w="200" w:type="dxa"/>
            <w:vAlign w:val="bottom"/>
          </w:tcPr>
          <w:p>
            <w:pPr>
              <w:spacing w:after="0"/>
              <w:rPr>
                <w:sz w:val="20"/>
                <w:szCs w:val="20"/>
                <w:color w:val="auto"/>
              </w:rPr>
            </w:pPr>
          </w:p>
        </w:tc>
      </w:tr>
      <w:tr>
        <w:trPr>
          <w:trHeight w:val="254"/>
        </w:trPr>
        <w:tc>
          <w:tcPr>
            <w:tcW w:w="6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22"/>
        </w:trPr>
        <w:tc>
          <w:tcPr>
            <w:tcW w:w="6580" w:type="dxa"/>
            <w:vAlign w:val="bottom"/>
            <w:shd w:val="clear" w:color="auto" w:fill="E9E9E9"/>
          </w:tcPr>
          <w:p>
            <w:pPr>
              <w:spacing w:after="0"/>
              <w:rPr>
                <w:sz w:val="20"/>
                <w:szCs w:val="20"/>
                <w:color w:val="auto"/>
              </w:rPr>
            </w:pPr>
            <w:r>
              <w:rPr>
                <w:rFonts w:ascii="Arial" w:cs="Arial" w:eastAsia="Arial" w:hAnsi="Arial"/>
                <w:sz w:val="17"/>
                <w:szCs w:val="17"/>
                <w:color w:val="auto"/>
              </w:rPr>
              <w:t>B. T. Crutcher</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2014</w:t>
            </w:r>
          </w:p>
        </w:tc>
        <w:tc>
          <w:tcPr>
            <w:tcW w:w="1700" w:type="dxa"/>
            <w:vAlign w:val="bottom"/>
            <w:shd w:val="clear" w:color="auto" w:fill="E9E9E9"/>
          </w:tcPr>
          <w:p>
            <w:pPr>
              <w:ind w:left="360"/>
              <w:spacing w:after="0"/>
              <w:rPr>
                <w:sz w:val="20"/>
                <w:szCs w:val="20"/>
                <w:color w:val="auto"/>
              </w:rPr>
            </w:pPr>
            <w:r>
              <w:rPr>
                <w:rFonts w:ascii="Arial" w:cs="Arial" w:eastAsia="Arial" w:hAnsi="Arial"/>
                <w:sz w:val="17"/>
                <w:szCs w:val="17"/>
                <w:color w:val="auto"/>
              </w:rPr>
              <w:t>$ 4,500,008</w:t>
            </w:r>
          </w:p>
        </w:tc>
        <w:tc>
          <w:tcPr>
            <w:tcW w:w="1340" w:type="dxa"/>
            <w:vAlign w:val="bottom"/>
            <w:shd w:val="clear" w:color="auto" w:fill="E9E9E9"/>
          </w:tcPr>
          <w:p>
            <w:pPr>
              <w:jc w:val="right"/>
              <w:ind w:right="296"/>
              <w:spacing w:after="0"/>
              <w:rPr>
                <w:sz w:val="20"/>
                <w:szCs w:val="20"/>
                <w:color w:val="auto"/>
              </w:rPr>
            </w:pPr>
            <w:r>
              <w:rPr>
                <w:rFonts w:ascii="Arial" w:cs="Arial" w:eastAsia="Arial" w:hAnsi="Arial"/>
                <w:sz w:val="17"/>
                <w:szCs w:val="17"/>
                <w:color w:val="auto"/>
              </w:rPr>
              <w:t>276,747</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51,032</w:t>
            </w:r>
          </w:p>
        </w:tc>
        <w:tc>
          <w:tcPr>
            <w:tcW w:w="200" w:type="dxa"/>
            <w:vAlign w:val="bottom"/>
            <w:shd w:val="clear" w:color="auto" w:fill="E9E9E9"/>
          </w:tcPr>
          <w:p>
            <w:pPr>
              <w:spacing w:after="0"/>
              <w:rPr>
                <w:sz w:val="19"/>
                <w:szCs w:val="19"/>
                <w:color w:val="auto"/>
              </w:rPr>
            </w:pPr>
          </w:p>
        </w:tc>
      </w:tr>
      <w:tr>
        <w:trPr>
          <w:trHeight w:val="238"/>
        </w:trPr>
        <w:tc>
          <w:tcPr>
            <w:tcW w:w="65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2013</w:t>
            </w:r>
          </w:p>
        </w:tc>
        <w:tc>
          <w:tcPr>
            <w:tcW w:w="1700" w:type="dxa"/>
            <w:vAlign w:val="bottom"/>
            <w:shd w:val="clear" w:color="auto" w:fill="E9E9E9"/>
          </w:tcPr>
          <w:p>
            <w:pPr>
              <w:ind w:left="360"/>
              <w:spacing w:after="0"/>
              <w:rPr>
                <w:sz w:val="20"/>
                <w:szCs w:val="20"/>
                <w:color w:val="auto"/>
              </w:rPr>
            </w:pPr>
            <w:r>
              <w:rPr>
                <w:rFonts w:ascii="Arial" w:cs="Arial" w:eastAsia="Arial" w:hAnsi="Arial"/>
                <w:sz w:val="17"/>
                <w:szCs w:val="17"/>
                <w:color w:val="auto"/>
              </w:rPr>
              <w:t>$ 3,985,446</w:t>
            </w:r>
          </w:p>
        </w:tc>
        <w:tc>
          <w:tcPr>
            <w:tcW w:w="1340" w:type="dxa"/>
            <w:vAlign w:val="bottom"/>
            <w:shd w:val="clear" w:color="auto" w:fill="E9E9E9"/>
          </w:tcPr>
          <w:p>
            <w:pPr>
              <w:jc w:val="right"/>
              <w:ind w:right="296"/>
              <w:spacing w:after="0"/>
              <w:rPr>
                <w:sz w:val="20"/>
                <w:szCs w:val="20"/>
                <w:color w:val="auto"/>
              </w:rPr>
            </w:pPr>
            <w:r>
              <w:rPr>
                <w:rFonts w:ascii="Arial" w:cs="Arial" w:eastAsia="Arial" w:hAnsi="Arial"/>
                <w:sz w:val="17"/>
                <w:szCs w:val="17"/>
                <w:color w:val="auto"/>
              </w:rPr>
              <w:t>225,000</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75,000</w:t>
            </w:r>
          </w:p>
        </w:tc>
        <w:tc>
          <w:tcPr>
            <w:tcW w:w="200" w:type="dxa"/>
            <w:vAlign w:val="bottom"/>
            <w:shd w:val="clear" w:color="auto" w:fill="E9E9E9"/>
          </w:tcPr>
          <w:p>
            <w:pPr>
              <w:spacing w:after="0"/>
              <w:rPr>
                <w:sz w:val="20"/>
                <w:szCs w:val="20"/>
                <w:color w:val="auto"/>
              </w:rPr>
            </w:pPr>
          </w:p>
        </w:tc>
      </w:tr>
      <w:tr>
        <w:trPr>
          <w:trHeight w:val="238"/>
        </w:trPr>
        <w:tc>
          <w:tcPr>
            <w:tcW w:w="65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2012</w:t>
            </w:r>
          </w:p>
        </w:tc>
        <w:tc>
          <w:tcPr>
            <w:tcW w:w="1700" w:type="dxa"/>
            <w:vAlign w:val="bottom"/>
            <w:shd w:val="clear" w:color="auto" w:fill="E9E9E9"/>
          </w:tcPr>
          <w:p>
            <w:pPr>
              <w:ind w:left="360"/>
              <w:spacing w:after="0"/>
              <w:rPr>
                <w:sz w:val="20"/>
                <w:szCs w:val="20"/>
                <w:color w:val="auto"/>
              </w:rPr>
            </w:pPr>
            <w:r>
              <w:rPr>
                <w:rFonts w:ascii="Arial" w:cs="Arial" w:eastAsia="Arial" w:hAnsi="Arial"/>
                <w:sz w:val="17"/>
                <w:szCs w:val="17"/>
                <w:color w:val="auto"/>
              </w:rPr>
              <w:t>$ 3,581,848</w:t>
            </w:r>
          </w:p>
        </w:tc>
        <w:tc>
          <w:tcPr>
            <w:tcW w:w="1340" w:type="dxa"/>
            <w:vAlign w:val="bottom"/>
            <w:shd w:val="clear" w:color="auto" w:fill="E9E9E9"/>
          </w:tcPr>
          <w:p>
            <w:pPr>
              <w:jc w:val="right"/>
              <w:ind w:right="296"/>
              <w:spacing w:after="0"/>
              <w:rPr>
                <w:sz w:val="20"/>
                <w:szCs w:val="20"/>
                <w:color w:val="auto"/>
              </w:rPr>
            </w:pPr>
            <w:r>
              <w:rPr>
                <w:rFonts w:ascii="Arial" w:cs="Arial" w:eastAsia="Arial" w:hAnsi="Arial"/>
                <w:sz w:val="17"/>
                <w:szCs w:val="17"/>
                <w:color w:val="auto"/>
              </w:rPr>
              <w:t>187,500</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62,500</w:t>
            </w:r>
          </w:p>
        </w:tc>
        <w:tc>
          <w:tcPr>
            <w:tcW w:w="200" w:type="dxa"/>
            <w:vAlign w:val="bottom"/>
            <w:shd w:val="clear" w:color="auto" w:fill="E9E9E9"/>
          </w:tcPr>
          <w:p>
            <w:pPr>
              <w:spacing w:after="0"/>
              <w:rPr>
                <w:sz w:val="20"/>
                <w:szCs w:val="20"/>
                <w:color w:val="auto"/>
              </w:rPr>
            </w:pPr>
          </w:p>
        </w:tc>
      </w:tr>
      <w:tr>
        <w:trPr>
          <w:trHeight w:val="238"/>
        </w:trPr>
        <w:tc>
          <w:tcPr>
            <w:tcW w:w="6580" w:type="dxa"/>
            <w:vAlign w:val="bottom"/>
            <w:shd w:val="clear" w:color="auto" w:fill="E9E9E9"/>
          </w:tcPr>
          <w:p>
            <w:pPr>
              <w:spacing w:after="0"/>
              <w:rPr>
                <w:sz w:val="20"/>
                <w:szCs w:val="20"/>
                <w:color w:val="auto"/>
              </w:rPr>
            </w:pPr>
          </w:p>
        </w:tc>
        <w:tc>
          <w:tcPr>
            <w:tcW w:w="660" w:type="dxa"/>
            <w:vAlign w:val="bottom"/>
            <w:shd w:val="clear" w:color="auto" w:fill="E9E9E9"/>
          </w:tcPr>
          <w:p>
            <w:pPr>
              <w:spacing w:after="0"/>
              <w:rPr>
                <w:sz w:val="20"/>
                <w:szCs w:val="20"/>
                <w:color w:val="auto"/>
              </w:rPr>
            </w:pPr>
          </w:p>
        </w:tc>
        <w:tc>
          <w:tcPr>
            <w:tcW w:w="1700" w:type="dxa"/>
            <w:vAlign w:val="bottom"/>
            <w:shd w:val="clear" w:color="auto" w:fill="E9E9E9"/>
          </w:tcPr>
          <w:p>
            <w:pPr>
              <w:ind w:left="360"/>
              <w:spacing w:after="0"/>
              <w:rPr>
                <w:sz w:val="20"/>
                <w:szCs w:val="20"/>
                <w:color w:val="auto"/>
              </w:rPr>
            </w:pPr>
            <w:r>
              <w:rPr>
                <w:rFonts w:ascii="Arial" w:cs="Arial" w:eastAsia="Arial" w:hAnsi="Arial"/>
                <w:sz w:val="17"/>
                <w:szCs w:val="17"/>
                <w:color w:val="auto"/>
              </w:rPr>
              <w:t>$ 2,760,000 **</w:t>
            </w:r>
          </w:p>
        </w:tc>
        <w:tc>
          <w:tcPr>
            <w:tcW w:w="1340" w:type="dxa"/>
            <w:vAlign w:val="bottom"/>
            <w:shd w:val="clear" w:color="auto" w:fill="E9E9E9"/>
          </w:tcPr>
          <w:p>
            <w:pPr>
              <w:jc w:val="right"/>
              <w:ind w:right="296"/>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100,000</w:t>
            </w:r>
          </w:p>
        </w:tc>
        <w:tc>
          <w:tcPr>
            <w:tcW w:w="200" w:type="dxa"/>
            <w:vAlign w:val="bottom"/>
            <w:shd w:val="clear" w:color="auto" w:fill="E9E9E9"/>
          </w:tcPr>
          <w:p>
            <w:pPr>
              <w:spacing w:after="0"/>
              <w:rPr>
                <w:sz w:val="20"/>
                <w:szCs w:val="20"/>
                <w:color w:val="auto"/>
              </w:rPr>
            </w:pPr>
            <w:r>
              <w:rPr>
                <w:rFonts w:ascii="Arial" w:cs="Arial" w:eastAsia="Arial" w:hAnsi="Arial"/>
                <w:sz w:val="17"/>
                <w:szCs w:val="17"/>
                <w:color w:val="auto"/>
              </w:rPr>
              <w:t>**</w:t>
            </w:r>
          </w:p>
        </w:tc>
      </w:tr>
      <w:tr>
        <w:trPr>
          <w:trHeight w:val="254"/>
        </w:trPr>
        <w:tc>
          <w:tcPr>
            <w:tcW w:w="6580" w:type="dxa"/>
            <w:vAlign w:val="bottom"/>
            <w:shd w:val="clear" w:color="auto" w:fill="E9E9E9"/>
          </w:tcPr>
          <w:p>
            <w:pPr>
              <w:spacing w:after="0"/>
              <w:rPr>
                <w:sz w:val="22"/>
                <w:szCs w:val="22"/>
                <w:color w:val="auto"/>
              </w:rPr>
            </w:pPr>
          </w:p>
        </w:tc>
        <w:tc>
          <w:tcPr>
            <w:tcW w:w="660" w:type="dxa"/>
            <w:vAlign w:val="bottom"/>
            <w:shd w:val="clear" w:color="auto" w:fill="E9E9E9"/>
          </w:tcPr>
          <w:p>
            <w:pPr>
              <w:spacing w:after="0"/>
              <w:rPr>
                <w:sz w:val="22"/>
                <w:szCs w:val="22"/>
                <w:color w:val="auto"/>
              </w:rPr>
            </w:pPr>
          </w:p>
        </w:tc>
        <w:tc>
          <w:tcPr>
            <w:tcW w:w="1700" w:type="dxa"/>
            <w:vAlign w:val="bottom"/>
            <w:shd w:val="clear" w:color="auto" w:fill="E9E9E9"/>
          </w:tcPr>
          <w:p>
            <w:pPr>
              <w:spacing w:after="0"/>
              <w:rPr>
                <w:sz w:val="22"/>
                <w:szCs w:val="22"/>
                <w:color w:val="auto"/>
              </w:rPr>
            </w:pPr>
          </w:p>
        </w:tc>
        <w:tc>
          <w:tcPr>
            <w:tcW w:w="1340" w:type="dxa"/>
            <w:vAlign w:val="bottom"/>
            <w:shd w:val="clear" w:color="auto" w:fill="E9E9E9"/>
          </w:tcPr>
          <w:p>
            <w:pPr>
              <w:spacing w:after="0"/>
              <w:rPr>
                <w:sz w:val="22"/>
                <w:szCs w:val="22"/>
                <w:color w:val="auto"/>
              </w:rPr>
            </w:pPr>
          </w:p>
        </w:tc>
        <w:tc>
          <w:tcPr>
            <w:tcW w:w="940" w:type="dxa"/>
            <w:vAlign w:val="bottom"/>
            <w:shd w:val="clear" w:color="auto" w:fill="E9E9E9"/>
          </w:tcPr>
          <w:p>
            <w:pPr>
              <w:spacing w:after="0"/>
              <w:rPr>
                <w:sz w:val="22"/>
                <w:szCs w:val="22"/>
                <w:color w:val="auto"/>
              </w:rPr>
            </w:pPr>
          </w:p>
        </w:tc>
        <w:tc>
          <w:tcPr>
            <w:tcW w:w="200" w:type="dxa"/>
            <w:vAlign w:val="bottom"/>
            <w:shd w:val="clear" w:color="auto" w:fill="E9E9E9"/>
          </w:tcPr>
          <w:p>
            <w:pPr>
              <w:spacing w:after="0"/>
              <w:rPr>
                <w:sz w:val="22"/>
                <w:szCs w:val="22"/>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7"/>
                <w:szCs w:val="17"/>
                <w:color w:val="auto"/>
              </w:rPr>
              <w:t>S. A. Anderson</w:t>
            </w:r>
          </w:p>
        </w:tc>
        <w:tc>
          <w:tcPr>
            <w:tcW w:w="660" w:type="dxa"/>
            <w:vAlign w:val="bottom"/>
          </w:tcPr>
          <w:p>
            <w:pPr>
              <w:jc w:val="right"/>
              <w:spacing w:after="0"/>
              <w:rPr>
                <w:sz w:val="20"/>
                <w:szCs w:val="20"/>
                <w:color w:val="auto"/>
              </w:rPr>
            </w:pPr>
            <w:r>
              <w:rPr>
                <w:rFonts w:ascii="Arial" w:cs="Arial" w:eastAsia="Arial" w:hAnsi="Arial"/>
                <w:sz w:val="17"/>
                <w:szCs w:val="17"/>
                <w:color w:val="auto"/>
              </w:rPr>
              <w:t>2014</w:t>
            </w:r>
          </w:p>
        </w:tc>
        <w:tc>
          <w:tcPr>
            <w:tcW w:w="1700" w:type="dxa"/>
            <w:vAlign w:val="bottom"/>
          </w:tcPr>
          <w:p>
            <w:pPr>
              <w:ind w:left="360"/>
              <w:spacing w:after="0"/>
              <w:rPr>
                <w:sz w:val="20"/>
                <w:szCs w:val="20"/>
                <w:color w:val="auto"/>
              </w:rPr>
            </w:pPr>
            <w:r>
              <w:rPr>
                <w:rFonts w:ascii="Arial" w:cs="Arial" w:eastAsia="Arial" w:hAnsi="Arial"/>
                <w:sz w:val="17"/>
                <w:szCs w:val="17"/>
                <w:color w:val="auto"/>
              </w:rPr>
              <w:t>$ 2,700,039</w:t>
            </w:r>
          </w:p>
        </w:tc>
        <w:tc>
          <w:tcPr>
            <w:tcW w:w="1340" w:type="dxa"/>
            <w:vAlign w:val="bottom"/>
          </w:tcPr>
          <w:p>
            <w:pPr>
              <w:jc w:val="right"/>
              <w:ind w:right="296"/>
              <w:spacing w:after="0"/>
              <w:rPr>
                <w:sz w:val="20"/>
                <w:szCs w:val="20"/>
                <w:color w:val="auto"/>
              </w:rPr>
            </w:pPr>
            <w:r>
              <w:rPr>
                <w:rFonts w:ascii="Arial" w:cs="Arial" w:eastAsia="Arial" w:hAnsi="Arial"/>
                <w:sz w:val="17"/>
                <w:szCs w:val="17"/>
                <w:color w:val="auto"/>
              </w:rPr>
              <w:t>166,048</w:t>
            </w:r>
          </w:p>
        </w:tc>
        <w:tc>
          <w:tcPr>
            <w:tcW w:w="940" w:type="dxa"/>
            <w:vAlign w:val="bottom"/>
          </w:tcPr>
          <w:p>
            <w:pPr>
              <w:jc w:val="right"/>
              <w:spacing w:after="0"/>
              <w:rPr>
                <w:sz w:val="20"/>
                <w:szCs w:val="20"/>
                <w:color w:val="auto"/>
              </w:rPr>
            </w:pPr>
            <w:r>
              <w:rPr>
                <w:rFonts w:ascii="Arial" w:cs="Arial" w:eastAsia="Arial" w:hAnsi="Arial"/>
                <w:sz w:val="17"/>
                <w:szCs w:val="17"/>
                <w:color w:val="auto"/>
              </w:rPr>
              <w:t>30,620</w:t>
            </w:r>
          </w:p>
        </w:tc>
        <w:tc>
          <w:tcPr>
            <w:tcW w:w="200" w:type="dxa"/>
            <w:vAlign w:val="bottom"/>
          </w:tcPr>
          <w:p>
            <w:pPr>
              <w:spacing w:after="0"/>
              <w:rPr>
                <w:sz w:val="19"/>
                <w:szCs w:val="19"/>
                <w:color w:val="auto"/>
              </w:rPr>
            </w:pPr>
          </w:p>
        </w:tc>
      </w:tr>
      <w:tr>
        <w:trPr>
          <w:trHeight w:val="238"/>
        </w:trPr>
        <w:tc>
          <w:tcPr>
            <w:tcW w:w="6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00" w:type="dxa"/>
            <w:vAlign w:val="bottom"/>
          </w:tcPr>
          <w:p>
            <w:pPr>
              <w:ind w:left="360"/>
              <w:spacing w:after="0"/>
              <w:rPr>
                <w:sz w:val="20"/>
                <w:szCs w:val="20"/>
                <w:color w:val="auto"/>
              </w:rPr>
            </w:pPr>
            <w:r>
              <w:rPr>
                <w:rFonts w:ascii="Arial" w:cs="Arial" w:eastAsia="Arial" w:hAnsi="Arial"/>
                <w:sz w:val="17"/>
                <w:szCs w:val="17"/>
                <w:color w:val="auto"/>
              </w:rPr>
              <w:t>$ 2,000,003 ***</w:t>
            </w:r>
          </w:p>
        </w:tc>
        <w:tc>
          <w:tcPr>
            <w:tcW w:w="134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41,745</w:t>
            </w:r>
          </w:p>
        </w:tc>
        <w:tc>
          <w:tcPr>
            <w:tcW w:w="200" w:type="dxa"/>
            <w:vAlign w:val="bottom"/>
          </w:tcPr>
          <w:p>
            <w:pPr>
              <w:spacing w:after="0"/>
              <w:rPr>
                <w:sz w:val="20"/>
                <w:szCs w:val="20"/>
                <w:color w:val="auto"/>
              </w:rPr>
            </w:pPr>
            <w:r>
              <w:rPr>
                <w:rFonts w:ascii="Arial" w:cs="Arial" w:eastAsia="Arial" w:hAnsi="Arial"/>
                <w:sz w:val="17"/>
                <w:szCs w:val="17"/>
                <w:color w:val="auto"/>
                <w:w w:val="90"/>
              </w:rPr>
              <w:t>***</w:t>
            </w:r>
          </w:p>
        </w:tc>
      </w:tr>
      <w:tr>
        <w:trPr>
          <w:trHeight w:val="254"/>
        </w:trPr>
        <w:tc>
          <w:tcPr>
            <w:tcW w:w="6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22"/>
        </w:trPr>
        <w:tc>
          <w:tcPr>
            <w:tcW w:w="658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2014</w:t>
            </w:r>
          </w:p>
        </w:tc>
        <w:tc>
          <w:tcPr>
            <w:tcW w:w="1700" w:type="dxa"/>
            <w:vAlign w:val="bottom"/>
            <w:shd w:val="clear" w:color="auto" w:fill="E9E9E9"/>
          </w:tcPr>
          <w:p>
            <w:pPr>
              <w:ind w:left="360"/>
              <w:spacing w:after="0"/>
              <w:rPr>
                <w:sz w:val="20"/>
                <w:szCs w:val="20"/>
                <w:color w:val="auto"/>
              </w:rPr>
            </w:pPr>
            <w:r>
              <w:rPr>
                <w:rFonts w:ascii="Arial" w:cs="Arial" w:eastAsia="Arial" w:hAnsi="Arial"/>
                <w:sz w:val="17"/>
                <w:szCs w:val="17"/>
                <w:color w:val="auto"/>
              </w:rPr>
              <w:t>$ 4,000,015</w:t>
            </w:r>
          </w:p>
        </w:tc>
        <w:tc>
          <w:tcPr>
            <w:tcW w:w="1340" w:type="dxa"/>
            <w:vAlign w:val="bottom"/>
            <w:shd w:val="clear" w:color="auto" w:fill="E9E9E9"/>
          </w:tcPr>
          <w:p>
            <w:pPr>
              <w:jc w:val="right"/>
              <w:ind w:right="296"/>
              <w:spacing w:after="0"/>
              <w:rPr>
                <w:sz w:val="20"/>
                <w:szCs w:val="20"/>
                <w:color w:val="auto"/>
              </w:rPr>
            </w:pPr>
            <w:r>
              <w:rPr>
                <w:rFonts w:ascii="Arial" w:cs="Arial" w:eastAsia="Arial" w:hAnsi="Arial"/>
                <w:sz w:val="17"/>
                <w:szCs w:val="17"/>
                <w:color w:val="auto"/>
              </w:rPr>
              <w:t>245,997</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45,362</w:t>
            </w:r>
          </w:p>
        </w:tc>
        <w:tc>
          <w:tcPr>
            <w:tcW w:w="200" w:type="dxa"/>
            <w:vAlign w:val="bottom"/>
            <w:shd w:val="clear" w:color="auto" w:fill="E9E9E9"/>
          </w:tcPr>
          <w:p>
            <w:pPr>
              <w:spacing w:after="0"/>
              <w:rPr>
                <w:sz w:val="19"/>
                <w:szCs w:val="19"/>
                <w:color w:val="auto"/>
              </w:rPr>
            </w:pPr>
          </w:p>
        </w:tc>
      </w:tr>
      <w:tr>
        <w:trPr>
          <w:trHeight w:val="238"/>
        </w:trPr>
        <w:tc>
          <w:tcPr>
            <w:tcW w:w="65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2013</w:t>
            </w:r>
          </w:p>
        </w:tc>
        <w:tc>
          <w:tcPr>
            <w:tcW w:w="1700" w:type="dxa"/>
            <w:vAlign w:val="bottom"/>
            <w:shd w:val="clear" w:color="auto" w:fill="E9E9E9"/>
          </w:tcPr>
          <w:p>
            <w:pPr>
              <w:ind w:left="360"/>
              <w:spacing w:after="0"/>
              <w:rPr>
                <w:sz w:val="20"/>
                <w:szCs w:val="20"/>
                <w:color w:val="auto"/>
              </w:rPr>
            </w:pPr>
            <w:r>
              <w:rPr>
                <w:rFonts w:ascii="Arial" w:cs="Arial" w:eastAsia="Arial" w:hAnsi="Arial"/>
                <w:sz w:val="17"/>
                <w:szCs w:val="17"/>
                <w:color w:val="auto"/>
              </w:rPr>
              <w:t>$ 3,542,630</w:t>
            </w:r>
          </w:p>
        </w:tc>
        <w:tc>
          <w:tcPr>
            <w:tcW w:w="1340" w:type="dxa"/>
            <w:vAlign w:val="bottom"/>
            <w:shd w:val="clear" w:color="auto" w:fill="E9E9E9"/>
          </w:tcPr>
          <w:p>
            <w:pPr>
              <w:jc w:val="right"/>
              <w:ind w:right="296"/>
              <w:spacing w:after="0"/>
              <w:rPr>
                <w:sz w:val="20"/>
                <w:szCs w:val="20"/>
                <w:color w:val="auto"/>
              </w:rPr>
            </w:pPr>
            <w:r>
              <w:rPr>
                <w:rFonts w:ascii="Arial" w:cs="Arial" w:eastAsia="Arial" w:hAnsi="Arial"/>
                <w:sz w:val="17"/>
                <w:szCs w:val="17"/>
                <w:color w:val="auto"/>
              </w:rPr>
              <w:t>200,000</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66,667</w:t>
            </w:r>
          </w:p>
        </w:tc>
        <w:tc>
          <w:tcPr>
            <w:tcW w:w="200" w:type="dxa"/>
            <w:vAlign w:val="bottom"/>
            <w:shd w:val="clear" w:color="auto" w:fill="E9E9E9"/>
          </w:tcPr>
          <w:p>
            <w:pPr>
              <w:spacing w:after="0"/>
              <w:rPr>
                <w:sz w:val="20"/>
                <w:szCs w:val="20"/>
                <w:color w:val="auto"/>
              </w:rPr>
            </w:pPr>
          </w:p>
        </w:tc>
      </w:tr>
      <w:tr>
        <w:trPr>
          <w:trHeight w:val="254"/>
        </w:trPr>
        <w:tc>
          <w:tcPr>
            <w:tcW w:w="6580" w:type="dxa"/>
            <w:vAlign w:val="bottom"/>
            <w:shd w:val="clear" w:color="auto" w:fill="E9E9E9"/>
          </w:tcPr>
          <w:p>
            <w:pPr>
              <w:spacing w:after="0"/>
              <w:rPr>
                <w:sz w:val="22"/>
                <w:szCs w:val="22"/>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2012</w:t>
            </w:r>
          </w:p>
        </w:tc>
        <w:tc>
          <w:tcPr>
            <w:tcW w:w="1700" w:type="dxa"/>
            <w:vAlign w:val="bottom"/>
            <w:shd w:val="clear" w:color="auto" w:fill="E9E9E9"/>
          </w:tcPr>
          <w:p>
            <w:pPr>
              <w:ind w:left="360"/>
              <w:spacing w:after="0"/>
              <w:rPr>
                <w:sz w:val="20"/>
                <w:szCs w:val="20"/>
                <w:color w:val="auto"/>
              </w:rPr>
            </w:pPr>
            <w:r>
              <w:rPr>
                <w:rFonts w:ascii="Arial" w:cs="Arial" w:eastAsia="Arial" w:hAnsi="Arial"/>
                <w:sz w:val="17"/>
                <w:szCs w:val="17"/>
                <w:color w:val="auto"/>
              </w:rPr>
              <w:t>$ 3,343,079</w:t>
            </w:r>
          </w:p>
        </w:tc>
        <w:tc>
          <w:tcPr>
            <w:tcW w:w="1340" w:type="dxa"/>
            <w:vAlign w:val="bottom"/>
            <w:shd w:val="clear" w:color="auto" w:fill="E9E9E9"/>
          </w:tcPr>
          <w:p>
            <w:pPr>
              <w:jc w:val="right"/>
              <w:ind w:right="296"/>
              <w:spacing w:after="0"/>
              <w:rPr>
                <w:sz w:val="20"/>
                <w:szCs w:val="20"/>
                <w:color w:val="auto"/>
              </w:rPr>
            </w:pPr>
            <w:r>
              <w:rPr>
                <w:rFonts w:ascii="Arial" w:cs="Arial" w:eastAsia="Arial" w:hAnsi="Arial"/>
                <w:sz w:val="17"/>
                <w:szCs w:val="17"/>
                <w:color w:val="auto"/>
              </w:rPr>
              <w:t>175,000</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58,334</w:t>
            </w:r>
          </w:p>
        </w:tc>
        <w:tc>
          <w:tcPr>
            <w:tcW w:w="200" w:type="dxa"/>
            <w:vAlign w:val="bottom"/>
            <w:shd w:val="clear" w:color="auto" w:fill="E9E9E9"/>
          </w:tcPr>
          <w:p>
            <w:pPr>
              <w:spacing w:after="0"/>
              <w:rPr>
                <w:sz w:val="22"/>
                <w:szCs w:val="22"/>
                <w:color w:val="auto"/>
              </w:rPr>
            </w:pPr>
          </w:p>
        </w:tc>
      </w:tr>
    </w:tbl>
    <w:p>
      <w:pPr>
        <w:spacing w:after="0" w:line="241" w:lineRule="exact"/>
        <w:rPr>
          <w:sz w:val="20"/>
          <w:szCs w:val="20"/>
          <w:color w:val="auto"/>
        </w:rPr>
      </w:pPr>
    </w:p>
    <w:p>
      <w:pPr>
        <w:ind w:right="1360" w:firstLine="6"/>
        <w:spacing w:after="0" w:line="535" w:lineRule="auto"/>
        <w:tabs>
          <w:tab w:leader="none" w:pos="449"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See notes 2 and 3 to the summary compensation table on page 98 for information on how grant date fair value was calculated. ** Retention grant made in June 2012, when Mr. Crutcher assumed new responsibilities.</w:t>
      </w:r>
    </w:p>
    <w:p>
      <w:pPr>
        <w:spacing w:after="0"/>
        <w:rPr>
          <w:rFonts w:ascii="Arial" w:cs="Arial" w:eastAsia="Arial" w:hAnsi="Arial"/>
          <w:sz w:val="17"/>
          <w:szCs w:val="17"/>
          <w:color w:val="auto"/>
        </w:rPr>
      </w:pPr>
      <w:r>
        <w:rPr>
          <w:rFonts w:ascii="Arial" w:cs="Arial" w:eastAsia="Arial" w:hAnsi="Arial"/>
          <w:sz w:val="17"/>
          <w:szCs w:val="17"/>
          <w:color w:val="auto"/>
        </w:rPr>
        <w:t>***   Retention grant made in June 2014, when Mr. Anderson assumed new responsibilities.</w:t>
      </w:r>
    </w:p>
    <w:p>
      <w:pPr>
        <w:spacing w:after="0" w:line="214" w:lineRule="exact"/>
        <w:rPr>
          <w:sz w:val="20"/>
          <w:szCs w:val="20"/>
          <w:color w:val="auto"/>
        </w:rPr>
      </w:pPr>
    </w:p>
    <w:p>
      <w:pPr>
        <w:ind w:right="80"/>
        <w:spacing w:after="0" w:line="215" w:lineRule="auto"/>
        <w:rPr>
          <w:sz w:val="20"/>
          <w:szCs w:val="20"/>
          <w:color w:val="auto"/>
        </w:rPr>
      </w:pPr>
      <w:r>
        <w:rPr>
          <w:rFonts w:ascii="Arial" w:cs="Arial" w:eastAsia="Arial" w:hAnsi="Arial"/>
          <w:sz w:val="17"/>
          <w:szCs w:val="17"/>
          <w:color w:val="auto"/>
        </w:rPr>
        <w:t>In January 2014, the committee awarded equity compensation to each of the named executive officers. The committee’s objective was to award to those officers equity compensation that had a grant date fair value at approximately the median market level, in this case the 40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to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of the 3-year average of equity compensation (including an estimate of amounts for 2014) granted by the Comparator Group.</w:t>
      </w:r>
    </w:p>
    <w:p>
      <w:pPr>
        <w:spacing w:after="0" w:line="207"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In assessing the market level, the committee considered information presented by TI’s Compensation and Benefits organization (prepared using data provided by the committee’s compensation consultant) on the estimated value of the awards expected to be granted by the Comparator Group to similarly situated executives. The award value was estimated using the same methodology used for financial accounting.</w:t>
      </w:r>
    </w:p>
    <w:p>
      <w:pPr>
        <w:spacing w:after="0" w:line="198"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For each officer, the committee set the desired grant value. The committee decided to allocate the value equally between restricted stock units and options for each officer, to give equal emphasis to promoting retention, motivating the executive and aligning his interests with those of shareholders.</w:t>
      </w:r>
    </w:p>
    <w:p>
      <w:pPr>
        <w:spacing w:after="0" w:line="202" w:lineRule="exact"/>
        <w:rPr>
          <w:sz w:val="20"/>
          <w:szCs w:val="20"/>
          <w:color w:val="auto"/>
        </w:rPr>
      </w:pPr>
    </w:p>
    <w:p>
      <w:pPr>
        <w:spacing w:after="0"/>
        <w:tabs>
          <w:tab w:leader="none" w:pos="4100" w:val="left"/>
        </w:tabs>
        <w:rPr>
          <w:sz w:val="20"/>
          <w:szCs w:val="20"/>
          <w:color w:val="auto"/>
        </w:rPr>
      </w:pPr>
      <w:r>
        <w:rPr>
          <w:rFonts w:ascii="Arial" w:cs="Arial" w:eastAsia="Arial" w:hAnsi="Arial"/>
          <w:sz w:val="13"/>
          <w:szCs w:val="13"/>
          <w:color w:val="838383"/>
        </w:rPr>
        <w:t>90</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sectPr>
      </w:pPr>
    </w:p>
    <w:bookmarkStart w:id="21" w:name="page22"/>
    <w:bookmarkEnd w:id="21"/>
    <w:p>
      <w:pPr>
        <w:ind w:right="40"/>
        <w:spacing w:after="0" w:line="249" w:lineRule="auto"/>
        <w:rPr>
          <w:sz w:val="20"/>
          <w:szCs w:val="20"/>
          <w:color w:val="auto"/>
        </w:rPr>
      </w:pPr>
      <w:r>
        <w:rPr>
          <w:rFonts w:ascii="Arial" w:cs="Arial" w:eastAsia="Arial" w:hAnsi="Arial"/>
          <w:sz w:val="17"/>
          <w:szCs w:val="17"/>
          <w:color w:val="auto"/>
        </w:rPr>
        <w:t>Before approving the grants, the committee reviewed the amount of unvested equity compensation held by the officers to assess its retention value. In making this assessment, the committee used its judgment and did not apply any formula, threshold or maximum. This review did not result in an increase or decrease of the awards.</w:t>
      </w:r>
    </w:p>
    <w:p>
      <w:pPr>
        <w:spacing w:after="0" w:line="198"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The exercise price of the options was the closing price of TI stock on January 23, 2014, the second trading day after the company released its annual and fourth quarter financial results for 2013. All grants were made under the Texas Instruments 2009 Long-Term Incentive Plan, which shareholders approved in April 2009.</w:t>
      </w:r>
    </w:p>
    <w:p>
      <w:pPr>
        <w:spacing w:after="0" w:line="198"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In addition to the January 2014 awards described above, the committee awarded restricted stock units to Mr. Anderson as he assumed new and broader responsibilities in June 2014. The award was intended to increase the retention value of his outstanding equity compensation. In setting the value, the committee applied its judgment following a review of the current retention value.</w:t>
      </w:r>
    </w:p>
    <w:p>
      <w:pPr>
        <w:spacing w:after="0" w:line="198"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All grants have the terms described on pages 102-103. The differences in the equity awards between the named executive officers were primarily the result of differences in the applicable estimated market level of equity compensation for their positions, and not the application of any formula designed to maintain differentials between the officers.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Bonus</w:t>
      </w:r>
    </w:p>
    <w:p>
      <w:pPr>
        <w:spacing w:after="0" w:line="21"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In January 2015, the committee set the 2014 bonus compensation for executive officers based on its assessment of 2014 performance. In setting the bonuses, the committee used the following performance measures to assess the company:</w:t>
      </w:r>
    </w:p>
    <w:p>
      <w:pPr>
        <w:spacing w:after="0" w:line="192" w:lineRule="exact"/>
        <w:rPr>
          <w:sz w:val="20"/>
          <w:szCs w:val="20"/>
          <w:color w:val="auto"/>
        </w:rPr>
      </w:pPr>
    </w:p>
    <w:p>
      <w:pPr>
        <w:ind w:left="520" w:hanging="250"/>
        <w:spacing w:after="0"/>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u w:val="single" w:color="auto"/>
          <w:color w:val="auto"/>
        </w:rPr>
        <w:t>relative</w:t>
      </w:r>
      <w:r>
        <w:rPr>
          <w:rFonts w:ascii="Arial" w:cs="Arial" w:eastAsia="Arial" w:hAnsi="Arial"/>
          <w:sz w:val="17"/>
          <w:szCs w:val="17"/>
          <w:color w:val="auto"/>
        </w:rPr>
        <w:t xml:space="preserve"> one-year and three-year performance of TI as compared with competitor companies, as measured by</w:t>
      </w:r>
    </w:p>
    <w:p>
      <w:pPr>
        <w:spacing w:after="0" w:line="15" w:lineRule="exact"/>
        <w:rPr>
          <w:rFonts w:ascii="Arial" w:cs="Arial" w:eastAsia="Arial" w:hAnsi="Arial"/>
          <w:sz w:val="17"/>
          <w:szCs w:val="17"/>
          <w:color w:val="auto"/>
        </w:rPr>
      </w:pPr>
    </w:p>
    <w:p>
      <w:pPr>
        <w:ind w:left="780" w:hanging="259"/>
        <w:spacing w:after="0"/>
        <w:tabs>
          <w:tab w:leader="none" w:pos="7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revenue growth,</w:t>
      </w:r>
    </w:p>
    <w:p>
      <w:pPr>
        <w:spacing w:after="0" w:line="42" w:lineRule="exact"/>
        <w:rPr>
          <w:rFonts w:ascii="Arial" w:cs="Arial" w:eastAsia="Arial" w:hAnsi="Arial"/>
          <w:sz w:val="17"/>
          <w:szCs w:val="17"/>
          <w:color w:val="auto"/>
        </w:rPr>
      </w:pPr>
    </w:p>
    <w:p>
      <w:pPr>
        <w:ind w:left="780" w:hanging="259"/>
        <w:spacing w:after="0"/>
        <w:tabs>
          <w:tab w:leader="none" w:pos="7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operating profit as a percentage of revenue,</w:t>
      </w:r>
    </w:p>
    <w:p>
      <w:pPr>
        <w:spacing w:after="0" w:line="42" w:lineRule="exact"/>
        <w:rPr>
          <w:rFonts w:ascii="Arial" w:cs="Arial" w:eastAsia="Arial" w:hAnsi="Arial"/>
          <w:sz w:val="17"/>
          <w:szCs w:val="17"/>
          <w:color w:val="auto"/>
        </w:rPr>
      </w:pPr>
    </w:p>
    <w:p>
      <w:pPr>
        <w:ind w:left="780" w:hanging="259"/>
        <w:spacing w:after="0"/>
        <w:tabs>
          <w:tab w:leader="none" w:pos="7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total shareholder return; and</w:t>
      </w:r>
    </w:p>
    <w:p>
      <w:pPr>
        <w:spacing w:after="0" w:line="42" w:lineRule="exact"/>
        <w:rPr>
          <w:rFonts w:ascii="Arial" w:cs="Arial" w:eastAsia="Arial" w:hAnsi="Arial"/>
          <w:sz w:val="17"/>
          <w:szCs w:val="17"/>
          <w:color w:val="auto"/>
        </w:rPr>
      </w:pPr>
    </w:p>
    <w:p>
      <w:pPr>
        <w:ind w:left="520" w:hanging="250"/>
        <w:spacing w:after="0"/>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u w:val="single" w:color="auto"/>
          <w:color w:val="auto"/>
        </w:rPr>
        <w:t>absolute</w:t>
      </w:r>
      <w:r>
        <w:rPr>
          <w:rFonts w:ascii="Arial" w:cs="Arial" w:eastAsia="Arial" w:hAnsi="Arial"/>
          <w:sz w:val="17"/>
          <w:szCs w:val="17"/>
          <w:color w:val="auto"/>
        </w:rPr>
        <w:t xml:space="preserve"> one-year and three-year performance of TI on the above measures.</w:t>
      </w:r>
    </w:p>
    <w:p>
      <w:pPr>
        <w:spacing w:after="0" w:line="227" w:lineRule="exact"/>
        <w:rPr>
          <w:sz w:val="20"/>
          <w:szCs w:val="20"/>
          <w:color w:val="auto"/>
        </w:rPr>
      </w:pPr>
    </w:p>
    <w:p>
      <w:pPr>
        <w:ind w:right="800"/>
        <w:spacing w:after="0" w:line="255" w:lineRule="auto"/>
        <w:rPr>
          <w:sz w:val="20"/>
          <w:szCs w:val="20"/>
          <w:color w:val="auto"/>
        </w:rPr>
      </w:pPr>
      <w:r>
        <w:rPr>
          <w:rFonts w:ascii="Arial" w:cs="Arial" w:eastAsia="Arial" w:hAnsi="Arial"/>
          <w:sz w:val="17"/>
          <w:szCs w:val="17"/>
          <w:color w:val="auto"/>
        </w:rPr>
        <w:t>In addition, the committee considered our strategic progress by reviewing how competitive we are in key markets with our core products and technologies, as well as the strength of our relationships with customers.</w:t>
      </w:r>
    </w:p>
    <w:p>
      <w:pPr>
        <w:spacing w:after="0" w:line="192" w:lineRule="exact"/>
        <w:rPr>
          <w:sz w:val="20"/>
          <w:szCs w:val="20"/>
          <w:color w:val="auto"/>
        </w:rPr>
      </w:pPr>
    </w:p>
    <w:p>
      <w:pPr>
        <w:ind w:right="320"/>
        <w:spacing w:after="0" w:line="245" w:lineRule="auto"/>
        <w:rPr>
          <w:sz w:val="20"/>
          <w:szCs w:val="20"/>
          <w:color w:val="auto"/>
        </w:rPr>
      </w:pPr>
      <w:r>
        <w:rPr>
          <w:rFonts w:ascii="Arial" w:cs="Arial" w:eastAsia="Arial" w:hAnsi="Arial"/>
          <w:sz w:val="17"/>
          <w:szCs w:val="17"/>
          <w:color w:val="auto"/>
        </w:rPr>
        <w:t>One-year relative performance on the three measures and one-year strategic progress were the primary considerations in the committee’s assessment of the company’s 2014 performance. In assessing performance, the committee did not use formulas, thresholds or multiples. Because market conditions can quickly change in our industry, thresholds established at the beginning of a year could prove irrelevant by year-end. The committee believes its approach, which assesses the company’s relative performance in hindsight after year-end, gives it the insight to most effectively and critically judge results and encourages executives to pursue strategies that serve the long-term interests of the company and its shareholders.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In the comparison of relative performance, the committee used the following companies (the “competitor companies”):</w:t>
      </w:r>
      <w:r>
        <w:rPr>
          <w:rFonts w:ascii="Arial" w:cs="Arial" w:eastAsia="Arial" w:hAnsi="Arial"/>
          <w:sz w:val="28"/>
          <w:szCs w:val="28"/>
          <w:color w:val="auto"/>
          <w:vertAlign w:val="superscript"/>
        </w:rPr>
        <w:t>2</w:t>
      </w:r>
    </w:p>
    <w:p>
      <w:pPr>
        <w:sectPr>
          <w:pgSz w:w="11900" w:h="16838" w:orient="portrait"/>
          <w:cols w:equalWidth="0" w:num="1">
            <w:col w:w="11440"/>
          </w:cols>
          <w:pgMar w:left="240" w:top="592" w:right="219" w:bottom="1440" w:gutter="0" w:footer="0" w:header="0"/>
        </w:sectPr>
      </w:pP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Advanced Micro Devices, Inc.</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center"/>
        <w:ind w:right="2980"/>
        <w:spacing w:after="0"/>
        <w:rPr>
          <w:sz w:val="20"/>
          <w:szCs w:val="20"/>
          <w:color w:val="auto"/>
        </w:rPr>
      </w:pPr>
      <w:r>
        <w:rPr>
          <w:rFonts w:ascii="Arial" w:cs="Arial" w:eastAsia="Arial" w:hAnsi="Arial"/>
          <w:sz w:val="16"/>
          <w:szCs w:val="16"/>
          <w:color w:val="auto"/>
        </w:rPr>
        <w:t>Linear Technology Corporation</w:t>
      </w:r>
    </w:p>
    <w:p>
      <w:pPr>
        <w:spacing w:after="0" w:line="53" w:lineRule="exact"/>
        <w:rPr>
          <w:sz w:val="20"/>
          <w:szCs w:val="20"/>
          <w:color w:val="auto"/>
        </w:rPr>
      </w:pPr>
    </w:p>
    <w:p>
      <w:pPr>
        <w:sectPr>
          <w:pgSz w:w="11900" w:h="16838" w:orient="portrait"/>
          <w:cols w:equalWidth="0" w:num="2">
            <w:col w:w="5420" w:space="720"/>
            <w:col w:w="5300"/>
          </w:cols>
          <w:pgMar w:left="240" w:top="592" w:right="21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Altera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Marvell Technology Group Ltd.</w:t>
      </w:r>
    </w:p>
    <w:p>
      <w:pPr>
        <w:spacing w:after="0" w:line="53" w:lineRule="exact"/>
        <w:rPr>
          <w:sz w:val="20"/>
          <w:szCs w:val="20"/>
          <w:color w:val="auto"/>
        </w:rPr>
      </w:pPr>
    </w:p>
    <w:p>
      <w:pPr>
        <w:sectPr>
          <w:pgSz w:w="11900" w:h="16838" w:orient="portrait"/>
          <w:cols w:equalWidth="0" w:num="2">
            <w:col w:w="5420" w:space="720"/>
            <w:col w:w="5300"/>
          </w:cols>
          <w:pgMar w:left="240" w:top="592" w:right="21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Analog Devices,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Maxim Integrated Products, Inc.</w:t>
      </w:r>
    </w:p>
    <w:p>
      <w:pPr>
        <w:spacing w:after="0" w:line="42" w:lineRule="exact"/>
        <w:rPr>
          <w:sz w:val="20"/>
          <w:szCs w:val="20"/>
          <w:color w:val="auto"/>
        </w:rPr>
      </w:pPr>
    </w:p>
    <w:p>
      <w:pPr>
        <w:sectPr>
          <w:pgSz w:w="11900" w:h="16838" w:orient="portrait"/>
          <w:cols w:equalWidth="0" w:num="2">
            <w:col w:w="5420" w:space="720"/>
            <w:col w:w="5300"/>
          </w:cols>
          <w:pgMar w:left="240" w:top="592" w:right="21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Atmel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Microchip Technology Incorporated</w:t>
      </w:r>
    </w:p>
    <w:p>
      <w:pPr>
        <w:spacing w:after="0" w:line="42" w:lineRule="exact"/>
        <w:rPr>
          <w:sz w:val="20"/>
          <w:szCs w:val="20"/>
          <w:color w:val="auto"/>
        </w:rPr>
      </w:pPr>
    </w:p>
    <w:p>
      <w:pPr>
        <w:sectPr>
          <w:pgSz w:w="11900" w:h="16838" w:orient="portrait"/>
          <w:cols w:equalWidth="0" w:num="2">
            <w:col w:w="5420" w:space="720"/>
            <w:col w:w="5300"/>
          </w:cols>
          <w:pgMar w:left="240" w:top="592" w:right="21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Broadcom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NVIDIA Corporation</w:t>
      </w:r>
    </w:p>
    <w:p>
      <w:pPr>
        <w:spacing w:after="0" w:line="53" w:lineRule="exact"/>
        <w:rPr>
          <w:sz w:val="20"/>
          <w:szCs w:val="20"/>
          <w:color w:val="auto"/>
        </w:rPr>
      </w:pPr>
    </w:p>
    <w:p>
      <w:pPr>
        <w:sectPr>
          <w:pgSz w:w="11900" w:h="16838" w:orient="portrait"/>
          <w:cols w:equalWidth="0" w:num="2">
            <w:col w:w="5420" w:space="720"/>
            <w:col w:w="5300"/>
          </w:cols>
          <w:pgMar w:left="240" w:top="592" w:right="21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Fairchild Semiconductor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NXP Semiconductors N.V.</w:t>
      </w:r>
    </w:p>
    <w:p>
      <w:pPr>
        <w:spacing w:after="0" w:line="53" w:lineRule="exact"/>
        <w:rPr>
          <w:sz w:val="20"/>
          <w:szCs w:val="20"/>
          <w:color w:val="auto"/>
        </w:rPr>
      </w:pPr>
    </w:p>
    <w:p>
      <w:pPr>
        <w:sectPr>
          <w:pgSz w:w="11900" w:h="16838" w:orient="portrait"/>
          <w:cols w:equalWidth="0" w:num="2">
            <w:col w:w="5420" w:space="720"/>
            <w:col w:w="5300"/>
          </w:cols>
          <w:pgMar w:left="240" w:top="592" w:right="21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Freescale Semiconductor, Ltd.</w:t>
      </w:r>
    </w:p>
    <w:p>
      <w:pPr>
        <w:spacing w:after="0" w:line="20" w:lineRule="exact"/>
        <w:rPr>
          <w:sz w:val="20"/>
          <w:szCs w:val="20"/>
          <w:color w:val="auto"/>
        </w:rPr>
      </w:pPr>
      <w:r>
        <w:rPr>
          <w:sz w:val="20"/>
          <w:szCs w:val="20"/>
          <w:color w:val="auto"/>
        </w:rPr>
        <w:br w:type="column"/>
      </w:r>
    </w:p>
    <w:p>
      <w:pPr>
        <w:jc w:val="center"/>
        <w:ind w:right="2920"/>
        <w:spacing w:after="0"/>
        <w:rPr>
          <w:sz w:val="20"/>
          <w:szCs w:val="20"/>
          <w:color w:val="auto"/>
        </w:rPr>
      </w:pPr>
      <w:r>
        <w:rPr>
          <w:rFonts w:ascii="Arial" w:cs="Arial" w:eastAsia="Arial" w:hAnsi="Arial"/>
          <w:sz w:val="17"/>
          <w:szCs w:val="17"/>
          <w:color w:val="auto"/>
        </w:rPr>
        <w:t>ON Semiconductor Corporation</w:t>
      </w:r>
    </w:p>
    <w:p>
      <w:pPr>
        <w:spacing w:after="0" w:line="42" w:lineRule="exact"/>
        <w:rPr>
          <w:sz w:val="20"/>
          <w:szCs w:val="20"/>
          <w:color w:val="auto"/>
        </w:rPr>
      </w:pPr>
    </w:p>
    <w:p>
      <w:pPr>
        <w:sectPr>
          <w:pgSz w:w="11900" w:h="16838" w:orient="portrait"/>
          <w:cols w:equalWidth="0" w:num="2">
            <w:col w:w="5420" w:space="720"/>
            <w:col w:w="5300"/>
          </w:cols>
          <w:pgMar w:left="240" w:top="592" w:right="21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Infineon Technologies AG</w:t>
      </w:r>
    </w:p>
    <w:p>
      <w:pPr>
        <w:spacing w:after="0" w:line="20" w:lineRule="exact"/>
        <w:rPr>
          <w:sz w:val="20"/>
          <w:szCs w:val="20"/>
          <w:color w:val="auto"/>
        </w:rPr>
      </w:pPr>
      <w:r>
        <w:rPr>
          <w:sz w:val="20"/>
          <w:szCs w:val="20"/>
          <w:color w:val="auto"/>
        </w:rPr>
        <w:br w:type="column"/>
      </w:r>
    </w:p>
    <w:p>
      <w:pPr>
        <w:jc w:val="center"/>
        <w:ind w:right="3280"/>
        <w:spacing w:after="0"/>
        <w:rPr>
          <w:sz w:val="20"/>
          <w:szCs w:val="20"/>
          <w:color w:val="auto"/>
        </w:rPr>
      </w:pPr>
      <w:r>
        <w:rPr>
          <w:rFonts w:ascii="Arial" w:cs="Arial" w:eastAsia="Arial" w:hAnsi="Arial"/>
          <w:sz w:val="17"/>
          <w:szCs w:val="17"/>
          <w:color w:val="auto"/>
        </w:rPr>
        <w:t>QUALCOMM Incorporated</w:t>
      </w:r>
    </w:p>
    <w:p>
      <w:pPr>
        <w:spacing w:after="0" w:line="42" w:lineRule="exact"/>
        <w:rPr>
          <w:sz w:val="20"/>
          <w:szCs w:val="20"/>
          <w:color w:val="auto"/>
        </w:rPr>
      </w:pPr>
    </w:p>
    <w:p>
      <w:pPr>
        <w:sectPr>
          <w:pgSz w:w="11900" w:h="16838" w:orient="portrait"/>
          <w:cols w:equalWidth="0" w:num="2">
            <w:col w:w="5420" w:space="720"/>
            <w:col w:w="5300"/>
          </w:cols>
          <w:pgMar w:left="240" w:top="592" w:right="21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Intel Corporation</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Arial" w:cs="Arial" w:eastAsia="Arial" w:hAnsi="Arial"/>
          <w:sz w:val="16"/>
          <w:szCs w:val="16"/>
          <w:color w:val="auto"/>
        </w:rPr>
        <w:t>STMicroelectronics N.V.</w:t>
      </w:r>
    </w:p>
    <w:p>
      <w:pPr>
        <w:spacing w:after="0" w:line="53" w:lineRule="exact"/>
        <w:rPr>
          <w:sz w:val="20"/>
          <w:szCs w:val="20"/>
          <w:color w:val="auto"/>
        </w:rPr>
      </w:pPr>
    </w:p>
    <w:p>
      <w:pPr>
        <w:sectPr>
          <w:pgSz w:w="11900" w:h="16838" w:orient="portrait"/>
          <w:cols w:equalWidth="0" w:num="2">
            <w:col w:w="5420" w:space="720"/>
            <w:col w:w="5300"/>
          </w:cols>
          <w:pgMar w:left="240" w:top="592" w:right="21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Intersil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Xilinx, Inc.</w:t>
      </w:r>
    </w:p>
    <w:p>
      <w:pPr>
        <w:spacing w:after="0" w:line="200" w:lineRule="exact"/>
        <w:rPr>
          <w:sz w:val="20"/>
          <w:szCs w:val="20"/>
          <w:color w:val="auto"/>
        </w:rPr>
      </w:pPr>
    </w:p>
    <w:p>
      <w:pPr>
        <w:sectPr>
          <w:pgSz w:w="11900" w:h="16838" w:orient="portrait"/>
          <w:cols w:equalWidth="0" w:num="2">
            <w:col w:w="5420" w:space="720"/>
            <w:col w:w="5300"/>
          </w:cols>
          <w:pgMar w:left="240" w:top="592" w:right="219" w:bottom="1440" w:gutter="0" w:footer="0" w:header="0"/>
          <w:type w:val="continuous"/>
        </w:sectPr>
      </w:pPr>
    </w:p>
    <w:p>
      <w:pPr>
        <w:spacing w:after="0" w:line="67"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This list includes both broad-based and niche suppliers that operate in our key markets or offer technology that competes with our products. The committee considers annually whether the list is still appropriate in terms of revenue, market capitalization and changes in business activities of the companies. In July 2014, the committee removed LSI Corporation from the list following its acquisition by another company. The committee made no other change to the list of competitor companies in 2014.</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241" w:lineRule="exact"/>
        <w:rPr>
          <w:sz w:val="20"/>
          <w:szCs w:val="20"/>
          <w:color w:val="auto"/>
        </w:rPr>
      </w:pPr>
    </w:p>
    <w:p>
      <w:pPr>
        <w:ind w:left="340" w:right="760" w:hanging="334"/>
        <w:spacing w:after="0" w:line="255"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the extent the companies had not released financial results for the year or most recent quarter, the committee based its evaluation on estimates and projections of the companies’ financial results for 2014.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300" w:type="dxa"/>
            <w:vAlign w:val="bottom"/>
          </w:tcPr>
          <w:p>
            <w:pPr>
              <w:ind w:left="4120"/>
              <w:spacing w:after="0"/>
              <w:rPr>
                <w:sz w:val="20"/>
                <w:szCs w:val="20"/>
                <w:color w:val="auto"/>
              </w:rPr>
            </w:pPr>
            <w:r>
              <w:rPr>
                <w:rFonts w:ascii="Arial" w:cs="Arial" w:eastAsia="Arial" w:hAnsi="Arial"/>
                <w:sz w:val="13"/>
                <w:szCs w:val="13"/>
                <w:color w:val="838383"/>
              </w:rPr>
              <w:t>TEXAS INSTRUMENTS ● 2015 PROXY STATEMENT</w:t>
            </w:r>
          </w:p>
        </w:tc>
        <w:tc>
          <w:tcPr>
            <w:tcW w:w="2140" w:type="dxa"/>
            <w:vAlign w:val="bottom"/>
          </w:tcPr>
          <w:p>
            <w:pPr>
              <w:jc w:val="right"/>
              <w:spacing w:after="0"/>
              <w:rPr>
                <w:sz w:val="20"/>
                <w:szCs w:val="20"/>
                <w:color w:val="auto"/>
              </w:rPr>
            </w:pPr>
            <w:r>
              <w:rPr>
                <w:rFonts w:ascii="Arial" w:cs="Arial" w:eastAsia="Arial" w:hAnsi="Arial"/>
                <w:sz w:val="13"/>
                <w:szCs w:val="13"/>
                <w:color w:val="838383"/>
              </w:rPr>
              <w:t>91</w:t>
            </w:r>
          </w:p>
        </w:tc>
      </w:tr>
      <w:tr>
        <w:trPr>
          <w:trHeight w:val="355"/>
        </w:trPr>
        <w:tc>
          <w:tcPr>
            <w:tcW w:w="930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92" w:right="21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7"/>
          <w:szCs w:val="17"/>
          <w:i w:val="1"/>
          <w:iCs w:val="1"/>
          <w:u w:val="single" w:color="auto"/>
          <w:color w:val="auto"/>
        </w:rPr>
        <w:t>Assessment of 2014 performance</w:t>
      </w:r>
    </w:p>
    <w:p>
      <w:pPr>
        <w:spacing w:after="0" w:line="232" w:lineRule="exact"/>
        <w:rPr>
          <w:sz w:val="20"/>
          <w:szCs w:val="20"/>
          <w:color w:val="auto"/>
        </w:rPr>
      </w:pPr>
    </w:p>
    <w:p>
      <w:pPr>
        <w:jc w:val="both"/>
        <w:ind w:left="280" w:right="160"/>
        <w:spacing w:after="0" w:line="243" w:lineRule="auto"/>
        <w:rPr>
          <w:sz w:val="20"/>
          <w:szCs w:val="20"/>
          <w:color w:val="auto"/>
        </w:rPr>
      </w:pPr>
      <w:r>
        <w:rPr>
          <w:rFonts w:ascii="Arial" w:cs="Arial" w:eastAsia="Arial" w:hAnsi="Arial"/>
          <w:sz w:val="17"/>
          <w:szCs w:val="17"/>
          <w:color w:val="auto"/>
        </w:rPr>
        <w:t>The committee spent extensive time in December and January assessing TI’s results and strategic progress for 2014. The committee considered both quantitative and qualitative measures and applied judgment in its assessment. The company’s performance improved from the prior year on both an absolute and relative basis (see list of competitor companies above), putting it in a stronger position for the near and long terms.</w:t>
      </w:r>
    </w:p>
    <w:p>
      <w:pPr>
        <w:spacing w:after="0" w:line="1" w:lineRule="exact"/>
        <w:rPr>
          <w:sz w:val="20"/>
          <w:szCs w:val="20"/>
          <w:color w:val="auto"/>
        </w:rPr>
      </w:pPr>
    </w:p>
    <w:p>
      <w:pPr>
        <w:ind w:left="280" w:right="460"/>
        <w:spacing w:after="0" w:line="255" w:lineRule="auto"/>
        <w:rPr>
          <w:sz w:val="20"/>
          <w:szCs w:val="20"/>
          <w:color w:val="auto"/>
        </w:rPr>
      </w:pPr>
      <w:r>
        <w:rPr>
          <w:rFonts w:ascii="Arial" w:cs="Arial" w:eastAsia="Arial" w:hAnsi="Arial"/>
          <w:sz w:val="17"/>
          <w:szCs w:val="17"/>
          <w:color w:val="auto"/>
        </w:rPr>
        <w:t>Commensurate with this improvement, the committee set bonuses 15 percent higher than last year for the named executive officers, with two exceptions for promotions. The assessments for each measure are below.</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Revenue and margin</w:t>
      </w:r>
    </w:p>
    <w:p>
      <w:pPr>
        <w:spacing w:after="0" w:line="214" w:lineRule="exact"/>
        <w:rPr>
          <w:sz w:val="20"/>
          <w:szCs w:val="20"/>
          <w:color w:val="auto"/>
        </w:rPr>
      </w:pPr>
    </w:p>
    <w:p>
      <w:pPr>
        <w:ind w:left="780" w:hanging="246"/>
        <w:spacing w:after="0"/>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i w:val="1"/>
          <w:iCs w:val="1"/>
          <w:u w:val="single" w:color="auto"/>
          <w:color w:val="auto"/>
        </w:rPr>
        <w:t>Annual performance</w:t>
      </w:r>
    </w:p>
    <w:p>
      <w:pPr>
        <w:spacing w:after="0" w:line="20" w:lineRule="exact"/>
        <w:rPr>
          <w:rFonts w:ascii="Arial" w:cs="Arial" w:eastAsia="Arial" w:hAnsi="Arial"/>
          <w:sz w:val="17"/>
          <w:szCs w:val="17"/>
          <w:color w:val="auto"/>
        </w:rPr>
      </w:pPr>
    </w:p>
    <w:p>
      <w:pPr>
        <w:ind w:left="1040" w:right="120" w:hanging="255"/>
        <w:spacing w:after="0" w:line="219" w:lineRule="auto"/>
        <w:tabs>
          <w:tab w:leader="none" w:pos="10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TI revenue grew 6.9 percent, consistent with the median growth rate as compared with competitor companies. However, this included a $445 million revenue decline in legacy wireless products, for which the company has had publicly stated exit plans under way for a number of years. Excluding legacy wireless products, TI’s revenue grew 11 percent, which was better than the median comparison with competitors.</w:t>
      </w:r>
      <w:r>
        <w:rPr>
          <w:rFonts w:ascii="Arial" w:cs="Arial" w:eastAsia="Arial" w:hAnsi="Arial"/>
          <w:sz w:val="28"/>
          <w:szCs w:val="28"/>
          <w:color w:val="auto"/>
          <w:vertAlign w:val="superscript"/>
        </w:rPr>
        <w:t>3</w:t>
      </w:r>
    </w:p>
    <w:p>
      <w:pPr>
        <w:spacing w:after="0" w:line="3" w:lineRule="exact"/>
        <w:rPr>
          <w:rFonts w:ascii="Arial" w:cs="Arial" w:eastAsia="Arial" w:hAnsi="Arial"/>
          <w:sz w:val="17"/>
          <w:szCs w:val="17"/>
          <w:color w:val="auto"/>
        </w:rPr>
      </w:pPr>
    </w:p>
    <w:p>
      <w:pPr>
        <w:ind w:left="1040"/>
        <w:spacing w:after="0" w:line="243" w:lineRule="auto"/>
        <w:rPr>
          <w:rFonts w:ascii="Arial" w:cs="Arial" w:eastAsia="Arial" w:hAnsi="Arial"/>
          <w:sz w:val="17"/>
          <w:szCs w:val="17"/>
          <w:color w:val="auto"/>
        </w:rPr>
      </w:pPr>
      <w:r>
        <w:rPr>
          <w:rFonts w:ascii="Arial" w:cs="Arial" w:eastAsia="Arial" w:hAnsi="Arial"/>
          <w:sz w:val="17"/>
          <w:szCs w:val="17"/>
          <w:color w:val="auto"/>
        </w:rPr>
        <w:t>Revenues for the company’s core businesses of Analog and Embedded Processing were up 12.6 percent and 11.8 percent, respectively, resulting in share gains for each. These core businesses have gained share in each of the last five years.</w:t>
      </w:r>
    </w:p>
    <w:p>
      <w:pPr>
        <w:ind w:left="1040" w:hanging="255"/>
        <w:spacing w:after="0"/>
        <w:tabs>
          <w:tab w:leader="none" w:pos="10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Operating profit margin was 30.3 percent, above the median comparison with competitors.</w:t>
      </w:r>
    </w:p>
    <w:p>
      <w:pPr>
        <w:spacing w:after="0" w:line="222" w:lineRule="exact"/>
        <w:rPr>
          <w:rFonts w:ascii="Arial" w:cs="Arial" w:eastAsia="Arial" w:hAnsi="Arial"/>
          <w:sz w:val="17"/>
          <w:szCs w:val="17"/>
          <w:color w:val="auto"/>
        </w:rPr>
      </w:pPr>
    </w:p>
    <w:p>
      <w:pPr>
        <w:ind w:left="780" w:hanging="246"/>
        <w:spacing w:after="0"/>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i w:val="1"/>
          <w:iCs w:val="1"/>
          <w:u w:val="single" w:color="auto"/>
          <w:color w:val="auto"/>
        </w:rPr>
        <w:t>Three-year performance</w:t>
      </w:r>
    </w:p>
    <w:p>
      <w:pPr>
        <w:spacing w:after="0" w:line="20" w:lineRule="exact"/>
        <w:rPr>
          <w:rFonts w:ascii="Arial" w:cs="Arial" w:eastAsia="Arial" w:hAnsi="Arial"/>
          <w:sz w:val="17"/>
          <w:szCs w:val="17"/>
          <w:color w:val="auto"/>
        </w:rPr>
      </w:pPr>
    </w:p>
    <w:p>
      <w:pPr>
        <w:ind w:left="1040" w:right="120" w:hanging="255"/>
        <w:spacing w:after="0" w:line="243" w:lineRule="auto"/>
        <w:tabs>
          <w:tab w:leader="none" w:pos="10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Compound annual revenue growth for 2012-2014 was -1.7 percent, which was below the median competitor comparison. Excluding the decline in legacy wireless products, compound annual revenue growth was 4.7 percent, which was above the median competitor comparison.</w:t>
      </w:r>
    </w:p>
    <w:p>
      <w:pPr>
        <w:ind w:left="1040" w:hanging="255"/>
        <w:spacing w:after="0"/>
        <w:tabs>
          <w:tab w:leader="none" w:pos="10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Average operating profit for 2012-2014 was 23 percent, which was above the median competitor comparison.</w:t>
      </w:r>
    </w:p>
    <w:p>
      <w:pPr>
        <w:spacing w:after="0" w:line="223"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Total shareholder return (TSR)</w:t>
      </w:r>
    </w:p>
    <w:p>
      <w:pPr>
        <w:spacing w:after="0" w:line="259" w:lineRule="exact"/>
        <w:rPr>
          <w:sz w:val="20"/>
          <w:szCs w:val="20"/>
          <w:color w:val="auto"/>
        </w:rPr>
      </w:pPr>
    </w:p>
    <w:p>
      <w:pPr>
        <w:ind w:left="780" w:hanging="246"/>
        <w:spacing w:after="0"/>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TSR was 25.1 percent, which was better than the median comparison with competitors.</w:t>
      </w:r>
    </w:p>
    <w:p>
      <w:pPr>
        <w:spacing w:after="0" w:line="9" w:lineRule="exact"/>
        <w:rPr>
          <w:rFonts w:ascii="Arial" w:cs="Arial" w:eastAsia="Arial" w:hAnsi="Arial"/>
          <w:sz w:val="17"/>
          <w:szCs w:val="17"/>
          <w:color w:val="auto"/>
        </w:rPr>
      </w:pPr>
    </w:p>
    <w:p>
      <w:pPr>
        <w:ind w:left="780" w:right="160" w:hanging="246"/>
        <w:spacing w:after="0" w:line="190" w:lineRule="auto"/>
        <w:tabs>
          <w:tab w:leader="none" w:pos="780" w:val="left"/>
        </w:tabs>
        <w:numPr>
          <w:ilvl w:val="0"/>
          <w:numId w:val="41"/>
        </w:numPr>
        <w:rPr>
          <w:rFonts w:ascii="Arial" w:cs="Arial" w:eastAsia="Arial" w:hAnsi="Arial"/>
          <w:sz w:val="33"/>
          <w:szCs w:val="33"/>
          <w:color w:val="auto"/>
          <w:vertAlign w:val="superscript"/>
        </w:rPr>
      </w:pPr>
      <w:r>
        <w:rPr>
          <w:rFonts w:ascii="Arial" w:cs="Arial" w:eastAsia="Arial" w:hAnsi="Arial"/>
          <w:sz w:val="17"/>
          <w:szCs w:val="17"/>
          <w:color w:val="auto"/>
        </w:rPr>
        <w:t>The company again generated strong cash, with free cash flow at 26.9 percent of revenue.</w:t>
      </w:r>
      <w:r>
        <w:rPr>
          <w:rFonts w:ascii="Arial" w:cs="Arial" w:eastAsia="Arial" w:hAnsi="Arial"/>
          <w:sz w:val="28"/>
          <w:szCs w:val="28"/>
          <w:color w:val="auto"/>
          <w:vertAlign w:val="superscript"/>
        </w:rPr>
        <w:t>4</w:t>
      </w:r>
      <w:r>
        <w:rPr>
          <w:rFonts w:ascii="Arial" w:cs="Arial" w:eastAsia="Arial" w:hAnsi="Arial"/>
          <w:sz w:val="17"/>
          <w:szCs w:val="17"/>
          <w:color w:val="auto"/>
        </w:rPr>
        <w:t xml:space="preserve"> More than 100 percent of free cash flow was returned to shareholders in 2014 through share repurchases and dividends. Share repurchases of $2.8 billion reduced outstanding shares by 3.3 percent (net of stock issuances during the year). The quarterly dividend rate increased 13.3 percent (the 13</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increase in eleven years). Share repurchases and dividend increases are important elements of TI’s capital management strategy.</w:t>
      </w:r>
    </w:p>
    <w:p>
      <w:pPr>
        <w:ind w:left="780" w:hanging="246"/>
        <w:spacing w:after="0"/>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balance sheet remained robust, ending the year with cash and short-term investments of $3.5 billion.</w:t>
      </w:r>
    </w:p>
    <w:p>
      <w:pPr>
        <w:spacing w:after="0" w:line="2" w:lineRule="exact"/>
        <w:rPr>
          <w:rFonts w:ascii="Arial" w:cs="Arial" w:eastAsia="Arial" w:hAnsi="Arial"/>
          <w:sz w:val="17"/>
          <w:szCs w:val="17"/>
          <w:color w:val="auto"/>
        </w:rPr>
      </w:pPr>
    </w:p>
    <w:p>
      <w:pPr>
        <w:ind w:left="780" w:hanging="246"/>
        <w:spacing w:after="0"/>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three-year compound annual growth rate for TSR was 25.8 percent, which was above the median competitor comparison.</w:t>
      </w:r>
    </w:p>
    <w:p>
      <w:pPr>
        <w:spacing w:after="0" w:line="223"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Strategic progress</w:t>
      </w:r>
    </w:p>
    <w:p>
      <w:pPr>
        <w:spacing w:after="0" w:line="259" w:lineRule="exact"/>
        <w:rPr>
          <w:sz w:val="20"/>
          <w:szCs w:val="20"/>
          <w:color w:val="auto"/>
        </w:rPr>
      </w:pPr>
    </w:p>
    <w:p>
      <w:pPr>
        <w:jc w:val="both"/>
        <w:ind w:left="780" w:hanging="246"/>
        <w:spacing w:after="0" w:line="243" w:lineRule="auto"/>
        <w:tabs>
          <w:tab w:leader="none" w:pos="7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company’s strategic focus on Analog and Embedded Processing semiconductors continues to provide the foundation for strong results. These core businesses serve highly diverse markets with thousands of applications and have dependable long-term growth opportunities. In 2014, 83 percent of TI’s revenue came from Analog and Embedded Processing semiconductors, up 4 percentage points from the prior year.</w:t>
      </w:r>
    </w:p>
    <w:p>
      <w:pPr>
        <w:ind w:left="780" w:right="180" w:hanging="246"/>
        <w:spacing w:after="0" w:line="241" w:lineRule="auto"/>
        <w:tabs>
          <w:tab w:leader="none" w:pos="7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TI again improved the diversity of its customer base in 2014 by increasing the percent of revenue from industrial and automotive applications by one point each, and by increasing the percentage of revenue that comes from small- to mid-sized customers. This was the third consecutive year of similar improvement. Diversity provides better stability because success does not depend on a single market or customer.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241" w:lineRule="exact"/>
        <w:rPr>
          <w:sz w:val="20"/>
          <w:szCs w:val="20"/>
          <w:color w:val="auto"/>
        </w:rPr>
      </w:pPr>
    </w:p>
    <w:p>
      <w:pPr>
        <w:ind w:left="360" w:right="320" w:hanging="354"/>
        <w:spacing w:after="0" w:line="249" w:lineRule="auto"/>
        <w:tabs>
          <w:tab w:leader="none" w:pos="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Revenue excluding legacy wireless products (baseband products, and OMAP™ applications processors and connectivity products sold into smartphone and consumer tablet applications) is a non-GAAP financial measure. For a reconciliation to GAAP, see the Appendix to this proxy statement.</w:t>
      </w:r>
    </w:p>
    <w:p>
      <w:pPr>
        <w:spacing w:after="0" w:line="184" w:lineRule="exact"/>
        <w:rPr>
          <w:sz w:val="20"/>
          <w:szCs w:val="20"/>
          <w:color w:val="auto"/>
        </w:rPr>
      </w:pPr>
    </w:p>
    <w:p>
      <w:pPr>
        <w:ind w:left="360" w:right="20" w:hanging="354"/>
        <w:spacing w:after="0" w:line="255" w:lineRule="auto"/>
        <w:tabs>
          <w:tab w:leader="none" w:pos="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Free cash flow was calculated by subtracting Capital expenditures from the GAAP-based Cash flows from operating activities. Free cash flow and the ratios based on it are non-GAAP financial measures. For a reconciliation to GAAP, see the Appendix to this proxy statement.</w:t>
      </w:r>
    </w:p>
    <w:p>
      <w:pPr>
        <w:spacing w:after="0" w:line="228" w:lineRule="exact"/>
        <w:rPr>
          <w:sz w:val="20"/>
          <w:szCs w:val="20"/>
          <w:color w:val="auto"/>
        </w:rPr>
      </w:pPr>
    </w:p>
    <w:p>
      <w:pPr>
        <w:spacing w:after="0"/>
        <w:tabs>
          <w:tab w:leader="none" w:pos="4100" w:val="left"/>
        </w:tabs>
        <w:rPr>
          <w:sz w:val="20"/>
          <w:szCs w:val="20"/>
          <w:color w:val="auto"/>
        </w:rPr>
      </w:pPr>
      <w:r>
        <w:rPr>
          <w:rFonts w:ascii="Arial" w:cs="Arial" w:eastAsia="Arial" w:hAnsi="Arial"/>
          <w:sz w:val="13"/>
          <w:szCs w:val="13"/>
          <w:color w:val="838383"/>
        </w:rPr>
        <w:t>92</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420"/>
          </w:cols>
          <w:pgMar w:left="240" w:top="574" w:right="239" w:bottom="1440" w:gutter="0" w:footer="0" w:header="0"/>
        </w:sectPr>
      </w:pPr>
    </w:p>
    <w:bookmarkStart w:id="23" w:name="page24"/>
    <w:bookmarkEnd w:id="23"/>
    <w:p>
      <w:pPr>
        <w:jc w:val="both"/>
        <w:ind w:left="780" w:right="100" w:hanging="246"/>
        <w:spacing w:after="0" w:line="243" w:lineRule="auto"/>
        <w:tabs>
          <w:tab w:leader="none" w:pos="7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TI is the only competitor with in-house capability to produce high volumes of Analog semiconductors on 300-millimeter wafers. In 2014, the company initiated plans to increase Analog production on 300-millimeter wafers. Such production provides cost advantages that will further improve margins and cash generation over the long term. TI will leverage existing facilities along with equipment that has been strategically acquired at low price points, enabling the company to grow, yet keep capital spending levels at about 4 percent of revenue.</w:t>
      </w:r>
    </w:p>
    <w:p>
      <w:pPr>
        <w:spacing w:after="0" w:line="1" w:lineRule="exact"/>
        <w:rPr>
          <w:rFonts w:ascii="Arial" w:cs="Arial" w:eastAsia="Arial" w:hAnsi="Arial"/>
          <w:sz w:val="17"/>
          <w:szCs w:val="17"/>
          <w:color w:val="auto"/>
        </w:rPr>
      </w:pPr>
    </w:p>
    <w:p>
      <w:pPr>
        <w:ind w:left="780" w:right="440" w:hanging="246"/>
        <w:spacing w:after="0" w:line="249" w:lineRule="auto"/>
        <w:tabs>
          <w:tab w:leader="none" w:pos="7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committee determined in conclusion that TI’s strategic condition was strengthened by management’s decisions in 2014, noting sustainable advantages in the company’s manufacturing and technology, the breadth and differentiation of its product portfolio, and the diversity of markets and customers it serves.</w:t>
      </w:r>
    </w:p>
    <w:p>
      <w:pPr>
        <w:spacing w:after="0" w:line="180" w:lineRule="exact"/>
        <w:rPr>
          <w:sz w:val="20"/>
          <w:szCs w:val="20"/>
          <w:color w:val="auto"/>
        </w:rPr>
      </w:pPr>
    </w:p>
    <w:p>
      <w:pPr>
        <w:jc w:val="center"/>
        <w:ind w:left="280"/>
        <w:spacing w:after="0"/>
        <w:rPr>
          <w:sz w:val="20"/>
          <w:szCs w:val="20"/>
          <w:color w:val="auto"/>
        </w:rPr>
      </w:pPr>
      <w:r>
        <w:rPr>
          <w:rFonts w:ascii="Arial" w:cs="Arial" w:eastAsia="Arial" w:hAnsi="Arial"/>
          <w:sz w:val="17"/>
          <w:szCs w:val="17"/>
          <w:i w:val="1"/>
          <w:iCs w:val="1"/>
          <w:u w:val="single" w:color="auto"/>
          <w:color w:val="auto"/>
        </w:rPr>
        <w:t>Performance summary</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174"/>
        </w:trPr>
        <w:tc>
          <w:tcPr>
            <w:tcW w:w="6380" w:type="dxa"/>
            <w:vAlign w:val="bottom"/>
          </w:tcPr>
          <w:p>
            <w:pPr>
              <w:spacing w:after="0"/>
              <w:rPr>
                <w:sz w:val="15"/>
                <w:szCs w:val="15"/>
                <w:color w:val="auto"/>
              </w:rPr>
            </w:pPr>
          </w:p>
        </w:tc>
        <w:tc>
          <w:tcPr>
            <w:tcW w:w="3340" w:type="dxa"/>
            <w:vAlign w:val="bottom"/>
          </w:tcPr>
          <w:p>
            <w:pPr>
              <w:jc w:val="right"/>
              <w:ind w:right="137"/>
              <w:spacing w:after="0"/>
              <w:rPr>
                <w:sz w:val="20"/>
                <w:szCs w:val="20"/>
                <w:color w:val="auto"/>
              </w:rPr>
            </w:pPr>
            <w:r>
              <w:rPr>
                <w:rFonts w:ascii="Arial" w:cs="Arial" w:eastAsia="Arial" w:hAnsi="Arial"/>
                <w:sz w:val="13"/>
                <w:szCs w:val="13"/>
                <w:b w:val="1"/>
                <w:bCs w:val="1"/>
                <w:color w:val="auto"/>
              </w:rPr>
              <w:t>1-Year</w:t>
            </w:r>
          </w:p>
        </w:tc>
        <w:tc>
          <w:tcPr>
            <w:tcW w:w="1440" w:type="dxa"/>
            <w:vAlign w:val="bottom"/>
            <w:gridSpan w:val="2"/>
          </w:tcPr>
          <w:p>
            <w:pPr>
              <w:ind w:left="580"/>
              <w:spacing w:after="0"/>
              <w:rPr>
                <w:sz w:val="20"/>
                <w:szCs w:val="20"/>
                <w:color w:val="auto"/>
              </w:rPr>
            </w:pPr>
            <w:r>
              <w:rPr>
                <w:rFonts w:ascii="Arial" w:cs="Arial" w:eastAsia="Arial" w:hAnsi="Arial"/>
                <w:sz w:val="13"/>
                <w:szCs w:val="13"/>
                <w:b w:val="1"/>
                <w:bCs w:val="1"/>
                <w:color w:val="auto"/>
              </w:rPr>
              <w:t>3-Year</w:t>
            </w:r>
          </w:p>
        </w:tc>
      </w:tr>
      <w:tr>
        <w:trPr>
          <w:trHeight w:val="41"/>
        </w:trPr>
        <w:tc>
          <w:tcPr>
            <w:tcW w:w="638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31"/>
        </w:trPr>
        <w:tc>
          <w:tcPr>
            <w:tcW w:w="6380" w:type="dxa"/>
            <w:vAlign w:val="bottom"/>
            <w:shd w:val="clear" w:color="auto" w:fill="E9E9E9"/>
          </w:tcPr>
          <w:p>
            <w:pPr>
              <w:ind w:left="20"/>
              <w:spacing w:after="0"/>
              <w:rPr>
                <w:sz w:val="20"/>
                <w:szCs w:val="20"/>
                <w:color w:val="auto"/>
              </w:rPr>
            </w:pPr>
            <w:r>
              <w:rPr>
                <w:rFonts w:ascii="Arial" w:cs="Arial" w:eastAsia="Arial" w:hAnsi="Arial"/>
                <w:sz w:val="17"/>
                <w:szCs w:val="17"/>
                <w:color w:val="auto"/>
              </w:rPr>
              <w:t>Revenue growth: total TI</w:t>
            </w:r>
          </w:p>
        </w:tc>
        <w:tc>
          <w:tcPr>
            <w:tcW w:w="334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rPr>
              <w:t>6.9%</w:t>
            </w: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-1.7%</w:t>
            </w:r>
          </w:p>
        </w:tc>
        <w:tc>
          <w:tcPr>
            <w:tcW w:w="660" w:type="dxa"/>
            <w:vAlign w:val="bottom"/>
            <w:shd w:val="clear" w:color="auto" w:fill="E9E9E9"/>
          </w:tcPr>
          <w:p>
            <w:pPr>
              <w:ind w:left="40"/>
              <w:spacing w:after="0"/>
              <w:rPr>
                <w:sz w:val="20"/>
                <w:szCs w:val="20"/>
                <w:color w:val="auto"/>
              </w:rPr>
            </w:pPr>
            <w:r>
              <w:rPr>
                <w:rFonts w:ascii="Arial" w:cs="Arial" w:eastAsia="Arial" w:hAnsi="Arial"/>
                <w:sz w:val="17"/>
                <w:szCs w:val="17"/>
                <w:color w:val="auto"/>
              </w:rPr>
              <w:t>CAGR</w:t>
            </w:r>
          </w:p>
        </w:tc>
      </w:tr>
      <w:tr>
        <w:trPr>
          <w:trHeight w:val="230"/>
        </w:trPr>
        <w:tc>
          <w:tcPr>
            <w:tcW w:w="6380" w:type="dxa"/>
            <w:vAlign w:val="bottom"/>
          </w:tcPr>
          <w:p>
            <w:pPr>
              <w:ind w:left="20"/>
              <w:spacing w:after="0"/>
              <w:rPr>
                <w:sz w:val="20"/>
                <w:szCs w:val="20"/>
                <w:color w:val="auto"/>
              </w:rPr>
            </w:pPr>
            <w:r>
              <w:rPr>
                <w:rFonts w:ascii="Arial" w:cs="Arial" w:eastAsia="Arial" w:hAnsi="Arial"/>
                <w:sz w:val="17"/>
                <w:szCs w:val="17"/>
                <w:color w:val="auto"/>
              </w:rPr>
              <w:t>Revenue growth without legacy wireless products</w:t>
            </w:r>
          </w:p>
        </w:tc>
        <w:tc>
          <w:tcPr>
            <w:tcW w:w="3340" w:type="dxa"/>
            <w:vAlign w:val="bottom"/>
          </w:tcPr>
          <w:p>
            <w:pPr>
              <w:jc w:val="right"/>
              <w:ind w:right="57"/>
              <w:spacing w:after="0"/>
              <w:rPr>
                <w:sz w:val="20"/>
                <w:szCs w:val="20"/>
                <w:color w:val="auto"/>
              </w:rPr>
            </w:pPr>
            <w:r>
              <w:rPr>
                <w:rFonts w:ascii="Arial" w:cs="Arial" w:eastAsia="Arial" w:hAnsi="Arial"/>
                <w:sz w:val="17"/>
                <w:szCs w:val="17"/>
                <w:color w:val="auto"/>
              </w:rPr>
              <w:t>11.0%</w:t>
            </w:r>
          </w:p>
        </w:tc>
        <w:tc>
          <w:tcPr>
            <w:tcW w:w="780" w:type="dxa"/>
            <w:vAlign w:val="bottom"/>
          </w:tcPr>
          <w:p>
            <w:pPr>
              <w:jc w:val="right"/>
              <w:spacing w:after="0"/>
              <w:rPr>
                <w:sz w:val="20"/>
                <w:szCs w:val="20"/>
                <w:color w:val="auto"/>
              </w:rPr>
            </w:pPr>
            <w:r>
              <w:rPr>
                <w:rFonts w:ascii="Arial" w:cs="Arial" w:eastAsia="Arial" w:hAnsi="Arial"/>
                <w:sz w:val="17"/>
                <w:szCs w:val="17"/>
                <w:color w:val="auto"/>
              </w:rPr>
              <w:t>4.7%</w:t>
            </w:r>
          </w:p>
        </w:tc>
        <w:tc>
          <w:tcPr>
            <w:tcW w:w="660" w:type="dxa"/>
            <w:vAlign w:val="bottom"/>
          </w:tcPr>
          <w:p>
            <w:pPr>
              <w:ind w:left="40"/>
              <w:spacing w:after="0"/>
              <w:rPr>
                <w:sz w:val="20"/>
                <w:szCs w:val="20"/>
                <w:color w:val="auto"/>
              </w:rPr>
            </w:pPr>
            <w:r>
              <w:rPr>
                <w:rFonts w:ascii="Arial" w:cs="Arial" w:eastAsia="Arial" w:hAnsi="Arial"/>
                <w:sz w:val="17"/>
                <w:szCs w:val="17"/>
                <w:color w:val="auto"/>
              </w:rPr>
              <w:t>CAGR</w:t>
            </w:r>
          </w:p>
        </w:tc>
      </w:tr>
      <w:tr>
        <w:trPr>
          <w:trHeight w:val="246"/>
        </w:trPr>
        <w:tc>
          <w:tcPr>
            <w:tcW w:w="6380" w:type="dxa"/>
            <w:vAlign w:val="bottom"/>
            <w:shd w:val="clear" w:color="auto" w:fill="E9E9E9"/>
          </w:tcPr>
          <w:p>
            <w:pPr>
              <w:ind w:left="20"/>
              <w:spacing w:after="0"/>
              <w:rPr>
                <w:sz w:val="20"/>
                <w:szCs w:val="20"/>
                <w:color w:val="auto"/>
              </w:rPr>
            </w:pPr>
            <w:r>
              <w:rPr>
                <w:rFonts w:ascii="Arial" w:cs="Arial" w:eastAsia="Arial" w:hAnsi="Arial"/>
                <w:sz w:val="17"/>
                <w:szCs w:val="17"/>
                <w:color w:val="auto"/>
              </w:rPr>
              <w:t>Operating margin</w:t>
            </w:r>
          </w:p>
        </w:tc>
        <w:tc>
          <w:tcPr>
            <w:tcW w:w="334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rPr>
              <w:t>30.3%</w:t>
            </w: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23.0%</w:t>
            </w:r>
          </w:p>
        </w:tc>
        <w:tc>
          <w:tcPr>
            <w:tcW w:w="660" w:type="dxa"/>
            <w:vAlign w:val="bottom"/>
            <w:shd w:val="clear" w:color="auto" w:fill="E9E9E9"/>
          </w:tcPr>
          <w:p>
            <w:pPr>
              <w:ind w:left="40"/>
              <w:spacing w:after="0"/>
              <w:rPr>
                <w:sz w:val="20"/>
                <w:szCs w:val="20"/>
                <w:color w:val="auto"/>
              </w:rPr>
            </w:pPr>
            <w:r>
              <w:rPr>
                <w:rFonts w:ascii="Arial" w:cs="Arial" w:eastAsia="Arial" w:hAnsi="Arial"/>
                <w:sz w:val="17"/>
                <w:szCs w:val="17"/>
                <w:color w:val="auto"/>
                <w:w w:val="97"/>
              </w:rPr>
              <w:t>average</w:t>
            </w:r>
          </w:p>
        </w:tc>
      </w:tr>
      <w:tr>
        <w:trPr>
          <w:trHeight w:val="230"/>
        </w:trPr>
        <w:tc>
          <w:tcPr>
            <w:tcW w:w="6380" w:type="dxa"/>
            <w:vAlign w:val="bottom"/>
          </w:tcPr>
          <w:p>
            <w:pPr>
              <w:ind w:left="20"/>
              <w:spacing w:after="0"/>
              <w:rPr>
                <w:sz w:val="20"/>
                <w:szCs w:val="20"/>
                <w:color w:val="auto"/>
              </w:rPr>
            </w:pPr>
            <w:r>
              <w:rPr>
                <w:rFonts w:ascii="Arial" w:cs="Arial" w:eastAsia="Arial" w:hAnsi="Arial"/>
                <w:sz w:val="17"/>
                <w:szCs w:val="17"/>
                <w:color w:val="auto"/>
              </w:rPr>
              <w:t>Free cash flow as % of revenue</w:t>
            </w:r>
          </w:p>
        </w:tc>
        <w:tc>
          <w:tcPr>
            <w:tcW w:w="3340" w:type="dxa"/>
            <w:vAlign w:val="bottom"/>
          </w:tcPr>
          <w:p>
            <w:pPr>
              <w:jc w:val="right"/>
              <w:ind w:right="57"/>
              <w:spacing w:after="0"/>
              <w:rPr>
                <w:sz w:val="20"/>
                <w:szCs w:val="20"/>
                <w:color w:val="auto"/>
              </w:rPr>
            </w:pPr>
            <w:r>
              <w:rPr>
                <w:rFonts w:ascii="Arial" w:cs="Arial" w:eastAsia="Arial" w:hAnsi="Arial"/>
                <w:sz w:val="17"/>
                <w:szCs w:val="17"/>
                <w:color w:val="auto"/>
              </w:rPr>
              <w:t>26.9%</w:t>
            </w:r>
          </w:p>
        </w:tc>
        <w:tc>
          <w:tcPr>
            <w:tcW w:w="780" w:type="dxa"/>
            <w:vAlign w:val="bottom"/>
          </w:tcPr>
          <w:p>
            <w:pPr>
              <w:jc w:val="right"/>
              <w:spacing w:after="0"/>
              <w:rPr>
                <w:sz w:val="20"/>
                <w:szCs w:val="20"/>
                <w:color w:val="auto"/>
              </w:rPr>
            </w:pPr>
            <w:r>
              <w:rPr>
                <w:rFonts w:ascii="Arial" w:cs="Arial" w:eastAsia="Arial" w:hAnsi="Arial"/>
                <w:sz w:val="17"/>
                <w:szCs w:val="17"/>
                <w:color w:val="auto"/>
              </w:rPr>
              <w:t>24.7%</w:t>
            </w:r>
          </w:p>
        </w:tc>
        <w:tc>
          <w:tcPr>
            <w:tcW w:w="660" w:type="dxa"/>
            <w:vAlign w:val="bottom"/>
          </w:tcPr>
          <w:p>
            <w:pPr>
              <w:ind w:left="40"/>
              <w:spacing w:after="0"/>
              <w:rPr>
                <w:sz w:val="20"/>
                <w:szCs w:val="20"/>
                <w:color w:val="auto"/>
              </w:rPr>
            </w:pPr>
            <w:r>
              <w:rPr>
                <w:rFonts w:ascii="Arial" w:cs="Arial" w:eastAsia="Arial" w:hAnsi="Arial"/>
                <w:sz w:val="17"/>
                <w:szCs w:val="17"/>
                <w:color w:val="auto"/>
                <w:w w:val="97"/>
              </w:rPr>
              <w:t>average</w:t>
            </w:r>
          </w:p>
        </w:tc>
      </w:tr>
      <w:tr>
        <w:trPr>
          <w:trHeight w:val="246"/>
        </w:trPr>
        <w:tc>
          <w:tcPr>
            <w:tcW w:w="6380" w:type="dxa"/>
            <w:vAlign w:val="bottom"/>
            <w:shd w:val="clear" w:color="auto" w:fill="E9E9E9"/>
          </w:tcPr>
          <w:p>
            <w:pPr>
              <w:ind w:left="20"/>
              <w:spacing w:after="0"/>
              <w:rPr>
                <w:sz w:val="20"/>
                <w:szCs w:val="20"/>
                <w:color w:val="auto"/>
              </w:rPr>
            </w:pPr>
            <w:r>
              <w:rPr>
                <w:rFonts w:ascii="Arial" w:cs="Arial" w:eastAsia="Arial" w:hAnsi="Arial"/>
                <w:sz w:val="17"/>
                <w:szCs w:val="17"/>
                <w:color w:val="auto"/>
              </w:rPr>
              <w:t>% of free cash flow returned to shareholders</w:t>
            </w:r>
          </w:p>
        </w:tc>
        <w:tc>
          <w:tcPr>
            <w:tcW w:w="334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rPr>
              <w:t>118.4%</w:t>
            </w: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115.1%</w:t>
            </w:r>
          </w:p>
        </w:tc>
        <w:tc>
          <w:tcPr>
            <w:tcW w:w="660" w:type="dxa"/>
            <w:vAlign w:val="bottom"/>
            <w:shd w:val="clear" w:color="auto" w:fill="E9E9E9"/>
          </w:tcPr>
          <w:p>
            <w:pPr>
              <w:ind w:left="40"/>
              <w:spacing w:after="0"/>
              <w:rPr>
                <w:sz w:val="20"/>
                <w:szCs w:val="20"/>
                <w:color w:val="auto"/>
              </w:rPr>
            </w:pPr>
            <w:r>
              <w:rPr>
                <w:rFonts w:ascii="Arial" w:cs="Arial" w:eastAsia="Arial" w:hAnsi="Arial"/>
                <w:sz w:val="17"/>
                <w:szCs w:val="17"/>
                <w:color w:val="auto"/>
                <w:w w:val="97"/>
              </w:rPr>
              <w:t>average</w:t>
            </w:r>
          </w:p>
        </w:tc>
      </w:tr>
      <w:tr>
        <w:trPr>
          <w:trHeight w:val="230"/>
        </w:trPr>
        <w:tc>
          <w:tcPr>
            <w:tcW w:w="6380" w:type="dxa"/>
            <w:vAlign w:val="bottom"/>
          </w:tcPr>
          <w:p>
            <w:pPr>
              <w:ind w:left="20"/>
              <w:spacing w:after="0"/>
              <w:rPr>
                <w:sz w:val="20"/>
                <w:szCs w:val="20"/>
                <w:color w:val="auto"/>
              </w:rPr>
            </w:pPr>
            <w:r>
              <w:rPr>
                <w:rFonts w:ascii="Arial" w:cs="Arial" w:eastAsia="Arial" w:hAnsi="Arial"/>
                <w:sz w:val="17"/>
                <w:szCs w:val="17"/>
                <w:color w:val="auto"/>
              </w:rPr>
              <w:t>Increase in quarterly dividend rate</w:t>
            </w:r>
          </w:p>
        </w:tc>
        <w:tc>
          <w:tcPr>
            <w:tcW w:w="3340" w:type="dxa"/>
            <w:vAlign w:val="bottom"/>
          </w:tcPr>
          <w:p>
            <w:pPr>
              <w:jc w:val="right"/>
              <w:ind w:right="57"/>
              <w:spacing w:after="0"/>
              <w:rPr>
                <w:sz w:val="20"/>
                <w:szCs w:val="20"/>
                <w:color w:val="auto"/>
              </w:rPr>
            </w:pPr>
            <w:r>
              <w:rPr>
                <w:rFonts w:ascii="Arial" w:cs="Arial" w:eastAsia="Arial" w:hAnsi="Arial"/>
                <w:sz w:val="17"/>
                <w:szCs w:val="17"/>
                <w:color w:val="auto"/>
              </w:rPr>
              <w:t>13.3%</w:t>
            </w:r>
          </w:p>
        </w:tc>
        <w:tc>
          <w:tcPr>
            <w:tcW w:w="780" w:type="dxa"/>
            <w:vAlign w:val="bottom"/>
          </w:tcPr>
          <w:p>
            <w:pPr>
              <w:jc w:val="right"/>
              <w:spacing w:after="0"/>
              <w:rPr>
                <w:sz w:val="20"/>
                <w:szCs w:val="20"/>
                <w:color w:val="auto"/>
              </w:rPr>
            </w:pPr>
            <w:r>
              <w:rPr>
                <w:rFonts w:ascii="Arial" w:cs="Arial" w:eastAsia="Arial" w:hAnsi="Arial"/>
                <w:sz w:val="17"/>
                <w:szCs w:val="17"/>
                <w:color w:val="auto"/>
              </w:rPr>
              <w:t>100.0%</w:t>
            </w:r>
          </w:p>
        </w:tc>
        <w:tc>
          <w:tcPr>
            <w:tcW w:w="660" w:type="dxa"/>
            <w:vAlign w:val="bottom"/>
          </w:tcPr>
          <w:p>
            <w:pPr>
              <w:spacing w:after="0"/>
              <w:rPr>
                <w:sz w:val="19"/>
                <w:szCs w:val="19"/>
                <w:color w:val="auto"/>
              </w:rPr>
            </w:pPr>
          </w:p>
        </w:tc>
      </w:tr>
      <w:tr>
        <w:trPr>
          <w:trHeight w:val="246"/>
        </w:trPr>
        <w:tc>
          <w:tcPr>
            <w:tcW w:w="6380" w:type="dxa"/>
            <w:vAlign w:val="bottom"/>
            <w:shd w:val="clear" w:color="auto" w:fill="E9E9E9"/>
          </w:tcPr>
          <w:p>
            <w:pPr>
              <w:ind w:left="20"/>
              <w:spacing w:after="0"/>
              <w:rPr>
                <w:sz w:val="20"/>
                <w:szCs w:val="20"/>
                <w:color w:val="auto"/>
              </w:rPr>
            </w:pPr>
            <w:r>
              <w:rPr>
                <w:rFonts w:ascii="Arial" w:cs="Arial" w:eastAsia="Arial" w:hAnsi="Arial"/>
                <w:sz w:val="17"/>
                <w:szCs w:val="17"/>
                <w:color w:val="auto"/>
              </w:rPr>
              <w:t>Total shareholder return (TSR)</w:t>
            </w:r>
          </w:p>
        </w:tc>
        <w:tc>
          <w:tcPr>
            <w:tcW w:w="334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rPr>
              <w:t>25.1%</w:t>
            </w: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25.8%</w:t>
            </w:r>
          </w:p>
        </w:tc>
        <w:tc>
          <w:tcPr>
            <w:tcW w:w="660" w:type="dxa"/>
            <w:vAlign w:val="bottom"/>
            <w:shd w:val="clear" w:color="auto" w:fill="E9E9E9"/>
          </w:tcPr>
          <w:p>
            <w:pPr>
              <w:ind w:left="40"/>
              <w:spacing w:after="0"/>
              <w:rPr>
                <w:sz w:val="20"/>
                <w:szCs w:val="20"/>
                <w:color w:val="auto"/>
              </w:rPr>
            </w:pPr>
            <w:r>
              <w:rPr>
                <w:rFonts w:ascii="Arial" w:cs="Arial" w:eastAsia="Arial" w:hAnsi="Arial"/>
                <w:sz w:val="17"/>
                <w:szCs w:val="17"/>
                <w:color w:val="auto"/>
              </w:rPr>
              <w:t>CAGR</w:t>
            </w:r>
          </w:p>
        </w:tc>
      </w:tr>
    </w:tbl>
    <w:p>
      <w:pPr>
        <w:spacing w:after="0" w:line="200" w:lineRule="exact"/>
        <w:rPr>
          <w:sz w:val="20"/>
          <w:szCs w:val="20"/>
          <w:color w:val="auto"/>
        </w:rPr>
      </w:pPr>
    </w:p>
    <w:p>
      <w:pPr>
        <w:spacing w:after="0" w:line="25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CAGR (compound annual growth rate) is calculated using the formula (Ending Value/Beginning Value)</w:t>
      </w:r>
      <w:r>
        <w:rPr>
          <w:rFonts w:ascii="Arial" w:cs="Arial" w:eastAsia="Arial" w:hAnsi="Arial"/>
          <w:sz w:val="28"/>
          <w:szCs w:val="28"/>
          <w:color w:val="auto"/>
          <w:vertAlign w:val="superscript"/>
        </w:rPr>
        <w:t>1/number of years</w:t>
      </w:r>
      <w:r>
        <w:rPr>
          <w:rFonts w:ascii="Arial" w:cs="Arial" w:eastAsia="Arial" w:hAnsi="Arial"/>
          <w:sz w:val="17"/>
          <w:szCs w:val="17"/>
          <w:color w:val="auto"/>
        </w:rPr>
        <w:t>-1.</w:t>
      </w:r>
    </w:p>
    <w:p>
      <w:pPr>
        <w:spacing w:after="0" w:line="128" w:lineRule="exact"/>
        <w:rPr>
          <w:sz w:val="20"/>
          <w:szCs w:val="20"/>
          <w:color w:val="auto"/>
        </w:rPr>
      </w:pPr>
    </w:p>
    <w:p>
      <w:pPr>
        <w:jc w:val="both"/>
        <w:ind w:left="1780" w:right="300" w:hanging="1505"/>
        <w:spacing w:after="0" w:line="249" w:lineRule="auto"/>
        <w:rPr>
          <w:sz w:val="20"/>
          <w:szCs w:val="20"/>
          <w:color w:val="auto"/>
        </w:rPr>
      </w:pPr>
      <w:r>
        <w:rPr>
          <w:rFonts w:ascii="Arial" w:cs="Arial" w:eastAsia="Arial" w:hAnsi="Arial"/>
          <w:sz w:val="17"/>
          <w:szCs w:val="17"/>
          <w:color w:val="auto"/>
        </w:rPr>
        <w:t>One-year TSR % = (adjusted closing price of the company’s stock at year-end 2014, divided by 2013 year-end adjusted closing price) minus 1. The adjusted closing price is as shown under Historical Prices for the company’s stock on Yahoo Finance and reflects stock splits and reinvestment of dividends.</w:t>
      </w:r>
    </w:p>
    <w:p>
      <w:pPr>
        <w:spacing w:after="0" w:line="186" w:lineRule="exact"/>
        <w:rPr>
          <w:sz w:val="20"/>
          <w:szCs w:val="20"/>
          <w:color w:val="auto"/>
        </w:rPr>
      </w:pPr>
    </w:p>
    <w:p>
      <w:pPr>
        <w:ind w:left="2460" w:right="220" w:hanging="2179"/>
        <w:spacing w:after="0" w:line="209" w:lineRule="auto"/>
        <w:rPr>
          <w:sz w:val="20"/>
          <w:szCs w:val="20"/>
          <w:color w:val="auto"/>
        </w:rPr>
      </w:pPr>
      <w:r>
        <w:rPr>
          <w:rFonts w:ascii="Arial" w:cs="Arial" w:eastAsia="Arial" w:hAnsi="Arial"/>
          <w:sz w:val="32"/>
          <w:szCs w:val="32"/>
          <w:color w:val="auto"/>
          <w:vertAlign w:val="superscript"/>
        </w:rPr>
        <w:t>Three-year TSR CAGR % =</w:t>
      </w:r>
      <w:r>
        <w:rPr>
          <w:rFonts w:ascii="Arial" w:cs="Arial" w:eastAsia="Arial" w:hAnsi="Arial"/>
          <w:sz w:val="16"/>
          <w:szCs w:val="16"/>
          <w:color w:val="auto"/>
        </w:rPr>
        <w:t xml:space="preserve"> (adjusted closing price of the company’s stock at year-end 2014, divided by 2011 year-end adjusted closing price)</w:t>
      </w:r>
      <w:r>
        <w:rPr>
          <w:rFonts w:ascii="Arial" w:cs="Arial" w:eastAsia="Arial" w:hAnsi="Arial"/>
          <w:sz w:val="26"/>
          <w:szCs w:val="26"/>
          <w:color w:val="auto"/>
          <w:vertAlign w:val="superscript"/>
        </w:rPr>
        <w:t>⅓</w:t>
      </w:r>
      <w:r>
        <w:rPr>
          <w:rFonts w:ascii="Arial" w:cs="Arial" w:eastAsia="Arial" w:hAnsi="Arial"/>
          <w:sz w:val="16"/>
          <w:szCs w:val="16"/>
          <w:color w:val="auto"/>
        </w:rPr>
        <w:t xml:space="preserve"> minus 1. Adjusted closing price is as described above.</w:t>
      </w:r>
    </w:p>
    <w:p>
      <w:pPr>
        <w:spacing w:after="0" w:line="200" w:lineRule="exact"/>
        <w:rPr>
          <w:sz w:val="20"/>
          <w:szCs w:val="20"/>
          <w:color w:val="auto"/>
        </w:rPr>
      </w:pPr>
    </w:p>
    <w:p>
      <w:pPr>
        <w:spacing w:after="0" w:line="242"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Before setting the bonuses for the named executive officers, the committee considered the officers’ individual performance. The performance of the CEO was judged according to the performance of the company. For the other officers, the committee considered the factors described below in assessing individual performance. In making this assessment, the committee did not apply any formula or performance targets.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Mr. March is the chief financial officer. The committee noted the financial management of the company.</w:t>
      </w:r>
    </w:p>
    <w:p>
      <w:pPr>
        <w:spacing w:after="0" w:line="214" w:lineRule="exact"/>
        <w:rPr>
          <w:sz w:val="20"/>
          <w:szCs w:val="20"/>
          <w:color w:val="auto"/>
        </w:rPr>
      </w:pPr>
    </w:p>
    <w:p>
      <w:pPr>
        <w:ind w:right="560"/>
        <w:spacing w:after="0" w:line="249" w:lineRule="auto"/>
        <w:rPr>
          <w:sz w:val="20"/>
          <w:szCs w:val="20"/>
          <w:color w:val="auto"/>
        </w:rPr>
      </w:pPr>
      <w:r>
        <w:rPr>
          <w:rFonts w:ascii="Arial" w:cs="Arial" w:eastAsia="Arial" w:hAnsi="Arial"/>
          <w:sz w:val="17"/>
          <w:szCs w:val="17"/>
          <w:color w:val="auto"/>
        </w:rPr>
        <w:t>In June 2014, Mr. Crutcher became responsible for all of the company’s product lines and sales activities. Previously he was responsible for the company’s analog semiconductor product lines. The committee noted the financial performance and strategic position of the product lines and activities for which he is responsible.</w:t>
      </w:r>
    </w:p>
    <w:p>
      <w:pPr>
        <w:spacing w:after="0" w:line="198"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In June 2014, Mr. Anderson became responsible for the company’s analog semiconductor product lines. Previously he was responsible for the company’s High Performance Analog product line. The committee noted the financial performance and strategic position of the product lines for which he is responsible.</w:t>
      </w:r>
    </w:p>
    <w:p>
      <w:pPr>
        <w:spacing w:after="0" w:line="198" w:lineRule="exact"/>
        <w:rPr>
          <w:sz w:val="20"/>
          <w:szCs w:val="20"/>
          <w:color w:val="auto"/>
        </w:rPr>
      </w:pPr>
    </w:p>
    <w:p>
      <w:pPr>
        <w:ind w:right="400"/>
        <w:spacing w:after="0" w:line="255" w:lineRule="auto"/>
        <w:rPr>
          <w:sz w:val="20"/>
          <w:szCs w:val="20"/>
          <w:color w:val="auto"/>
        </w:rPr>
      </w:pPr>
      <w:r>
        <w:rPr>
          <w:rFonts w:ascii="Arial" w:cs="Arial" w:eastAsia="Arial" w:hAnsi="Arial"/>
          <w:sz w:val="17"/>
          <w:szCs w:val="17"/>
          <w:color w:val="auto"/>
        </w:rPr>
        <w:t>Mr. Ritchie is responsible for the company’s semiconductor manufacturing operations. The committee noted the performance of those operations, including their cost-competitiveness and inventory management.</w:t>
      </w:r>
    </w:p>
    <w:p>
      <w:pPr>
        <w:spacing w:after="0" w:line="192"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color w:val="auto"/>
        </w:rPr>
        <w:t>The bonuses awarded for 2014 performance are shown in the table on page 94. The differences in the amounts awarded to the named executive officers were primarily the result of differences in the officers’ level of responsibility and the applicable market level of total cash compensation expected to be paid to similarly situated officers in the Comparator Group. The bonus of each named executive officer was paid under the Executive Officer Performance Plan described on pages 97 and 100.</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Results of the compensation decisions</w:t>
      </w:r>
    </w:p>
    <w:p>
      <w:pPr>
        <w:spacing w:after="0" w:line="2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Results of the compensation decisions made by the committee relating to the named executive officers for 2014 are summarized in the following table. This table is provided as a supplement to the summary compensation table on page 98 for investors who may find it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300" w:type="dxa"/>
            <w:vAlign w:val="bottom"/>
          </w:tcPr>
          <w:p>
            <w:pPr>
              <w:ind w:left="4120"/>
              <w:spacing w:after="0"/>
              <w:rPr>
                <w:sz w:val="20"/>
                <w:szCs w:val="20"/>
                <w:color w:val="auto"/>
              </w:rPr>
            </w:pPr>
            <w:r>
              <w:rPr>
                <w:rFonts w:ascii="Arial" w:cs="Arial" w:eastAsia="Arial" w:hAnsi="Arial"/>
                <w:sz w:val="13"/>
                <w:szCs w:val="13"/>
                <w:color w:val="838383"/>
              </w:rPr>
              <w:t>TEXAS INSTRUMENTS ● 2015 PROXY STATEMENT</w:t>
            </w:r>
          </w:p>
        </w:tc>
        <w:tc>
          <w:tcPr>
            <w:tcW w:w="2140" w:type="dxa"/>
            <w:vAlign w:val="bottom"/>
          </w:tcPr>
          <w:p>
            <w:pPr>
              <w:jc w:val="right"/>
              <w:spacing w:after="0"/>
              <w:rPr>
                <w:sz w:val="20"/>
                <w:szCs w:val="20"/>
                <w:color w:val="auto"/>
              </w:rPr>
            </w:pPr>
            <w:r>
              <w:rPr>
                <w:rFonts w:ascii="Arial" w:cs="Arial" w:eastAsia="Arial" w:hAnsi="Arial"/>
                <w:sz w:val="13"/>
                <w:szCs w:val="13"/>
                <w:color w:val="838383"/>
              </w:rPr>
              <w:t>93</w:t>
            </w:r>
          </w:p>
        </w:tc>
      </w:tr>
      <w:tr>
        <w:trPr>
          <w:trHeight w:val="355"/>
        </w:trPr>
        <w:tc>
          <w:tcPr>
            <w:tcW w:w="930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24" w:name="page25"/>
    <w:bookmarkEnd w:id="24"/>
    <w:p>
      <w:pPr>
        <w:jc w:val="both"/>
        <w:ind w:right="240"/>
        <w:spacing w:after="0" w:line="262" w:lineRule="auto"/>
        <w:rPr>
          <w:sz w:val="20"/>
          <w:szCs w:val="20"/>
          <w:color w:val="auto"/>
        </w:rPr>
      </w:pPr>
      <w:r>
        <w:rPr>
          <w:rFonts w:ascii="Arial" w:cs="Arial" w:eastAsia="Arial" w:hAnsi="Arial"/>
          <w:sz w:val="17"/>
          <w:szCs w:val="17"/>
          <w:color w:val="auto"/>
        </w:rPr>
        <w:t>useful to see the data presented in this form. Although the committee does not target a specific level of total compensation, it considers information similar to that in the table to ensure that the sum of these elements is, in its judgment, in a reasonable range. The principal differences between this table and the summary compensation table are explained in footnote 5 below.</w:t>
      </w:r>
      <w:r>
        <w:rPr>
          <w:rFonts w:ascii="Arial" w:cs="Arial" w:eastAsia="Arial" w:hAnsi="Arial"/>
          <w:sz w:val="28"/>
          <w:szCs w:val="28"/>
          <w:color w:val="auto"/>
          <w:vertAlign w:val="superscript"/>
        </w:rPr>
        <w:t>5</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rPr>
              <w:t>Equity Compensation</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8"/>
        </w:trPr>
        <w:tc>
          <w:tcPr>
            <w:tcW w:w="4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Salary</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rPr>
              <w:t>(Grant Date</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8"/>
        </w:trPr>
        <w:tc>
          <w:tcPr>
            <w:tcW w:w="4160" w:type="dxa"/>
            <w:vAlign w:val="bottom"/>
          </w:tcPr>
          <w:p>
            <w:pPr>
              <w:spacing w:after="0"/>
              <w:rPr>
                <w:sz w:val="20"/>
                <w:szCs w:val="20"/>
                <w:color w:val="auto"/>
              </w:rPr>
            </w:pPr>
            <w:r>
              <w:rPr>
                <w:rFonts w:ascii="Arial" w:cs="Arial" w:eastAsia="Arial" w:hAnsi="Arial"/>
                <w:sz w:val="13"/>
                <w:szCs w:val="13"/>
                <w:b w:val="1"/>
                <w:bCs w:val="1"/>
                <w:color w:val="auto"/>
              </w:rPr>
              <w:t>Officer</w:t>
            </w: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w w:val="99"/>
              </w:rPr>
              <w:t>Year</w:t>
            </w:r>
          </w:p>
        </w:tc>
        <w:tc>
          <w:tcPr>
            <w:tcW w:w="360" w:type="dxa"/>
            <w:vAlign w:val="bottom"/>
          </w:tcPr>
          <w:p>
            <w:pPr>
              <w:spacing w:after="0"/>
              <w:rPr>
                <w:sz w:val="20"/>
                <w:szCs w:val="20"/>
                <w:color w:val="auto"/>
              </w:rPr>
            </w:pPr>
          </w:p>
        </w:tc>
        <w:tc>
          <w:tcPr>
            <w:tcW w:w="1140" w:type="dxa"/>
            <w:vAlign w:val="bottom"/>
            <w:gridSpan w:val="2"/>
          </w:tcPr>
          <w:p>
            <w:pPr>
              <w:jc w:val="center"/>
              <w:ind w:right="154"/>
              <w:spacing w:after="0"/>
              <w:rPr>
                <w:sz w:val="20"/>
                <w:szCs w:val="20"/>
                <w:color w:val="auto"/>
              </w:rPr>
            </w:pPr>
            <w:r>
              <w:rPr>
                <w:rFonts w:ascii="Arial" w:cs="Arial" w:eastAsia="Arial" w:hAnsi="Arial"/>
                <w:sz w:val="13"/>
                <w:szCs w:val="13"/>
                <w:b w:val="1"/>
                <w:bCs w:val="1"/>
                <w:color w:val="auto"/>
              </w:rPr>
              <w:t>(Annual Rate)</w:t>
            </w:r>
          </w:p>
        </w:tc>
        <w:tc>
          <w:tcPr>
            <w:tcW w:w="1200" w:type="dxa"/>
            <w:vAlign w:val="bottom"/>
            <w:gridSpan w:val="2"/>
          </w:tcPr>
          <w:p>
            <w:pPr>
              <w:jc w:val="right"/>
              <w:ind w:right="74"/>
              <w:spacing w:after="0"/>
              <w:rPr>
                <w:sz w:val="20"/>
                <w:szCs w:val="20"/>
                <w:color w:val="auto"/>
              </w:rPr>
            </w:pPr>
            <w:r>
              <w:rPr>
                <w:rFonts w:ascii="Arial" w:cs="Arial" w:eastAsia="Arial" w:hAnsi="Arial"/>
                <w:sz w:val="13"/>
                <w:szCs w:val="13"/>
                <w:b w:val="1"/>
                <w:bCs w:val="1"/>
                <w:color w:val="auto"/>
              </w:rPr>
              <w:t>Profit Sharing</w:t>
            </w:r>
          </w:p>
        </w:tc>
        <w:tc>
          <w:tcPr>
            <w:tcW w:w="280" w:type="dxa"/>
            <w:vAlign w:val="bottom"/>
          </w:tcPr>
          <w:p>
            <w:pPr>
              <w:spacing w:after="0"/>
              <w:rPr>
                <w:sz w:val="20"/>
                <w:szCs w:val="20"/>
                <w:color w:val="auto"/>
              </w:rPr>
            </w:pPr>
          </w:p>
        </w:tc>
        <w:tc>
          <w:tcPr>
            <w:tcW w:w="960" w:type="dxa"/>
            <w:vAlign w:val="bottom"/>
          </w:tcPr>
          <w:p>
            <w:pPr>
              <w:jc w:val="right"/>
              <w:ind w:right="336"/>
              <w:spacing w:after="0"/>
              <w:rPr>
                <w:sz w:val="20"/>
                <w:szCs w:val="20"/>
                <w:color w:val="auto"/>
              </w:rPr>
            </w:pPr>
            <w:r>
              <w:rPr>
                <w:rFonts w:ascii="Arial" w:cs="Arial" w:eastAsia="Arial" w:hAnsi="Arial"/>
                <w:sz w:val="13"/>
                <w:szCs w:val="13"/>
                <w:b w:val="1"/>
                <w:bCs w:val="1"/>
                <w:color w:val="auto"/>
              </w:rPr>
              <w:t>Bonus</w:t>
            </w: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9"/>
              </w:rPr>
              <w:t>Fair Value)</w:t>
            </w:r>
          </w:p>
        </w:tc>
        <w:tc>
          <w:tcPr>
            <w:tcW w:w="320" w:type="dxa"/>
            <w:vAlign w:val="bottom"/>
          </w:tcPr>
          <w:p>
            <w:pPr>
              <w:spacing w:after="0"/>
              <w:rPr>
                <w:sz w:val="20"/>
                <w:szCs w:val="20"/>
                <w:color w:val="auto"/>
              </w:rPr>
            </w:pPr>
          </w:p>
        </w:tc>
        <w:tc>
          <w:tcPr>
            <w:tcW w:w="880" w:type="dxa"/>
            <w:vAlign w:val="bottom"/>
          </w:tcPr>
          <w:p>
            <w:pPr>
              <w:jc w:val="right"/>
              <w:ind w:right="276"/>
              <w:spacing w:after="0"/>
              <w:rPr>
                <w:sz w:val="20"/>
                <w:szCs w:val="20"/>
                <w:color w:val="auto"/>
              </w:rPr>
            </w:pPr>
            <w:r>
              <w:rPr>
                <w:rFonts w:ascii="Arial" w:cs="Arial" w:eastAsia="Arial" w:hAnsi="Arial"/>
                <w:sz w:val="13"/>
                <w:szCs w:val="13"/>
                <w:b w:val="1"/>
                <w:bCs w:val="1"/>
                <w:color w:val="auto"/>
              </w:rPr>
              <w:t>Total</w:t>
            </w:r>
          </w:p>
        </w:tc>
      </w:tr>
      <w:tr>
        <w:trPr>
          <w:trHeight w:val="41"/>
        </w:trPr>
        <w:tc>
          <w:tcPr>
            <w:tcW w:w="4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15"/>
        </w:trPr>
        <w:tc>
          <w:tcPr>
            <w:tcW w:w="416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4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2014</w:t>
            </w:r>
          </w:p>
        </w:tc>
        <w:tc>
          <w:tcPr>
            <w:tcW w:w="3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1,110,000</w:t>
            </w:r>
          </w:p>
        </w:tc>
        <w:tc>
          <w:tcPr>
            <w:tcW w:w="300" w:type="dxa"/>
            <w:vAlign w:val="bottom"/>
            <w:shd w:val="clear" w:color="auto" w:fill="E9E9E9"/>
          </w:tcPr>
          <w:p>
            <w:pPr>
              <w:spacing w:after="0"/>
              <w:rPr>
                <w:sz w:val="18"/>
                <w:szCs w:val="18"/>
                <w:color w:val="auto"/>
              </w:rPr>
            </w:pPr>
          </w:p>
        </w:tc>
        <w:tc>
          <w:tcPr>
            <w:tcW w:w="3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134"/>
              <w:spacing w:after="0"/>
              <w:rPr>
                <w:sz w:val="20"/>
                <w:szCs w:val="20"/>
                <w:color w:val="auto"/>
              </w:rPr>
            </w:pPr>
            <w:r>
              <w:rPr>
                <w:rFonts w:ascii="Arial" w:cs="Arial" w:eastAsia="Arial" w:hAnsi="Arial"/>
                <w:sz w:val="17"/>
                <w:szCs w:val="17"/>
                <w:color w:val="auto"/>
              </w:rPr>
              <w:t>168,941</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96"/>
              <w:spacing w:after="0"/>
              <w:rPr>
                <w:sz w:val="20"/>
                <w:szCs w:val="20"/>
                <w:color w:val="auto"/>
              </w:rPr>
            </w:pPr>
            <w:r>
              <w:rPr>
                <w:rFonts w:ascii="Arial" w:cs="Arial" w:eastAsia="Arial" w:hAnsi="Arial"/>
                <w:sz w:val="17"/>
                <w:szCs w:val="17"/>
                <w:color w:val="auto"/>
              </w:rPr>
              <w:t>3,450,000</w:t>
            </w:r>
          </w:p>
        </w:tc>
        <w:tc>
          <w:tcPr>
            <w:tcW w:w="1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$ 9,800,034</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14,528,975</w:t>
            </w:r>
          </w:p>
        </w:tc>
      </w:tr>
      <w:tr>
        <w:trPr>
          <w:trHeight w:val="238"/>
        </w:trPr>
        <w:tc>
          <w:tcPr>
            <w:tcW w:w="4160" w:type="dxa"/>
            <w:vAlign w:val="bottom"/>
            <w:shd w:val="clear" w:color="auto" w:fill="E9E9E9"/>
          </w:tcPr>
          <w:p>
            <w:pPr>
              <w:spacing w:after="0"/>
              <w:rPr>
                <w:sz w:val="20"/>
                <w:szCs w:val="20"/>
                <w:color w:val="auto"/>
              </w:rPr>
            </w:pPr>
          </w:p>
        </w:tc>
        <w:tc>
          <w:tcPr>
            <w:tcW w:w="4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2013</w:t>
            </w:r>
          </w:p>
        </w:tc>
        <w:tc>
          <w:tcPr>
            <w:tcW w:w="3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1,075,000</w:t>
            </w:r>
          </w:p>
        </w:tc>
        <w:tc>
          <w:tcPr>
            <w:tcW w:w="300" w:type="dxa"/>
            <w:vAlign w:val="bottom"/>
            <w:shd w:val="clear" w:color="auto" w:fill="E9E9E9"/>
          </w:tcPr>
          <w:p>
            <w:pPr>
              <w:spacing w:after="0"/>
              <w:rPr>
                <w:sz w:val="20"/>
                <w:szCs w:val="20"/>
                <w:color w:val="auto"/>
              </w:rPr>
            </w:pPr>
          </w:p>
        </w:tc>
        <w:tc>
          <w:tcPr>
            <w:tcW w:w="3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134"/>
              <w:spacing w:after="0"/>
              <w:rPr>
                <w:sz w:val="20"/>
                <w:szCs w:val="20"/>
                <w:color w:val="auto"/>
              </w:rPr>
            </w:pPr>
            <w:r>
              <w:rPr>
                <w:rFonts w:ascii="Arial" w:cs="Arial" w:eastAsia="Arial" w:hAnsi="Arial"/>
                <w:sz w:val="17"/>
                <w:szCs w:val="17"/>
                <w:color w:val="auto"/>
              </w:rPr>
              <w:t>92,199</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96"/>
              <w:spacing w:after="0"/>
              <w:rPr>
                <w:sz w:val="20"/>
                <w:szCs w:val="20"/>
                <w:color w:val="auto"/>
              </w:rPr>
            </w:pPr>
            <w:r>
              <w:rPr>
                <w:rFonts w:ascii="Arial" w:cs="Arial" w:eastAsia="Arial" w:hAnsi="Arial"/>
                <w:sz w:val="17"/>
                <w:szCs w:val="17"/>
                <w:color w:val="auto"/>
              </w:rPr>
              <w:t>3,000,000</w:t>
            </w:r>
          </w:p>
        </w:tc>
        <w:tc>
          <w:tcPr>
            <w:tcW w:w="1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$ 9,299,374</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13,466,573</w:t>
            </w:r>
          </w:p>
        </w:tc>
      </w:tr>
      <w:tr>
        <w:trPr>
          <w:trHeight w:val="238"/>
        </w:trPr>
        <w:tc>
          <w:tcPr>
            <w:tcW w:w="4160" w:type="dxa"/>
            <w:vAlign w:val="bottom"/>
            <w:shd w:val="clear" w:color="auto" w:fill="E9E9E9"/>
          </w:tcPr>
          <w:p>
            <w:pPr>
              <w:spacing w:after="0"/>
              <w:rPr>
                <w:sz w:val="20"/>
                <w:szCs w:val="20"/>
                <w:color w:val="auto"/>
              </w:rPr>
            </w:pPr>
          </w:p>
        </w:tc>
        <w:tc>
          <w:tcPr>
            <w:tcW w:w="4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2012</w:t>
            </w:r>
          </w:p>
        </w:tc>
        <w:tc>
          <w:tcPr>
            <w:tcW w:w="3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1,040,000</w:t>
            </w:r>
          </w:p>
        </w:tc>
        <w:tc>
          <w:tcPr>
            <w:tcW w:w="300" w:type="dxa"/>
            <w:vAlign w:val="bottom"/>
            <w:shd w:val="clear" w:color="auto" w:fill="E9E9E9"/>
          </w:tcPr>
          <w:p>
            <w:pPr>
              <w:spacing w:after="0"/>
              <w:rPr>
                <w:sz w:val="20"/>
                <w:szCs w:val="20"/>
                <w:color w:val="auto"/>
              </w:rPr>
            </w:pPr>
          </w:p>
        </w:tc>
        <w:tc>
          <w:tcPr>
            <w:tcW w:w="3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134"/>
              <w:spacing w:after="0"/>
              <w:rPr>
                <w:sz w:val="20"/>
                <w:szCs w:val="20"/>
                <w:color w:val="auto"/>
              </w:rPr>
            </w:pPr>
            <w:r>
              <w:rPr>
                <w:rFonts w:ascii="Arial" w:cs="Arial" w:eastAsia="Arial" w:hAnsi="Arial"/>
                <w:sz w:val="17"/>
                <w:szCs w:val="17"/>
                <w:color w:val="auto"/>
              </w:rPr>
              <w:t>48,581</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96"/>
              <w:spacing w:after="0"/>
              <w:rPr>
                <w:sz w:val="20"/>
                <w:szCs w:val="20"/>
                <w:color w:val="auto"/>
              </w:rPr>
            </w:pPr>
            <w:r>
              <w:rPr>
                <w:rFonts w:ascii="Arial" w:cs="Arial" w:eastAsia="Arial" w:hAnsi="Arial"/>
                <w:sz w:val="17"/>
                <w:szCs w:val="17"/>
                <w:color w:val="auto"/>
              </w:rPr>
              <w:t>2,700,000</w:t>
            </w:r>
          </w:p>
        </w:tc>
        <w:tc>
          <w:tcPr>
            <w:tcW w:w="1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$ 9,074,035</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12,862,616</w:t>
            </w:r>
          </w:p>
        </w:tc>
      </w:tr>
      <w:tr>
        <w:trPr>
          <w:trHeight w:val="254"/>
        </w:trPr>
        <w:tc>
          <w:tcPr>
            <w:tcW w:w="4160" w:type="dxa"/>
            <w:vAlign w:val="bottom"/>
            <w:shd w:val="clear" w:color="auto" w:fill="E9E9E9"/>
          </w:tcPr>
          <w:p>
            <w:pPr>
              <w:spacing w:after="0"/>
              <w:rPr>
                <w:sz w:val="22"/>
                <w:szCs w:val="22"/>
                <w:color w:val="auto"/>
              </w:rPr>
            </w:pPr>
          </w:p>
        </w:tc>
        <w:tc>
          <w:tcPr>
            <w:tcW w:w="400" w:type="dxa"/>
            <w:vAlign w:val="bottom"/>
            <w:shd w:val="clear" w:color="auto" w:fill="E9E9E9"/>
          </w:tcPr>
          <w:p>
            <w:pPr>
              <w:spacing w:after="0"/>
              <w:rPr>
                <w:sz w:val="22"/>
                <w:szCs w:val="22"/>
                <w:color w:val="auto"/>
              </w:rPr>
            </w:pPr>
          </w:p>
        </w:tc>
        <w:tc>
          <w:tcPr>
            <w:tcW w:w="360" w:type="dxa"/>
            <w:vAlign w:val="bottom"/>
            <w:shd w:val="clear" w:color="auto" w:fill="E9E9E9"/>
          </w:tcPr>
          <w:p>
            <w:pPr>
              <w:spacing w:after="0"/>
              <w:rPr>
                <w:sz w:val="22"/>
                <w:szCs w:val="22"/>
                <w:color w:val="auto"/>
              </w:rPr>
            </w:pPr>
          </w:p>
        </w:tc>
        <w:tc>
          <w:tcPr>
            <w:tcW w:w="840" w:type="dxa"/>
            <w:vAlign w:val="bottom"/>
            <w:shd w:val="clear" w:color="auto" w:fill="E9E9E9"/>
          </w:tcPr>
          <w:p>
            <w:pPr>
              <w:spacing w:after="0"/>
              <w:rPr>
                <w:sz w:val="22"/>
                <w:szCs w:val="22"/>
                <w:color w:val="auto"/>
              </w:rPr>
            </w:pPr>
          </w:p>
        </w:tc>
        <w:tc>
          <w:tcPr>
            <w:tcW w:w="300" w:type="dxa"/>
            <w:vAlign w:val="bottom"/>
            <w:shd w:val="clear" w:color="auto" w:fill="E9E9E9"/>
          </w:tcPr>
          <w:p>
            <w:pPr>
              <w:spacing w:after="0"/>
              <w:rPr>
                <w:sz w:val="22"/>
                <w:szCs w:val="22"/>
                <w:color w:val="auto"/>
              </w:rPr>
            </w:pPr>
          </w:p>
        </w:tc>
        <w:tc>
          <w:tcPr>
            <w:tcW w:w="340" w:type="dxa"/>
            <w:vAlign w:val="bottom"/>
            <w:shd w:val="clear" w:color="auto" w:fill="E9E9E9"/>
          </w:tcPr>
          <w:p>
            <w:pPr>
              <w:spacing w:after="0"/>
              <w:rPr>
                <w:sz w:val="22"/>
                <w:szCs w:val="22"/>
                <w:color w:val="auto"/>
              </w:rPr>
            </w:pPr>
          </w:p>
        </w:tc>
        <w:tc>
          <w:tcPr>
            <w:tcW w:w="860" w:type="dxa"/>
            <w:vAlign w:val="bottom"/>
            <w:shd w:val="clear" w:color="auto" w:fill="E9E9E9"/>
          </w:tcPr>
          <w:p>
            <w:pPr>
              <w:spacing w:after="0"/>
              <w:rPr>
                <w:sz w:val="22"/>
                <w:szCs w:val="22"/>
                <w:color w:val="auto"/>
              </w:rPr>
            </w:pPr>
          </w:p>
        </w:tc>
        <w:tc>
          <w:tcPr>
            <w:tcW w:w="280" w:type="dxa"/>
            <w:vAlign w:val="bottom"/>
            <w:shd w:val="clear" w:color="auto" w:fill="E9E9E9"/>
          </w:tcPr>
          <w:p>
            <w:pPr>
              <w:spacing w:after="0"/>
              <w:rPr>
                <w:sz w:val="22"/>
                <w:szCs w:val="22"/>
                <w:color w:val="auto"/>
              </w:rPr>
            </w:pPr>
          </w:p>
        </w:tc>
        <w:tc>
          <w:tcPr>
            <w:tcW w:w="960" w:type="dxa"/>
            <w:vAlign w:val="bottom"/>
            <w:shd w:val="clear" w:color="auto" w:fill="E9E9E9"/>
          </w:tcPr>
          <w:p>
            <w:pPr>
              <w:spacing w:after="0"/>
              <w:rPr>
                <w:sz w:val="22"/>
                <w:szCs w:val="22"/>
                <w:color w:val="auto"/>
              </w:rPr>
            </w:pPr>
          </w:p>
        </w:tc>
        <w:tc>
          <w:tcPr>
            <w:tcW w:w="1720" w:type="dxa"/>
            <w:vAlign w:val="bottom"/>
            <w:shd w:val="clear" w:color="auto" w:fill="E9E9E9"/>
          </w:tcPr>
          <w:p>
            <w:pPr>
              <w:spacing w:after="0"/>
              <w:rPr>
                <w:sz w:val="22"/>
                <w:szCs w:val="22"/>
                <w:color w:val="auto"/>
              </w:rPr>
            </w:pPr>
          </w:p>
        </w:tc>
        <w:tc>
          <w:tcPr>
            <w:tcW w:w="320" w:type="dxa"/>
            <w:vAlign w:val="bottom"/>
            <w:shd w:val="clear" w:color="auto" w:fill="E9E9E9"/>
          </w:tcPr>
          <w:p>
            <w:pPr>
              <w:spacing w:after="0"/>
              <w:rPr>
                <w:sz w:val="22"/>
                <w:szCs w:val="22"/>
                <w:color w:val="auto"/>
              </w:rPr>
            </w:pPr>
          </w:p>
        </w:tc>
        <w:tc>
          <w:tcPr>
            <w:tcW w:w="880" w:type="dxa"/>
            <w:vAlign w:val="bottom"/>
            <w:shd w:val="clear" w:color="auto" w:fill="E9E9E9"/>
          </w:tcPr>
          <w:p>
            <w:pPr>
              <w:spacing w:after="0"/>
              <w:rPr>
                <w:sz w:val="22"/>
                <w:szCs w:val="22"/>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7"/>
                <w:szCs w:val="17"/>
                <w:color w:val="auto"/>
              </w:rPr>
              <w:t>K. P. March</w:t>
            </w:r>
          </w:p>
        </w:tc>
        <w:tc>
          <w:tcPr>
            <w:tcW w:w="400" w:type="dxa"/>
            <w:vAlign w:val="bottom"/>
          </w:tcPr>
          <w:p>
            <w:pPr>
              <w:jc w:val="center"/>
              <w:spacing w:after="0"/>
              <w:rPr>
                <w:sz w:val="20"/>
                <w:szCs w:val="20"/>
                <w:color w:val="auto"/>
              </w:rPr>
            </w:pPr>
            <w:r>
              <w:rPr>
                <w:rFonts w:ascii="Arial" w:cs="Arial" w:eastAsia="Arial" w:hAnsi="Arial"/>
                <w:sz w:val="17"/>
                <w:szCs w:val="17"/>
                <w:color w:val="auto"/>
              </w:rPr>
              <w:t>2014</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630,000</w:t>
            </w:r>
          </w:p>
        </w:tc>
        <w:tc>
          <w:tcPr>
            <w:tcW w:w="3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4"/>
              <w:spacing w:after="0"/>
              <w:rPr>
                <w:sz w:val="20"/>
                <w:szCs w:val="20"/>
                <w:color w:val="auto"/>
              </w:rPr>
            </w:pPr>
            <w:r>
              <w:rPr>
                <w:rFonts w:ascii="Arial" w:cs="Arial" w:eastAsia="Arial" w:hAnsi="Arial"/>
                <w:sz w:val="17"/>
                <w:szCs w:val="17"/>
                <w:color w:val="auto"/>
              </w:rPr>
              <w:t>95,884</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96"/>
              <w:spacing w:after="0"/>
              <w:rPr>
                <w:sz w:val="20"/>
                <w:szCs w:val="20"/>
                <w:color w:val="auto"/>
              </w:rPr>
            </w:pPr>
            <w:r>
              <w:rPr>
                <w:rFonts w:ascii="Arial" w:cs="Arial" w:eastAsia="Arial" w:hAnsi="Arial"/>
                <w:sz w:val="17"/>
                <w:szCs w:val="17"/>
                <w:color w:val="auto"/>
              </w:rPr>
              <w:t>1,110,000</w:t>
            </w:r>
          </w:p>
        </w:tc>
        <w:tc>
          <w:tcPr>
            <w:tcW w:w="1720" w:type="dxa"/>
            <w:vAlign w:val="bottom"/>
          </w:tcPr>
          <w:p>
            <w:pPr>
              <w:jc w:val="center"/>
              <w:spacing w:after="0"/>
              <w:rPr>
                <w:sz w:val="20"/>
                <w:szCs w:val="20"/>
                <w:color w:val="auto"/>
              </w:rPr>
            </w:pPr>
            <w:r>
              <w:rPr>
                <w:rFonts w:ascii="Arial" w:cs="Arial" w:eastAsia="Arial" w:hAnsi="Arial"/>
                <w:sz w:val="17"/>
                <w:szCs w:val="17"/>
                <w:color w:val="auto"/>
              </w:rPr>
              <w:t>$ 2,700,039</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4,535,923</w:t>
            </w:r>
          </w:p>
        </w:tc>
      </w:tr>
      <w:tr>
        <w:trPr>
          <w:trHeight w:val="238"/>
        </w:trPr>
        <w:tc>
          <w:tcPr>
            <w:tcW w:w="416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rPr>
              <w:t>2013</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610,000</w:t>
            </w:r>
          </w:p>
        </w:tc>
        <w:tc>
          <w:tcPr>
            <w:tcW w:w="3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4"/>
              <w:spacing w:after="0"/>
              <w:rPr>
                <w:sz w:val="20"/>
                <w:szCs w:val="20"/>
                <w:color w:val="auto"/>
              </w:rPr>
            </w:pPr>
            <w:r>
              <w:rPr>
                <w:rFonts w:ascii="Arial" w:cs="Arial" w:eastAsia="Arial" w:hAnsi="Arial"/>
                <w:sz w:val="17"/>
                <w:szCs w:val="17"/>
                <w:color w:val="auto"/>
              </w:rPr>
              <w:t>52,317</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965,000</w:t>
            </w:r>
          </w:p>
        </w:tc>
        <w:tc>
          <w:tcPr>
            <w:tcW w:w="1720" w:type="dxa"/>
            <w:vAlign w:val="bottom"/>
          </w:tcPr>
          <w:p>
            <w:pPr>
              <w:jc w:val="center"/>
              <w:spacing w:after="0"/>
              <w:rPr>
                <w:sz w:val="20"/>
                <w:szCs w:val="20"/>
                <w:color w:val="auto"/>
              </w:rPr>
            </w:pPr>
            <w:r>
              <w:rPr>
                <w:rFonts w:ascii="Arial" w:cs="Arial" w:eastAsia="Arial" w:hAnsi="Arial"/>
                <w:sz w:val="17"/>
                <w:szCs w:val="17"/>
                <w:color w:val="auto"/>
              </w:rPr>
              <w:t>$ 2,656,964</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4,284,281</w:t>
            </w:r>
          </w:p>
        </w:tc>
      </w:tr>
      <w:tr>
        <w:trPr>
          <w:trHeight w:val="238"/>
        </w:trPr>
        <w:tc>
          <w:tcPr>
            <w:tcW w:w="416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rPr>
              <w:t>2012</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590,000</w:t>
            </w:r>
          </w:p>
        </w:tc>
        <w:tc>
          <w:tcPr>
            <w:tcW w:w="3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4"/>
              <w:spacing w:after="0"/>
              <w:rPr>
                <w:sz w:val="20"/>
                <w:szCs w:val="20"/>
                <w:color w:val="auto"/>
              </w:rPr>
            </w:pPr>
            <w:r>
              <w:rPr>
                <w:rFonts w:ascii="Arial" w:cs="Arial" w:eastAsia="Arial" w:hAnsi="Arial"/>
                <w:sz w:val="17"/>
                <w:szCs w:val="17"/>
                <w:color w:val="auto"/>
              </w:rPr>
              <w:t>27,573</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875,000</w:t>
            </w:r>
          </w:p>
        </w:tc>
        <w:tc>
          <w:tcPr>
            <w:tcW w:w="1720" w:type="dxa"/>
            <w:vAlign w:val="bottom"/>
          </w:tcPr>
          <w:p>
            <w:pPr>
              <w:jc w:val="center"/>
              <w:spacing w:after="0"/>
              <w:rPr>
                <w:sz w:val="20"/>
                <w:szCs w:val="20"/>
                <w:color w:val="auto"/>
              </w:rPr>
            </w:pPr>
            <w:r>
              <w:rPr>
                <w:rFonts w:ascii="Arial" w:cs="Arial" w:eastAsia="Arial" w:hAnsi="Arial"/>
                <w:sz w:val="17"/>
                <w:szCs w:val="17"/>
                <w:color w:val="auto"/>
              </w:rPr>
              <w:t>$ 2,865,478</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4,358,051</w:t>
            </w:r>
          </w:p>
        </w:tc>
      </w:tr>
      <w:tr>
        <w:trPr>
          <w:trHeight w:val="254"/>
        </w:trPr>
        <w:tc>
          <w:tcPr>
            <w:tcW w:w="4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2"/>
        </w:trPr>
        <w:tc>
          <w:tcPr>
            <w:tcW w:w="4160" w:type="dxa"/>
            <w:vAlign w:val="bottom"/>
            <w:shd w:val="clear" w:color="auto" w:fill="E9E9E9"/>
          </w:tcPr>
          <w:p>
            <w:pPr>
              <w:spacing w:after="0"/>
              <w:rPr>
                <w:sz w:val="20"/>
                <w:szCs w:val="20"/>
                <w:color w:val="auto"/>
              </w:rPr>
            </w:pPr>
            <w:r>
              <w:rPr>
                <w:rFonts w:ascii="Arial" w:cs="Arial" w:eastAsia="Arial" w:hAnsi="Arial"/>
                <w:sz w:val="17"/>
                <w:szCs w:val="17"/>
                <w:color w:val="auto"/>
              </w:rPr>
              <w:t>B. T. Crutcher</w:t>
            </w:r>
          </w:p>
        </w:tc>
        <w:tc>
          <w:tcPr>
            <w:tcW w:w="4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2014</w:t>
            </w:r>
          </w:p>
        </w:tc>
        <w:tc>
          <w:tcPr>
            <w:tcW w:w="3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775,000</w:t>
            </w:r>
          </w:p>
        </w:tc>
        <w:tc>
          <w:tcPr>
            <w:tcW w:w="300" w:type="dxa"/>
            <w:vAlign w:val="bottom"/>
            <w:shd w:val="clear" w:color="auto" w:fill="E9E9E9"/>
          </w:tcPr>
          <w:p>
            <w:pPr>
              <w:ind w:left="20"/>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134"/>
              <w:spacing w:after="0"/>
              <w:rPr>
                <w:sz w:val="20"/>
                <w:szCs w:val="20"/>
                <w:color w:val="auto"/>
              </w:rPr>
            </w:pPr>
            <w:r>
              <w:rPr>
                <w:rFonts w:ascii="Arial" w:cs="Arial" w:eastAsia="Arial" w:hAnsi="Arial"/>
                <w:sz w:val="17"/>
                <w:szCs w:val="17"/>
                <w:color w:val="auto"/>
              </w:rPr>
              <w:t>112,860</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96"/>
              <w:spacing w:after="0"/>
              <w:rPr>
                <w:sz w:val="20"/>
                <w:szCs w:val="20"/>
                <w:color w:val="auto"/>
              </w:rPr>
            </w:pPr>
            <w:r>
              <w:rPr>
                <w:rFonts w:ascii="Arial" w:cs="Arial" w:eastAsia="Arial" w:hAnsi="Arial"/>
                <w:sz w:val="17"/>
                <w:szCs w:val="17"/>
                <w:color w:val="auto"/>
              </w:rPr>
              <w:t>1,510,000</w:t>
            </w:r>
          </w:p>
        </w:tc>
        <w:tc>
          <w:tcPr>
            <w:tcW w:w="1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$ 4,500,008</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6,897,868</w:t>
            </w:r>
          </w:p>
        </w:tc>
      </w:tr>
      <w:tr>
        <w:trPr>
          <w:trHeight w:val="238"/>
        </w:trPr>
        <w:tc>
          <w:tcPr>
            <w:tcW w:w="4160" w:type="dxa"/>
            <w:vAlign w:val="bottom"/>
            <w:shd w:val="clear" w:color="auto" w:fill="E9E9E9"/>
          </w:tcPr>
          <w:p>
            <w:pPr>
              <w:spacing w:after="0"/>
              <w:rPr>
                <w:sz w:val="20"/>
                <w:szCs w:val="20"/>
                <w:color w:val="auto"/>
              </w:rPr>
            </w:pPr>
          </w:p>
        </w:tc>
        <w:tc>
          <w:tcPr>
            <w:tcW w:w="4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2013</w:t>
            </w:r>
          </w:p>
        </w:tc>
        <w:tc>
          <w:tcPr>
            <w:tcW w:w="3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675,000</w:t>
            </w:r>
          </w:p>
        </w:tc>
        <w:tc>
          <w:tcPr>
            <w:tcW w:w="300" w:type="dxa"/>
            <w:vAlign w:val="bottom"/>
            <w:shd w:val="clear" w:color="auto" w:fill="E9E9E9"/>
          </w:tcPr>
          <w:p>
            <w:pPr>
              <w:spacing w:after="0"/>
              <w:rPr>
                <w:sz w:val="20"/>
                <w:szCs w:val="20"/>
                <w:color w:val="auto"/>
              </w:rPr>
            </w:pPr>
          </w:p>
        </w:tc>
        <w:tc>
          <w:tcPr>
            <w:tcW w:w="3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134"/>
              <w:spacing w:after="0"/>
              <w:rPr>
                <w:sz w:val="20"/>
                <w:szCs w:val="20"/>
                <w:color w:val="auto"/>
              </w:rPr>
            </w:pPr>
            <w:r>
              <w:rPr>
                <w:rFonts w:ascii="Arial" w:cs="Arial" w:eastAsia="Arial" w:hAnsi="Arial"/>
                <w:sz w:val="17"/>
                <w:szCs w:val="17"/>
                <w:color w:val="auto"/>
              </w:rPr>
              <w:t>57,728</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96"/>
              <w:spacing w:after="0"/>
              <w:rPr>
                <w:sz w:val="20"/>
                <w:szCs w:val="20"/>
                <w:color w:val="auto"/>
              </w:rPr>
            </w:pPr>
            <w:r>
              <w:rPr>
                <w:rFonts w:ascii="Arial" w:cs="Arial" w:eastAsia="Arial" w:hAnsi="Arial"/>
                <w:sz w:val="17"/>
                <w:szCs w:val="17"/>
                <w:color w:val="auto"/>
              </w:rPr>
              <w:t>1,210,000</w:t>
            </w:r>
          </w:p>
        </w:tc>
        <w:tc>
          <w:tcPr>
            <w:tcW w:w="1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$ 3,985,446</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5,928,174</w:t>
            </w:r>
          </w:p>
        </w:tc>
      </w:tr>
      <w:tr>
        <w:trPr>
          <w:trHeight w:val="238"/>
        </w:trPr>
        <w:tc>
          <w:tcPr>
            <w:tcW w:w="4160" w:type="dxa"/>
            <w:vAlign w:val="bottom"/>
            <w:shd w:val="clear" w:color="auto" w:fill="E9E9E9"/>
          </w:tcPr>
          <w:p>
            <w:pPr>
              <w:spacing w:after="0"/>
              <w:rPr>
                <w:sz w:val="20"/>
                <w:szCs w:val="20"/>
                <w:color w:val="auto"/>
              </w:rPr>
            </w:pPr>
          </w:p>
        </w:tc>
        <w:tc>
          <w:tcPr>
            <w:tcW w:w="4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2012</w:t>
            </w:r>
          </w:p>
        </w:tc>
        <w:tc>
          <w:tcPr>
            <w:tcW w:w="3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630,000</w:t>
            </w:r>
          </w:p>
        </w:tc>
        <w:tc>
          <w:tcPr>
            <w:tcW w:w="300" w:type="dxa"/>
            <w:vAlign w:val="bottom"/>
            <w:shd w:val="clear" w:color="auto" w:fill="E9E9E9"/>
          </w:tcPr>
          <w:p>
            <w:pPr>
              <w:ind w:left="20"/>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134"/>
              <w:spacing w:after="0"/>
              <w:rPr>
                <w:sz w:val="20"/>
                <w:szCs w:val="20"/>
                <w:color w:val="auto"/>
              </w:rPr>
            </w:pPr>
            <w:r>
              <w:rPr>
                <w:rFonts w:ascii="Arial" w:cs="Arial" w:eastAsia="Arial" w:hAnsi="Arial"/>
                <w:sz w:val="17"/>
                <w:szCs w:val="17"/>
                <w:color w:val="auto"/>
              </w:rPr>
              <w:t>27,573</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96"/>
              <w:spacing w:after="0"/>
              <w:rPr>
                <w:sz w:val="20"/>
                <w:szCs w:val="20"/>
                <w:color w:val="auto"/>
              </w:rPr>
            </w:pPr>
            <w:r>
              <w:rPr>
                <w:rFonts w:ascii="Arial" w:cs="Arial" w:eastAsia="Arial" w:hAnsi="Arial"/>
                <w:sz w:val="17"/>
                <w:szCs w:val="17"/>
                <w:color w:val="auto"/>
              </w:rPr>
              <w:t>1,100,000</w:t>
            </w:r>
          </w:p>
        </w:tc>
        <w:tc>
          <w:tcPr>
            <w:tcW w:w="1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$ 6,341,848</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8,099,421</w:t>
            </w:r>
          </w:p>
        </w:tc>
      </w:tr>
      <w:tr>
        <w:trPr>
          <w:trHeight w:val="254"/>
        </w:trPr>
        <w:tc>
          <w:tcPr>
            <w:tcW w:w="4160" w:type="dxa"/>
            <w:vAlign w:val="bottom"/>
            <w:shd w:val="clear" w:color="auto" w:fill="E9E9E9"/>
          </w:tcPr>
          <w:p>
            <w:pPr>
              <w:spacing w:after="0"/>
              <w:rPr>
                <w:sz w:val="22"/>
                <w:szCs w:val="22"/>
                <w:color w:val="auto"/>
              </w:rPr>
            </w:pPr>
          </w:p>
        </w:tc>
        <w:tc>
          <w:tcPr>
            <w:tcW w:w="400" w:type="dxa"/>
            <w:vAlign w:val="bottom"/>
            <w:shd w:val="clear" w:color="auto" w:fill="E9E9E9"/>
          </w:tcPr>
          <w:p>
            <w:pPr>
              <w:spacing w:after="0"/>
              <w:rPr>
                <w:sz w:val="22"/>
                <w:szCs w:val="22"/>
                <w:color w:val="auto"/>
              </w:rPr>
            </w:pPr>
          </w:p>
        </w:tc>
        <w:tc>
          <w:tcPr>
            <w:tcW w:w="360" w:type="dxa"/>
            <w:vAlign w:val="bottom"/>
            <w:shd w:val="clear" w:color="auto" w:fill="E9E9E9"/>
          </w:tcPr>
          <w:p>
            <w:pPr>
              <w:spacing w:after="0"/>
              <w:rPr>
                <w:sz w:val="22"/>
                <w:szCs w:val="22"/>
                <w:color w:val="auto"/>
              </w:rPr>
            </w:pPr>
          </w:p>
        </w:tc>
        <w:tc>
          <w:tcPr>
            <w:tcW w:w="840" w:type="dxa"/>
            <w:vAlign w:val="bottom"/>
            <w:shd w:val="clear" w:color="auto" w:fill="E9E9E9"/>
          </w:tcPr>
          <w:p>
            <w:pPr>
              <w:spacing w:after="0"/>
              <w:rPr>
                <w:sz w:val="22"/>
                <w:szCs w:val="22"/>
                <w:color w:val="auto"/>
              </w:rPr>
            </w:pPr>
          </w:p>
        </w:tc>
        <w:tc>
          <w:tcPr>
            <w:tcW w:w="300" w:type="dxa"/>
            <w:vAlign w:val="bottom"/>
            <w:shd w:val="clear" w:color="auto" w:fill="E9E9E9"/>
          </w:tcPr>
          <w:p>
            <w:pPr>
              <w:spacing w:after="0"/>
              <w:rPr>
                <w:sz w:val="22"/>
                <w:szCs w:val="22"/>
                <w:color w:val="auto"/>
              </w:rPr>
            </w:pPr>
          </w:p>
        </w:tc>
        <w:tc>
          <w:tcPr>
            <w:tcW w:w="340" w:type="dxa"/>
            <w:vAlign w:val="bottom"/>
            <w:shd w:val="clear" w:color="auto" w:fill="E9E9E9"/>
          </w:tcPr>
          <w:p>
            <w:pPr>
              <w:spacing w:after="0"/>
              <w:rPr>
                <w:sz w:val="22"/>
                <w:szCs w:val="22"/>
                <w:color w:val="auto"/>
              </w:rPr>
            </w:pPr>
          </w:p>
        </w:tc>
        <w:tc>
          <w:tcPr>
            <w:tcW w:w="860" w:type="dxa"/>
            <w:vAlign w:val="bottom"/>
            <w:shd w:val="clear" w:color="auto" w:fill="E9E9E9"/>
          </w:tcPr>
          <w:p>
            <w:pPr>
              <w:spacing w:after="0"/>
              <w:rPr>
                <w:sz w:val="22"/>
                <w:szCs w:val="22"/>
                <w:color w:val="auto"/>
              </w:rPr>
            </w:pPr>
          </w:p>
        </w:tc>
        <w:tc>
          <w:tcPr>
            <w:tcW w:w="280" w:type="dxa"/>
            <w:vAlign w:val="bottom"/>
            <w:shd w:val="clear" w:color="auto" w:fill="E9E9E9"/>
          </w:tcPr>
          <w:p>
            <w:pPr>
              <w:spacing w:after="0"/>
              <w:rPr>
                <w:sz w:val="22"/>
                <w:szCs w:val="22"/>
                <w:color w:val="auto"/>
              </w:rPr>
            </w:pPr>
          </w:p>
        </w:tc>
        <w:tc>
          <w:tcPr>
            <w:tcW w:w="960" w:type="dxa"/>
            <w:vAlign w:val="bottom"/>
            <w:shd w:val="clear" w:color="auto" w:fill="E9E9E9"/>
          </w:tcPr>
          <w:p>
            <w:pPr>
              <w:spacing w:after="0"/>
              <w:rPr>
                <w:sz w:val="22"/>
                <w:szCs w:val="22"/>
                <w:color w:val="auto"/>
              </w:rPr>
            </w:pPr>
          </w:p>
        </w:tc>
        <w:tc>
          <w:tcPr>
            <w:tcW w:w="1720" w:type="dxa"/>
            <w:vAlign w:val="bottom"/>
            <w:shd w:val="clear" w:color="auto" w:fill="E9E9E9"/>
          </w:tcPr>
          <w:p>
            <w:pPr>
              <w:spacing w:after="0"/>
              <w:rPr>
                <w:sz w:val="22"/>
                <w:szCs w:val="22"/>
                <w:color w:val="auto"/>
              </w:rPr>
            </w:pPr>
          </w:p>
        </w:tc>
        <w:tc>
          <w:tcPr>
            <w:tcW w:w="320" w:type="dxa"/>
            <w:vAlign w:val="bottom"/>
            <w:shd w:val="clear" w:color="auto" w:fill="E9E9E9"/>
          </w:tcPr>
          <w:p>
            <w:pPr>
              <w:spacing w:after="0"/>
              <w:rPr>
                <w:sz w:val="22"/>
                <w:szCs w:val="22"/>
                <w:color w:val="auto"/>
              </w:rPr>
            </w:pPr>
          </w:p>
        </w:tc>
        <w:tc>
          <w:tcPr>
            <w:tcW w:w="880" w:type="dxa"/>
            <w:vAlign w:val="bottom"/>
            <w:shd w:val="clear" w:color="auto" w:fill="E9E9E9"/>
          </w:tcPr>
          <w:p>
            <w:pPr>
              <w:spacing w:after="0"/>
              <w:rPr>
                <w:sz w:val="22"/>
                <w:szCs w:val="22"/>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7"/>
                <w:szCs w:val="17"/>
                <w:color w:val="auto"/>
              </w:rPr>
              <w:t>S. A. Anderson</w:t>
            </w:r>
          </w:p>
        </w:tc>
        <w:tc>
          <w:tcPr>
            <w:tcW w:w="400" w:type="dxa"/>
            <w:vAlign w:val="bottom"/>
          </w:tcPr>
          <w:p>
            <w:pPr>
              <w:jc w:val="center"/>
              <w:spacing w:after="0"/>
              <w:rPr>
                <w:sz w:val="20"/>
                <w:szCs w:val="20"/>
                <w:color w:val="auto"/>
              </w:rPr>
            </w:pPr>
            <w:r>
              <w:rPr>
                <w:rFonts w:ascii="Arial" w:cs="Arial" w:eastAsia="Arial" w:hAnsi="Arial"/>
                <w:sz w:val="17"/>
                <w:szCs w:val="17"/>
                <w:color w:val="auto"/>
              </w:rPr>
              <w:t>2014</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550,000</w:t>
            </w:r>
          </w:p>
        </w:tc>
        <w:tc>
          <w:tcPr>
            <w:tcW w:w="300" w:type="dxa"/>
            <w:vAlign w:val="bottom"/>
          </w:tcPr>
          <w:p>
            <w:pPr>
              <w:ind w:left="20"/>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4"/>
              <w:spacing w:after="0"/>
              <w:rPr>
                <w:sz w:val="20"/>
                <w:szCs w:val="20"/>
                <w:color w:val="auto"/>
              </w:rPr>
            </w:pPr>
            <w:r>
              <w:rPr>
                <w:rFonts w:ascii="Arial" w:cs="Arial" w:eastAsia="Arial" w:hAnsi="Arial"/>
                <w:sz w:val="17"/>
                <w:szCs w:val="17"/>
                <w:color w:val="auto"/>
              </w:rPr>
              <w:t>77,635</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925,000</w:t>
            </w:r>
          </w:p>
        </w:tc>
        <w:tc>
          <w:tcPr>
            <w:tcW w:w="1720" w:type="dxa"/>
            <w:vAlign w:val="bottom"/>
          </w:tcPr>
          <w:p>
            <w:pPr>
              <w:jc w:val="center"/>
              <w:spacing w:after="0"/>
              <w:rPr>
                <w:sz w:val="20"/>
                <w:szCs w:val="20"/>
                <w:color w:val="auto"/>
              </w:rPr>
            </w:pPr>
            <w:r>
              <w:rPr>
                <w:rFonts w:ascii="Arial" w:cs="Arial" w:eastAsia="Arial" w:hAnsi="Arial"/>
                <w:sz w:val="17"/>
                <w:szCs w:val="17"/>
                <w:color w:val="auto"/>
              </w:rPr>
              <w:t>$ 4,700,042</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6,252,677</w:t>
            </w:r>
          </w:p>
        </w:tc>
      </w:tr>
      <w:tr>
        <w:trPr>
          <w:trHeight w:val="254"/>
        </w:trPr>
        <w:tc>
          <w:tcPr>
            <w:tcW w:w="4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2"/>
        </w:trPr>
        <w:tc>
          <w:tcPr>
            <w:tcW w:w="416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4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2014</w:t>
            </w:r>
          </w:p>
        </w:tc>
        <w:tc>
          <w:tcPr>
            <w:tcW w:w="3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650,000</w:t>
            </w:r>
          </w:p>
        </w:tc>
        <w:tc>
          <w:tcPr>
            <w:tcW w:w="300" w:type="dxa"/>
            <w:vAlign w:val="bottom"/>
            <w:shd w:val="clear" w:color="auto" w:fill="E9E9E9"/>
          </w:tcPr>
          <w:p>
            <w:pPr>
              <w:spacing w:after="0"/>
              <w:rPr>
                <w:sz w:val="19"/>
                <w:szCs w:val="19"/>
                <w:color w:val="auto"/>
              </w:rPr>
            </w:pPr>
          </w:p>
        </w:tc>
        <w:tc>
          <w:tcPr>
            <w:tcW w:w="3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134"/>
              <w:spacing w:after="0"/>
              <w:rPr>
                <w:sz w:val="20"/>
                <w:szCs w:val="20"/>
                <w:color w:val="auto"/>
              </w:rPr>
            </w:pPr>
            <w:r>
              <w:rPr>
                <w:rFonts w:ascii="Arial" w:cs="Arial" w:eastAsia="Arial" w:hAnsi="Arial"/>
                <w:sz w:val="17"/>
                <w:szCs w:val="17"/>
                <w:color w:val="auto"/>
              </w:rPr>
              <w:t>98,872</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96"/>
              <w:spacing w:after="0"/>
              <w:rPr>
                <w:sz w:val="20"/>
                <w:szCs w:val="20"/>
                <w:color w:val="auto"/>
              </w:rPr>
            </w:pPr>
            <w:r>
              <w:rPr>
                <w:rFonts w:ascii="Arial" w:cs="Arial" w:eastAsia="Arial" w:hAnsi="Arial"/>
                <w:sz w:val="17"/>
                <w:szCs w:val="17"/>
                <w:color w:val="auto"/>
              </w:rPr>
              <w:t>1,265,000</w:t>
            </w:r>
          </w:p>
        </w:tc>
        <w:tc>
          <w:tcPr>
            <w:tcW w:w="1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$ 4,000,015</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6,013,887</w:t>
            </w:r>
          </w:p>
        </w:tc>
      </w:tr>
      <w:tr>
        <w:trPr>
          <w:trHeight w:val="238"/>
        </w:trPr>
        <w:tc>
          <w:tcPr>
            <w:tcW w:w="4160" w:type="dxa"/>
            <w:vAlign w:val="bottom"/>
            <w:shd w:val="clear" w:color="auto" w:fill="E9E9E9"/>
          </w:tcPr>
          <w:p>
            <w:pPr>
              <w:spacing w:after="0"/>
              <w:rPr>
                <w:sz w:val="20"/>
                <w:szCs w:val="20"/>
                <w:color w:val="auto"/>
              </w:rPr>
            </w:pPr>
          </w:p>
        </w:tc>
        <w:tc>
          <w:tcPr>
            <w:tcW w:w="4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2013</w:t>
            </w:r>
          </w:p>
        </w:tc>
        <w:tc>
          <w:tcPr>
            <w:tcW w:w="3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625,000</w:t>
            </w:r>
          </w:p>
        </w:tc>
        <w:tc>
          <w:tcPr>
            <w:tcW w:w="300" w:type="dxa"/>
            <w:vAlign w:val="bottom"/>
            <w:shd w:val="clear" w:color="auto" w:fill="E9E9E9"/>
          </w:tcPr>
          <w:p>
            <w:pPr>
              <w:spacing w:after="0"/>
              <w:rPr>
                <w:sz w:val="20"/>
                <w:szCs w:val="20"/>
                <w:color w:val="auto"/>
              </w:rPr>
            </w:pPr>
          </w:p>
        </w:tc>
        <w:tc>
          <w:tcPr>
            <w:tcW w:w="3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134"/>
              <w:spacing w:after="0"/>
              <w:rPr>
                <w:sz w:val="20"/>
                <w:szCs w:val="20"/>
                <w:color w:val="auto"/>
              </w:rPr>
            </w:pPr>
            <w:r>
              <w:rPr>
                <w:rFonts w:ascii="Arial" w:cs="Arial" w:eastAsia="Arial" w:hAnsi="Arial"/>
                <w:sz w:val="17"/>
                <w:szCs w:val="17"/>
                <w:color w:val="auto"/>
              </w:rPr>
              <w:t>53,571</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96"/>
              <w:spacing w:after="0"/>
              <w:rPr>
                <w:sz w:val="20"/>
                <w:szCs w:val="20"/>
                <w:color w:val="auto"/>
              </w:rPr>
            </w:pPr>
            <w:r>
              <w:rPr>
                <w:rFonts w:ascii="Arial" w:cs="Arial" w:eastAsia="Arial" w:hAnsi="Arial"/>
                <w:sz w:val="17"/>
                <w:szCs w:val="17"/>
                <w:color w:val="auto"/>
              </w:rPr>
              <w:t>1,100,000</w:t>
            </w:r>
          </w:p>
        </w:tc>
        <w:tc>
          <w:tcPr>
            <w:tcW w:w="1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$ 3,542,630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5,321,201</w:t>
            </w:r>
          </w:p>
        </w:tc>
      </w:tr>
      <w:tr>
        <w:trPr>
          <w:trHeight w:val="254"/>
        </w:trPr>
        <w:tc>
          <w:tcPr>
            <w:tcW w:w="4160" w:type="dxa"/>
            <w:vAlign w:val="bottom"/>
            <w:shd w:val="clear" w:color="auto" w:fill="E9E9E9"/>
          </w:tcPr>
          <w:p>
            <w:pPr>
              <w:spacing w:after="0"/>
              <w:rPr>
                <w:sz w:val="22"/>
                <w:szCs w:val="22"/>
                <w:color w:val="auto"/>
              </w:rPr>
            </w:pPr>
          </w:p>
        </w:tc>
        <w:tc>
          <w:tcPr>
            <w:tcW w:w="4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2012</w:t>
            </w:r>
          </w:p>
        </w:tc>
        <w:tc>
          <w:tcPr>
            <w:tcW w:w="3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600,000</w:t>
            </w:r>
          </w:p>
        </w:tc>
        <w:tc>
          <w:tcPr>
            <w:tcW w:w="300" w:type="dxa"/>
            <w:vAlign w:val="bottom"/>
            <w:shd w:val="clear" w:color="auto" w:fill="E9E9E9"/>
          </w:tcPr>
          <w:p>
            <w:pPr>
              <w:spacing w:after="0"/>
              <w:rPr>
                <w:sz w:val="22"/>
                <w:szCs w:val="22"/>
                <w:color w:val="auto"/>
              </w:rPr>
            </w:pPr>
          </w:p>
        </w:tc>
        <w:tc>
          <w:tcPr>
            <w:tcW w:w="3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134"/>
              <w:spacing w:after="0"/>
              <w:rPr>
                <w:sz w:val="20"/>
                <w:szCs w:val="20"/>
                <w:color w:val="auto"/>
              </w:rPr>
            </w:pPr>
            <w:r>
              <w:rPr>
                <w:rFonts w:ascii="Arial" w:cs="Arial" w:eastAsia="Arial" w:hAnsi="Arial"/>
                <w:sz w:val="17"/>
                <w:szCs w:val="17"/>
                <w:color w:val="auto"/>
              </w:rPr>
              <w:t>27,945</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96"/>
              <w:spacing w:after="0"/>
              <w:rPr>
                <w:sz w:val="20"/>
                <w:szCs w:val="20"/>
                <w:color w:val="auto"/>
              </w:rPr>
            </w:pPr>
            <w:r>
              <w:rPr>
                <w:rFonts w:ascii="Arial" w:cs="Arial" w:eastAsia="Arial" w:hAnsi="Arial"/>
                <w:sz w:val="17"/>
                <w:szCs w:val="17"/>
                <w:color w:val="auto"/>
              </w:rPr>
              <w:t>1,000,000</w:t>
            </w:r>
          </w:p>
        </w:tc>
        <w:tc>
          <w:tcPr>
            <w:tcW w:w="17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$ 3,343,079</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4,971,024</w:t>
            </w:r>
          </w:p>
        </w:tc>
      </w:tr>
    </w:tbl>
    <w:p>
      <w:pPr>
        <w:spacing w:after="0" w:line="254" w:lineRule="exact"/>
        <w:rPr>
          <w:sz w:val="20"/>
          <w:szCs w:val="20"/>
          <w:color w:val="auto"/>
        </w:rPr>
      </w:pPr>
    </w:p>
    <w:p>
      <w:pPr>
        <w:ind w:right="8760" w:firstLine="6"/>
        <w:spacing w:after="0" w:line="596" w:lineRule="auto"/>
        <w:tabs>
          <w:tab w:leader="none" w:pos="18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Annual rate effective July 2014. ** Annual rate effective June 2012.</w:t>
      </w:r>
    </w:p>
    <w:p>
      <w:pPr>
        <w:spacing w:after="0" w:line="179"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For Mr. Templeton, the “Total” was higher for 2014 than for 2013 due about equally to the higher level of his bonus and the higher grant date fair value of his equity compensation. For Mr. March, the “Total” was higher for 2014 primarily due to the higher level of his bonus. For the other officers, the “Total” was higher for 2014 primarily due to the higher grant date fair value of their equity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decisions shown above resulted in the following 2014 compensation mix for the named executive officers:</w:t>
      </w:r>
    </w:p>
    <w:p>
      <w:pPr>
        <w:spacing w:after="0" w:line="207" w:lineRule="exact"/>
        <w:rPr>
          <w:sz w:val="20"/>
          <w:szCs w:val="20"/>
          <w:color w:val="auto"/>
        </w:rPr>
      </w:pPr>
    </w:p>
    <w:p>
      <w:pPr>
        <w:ind w:left="3960"/>
        <w:spacing w:after="0"/>
        <w:tabs>
          <w:tab w:leader="none" w:pos="6740" w:val="left"/>
        </w:tabs>
        <w:rPr>
          <w:sz w:val="20"/>
          <w:szCs w:val="20"/>
          <w:color w:val="auto"/>
        </w:rPr>
      </w:pPr>
      <w:r>
        <w:rPr>
          <w:rFonts w:ascii="Arial" w:cs="Arial" w:eastAsia="Arial" w:hAnsi="Arial"/>
          <w:sz w:val="17"/>
          <w:szCs w:val="17"/>
          <w:b w:val="1"/>
          <w:bCs w:val="1"/>
          <w:color w:val="auto"/>
        </w:rPr>
        <w:t>CEO</w:t>
      </w:r>
      <w:r>
        <w:rPr>
          <w:sz w:val="20"/>
          <w:szCs w:val="20"/>
          <w:color w:val="auto"/>
        </w:rPr>
        <w:tab/>
      </w:r>
      <w:r>
        <w:rPr>
          <w:rFonts w:ascii="Arial" w:cs="Arial" w:eastAsia="Arial" w:hAnsi="Arial"/>
          <w:sz w:val="17"/>
          <w:szCs w:val="17"/>
          <w:b w:val="1"/>
          <w:bCs w:val="1"/>
          <w:color w:val="auto"/>
        </w:rPr>
        <w:t>Other NEOs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180340</wp:posOffset>
            </wp:positionV>
            <wp:extent cx="4018915" cy="17449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018915" cy="174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 Average data for the named executive officers other than Mr. Templeton.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232" w:lineRule="exact"/>
        <w:rPr>
          <w:sz w:val="20"/>
          <w:szCs w:val="20"/>
          <w:color w:val="auto"/>
        </w:rPr>
      </w:pPr>
    </w:p>
    <w:p>
      <w:pPr>
        <w:ind w:left="340" w:right="60" w:hanging="334"/>
        <w:spacing w:after="0" w:line="247"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This table shows the annual rate of base salary as set by the committee. In the summary compensation table, the “Salary” column shows the actual salary paid in the year. This table has separate columns for profit sharing and bonus. In the summary compensation table, profit sharing and bonus are aggregated in the column for “Non-Equity Incentive Plan Compensation,” in accordance with SEC requirements. Please see notes 2 and 3 to the summary compensation table for information about how grant date fair value was calculated.</w:t>
      </w:r>
    </w:p>
    <w:p>
      <w:pPr>
        <w:sectPr>
          <w:pgSz w:w="11900" w:h="16838" w:orient="portrait"/>
          <w:cols w:equalWidth="0" w:num="1">
            <w:col w:w="11420"/>
          </w:cols>
          <w:pgMar w:left="240" w:top="592" w:right="239" w:bottom="1440" w:gutter="0" w:footer="0" w:header="0"/>
        </w:sectPr>
      </w:pPr>
    </w:p>
    <w:p>
      <w:pPr>
        <w:spacing w:after="0" w:line="235" w:lineRule="exact"/>
        <w:rPr>
          <w:sz w:val="20"/>
          <w:szCs w:val="20"/>
          <w:color w:val="auto"/>
        </w:rPr>
      </w:pPr>
    </w:p>
    <w:p>
      <w:pPr>
        <w:spacing w:after="0"/>
        <w:tabs>
          <w:tab w:leader="none" w:pos="4100" w:val="left"/>
        </w:tabs>
        <w:rPr>
          <w:sz w:val="20"/>
          <w:szCs w:val="20"/>
          <w:color w:val="auto"/>
        </w:rPr>
      </w:pPr>
      <w:r>
        <w:rPr>
          <w:rFonts w:ascii="Arial" w:cs="Arial" w:eastAsia="Arial" w:hAnsi="Arial"/>
          <w:sz w:val="13"/>
          <w:szCs w:val="13"/>
          <w:color w:val="838383"/>
        </w:rPr>
        <w:t>94</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7"/>
          <w:szCs w:val="17"/>
          <w:i w:val="1"/>
          <w:iCs w:val="1"/>
          <w:color w:val="auto"/>
        </w:rPr>
        <w:t>Equity dilution</w:t>
      </w:r>
    </w:p>
    <w:p>
      <w:pPr>
        <w:spacing w:after="0" w:line="21"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The Compensation Committee’s goal is to keep net annual dilution from equity compensation under 2 percent. “Net annual dilution” means the number of shares under equity awards granted by the committee each year to all employees (net of award forfeitures) as a percentage of the shares of the company’s outstanding common stock. Equity awards granted in 2014 resulted in 1.4 percent net annual dilution.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Process for equity grants</w:t>
      </w:r>
    </w:p>
    <w:p>
      <w:pPr>
        <w:spacing w:after="0" w:line="21"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The Compensation Committee makes grant decisions for equity compensation at its January meeting each year. The dates on which these meetings occur are generally set three years in advance. The January meetings of the board and the committee generally occur in the week or two before we announce our financial results for the previous quarter and year.</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On occasion, the committee may grant stock options or restricted stock units to executives at times other than January. For example, it has done so in connection with job promotions and for purposes of retention.</w:t>
      </w:r>
    </w:p>
    <w:p>
      <w:pPr>
        <w:spacing w:after="0" w:line="192" w:lineRule="exact"/>
        <w:rPr>
          <w:sz w:val="20"/>
          <w:szCs w:val="20"/>
          <w:color w:val="auto"/>
        </w:rPr>
      </w:pPr>
    </w:p>
    <w:p>
      <w:pPr>
        <w:ind w:right="280"/>
        <w:spacing w:after="0" w:line="255" w:lineRule="auto"/>
        <w:rPr>
          <w:sz w:val="20"/>
          <w:szCs w:val="20"/>
          <w:color w:val="auto"/>
        </w:rPr>
      </w:pPr>
      <w:r>
        <w:rPr>
          <w:rFonts w:ascii="Arial" w:cs="Arial" w:eastAsia="Arial" w:hAnsi="Arial"/>
          <w:sz w:val="17"/>
          <w:szCs w:val="17"/>
          <w:color w:val="auto"/>
        </w:rPr>
        <w:t>We do not back-date stock options or restricted stock units. We do not accelerate or delay the release of information due to plans for making equity grants.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If the committee meeting falls in the same month as the release of the company’s financial results, the committee’s practice is to make grants effective</w:t>
      </w:r>
    </w:p>
    <w:p>
      <w:pPr>
        <w:spacing w:after="0" w:line="3" w:lineRule="exact"/>
        <w:rPr>
          <w:sz w:val="20"/>
          <w:szCs w:val="20"/>
          <w:color w:val="auto"/>
        </w:rPr>
      </w:pPr>
    </w:p>
    <w:p>
      <w:pPr>
        <w:ind w:right="840" w:firstLine="6"/>
        <w:spacing w:after="0" w:line="255" w:lineRule="auto"/>
        <w:tabs>
          <w:tab w:leader="none" w:pos="2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after the results have been released or (ii) on the meeting day if later. In other months, its practice is to make them effective on the day of committee action. The exercise price of stock options is the closing price of TI stock on the effective date of the grant.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Recoupment policy</w:t>
      </w:r>
    </w:p>
    <w:p>
      <w:pPr>
        <w:spacing w:after="0" w:line="2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The committee has a policy concerning recoupment (“clawback”) of executive bonuses and equity compensation. Under the policy, in the event of a material restatement of TI’s financial results due to misconduct, the committee will review the facts and circumstances and take the actions it considers appropriate with respect to the compensation of any executive officer whose fraud or willful misconduct contributed to the need for such restatement. Such action may include (a) seeking reimbursement of any bonus paid to such officer exceeding the amount that, in the judgment of the committee, would have been paid had the financial results been properly reported and (b) seeking to recover profits received by such officer during the twelve months after the restated period under equity compensation awards. All determinations by the committee with respect to this policy are final and binding on all interested parties.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Most recent stockholder advisory vote on executive compensation</w:t>
      </w:r>
    </w:p>
    <w:p>
      <w:pPr>
        <w:spacing w:after="0" w:line="21"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In April 2014, our shareholders cast an advisory vote on the company’s executive compensation decisions and policies as disclosed in the proxy statement issued by the company in March 2014. Approximately 97 percent of the shares voted on the matter were cast in support of the compensation decisions and policies as disclosed. The committee considered this result and determined that it was not necessary at this time to make any material changes to the company’s compensation policies and practices in response to the advisory vote.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Benefits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Retirement plans</w:t>
      </w:r>
    </w:p>
    <w:p>
      <w:pPr>
        <w:spacing w:after="0" w:line="21"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 executive officers participate in our retirement plans under the same rules that apply to other U.S. employees. We maintain these plans to have a competitive benefits program and for retention.</w:t>
      </w:r>
    </w:p>
    <w:p>
      <w:pPr>
        <w:spacing w:after="0" w:line="192"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Like other established U.S. manufacturers, we have had a U.S. qualified defined benefit pension plan for many years. At its origin, the plan was designed to be consistent with those offered by other employers in the diverse markets in which we operated, which at the time included consumer and defense electronics as well as semiconductors and materials products. In order to limit the cost of the plan, we closed the plan to new participants in 1997. We gave U.S. employees as of November 1997 the choice to remain in the plan, or to have their plan benefits frozen (i.e., no benefit increase attributable to years of service or change in eligible earnings) and begin participating in an enhanced defined contribution plan. Mr. Templeton and Mr. Crutcher chose not to remain in the defined benefit plan. As a result, their benefits under that plan were frozen in 1997 and they participate in the enhanced defined contribution plan. Mr. Anderson, who joined the company in 1999, participates in the enhanced defined contribution plan. The other named executive officers have continued their participation in the defined benefit pension plan.</w:t>
      </w:r>
    </w:p>
    <w:p>
      <w:pPr>
        <w:spacing w:after="0" w:line="201" w:lineRule="exact"/>
        <w:rPr>
          <w:sz w:val="20"/>
          <w:szCs w:val="20"/>
          <w:color w:val="auto"/>
        </w:rPr>
      </w:pPr>
    </w:p>
    <w:p>
      <w:pPr>
        <w:ind w:right="240"/>
        <w:spacing w:after="0" w:line="247" w:lineRule="auto"/>
        <w:rPr>
          <w:sz w:val="20"/>
          <w:szCs w:val="20"/>
          <w:color w:val="auto"/>
        </w:rPr>
      </w:pPr>
      <w:r>
        <w:rPr>
          <w:rFonts w:ascii="Arial" w:cs="Arial" w:eastAsia="Arial" w:hAnsi="Arial"/>
          <w:sz w:val="17"/>
          <w:szCs w:val="17"/>
          <w:color w:val="auto"/>
        </w:rPr>
        <w:t>The Internal Revenue Code (IRC) imposes certain limits on the retirement benefits that may be provided under a qualified plan. To maintain the desired level of benefits, we have non-qualified defined benefit pension plans for participants in the qualified pension plan. Under the non-qualified plans, participants receive benefits that would ordinarily be paid under the qualified pension plan but for the limitations under the IRC. For additional information about the defined benefit plans, please see pages 104-106.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300" w:type="dxa"/>
            <w:vAlign w:val="bottom"/>
          </w:tcPr>
          <w:p>
            <w:pPr>
              <w:ind w:left="4120"/>
              <w:spacing w:after="0"/>
              <w:rPr>
                <w:sz w:val="20"/>
                <w:szCs w:val="20"/>
                <w:color w:val="auto"/>
              </w:rPr>
            </w:pPr>
            <w:r>
              <w:rPr>
                <w:rFonts w:ascii="Arial" w:cs="Arial" w:eastAsia="Arial" w:hAnsi="Arial"/>
                <w:sz w:val="13"/>
                <w:szCs w:val="13"/>
                <w:color w:val="838383"/>
              </w:rPr>
              <w:t>TEXAS INSTRUMENTS ● 2015 PROXY STATEMENT</w:t>
            </w:r>
          </w:p>
        </w:tc>
        <w:tc>
          <w:tcPr>
            <w:tcW w:w="2140" w:type="dxa"/>
            <w:vAlign w:val="bottom"/>
          </w:tcPr>
          <w:p>
            <w:pPr>
              <w:jc w:val="right"/>
              <w:spacing w:after="0"/>
              <w:rPr>
                <w:sz w:val="20"/>
                <w:szCs w:val="20"/>
                <w:color w:val="auto"/>
              </w:rPr>
            </w:pPr>
            <w:r>
              <w:rPr>
                <w:rFonts w:ascii="Arial" w:cs="Arial" w:eastAsia="Arial" w:hAnsi="Arial"/>
                <w:sz w:val="13"/>
                <w:szCs w:val="13"/>
                <w:color w:val="838383"/>
              </w:rPr>
              <w:t>95</w:t>
            </w:r>
          </w:p>
        </w:tc>
      </w:tr>
      <w:tr>
        <w:trPr>
          <w:trHeight w:val="355"/>
        </w:trPr>
        <w:tc>
          <w:tcPr>
            <w:tcW w:w="930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74" w:right="219" w:bottom="1440" w:gutter="0" w:footer="0" w:header="0"/>
        </w:sectPr>
      </w:pPr>
    </w:p>
    <w:bookmarkStart w:id="26" w:name="page27"/>
    <w:bookmarkEnd w:id="26"/>
    <w:p>
      <w:pPr>
        <w:ind w:right="20"/>
        <w:spacing w:after="0" w:line="247" w:lineRule="auto"/>
        <w:rPr>
          <w:sz w:val="20"/>
          <w:szCs w:val="20"/>
          <w:color w:val="auto"/>
        </w:rPr>
      </w:pPr>
      <w:r>
        <w:rPr>
          <w:rFonts w:ascii="Arial" w:cs="Arial" w:eastAsia="Arial" w:hAnsi="Arial"/>
          <w:sz w:val="17"/>
          <w:szCs w:val="17"/>
          <w:color w:val="auto"/>
        </w:rPr>
        <w:t>Employees accruing benefits in the qualified pension plan, including the named executive officers other than Mr. Templeton, Mr. Crutcher and Mr. Anderson, also are eligible to participate in a qualified defined contribution plan that provides employer matching contributions. The enhanced defined contribution plan, in which Mr. Templeton, Mr. Crutcher and Mr. Anderson participate, provides for a fixed employer contribution plus an employer matching contribution.</w:t>
      </w:r>
    </w:p>
    <w:p>
      <w:pPr>
        <w:spacing w:after="0" w:line="200"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In general, if an employee who participates in the pension plan (including an employee whose benefits are frozen as described above) dies after having met the requirements for normal or early retirement, his or her beneficiary will receive a benefit equal to the lump-sum amount that the participant would have received if he or she had retired before death. Having already reached the age of 55 and at least 20 years of employment, Mr. Templeton, Mr. March and Mr. Ritchie are eligible for early retirement under the pension plans.</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Because benefits under the qualified and non-qualified defined benefit pension plans are calculated on the basis of eligible earnings (salary and bonus), an increase in salary or bonus may result in an increase in benefits under the plans. Salary or bonus increases for Mr. Templeton and Mr. Crutcher do not result in greater benefits for them under the company’s defined benefit pension plans because their benefits under those plans were frozen in 1997. Mr. Anderson does not participate in the company’s defined benefit pension plans. The committee considers the potential effect on the executives’ retirement benefits when it sets salary and performance bonus levels.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Deferred compensation</w:t>
      </w:r>
    </w:p>
    <w:p>
      <w:pPr>
        <w:spacing w:after="0" w:line="21"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Any U.S. employee whose base salary and management responsibility exceed a certain level may defer the receipt of a portion of his or her salary, bonus and profit sharing. Rules of the U.S. Department of Labor require that this plan be limited to a select group of management or highly compensated employees. The plan allows employees to defer the receipt of their compensation in a tax-efficient manner. Eligible employees include, but are not limited to, the executive officers. We have the plan to be competitive with the benefits packages offered by other companies.</w:t>
      </w:r>
    </w:p>
    <w:p>
      <w:pPr>
        <w:spacing w:after="0" w:line="200"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 executive officers’ deferred compensation account balances are unsecured and all amounts remain part of the company’s operating assets. The value of the deferred amounts tracks the performance of investment alternatives selected by the participant. These alternatives are a subset of those offered to participants in the defined contribution plans described above. The company does not guarantee any minimum return on the amounts deferred. In accordance with SEC rules, no earnings on deferred compensation are shown in the summary compensation table on page 98 for 2014 because no “above market” rates were earned on deferred amounts in that year.</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Employee stock purchase plan</w:t>
      </w:r>
    </w:p>
    <w:p>
      <w:pPr>
        <w:spacing w:after="0" w:line="21"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We have an employee stock purchase plan. Under the plan, which our shareholders approved, all employees in the U.S. and certain other countries may purchase a limited number of shares of the company’s common stock at a 15 percent discount. The plan is designed to offer the broad-based employee population an opportunity to acquire an equity interest in the company and thereby align their interests with those of shareholders. Consistent with our general approach to benefit programs, executive officers are also eligible to participate.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Health-related benefits</w:t>
      </w:r>
    </w:p>
    <w:p>
      <w:pPr>
        <w:spacing w:after="0" w:line="21" w:lineRule="exact"/>
        <w:rPr>
          <w:sz w:val="20"/>
          <w:szCs w:val="20"/>
          <w:color w:val="auto"/>
        </w:rPr>
      </w:pPr>
    </w:p>
    <w:p>
      <w:pPr>
        <w:ind w:right="580"/>
        <w:spacing w:after="0" w:line="255" w:lineRule="auto"/>
        <w:rPr>
          <w:sz w:val="20"/>
          <w:szCs w:val="20"/>
          <w:color w:val="auto"/>
        </w:rPr>
      </w:pPr>
      <w:r>
        <w:rPr>
          <w:rFonts w:ascii="Arial" w:cs="Arial" w:eastAsia="Arial" w:hAnsi="Arial"/>
          <w:sz w:val="17"/>
          <w:szCs w:val="17"/>
          <w:color w:val="auto"/>
        </w:rPr>
        <w:t>Executive officers are eligible under the same plans as all other U.S. employees for medical, dental, vision, disability and life insurance. These benefits are intended to be competitive with benefits offered in the semiconductor industry.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Other benefits</w:t>
      </w:r>
    </w:p>
    <w:p>
      <w:pPr>
        <w:spacing w:after="0" w:line="21"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Executive officers receive only a few benefits that are not available to all other U.S. employees. The CEO is eligible for a company-paid physical and financial counseling. In addition, the board of directors has determined that for security reasons, it is in the company’s interest to require the CEO to use company aircraft for personal air travel. Please see pages 99 (footnote 6) and 108 for further details. The company provides no tax gross-ups for perquisites to any of the executive officers.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following employment termination or change in control</w:t>
      </w:r>
    </w:p>
    <w:p>
      <w:pPr>
        <w:spacing w:after="0" w:line="21"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None of the executive officers has an employment contract. Executive officers are eligible for benefits on the same terms as other U.S. employees upon termination of employment or a change in control of the company. The current programs are described under the heading Potential payments upon termination or change in control, beginning on page 107. None of the few additional benefits that the executive officers receive continue after termination of employment, except the amount for financial counseling is provided in the following year in the event of retirement. The committee reviews the potential impact of these programs before finalizing the annual compensation for the named executive officers. The committee did not raise or lower compensation for 2014 based on this review.</w:t>
      </w:r>
    </w:p>
    <w:p>
      <w:pPr>
        <w:spacing w:after="0" w:line="213" w:lineRule="exact"/>
        <w:rPr>
          <w:sz w:val="20"/>
          <w:szCs w:val="20"/>
          <w:color w:val="auto"/>
        </w:rPr>
      </w:pPr>
    </w:p>
    <w:p>
      <w:pPr>
        <w:spacing w:after="0"/>
        <w:tabs>
          <w:tab w:leader="none" w:pos="4100" w:val="left"/>
        </w:tabs>
        <w:rPr>
          <w:sz w:val="20"/>
          <w:szCs w:val="20"/>
          <w:color w:val="auto"/>
        </w:rPr>
      </w:pPr>
      <w:r>
        <w:rPr>
          <w:rFonts w:ascii="Arial" w:cs="Arial" w:eastAsia="Arial" w:hAnsi="Arial"/>
          <w:sz w:val="13"/>
          <w:szCs w:val="13"/>
          <w:color w:val="838383"/>
        </w:rPr>
        <w:t>96</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360"/>
          </w:cols>
          <w:pgMar w:left="240" w:top="592" w:right="299" w:bottom="1440" w:gutter="0" w:footer="0" w:header="0"/>
        </w:sectPr>
      </w:pPr>
    </w:p>
    <w:bookmarkStart w:id="27" w:name="page28"/>
    <w:bookmarkEnd w:id="27"/>
    <w:p>
      <w:pPr>
        <w:ind w:right="80"/>
        <w:spacing w:after="0" w:line="246" w:lineRule="auto"/>
        <w:rPr>
          <w:sz w:val="20"/>
          <w:szCs w:val="20"/>
          <w:color w:val="auto"/>
        </w:rPr>
      </w:pPr>
      <w:r>
        <w:rPr>
          <w:rFonts w:ascii="Arial" w:cs="Arial" w:eastAsia="Arial" w:hAnsi="Arial"/>
          <w:sz w:val="17"/>
          <w:szCs w:val="17"/>
          <w:color w:val="auto"/>
        </w:rPr>
        <w:t>The Texas Instruments 2009 Long-Term Incentive Plan generally establishes double-trigger change-in-control terms for grants made in 2010 and later years. Under those terms, options become fully exercisable and shares are issued under restricted stock unit awards (to the extent permitted by Section 409A of the IRC) if the grantee is involuntarily terminated within 24 months after a change in control of TI. These terms are intended to encourage employees to remain with the company through a transaction while reducing employee uncertainty and distraction in the period leading up to any such event.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ownership guidelines and policy against hedging</w:t>
      </w:r>
    </w:p>
    <w:p>
      <w:pPr>
        <w:spacing w:after="0" w:line="21"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Our board of directors has established stock ownership guidelines for executive officers. The guideline for the CEO is four times base salary or 125,000 shares, whichever is less. The guideline for other executive officers is three times base salary or 25,000 shares, whichever is less. Executive officers have five years from their election as executive officers to reach these targets. Directly owned shares and restricted stock units count toward satisfying the guidelines.</w:t>
      </w:r>
    </w:p>
    <w:p>
      <w:pPr>
        <w:spacing w:after="0" w:line="200"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Short sales of TI stock by our executive officers are prohibited. It is against TI policy for any employee, including an executive officer, to engage in trading in “puts” (options to sell at a fixed price on or before a certain date), “calls” (similar options to buy), or other options or hedging techniques on TI stock.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Consideration of tax and accounting treatment of compensation</w:t>
      </w:r>
    </w:p>
    <w:p>
      <w:pPr>
        <w:spacing w:after="0" w:line="2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Section 162(m) of the IRC generally denies a deduction to any publicly held corporation for compensation paid in a taxable year to the company’s CEO and three other highest compensated officers excluding the CFO, to the extent that the officer’s compensation (other than qualified performance-based compensation) exceeds $1 million. The Compensation Committee considers the impact of this deductibility limit on the compensation that it intends to award. The committee exercises its discretion to award compensation that does not meet the requirements of Section 162(m) when applying the limits of Section 162(m) would frustrate or be inconsistent with our compensation policies and/or when the value of the foregone deduction would not be material. The committee has exercised this discretion when awarding restricted stock units that vest over time, without performance conditions to vesting. The committee believes it is in the best interest of the company and our shareholders that restricted stock unit awards provide for the retention of our executive officers in all market conditions.</w:t>
      </w:r>
    </w:p>
    <w:p>
      <w:pPr>
        <w:spacing w:after="0" w:line="20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Texas Instruments Executive Officer Performance Plan is intended to ensure that performance bonuses under the plan are fully tax deductible under Section 162(m). The plan, which shareholders approved in 2002, is further described on page 100. The committee’s general policy is to award bonuses within the plan, although the committee reserves the discretion to pay a bonus outside the plan if it determines that it is in the best interest of the company and our shareholders to do so. The committee set the bonuses of the named executive officers for 2014 performance at the levels described on page 94. The bonuses were awarded within the plan.</w:t>
      </w:r>
    </w:p>
    <w:p>
      <w:pPr>
        <w:spacing w:after="0" w:line="201" w:lineRule="exact"/>
        <w:rPr>
          <w:sz w:val="20"/>
          <w:szCs w:val="20"/>
          <w:color w:val="auto"/>
        </w:rPr>
      </w:pPr>
    </w:p>
    <w:p>
      <w:pPr>
        <w:ind w:right="340"/>
        <w:spacing w:after="0" w:line="255" w:lineRule="auto"/>
        <w:rPr>
          <w:sz w:val="20"/>
          <w:szCs w:val="20"/>
          <w:color w:val="auto"/>
        </w:rPr>
      </w:pPr>
      <w:r>
        <w:rPr>
          <w:rFonts w:ascii="Arial" w:cs="Arial" w:eastAsia="Arial" w:hAnsi="Arial"/>
          <w:sz w:val="17"/>
          <w:szCs w:val="17"/>
          <w:color w:val="auto"/>
        </w:rPr>
        <w:t>When setting equity compensation, the committee considers the cost for financial reporting purposes of equity compensation it intends to grant. Its consideration of the cost of grants made in 2014 is discussed on pages 90-91 above.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report</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of the board of directors has furnished the following report:</w:t>
      </w:r>
    </w:p>
    <w:p>
      <w:pPr>
        <w:spacing w:after="0" w:line="214"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The committee has reviewed and discussed the Compensation Discussion and Analysis (CD&amp;A) with the company’s management. Based on that review and discussion, the committee has recommended to the board of directors that the CD&amp;A be included in the company’s annual report on Form 10-K for 2014 and the company’s proxy statement for the 2015 annual meeting of stockholders.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00" w:type="dxa"/>
            <w:vAlign w:val="bottom"/>
          </w:tcPr>
          <w:p>
            <w:pPr>
              <w:ind w:left="940"/>
              <w:spacing w:after="0"/>
              <w:rPr>
                <w:sz w:val="20"/>
                <w:szCs w:val="20"/>
                <w:color w:val="auto"/>
              </w:rPr>
            </w:pPr>
            <w:r>
              <w:rPr>
                <w:rFonts w:ascii="Arial" w:cs="Arial" w:eastAsia="Arial" w:hAnsi="Arial"/>
                <w:sz w:val="17"/>
                <w:szCs w:val="17"/>
                <w:color w:val="auto"/>
              </w:rPr>
              <w:t>Robert E. Sanchez, Chair</w:t>
            </w:r>
          </w:p>
        </w:tc>
        <w:tc>
          <w:tcPr>
            <w:tcW w:w="4460" w:type="dxa"/>
            <w:vAlign w:val="bottom"/>
          </w:tcPr>
          <w:p>
            <w:pPr>
              <w:jc w:val="center"/>
              <w:spacing w:after="0"/>
              <w:rPr>
                <w:sz w:val="20"/>
                <w:szCs w:val="20"/>
                <w:color w:val="auto"/>
              </w:rPr>
            </w:pPr>
            <w:r>
              <w:rPr>
                <w:rFonts w:ascii="Arial" w:cs="Arial" w:eastAsia="Arial" w:hAnsi="Arial"/>
                <w:sz w:val="17"/>
                <w:szCs w:val="17"/>
                <w:color w:val="auto"/>
              </w:rPr>
              <w:t>Pamela H. Patsley</w:t>
            </w:r>
          </w:p>
        </w:tc>
        <w:tc>
          <w:tcPr>
            <w:tcW w:w="3480" w:type="dxa"/>
            <w:vAlign w:val="bottom"/>
          </w:tcPr>
          <w:p>
            <w:pPr>
              <w:jc w:val="right"/>
              <w:ind w:right="924"/>
              <w:spacing w:after="0"/>
              <w:rPr>
                <w:sz w:val="20"/>
                <w:szCs w:val="20"/>
                <w:color w:val="auto"/>
              </w:rPr>
            </w:pPr>
            <w:r>
              <w:rPr>
                <w:rFonts w:ascii="Arial" w:cs="Arial" w:eastAsia="Arial" w:hAnsi="Arial"/>
                <w:sz w:val="17"/>
                <w:szCs w:val="17"/>
                <w:color w:val="auto"/>
              </w:rPr>
              <w:t>Christine Todd Whitman</w:t>
            </w:r>
          </w:p>
        </w:tc>
      </w:tr>
      <w:tr>
        <w:trPr>
          <w:trHeight w:val="424"/>
        </w:trPr>
        <w:tc>
          <w:tcPr>
            <w:tcW w:w="350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3"/>
                <w:szCs w:val="13"/>
                <w:color w:val="838383"/>
              </w:rPr>
              <w:t>TEXAS INSTRUMENTS ● 2015 PROXY STATEMENT</w:t>
            </w:r>
          </w:p>
        </w:tc>
        <w:tc>
          <w:tcPr>
            <w:tcW w:w="3480" w:type="dxa"/>
            <w:vAlign w:val="bottom"/>
          </w:tcPr>
          <w:p>
            <w:pPr>
              <w:jc w:val="right"/>
              <w:spacing w:after="0"/>
              <w:rPr>
                <w:sz w:val="20"/>
                <w:szCs w:val="20"/>
                <w:color w:val="auto"/>
              </w:rPr>
            </w:pPr>
            <w:r>
              <w:rPr>
                <w:rFonts w:ascii="Arial" w:cs="Arial" w:eastAsia="Arial" w:hAnsi="Arial"/>
                <w:sz w:val="13"/>
                <w:szCs w:val="13"/>
                <w:color w:val="838383"/>
              </w:rPr>
              <w:t>97</w:t>
            </w:r>
          </w:p>
        </w:tc>
      </w:tr>
      <w:tr>
        <w:trPr>
          <w:trHeight w:val="355"/>
        </w:trPr>
        <w:tc>
          <w:tcPr>
            <w:tcW w:w="3500" w:type="dxa"/>
            <w:vAlign w:val="bottom"/>
            <w:tcBorders>
              <w:bottom w:val="single" w:sz="8" w:color="808080"/>
            </w:tcBorders>
          </w:tcPr>
          <w:p>
            <w:pPr>
              <w:spacing w:after="0"/>
              <w:rPr>
                <w:sz w:val="24"/>
                <w:szCs w:val="24"/>
                <w:color w:val="auto"/>
              </w:rPr>
            </w:pPr>
          </w:p>
        </w:tc>
        <w:tc>
          <w:tcPr>
            <w:tcW w:w="446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92" w:right="21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2014 summary compensation table</w:t>
      </w:r>
    </w:p>
    <w:p>
      <w:pPr>
        <w:spacing w:after="0" w:line="234"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color w:val="auto"/>
        </w:rPr>
        <w:t>The table below shows the compensation of the company’s CEO, CFO and each of the other three most highly compensated individuals who were executive officers during 2014 (collectively called the “named executive officers”) for services in all capacities to the company in 2014. For a discussion of the amount of a named executive officer’s salary and bonus in proportion to his total compensation, please see the CD&amp;A on pages 86-94.</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center"/>
              <w:ind w:right="239"/>
              <w:spacing w:after="0"/>
              <w:rPr>
                <w:sz w:val="20"/>
                <w:szCs w:val="20"/>
                <w:color w:val="auto"/>
              </w:rPr>
            </w:pPr>
            <w:r>
              <w:rPr>
                <w:rFonts w:ascii="Arial" w:cs="Arial" w:eastAsia="Arial" w:hAnsi="Arial"/>
                <w:sz w:val="13"/>
                <w:szCs w:val="13"/>
                <w:b w:val="1"/>
                <w:bCs w:val="1"/>
                <w:color w:val="auto"/>
              </w:rPr>
              <w:t>Change in</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8"/>
        </w:trPr>
        <w:tc>
          <w:tcPr>
            <w:tcW w:w="2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3"/>
                <w:szCs w:val="13"/>
                <w:b w:val="1"/>
                <w:bCs w:val="1"/>
                <w:color w:val="auto"/>
              </w:rPr>
              <w:t>Pension Value</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8"/>
        </w:trPr>
        <w:tc>
          <w:tcPr>
            <w:tcW w:w="2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center"/>
              <w:ind w:right="239"/>
              <w:spacing w:after="0"/>
              <w:rPr>
                <w:sz w:val="20"/>
                <w:szCs w:val="20"/>
                <w:color w:val="auto"/>
              </w:rPr>
            </w:pPr>
            <w:r>
              <w:rPr>
                <w:rFonts w:ascii="Arial" w:cs="Arial" w:eastAsia="Arial" w:hAnsi="Arial"/>
                <w:sz w:val="13"/>
                <w:szCs w:val="13"/>
                <w:b w:val="1"/>
                <w:bCs w:val="1"/>
                <w:color w:val="auto"/>
              </w:rPr>
              <w:t>and</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8"/>
        </w:trPr>
        <w:tc>
          <w:tcPr>
            <w:tcW w:w="2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Non-Equity</w:t>
            </w: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rPr>
              <w:t>Nonqualified</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8"/>
        </w:trPr>
        <w:tc>
          <w:tcPr>
            <w:tcW w:w="2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Stock</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Incentive Plan</w:t>
            </w:r>
          </w:p>
        </w:tc>
        <w:tc>
          <w:tcPr>
            <w:tcW w:w="320" w:type="dxa"/>
            <w:vAlign w:val="bottom"/>
          </w:tcPr>
          <w:p>
            <w:pPr>
              <w:spacing w:after="0"/>
              <w:rPr>
                <w:sz w:val="20"/>
                <w:szCs w:val="20"/>
                <w:color w:val="auto"/>
              </w:rPr>
            </w:pPr>
          </w:p>
        </w:tc>
        <w:tc>
          <w:tcPr>
            <w:tcW w:w="1000" w:type="dxa"/>
            <w:vAlign w:val="bottom"/>
          </w:tcPr>
          <w:p>
            <w:pPr>
              <w:jc w:val="center"/>
              <w:ind w:right="259"/>
              <w:spacing w:after="0"/>
              <w:rPr>
                <w:sz w:val="20"/>
                <w:szCs w:val="20"/>
                <w:color w:val="auto"/>
              </w:rPr>
            </w:pPr>
            <w:r>
              <w:rPr>
                <w:rFonts w:ascii="Arial" w:cs="Arial" w:eastAsia="Arial" w:hAnsi="Arial"/>
                <w:sz w:val="13"/>
                <w:szCs w:val="13"/>
                <w:b w:val="1"/>
                <w:bCs w:val="1"/>
                <w:color w:val="auto"/>
              </w:rPr>
              <w:t>Deferred</w:t>
            </w:r>
          </w:p>
        </w:tc>
        <w:tc>
          <w:tcPr>
            <w:tcW w:w="340" w:type="dxa"/>
            <w:vAlign w:val="bottom"/>
          </w:tcPr>
          <w:p>
            <w:pPr>
              <w:spacing w:after="0"/>
              <w:rPr>
                <w:sz w:val="20"/>
                <w:szCs w:val="20"/>
                <w:color w:val="auto"/>
              </w:rPr>
            </w:pPr>
          </w:p>
        </w:tc>
        <w:tc>
          <w:tcPr>
            <w:tcW w:w="880" w:type="dxa"/>
            <w:vAlign w:val="bottom"/>
          </w:tcPr>
          <w:p>
            <w:pPr>
              <w:jc w:val="center"/>
              <w:ind w:right="238"/>
              <w:spacing w:after="0"/>
              <w:rPr>
                <w:sz w:val="20"/>
                <w:szCs w:val="20"/>
                <w:color w:val="auto"/>
              </w:rPr>
            </w:pPr>
            <w:r>
              <w:rPr>
                <w:rFonts w:ascii="Arial" w:cs="Arial" w:eastAsia="Arial" w:hAnsi="Arial"/>
                <w:sz w:val="13"/>
                <w:szCs w:val="13"/>
                <w:b w:val="1"/>
                <w:bCs w:val="1"/>
                <w:color w:val="auto"/>
              </w:rPr>
              <w:t>All Other</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8"/>
        </w:trPr>
        <w:tc>
          <w:tcPr>
            <w:tcW w:w="2160" w:type="dxa"/>
            <w:vAlign w:val="bottom"/>
          </w:tcPr>
          <w:p>
            <w:pPr>
              <w:spacing w:after="0"/>
              <w:rPr>
                <w:sz w:val="20"/>
                <w:szCs w:val="20"/>
                <w:color w:val="auto"/>
              </w:rPr>
            </w:pPr>
            <w:r>
              <w:rPr>
                <w:rFonts w:ascii="Arial" w:cs="Arial" w:eastAsia="Arial" w:hAnsi="Arial"/>
                <w:sz w:val="13"/>
                <w:szCs w:val="13"/>
                <w:b w:val="1"/>
                <w:bCs w:val="1"/>
                <w:color w:val="auto"/>
              </w:rPr>
              <w:t>Name and Principal</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277"/>
              <w:spacing w:after="0"/>
              <w:rPr>
                <w:sz w:val="20"/>
                <w:szCs w:val="20"/>
                <w:color w:val="auto"/>
              </w:rPr>
            </w:pPr>
            <w:r>
              <w:rPr>
                <w:rFonts w:ascii="Arial" w:cs="Arial" w:eastAsia="Arial" w:hAnsi="Arial"/>
                <w:sz w:val="13"/>
                <w:szCs w:val="13"/>
                <w:b w:val="1"/>
                <w:bCs w:val="1"/>
                <w:color w:val="auto"/>
              </w:rPr>
              <w:t>Salary</w:t>
            </w:r>
          </w:p>
        </w:tc>
        <w:tc>
          <w:tcPr>
            <w:tcW w:w="600" w:type="dxa"/>
            <w:vAlign w:val="bottom"/>
          </w:tcPr>
          <w:p>
            <w:pPr>
              <w:ind w:left="100"/>
              <w:spacing w:after="0"/>
              <w:rPr>
                <w:sz w:val="20"/>
                <w:szCs w:val="20"/>
                <w:color w:val="auto"/>
              </w:rPr>
            </w:pPr>
            <w:r>
              <w:rPr>
                <w:rFonts w:ascii="Arial" w:cs="Arial" w:eastAsia="Arial" w:hAnsi="Arial"/>
                <w:sz w:val="13"/>
                <w:szCs w:val="13"/>
                <w:b w:val="1"/>
                <w:bCs w:val="1"/>
                <w:color w:val="auto"/>
              </w:rPr>
              <w:t>Bonus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Compensation</w:t>
            </w:r>
          </w:p>
        </w:tc>
        <w:tc>
          <w:tcPr>
            <w:tcW w:w="1320" w:type="dxa"/>
            <w:vAlign w:val="bottom"/>
            <w:gridSpan w:val="2"/>
          </w:tcPr>
          <w:p>
            <w:pPr>
              <w:ind w:left="200"/>
              <w:spacing w:after="0"/>
              <w:rPr>
                <w:sz w:val="20"/>
                <w:szCs w:val="20"/>
                <w:color w:val="auto"/>
              </w:rPr>
            </w:pPr>
            <w:r>
              <w:rPr>
                <w:rFonts w:ascii="Arial" w:cs="Arial" w:eastAsia="Arial" w:hAnsi="Arial"/>
                <w:sz w:val="13"/>
                <w:szCs w:val="13"/>
                <w:b w:val="1"/>
                <w:bCs w:val="1"/>
                <w:color w:val="auto"/>
              </w:rPr>
              <w:t>Compensation</w:t>
            </w: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rPr>
              <w:t>Compensation</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8"/>
        </w:trPr>
        <w:tc>
          <w:tcPr>
            <w:tcW w:w="2160" w:type="dxa"/>
            <w:vAlign w:val="bottom"/>
          </w:tcPr>
          <w:p>
            <w:pPr>
              <w:spacing w:after="0"/>
              <w:rPr>
                <w:sz w:val="20"/>
                <w:szCs w:val="20"/>
                <w:color w:val="auto"/>
              </w:rPr>
            </w:pPr>
            <w:r>
              <w:rPr>
                <w:rFonts w:ascii="Arial" w:cs="Arial" w:eastAsia="Arial" w:hAnsi="Arial"/>
                <w:sz w:val="13"/>
                <w:szCs w:val="13"/>
                <w:b w:val="1"/>
                <w:bCs w:val="1"/>
                <w:color w:val="auto"/>
              </w:rPr>
              <w:t>Position</w:t>
            </w: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w w:val="99"/>
              </w:rPr>
              <w:t>Year</w:t>
            </w:r>
          </w:p>
        </w:tc>
        <w:tc>
          <w:tcPr>
            <w:tcW w:w="300" w:type="dxa"/>
            <w:vAlign w:val="bottom"/>
          </w:tcPr>
          <w:p>
            <w:pPr>
              <w:spacing w:after="0"/>
              <w:rPr>
                <w:sz w:val="20"/>
                <w:szCs w:val="20"/>
                <w:color w:val="auto"/>
              </w:rPr>
            </w:pPr>
          </w:p>
        </w:tc>
        <w:tc>
          <w:tcPr>
            <w:tcW w:w="900" w:type="dxa"/>
            <w:vAlign w:val="bottom"/>
          </w:tcPr>
          <w:p>
            <w:pPr>
              <w:jc w:val="right"/>
              <w:ind w:right="397"/>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 (1)</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 (2)</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 (3)</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 (4)</w:t>
            </w: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rPr>
              <w:t>Earnings ($) (5)</w:t>
            </w:r>
          </w:p>
        </w:tc>
        <w:tc>
          <w:tcPr>
            <w:tcW w:w="340" w:type="dxa"/>
            <w:vAlign w:val="bottom"/>
          </w:tcPr>
          <w:p>
            <w:pPr>
              <w:spacing w:after="0"/>
              <w:rPr>
                <w:sz w:val="20"/>
                <w:szCs w:val="20"/>
                <w:color w:val="auto"/>
              </w:rPr>
            </w:pPr>
          </w:p>
        </w:tc>
        <w:tc>
          <w:tcPr>
            <w:tcW w:w="880" w:type="dxa"/>
            <w:vAlign w:val="bottom"/>
          </w:tcPr>
          <w:p>
            <w:pPr>
              <w:jc w:val="center"/>
              <w:ind w:right="238"/>
              <w:spacing w:after="0"/>
              <w:rPr>
                <w:sz w:val="20"/>
                <w:szCs w:val="20"/>
                <w:color w:val="auto"/>
              </w:rPr>
            </w:pPr>
            <w:r>
              <w:rPr>
                <w:rFonts w:ascii="Arial" w:cs="Arial" w:eastAsia="Arial" w:hAnsi="Arial"/>
                <w:sz w:val="13"/>
                <w:szCs w:val="13"/>
                <w:b w:val="1"/>
                <w:bCs w:val="1"/>
                <w:color w:val="auto"/>
              </w:rPr>
              <w:t>($) (6)</w:t>
            </w:r>
          </w:p>
        </w:tc>
        <w:tc>
          <w:tcPr>
            <w:tcW w:w="260" w:type="dxa"/>
            <w:vAlign w:val="bottom"/>
          </w:tcPr>
          <w:p>
            <w:pPr>
              <w:spacing w:after="0"/>
              <w:rPr>
                <w:sz w:val="20"/>
                <w:szCs w:val="20"/>
                <w:color w:val="auto"/>
              </w:rPr>
            </w:pPr>
          </w:p>
        </w:tc>
        <w:tc>
          <w:tcPr>
            <w:tcW w:w="880" w:type="dxa"/>
            <w:vAlign w:val="bottom"/>
          </w:tcPr>
          <w:p>
            <w:pPr>
              <w:jc w:val="right"/>
              <w:ind w:right="156"/>
              <w:spacing w:after="0"/>
              <w:rPr>
                <w:sz w:val="20"/>
                <w:szCs w:val="20"/>
                <w:color w:val="auto"/>
              </w:rPr>
            </w:pPr>
            <w:r>
              <w:rPr>
                <w:rFonts w:ascii="Arial" w:cs="Arial" w:eastAsia="Arial" w:hAnsi="Arial"/>
                <w:sz w:val="13"/>
                <w:szCs w:val="13"/>
                <w:b w:val="1"/>
                <w:bCs w:val="1"/>
                <w:color w:val="auto"/>
              </w:rPr>
              <w:t>Total ($)</w:t>
            </w:r>
          </w:p>
        </w:tc>
      </w:tr>
      <w:tr>
        <w:trPr>
          <w:trHeight w:val="41"/>
        </w:trPr>
        <w:tc>
          <w:tcPr>
            <w:tcW w:w="2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1"/>
        </w:trPr>
        <w:tc>
          <w:tcPr>
            <w:tcW w:w="2160" w:type="dxa"/>
            <w:vAlign w:val="bottom"/>
            <w:shd w:val="clear" w:color="auto" w:fill="E9E9E9"/>
          </w:tcPr>
          <w:p>
            <w:pPr>
              <w:spacing w:after="0"/>
              <w:rPr>
                <w:sz w:val="20"/>
                <w:szCs w:val="20"/>
                <w:color w:val="auto"/>
              </w:rPr>
            </w:pPr>
            <w:r>
              <w:rPr>
                <w:rFonts w:ascii="Arial" w:cs="Arial" w:eastAsia="Arial" w:hAnsi="Arial"/>
                <w:sz w:val="17"/>
                <w:szCs w:val="17"/>
                <w:color w:val="auto"/>
              </w:rPr>
              <w:t>Richard K. Templeton</w:t>
            </w:r>
          </w:p>
        </w:tc>
        <w:tc>
          <w:tcPr>
            <w:tcW w:w="3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2014</w:t>
            </w:r>
          </w:p>
        </w:tc>
        <w:tc>
          <w:tcPr>
            <w:tcW w:w="3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17"/>
              <w:spacing w:after="0"/>
              <w:rPr>
                <w:sz w:val="20"/>
                <w:szCs w:val="20"/>
                <w:color w:val="auto"/>
              </w:rPr>
            </w:pPr>
            <w:r>
              <w:rPr>
                <w:rFonts w:ascii="Arial" w:cs="Arial" w:eastAsia="Arial" w:hAnsi="Arial"/>
                <w:sz w:val="17"/>
                <w:szCs w:val="17"/>
                <w:color w:val="auto"/>
              </w:rPr>
              <w:t>1,107,083</w:t>
            </w:r>
          </w:p>
        </w:tc>
        <w:tc>
          <w:tcPr>
            <w:tcW w:w="6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1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$ 4,900,030</w:t>
            </w:r>
          </w:p>
        </w:tc>
        <w:tc>
          <w:tcPr>
            <w:tcW w:w="11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$ 4,900,004</w:t>
            </w:r>
          </w:p>
        </w:tc>
        <w:tc>
          <w:tcPr>
            <w:tcW w:w="12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$ 3,618,941</w:t>
            </w:r>
          </w:p>
        </w:tc>
        <w:tc>
          <w:tcPr>
            <w:tcW w:w="320" w:type="dxa"/>
            <w:vAlign w:val="bottom"/>
            <w:shd w:val="clear" w:color="auto" w:fill="E9E9E9"/>
          </w:tcPr>
          <w:p>
            <w:pPr>
              <w:ind w:lef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E9E9E9"/>
          </w:tcPr>
          <w:p>
            <w:pPr>
              <w:jc w:val="right"/>
              <w:ind w:right="119"/>
              <w:spacing w:after="0"/>
              <w:rPr>
                <w:sz w:val="20"/>
                <w:szCs w:val="20"/>
                <w:color w:val="auto"/>
              </w:rPr>
            </w:pPr>
            <w:r>
              <w:rPr>
                <w:rFonts w:ascii="Arial" w:cs="Arial" w:eastAsia="Arial" w:hAnsi="Arial"/>
                <w:sz w:val="17"/>
                <w:szCs w:val="17"/>
                <w:color w:val="auto"/>
              </w:rPr>
              <w:t>199,552</w:t>
            </w:r>
          </w:p>
        </w:tc>
        <w:tc>
          <w:tcPr>
            <w:tcW w:w="1220" w:type="dxa"/>
            <w:vAlign w:val="bottom"/>
            <w:gridSpan w:val="2"/>
            <w:shd w:val="clear" w:color="auto" w:fill="E9E9E9"/>
          </w:tcPr>
          <w:p>
            <w:pPr>
              <w:jc w:val="right"/>
              <w:ind w:right="138"/>
              <w:spacing w:after="0"/>
              <w:rPr>
                <w:sz w:val="20"/>
                <w:szCs w:val="20"/>
                <w:color w:val="auto"/>
              </w:rPr>
            </w:pPr>
            <w:r>
              <w:rPr>
                <w:rFonts w:ascii="Arial" w:cs="Arial" w:eastAsia="Arial" w:hAnsi="Arial"/>
                <w:sz w:val="17"/>
                <w:szCs w:val="17"/>
                <w:color w:val="auto"/>
              </w:rPr>
              <w:t>$ 318,084</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15,043,694</w:t>
            </w:r>
          </w:p>
        </w:tc>
      </w:tr>
      <w:tr>
        <w:trPr>
          <w:trHeight w:val="238"/>
        </w:trPr>
        <w:tc>
          <w:tcPr>
            <w:tcW w:w="2160" w:type="dxa"/>
            <w:vAlign w:val="bottom"/>
          </w:tcPr>
          <w:p>
            <w:pPr>
              <w:ind w:left="240"/>
              <w:spacing w:after="0"/>
              <w:rPr>
                <w:sz w:val="20"/>
                <w:szCs w:val="20"/>
                <w:color w:val="auto"/>
              </w:rPr>
            </w:pPr>
            <w:r>
              <w:rPr>
                <w:rFonts w:ascii="Arial" w:cs="Arial" w:eastAsia="Arial" w:hAnsi="Arial"/>
                <w:sz w:val="17"/>
                <w:szCs w:val="17"/>
                <w:color w:val="auto"/>
              </w:rPr>
              <w:t>Chairman, President</w:t>
            </w:r>
          </w:p>
        </w:tc>
        <w:tc>
          <w:tcPr>
            <w:tcW w:w="3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2013</w:t>
            </w:r>
          </w:p>
        </w:tc>
        <w:tc>
          <w:tcPr>
            <w:tcW w:w="3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17"/>
              <w:spacing w:after="0"/>
              <w:rPr>
                <w:sz w:val="20"/>
                <w:szCs w:val="20"/>
                <w:color w:val="auto"/>
              </w:rPr>
            </w:pPr>
            <w:r>
              <w:rPr>
                <w:rFonts w:ascii="Arial" w:cs="Arial" w:eastAsia="Arial" w:hAnsi="Arial"/>
                <w:sz w:val="17"/>
                <w:szCs w:val="17"/>
                <w:color w:val="auto"/>
              </w:rPr>
              <w:t>1,072,083</w:t>
            </w:r>
          </w:p>
        </w:tc>
        <w:tc>
          <w:tcPr>
            <w:tcW w:w="6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1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$ 5,740,000</w:t>
            </w:r>
          </w:p>
        </w:tc>
        <w:tc>
          <w:tcPr>
            <w:tcW w:w="11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$ 3,559,374</w:t>
            </w:r>
          </w:p>
        </w:tc>
        <w:tc>
          <w:tcPr>
            <w:tcW w:w="12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$ 3,092,199</w:t>
            </w:r>
          </w:p>
        </w:tc>
        <w:tc>
          <w:tcPr>
            <w:tcW w:w="320" w:type="dxa"/>
            <w:vAlign w:val="bottom"/>
            <w:shd w:val="clear" w:color="auto" w:fill="E9E9E9"/>
          </w:tcPr>
          <w:p>
            <w:pPr>
              <w:spacing w:after="0"/>
              <w:rPr>
                <w:sz w:val="20"/>
                <w:szCs w:val="20"/>
                <w:color w:val="auto"/>
              </w:rPr>
            </w:pPr>
          </w:p>
        </w:tc>
        <w:tc>
          <w:tcPr>
            <w:tcW w:w="1000" w:type="dxa"/>
            <w:vAlign w:val="bottom"/>
            <w:shd w:val="clear" w:color="auto" w:fill="E9E9E9"/>
          </w:tcPr>
          <w:p>
            <w:pPr>
              <w:jc w:val="right"/>
              <w:ind w:right="119"/>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E9E9E9"/>
          </w:tcPr>
          <w:p>
            <w:pPr>
              <w:jc w:val="right"/>
              <w:ind w:right="138"/>
              <w:spacing w:after="0"/>
              <w:rPr>
                <w:sz w:val="20"/>
                <w:szCs w:val="20"/>
                <w:color w:val="auto"/>
              </w:rPr>
            </w:pPr>
            <w:r>
              <w:rPr>
                <w:rFonts w:ascii="Arial" w:cs="Arial" w:eastAsia="Arial" w:hAnsi="Arial"/>
                <w:sz w:val="17"/>
                <w:szCs w:val="17"/>
                <w:color w:val="auto"/>
              </w:rPr>
              <w:t>$ 249,203</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13,712,859</w:t>
            </w:r>
          </w:p>
        </w:tc>
      </w:tr>
      <w:tr>
        <w:trPr>
          <w:trHeight w:val="230"/>
        </w:trPr>
        <w:tc>
          <w:tcPr>
            <w:tcW w:w="2540" w:type="dxa"/>
            <w:vAlign w:val="bottom"/>
            <w:gridSpan w:val="2"/>
          </w:tcPr>
          <w:p>
            <w:pPr>
              <w:ind w:left="240"/>
              <w:spacing w:after="0"/>
              <w:rPr>
                <w:sz w:val="20"/>
                <w:szCs w:val="20"/>
                <w:color w:val="auto"/>
              </w:rPr>
            </w:pPr>
            <w:r>
              <w:rPr>
                <w:rFonts w:ascii="Arial" w:cs="Arial" w:eastAsia="Arial" w:hAnsi="Arial"/>
                <w:sz w:val="17"/>
                <w:szCs w:val="17"/>
                <w:color w:val="auto"/>
              </w:rPr>
              <w:t>&amp; Chief Executive Officer2012</w:t>
            </w:r>
          </w:p>
        </w:tc>
        <w:tc>
          <w:tcPr>
            <w:tcW w:w="3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17"/>
              <w:spacing w:after="0"/>
              <w:rPr>
                <w:sz w:val="20"/>
                <w:szCs w:val="20"/>
                <w:color w:val="auto"/>
              </w:rPr>
            </w:pPr>
            <w:r>
              <w:rPr>
                <w:rFonts w:ascii="Arial" w:cs="Arial" w:eastAsia="Arial" w:hAnsi="Arial"/>
                <w:sz w:val="17"/>
                <w:szCs w:val="17"/>
                <w:color w:val="auto"/>
              </w:rPr>
              <w:t>1,035,841</w:t>
            </w:r>
          </w:p>
        </w:tc>
        <w:tc>
          <w:tcPr>
            <w:tcW w:w="6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1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$ 5,123,688</w:t>
            </w:r>
          </w:p>
        </w:tc>
        <w:tc>
          <w:tcPr>
            <w:tcW w:w="11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$ 3,950,347</w:t>
            </w:r>
          </w:p>
        </w:tc>
        <w:tc>
          <w:tcPr>
            <w:tcW w:w="12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$ 2,748,581</w:t>
            </w:r>
          </w:p>
        </w:tc>
        <w:tc>
          <w:tcPr>
            <w:tcW w:w="320" w:type="dxa"/>
            <w:vAlign w:val="bottom"/>
            <w:shd w:val="clear" w:color="auto" w:fill="E9E9E9"/>
          </w:tcPr>
          <w:p>
            <w:pPr>
              <w:ind w:lef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E9E9E9"/>
          </w:tcPr>
          <w:p>
            <w:pPr>
              <w:jc w:val="right"/>
              <w:ind w:right="119"/>
              <w:spacing w:after="0"/>
              <w:rPr>
                <w:sz w:val="20"/>
                <w:szCs w:val="20"/>
                <w:color w:val="auto"/>
              </w:rPr>
            </w:pPr>
            <w:r>
              <w:rPr>
                <w:rFonts w:ascii="Arial" w:cs="Arial" w:eastAsia="Arial" w:hAnsi="Arial"/>
                <w:sz w:val="17"/>
                <w:szCs w:val="17"/>
                <w:color w:val="auto"/>
              </w:rPr>
              <w:t>185,472</w:t>
            </w:r>
          </w:p>
        </w:tc>
        <w:tc>
          <w:tcPr>
            <w:tcW w:w="1220" w:type="dxa"/>
            <w:vAlign w:val="bottom"/>
            <w:gridSpan w:val="2"/>
            <w:shd w:val="clear" w:color="auto" w:fill="E9E9E9"/>
          </w:tcPr>
          <w:p>
            <w:pPr>
              <w:jc w:val="right"/>
              <w:ind w:right="138"/>
              <w:spacing w:after="0"/>
              <w:rPr>
                <w:sz w:val="20"/>
                <w:szCs w:val="20"/>
                <w:color w:val="auto"/>
              </w:rPr>
            </w:pPr>
            <w:r>
              <w:rPr>
                <w:rFonts w:ascii="Arial" w:cs="Arial" w:eastAsia="Arial" w:hAnsi="Arial"/>
                <w:sz w:val="17"/>
                <w:szCs w:val="17"/>
                <w:color w:val="auto"/>
              </w:rPr>
              <w:t>$ 272,710</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13,316,639</w:t>
            </w:r>
          </w:p>
        </w:tc>
      </w:tr>
      <w:tr>
        <w:trPr>
          <w:trHeight w:val="246"/>
        </w:trPr>
        <w:tc>
          <w:tcPr>
            <w:tcW w:w="21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600" w:type="dxa"/>
            <w:vAlign w:val="bottom"/>
            <w:shd w:val="clear" w:color="auto" w:fill="E9E9E9"/>
          </w:tcPr>
          <w:p>
            <w:pPr>
              <w:spacing w:after="0"/>
              <w:rPr>
                <w:sz w:val="21"/>
                <w:szCs w:val="21"/>
                <w:color w:val="auto"/>
              </w:rPr>
            </w:pPr>
          </w:p>
        </w:tc>
        <w:tc>
          <w:tcPr>
            <w:tcW w:w="1100" w:type="dxa"/>
            <w:vAlign w:val="bottom"/>
            <w:shd w:val="clear" w:color="auto" w:fill="E9E9E9"/>
          </w:tcPr>
          <w:p>
            <w:pPr>
              <w:spacing w:after="0"/>
              <w:rPr>
                <w:sz w:val="21"/>
                <w:szCs w:val="21"/>
                <w:color w:val="auto"/>
              </w:rPr>
            </w:pPr>
          </w:p>
        </w:tc>
        <w:tc>
          <w:tcPr>
            <w:tcW w:w="1140" w:type="dxa"/>
            <w:vAlign w:val="bottom"/>
            <w:shd w:val="clear" w:color="auto" w:fill="E9E9E9"/>
          </w:tcPr>
          <w:p>
            <w:pPr>
              <w:spacing w:after="0"/>
              <w:rPr>
                <w:sz w:val="21"/>
                <w:szCs w:val="21"/>
                <w:color w:val="auto"/>
              </w:rPr>
            </w:pPr>
          </w:p>
        </w:tc>
        <w:tc>
          <w:tcPr>
            <w:tcW w:w="1260" w:type="dxa"/>
            <w:vAlign w:val="bottom"/>
            <w:shd w:val="clear" w:color="auto" w:fill="E9E9E9"/>
          </w:tcPr>
          <w:p>
            <w:pPr>
              <w:spacing w:after="0"/>
              <w:rPr>
                <w:sz w:val="21"/>
                <w:szCs w:val="21"/>
                <w:color w:val="auto"/>
              </w:rPr>
            </w:pPr>
          </w:p>
        </w:tc>
        <w:tc>
          <w:tcPr>
            <w:tcW w:w="1320" w:type="dxa"/>
            <w:vAlign w:val="bottom"/>
            <w:gridSpan w:val="2"/>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88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880" w:type="dxa"/>
            <w:vAlign w:val="bottom"/>
            <w:shd w:val="clear" w:color="auto" w:fill="E9E9E9"/>
          </w:tcPr>
          <w:p>
            <w:pPr>
              <w:spacing w:after="0"/>
              <w:rPr>
                <w:sz w:val="21"/>
                <w:szCs w:val="21"/>
                <w:color w:val="auto"/>
              </w:rPr>
            </w:pPr>
          </w:p>
        </w:tc>
      </w:tr>
      <w:tr>
        <w:trPr>
          <w:trHeight w:val="222"/>
        </w:trPr>
        <w:tc>
          <w:tcPr>
            <w:tcW w:w="2160" w:type="dxa"/>
            <w:vAlign w:val="bottom"/>
          </w:tcPr>
          <w:p>
            <w:pPr>
              <w:spacing w:after="0"/>
              <w:rPr>
                <w:sz w:val="20"/>
                <w:szCs w:val="20"/>
                <w:color w:val="auto"/>
              </w:rPr>
            </w:pPr>
            <w:r>
              <w:rPr>
                <w:rFonts w:ascii="Arial" w:cs="Arial" w:eastAsia="Arial" w:hAnsi="Arial"/>
                <w:sz w:val="17"/>
                <w:szCs w:val="17"/>
                <w:color w:val="auto"/>
              </w:rPr>
              <w:t>Kevin P. March</w:t>
            </w:r>
          </w:p>
        </w:tc>
        <w:tc>
          <w:tcPr>
            <w:tcW w:w="380" w:type="dxa"/>
            <w:vAlign w:val="bottom"/>
          </w:tcPr>
          <w:p>
            <w:pPr>
              <w:jc w:val="center"/>
              <w:spacing w:after="0"/>
              <w:rPr>
                <w:sz w:val="20"/>
                <w:szCs w:val="20"/>
                <w:color w:val="auto"/>
              </w:rPr>
            </w:pPr>
            <w:r>
              <w:rPr>
                <w:rFonts w:ascii="Arial" w:cs="Arial" w:eastAsia="Arial" w:hAnsi="Arial"/>
                <w:sz w:val="17"/>
                <w:szCs w:val="17"/>
                <w:color w:val="auto"/>
              </w:rPr>
              <w:t>2014</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628,333</w:t>
            </w:r>
          </w:p>
        </w:tc>
        <w:tc>
          <w:tcPr>
            <w:tcW w:w="6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100" w:type="dxa"/>
            <w:vAlign w:val="bottom"/>
          </w:tcPr>
          <w:p>
            <w:pPr>
              <w:jc w:val="center"/>
              <w:spacing w:after="0"/>
              <w:rPr>
                <w:sz w:val="20"/>
                <w:szCs w:val="20"/>
                <w:color w:val="auto"/>
              </w:rPr>
            </w:pPr>
            <w:r>
              <w:rPr>
                <w:rFonts w:ascii="Arial" w:cs="Arial" w:eastAsia="Arial" w:hAnsi="Arial"/>
                <w:sz w:val="17"/>
                <w:szCs w:val="17"/>
                <w:color w:val="auto"/>
              </w:rPr>
              <w:t>$ 1,350,036</w:t>
            </w:r>
          </w:p>
        </w:tc>
        <w:tc>
          <w:tcPr>
            <w:tcW w:w="1140" w:type="dxa"/>
            <w:vAlign w:val="bottom"/>
          </w:tcPr>
          <w:p>
            <w:pPr>
              <w:jc w:val="center"/>
              <w:spacing w:after="0"/>
              <w:rPr>
                <w:sz w:val="20"/>
                <w:szCs w:val="20"/>
                <w:color w:val="auto"/>
              </w:rPr>
            </w:pPr>
            <w:r>
              <w:rPr>
                <w:rFonts w:ascii="Arial" w:cs="Arial" w:eastAsia="Arial" w:hAnsi="Arial"/>
                <w:sz w:val="17"/>
                <w:szCs w:val="17"/>
                <w:color w:val="auto"/>
              </w:rPr>
              <w:t>$ 1,350,003</w:t>
            </w:r>
          </w:p>
        </w:tc>
        <w:tc>
          <w:tcPr>
            <w:tcW w:w="1260" w:type="dxa"/>
            <w:vAlign w:val="bottom"/>
          </w:tcPr>
          <w:p>
            <w:pPr>
              <w:jc w:val="center"/>
              <w:spacing w:after="0"/>
              <w:rPr>
                <w:sz w:val="20"/>
                <w:szCs w:val="20"/>
                <w:color w:val="auto"/>
              </w:rPr>
            </w:pPr>
            <w:r>
              <w:rPr>
                <w:rFonts w:ascii="Arial" w:cs="Arial" w:eastAsia="Arial" w:hAnsi="Arial"/>
                <w:sz w:val="17"/>
                <w:szCs w:val="17"/>
                <w:color w:val="auto"/>
              </w:rPr>
              <w:t>$ 1,205,884</w:t>
            </w:r>
          </w:p>
        </w:tc>
        <w:tc>
          <w:tcPr>
            <w:tcW w:w="1320" w:type="dxa"/>
            <w:vAlign w:val="bottom"/>
            <w:gridSpan w:val="2"/>
          </w:tcPr>
          <w:p>
            <w:pPr>
              <w:jc w:val="right"/>
              <w:ind w:right="119"/>
              <w:spacing w:after="0"/>
              <w:rPr>
                <w:sz w:val="20"/>
                <w:szCs w:val="20"/>
                <w:color w:val="auto"/>
              </w:rPr>
            </w:pPr>
            <w:r>
              <w:rPr>
                <w:rFonts w:ascii="Arial" w:cs="Arial" w:eastAsia="Arial" w:hAnsi="Arial"/>
                <w:sz w:val="17"/>
                <w:szCs w:val="17"/>
                <w:color w:val="auto"/>
              </w:rPr>
              <w:t>$ 1,621,825</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38"/>
              <w:spacing w:after="0"/>
              <w:rPr>
                <w:sz w:val="20"/>
                <w:szCs w:val="20"/>
                <w:color w:val="auto"/>
              </w:rPr>
            </w:pPr>
            <w:r>
              <w:rPr>
                <w:rFonts w:ascii="Arial" w:cs="Arial" w:eastAsia="Arial" w:hAnsi="Arial"/>
                <w:sz w:val="17"/>
                <w:szCs w:val="17"/>
                <w:color w:val="auto"/>
              </w:rPr>
              <w:t>20,509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6,176,590</w:t>
            </w:r>
          </w:p>
        </w:tc>
      </w:tr>
      <w:tr>
        <w:trPr>
          <w:trHeight w:val="238"/>
        </w:trPr>
        <w:tc>
          <w:tcPr>
            <w:tcW w:w="2160" w:type="dxa"/>
            <w:vAlign w:val="bottom"/>
          </w:tcPr>
          <w:p>
            <w:pPr>
              <w:ind w:left="240"/>
              <w:spacing w:after="0"/>
              <w:rPr>
                <w:sz w:val="20"/>
                <w:szCs w:val="20"/>
                <w:color w:val="auto"/>
              </w:rPr>
            </w:pPr>
            <w:r>
              <w:rPr>
                <w:rFonts w:ascii="Arial" w:cs="Arial" w:eastAsia="Arial" w:hAnsi="Arial"/>
                <w:sz w:val="17"/>
                <w:szCs w:val="17"/>
                <w:color w:val="auto"/>
              </w:rPr>
              <w:t>Senior Vice President</w:t>
            </w:r>
          </w:p>
        </w:tc>
        <w:tc>
          <w:tcPr>
            <w:tcW w:w="380" w:type="dxa"/>
            <w:vAlign w:val="bottom"/>
          </w:tcPr>
          <w:p>
            <w:pPr>
              <w:jc w:val="center"/>
              <w:spacing w:after="0"/>
              <w:rPr>
                <w:sz w:val="20"/>
                <w:szCs w:val="20"/>
                <w:color w:val="auto"/>
              </w:rPr>
            </w:pPr>
            <w:r>
              <w:rPr>
                <w:rFonts w:ascii="Arial" w:cs="Arial" w:eastAsia="Arial" w:hAnsi="Arial"/>
                <w:sz w:val="17"/>
                <w:szCs w:val="17"/>
                <w:color w:val="auto"/>
              </w:rPr>
              <w:t>2013</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608,333</w:t>
            </w:r>
          </w:p>
        </w:tc>
        <w:tc>
          <w:tcPr>
            <w:tcW w:w="6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100" w:type="dxa"/>
            <w:vAlign w:val="bottom"/>
          </w:tcPr>
          <w:p>
            <w:pPr>
              <w:jc w:val="center"/>
              <w:spacing w:after="0"/>
              <w:rPr>
                <w:sz w:val="20"/>
                <w:szCs w:val="20"/>
                <w:color w:val="auto"/>
              </w:rPr>
            </w:pPr>
            <w:r>
              <w:rPr>
                <w:rFonts w:ascii="Arial" w:cs="Arial" w:eastAsia="Arial" w:hAnsi="Arial"/>
                <w:sz w:val="17"/>
                <w:szCs w:val="17"/>
                <w:color w:val="auto"/>
              </w:rPr>
              <w:t>$ 1,640,000</w:t>
            </w:r>
          </w:p>
        </w:tc>
        <w:tc>
          <w:tcPr>
            <w:tcW w:w="1140" w:type="dxa"/>
            <w:vAlign w:val="bottom"/>
          </w:tcPr>
          <w:p>
            <w:pPr>
              <w:jc w:val="center"/>
              <w:spacing w:after="0"/>
              <w:rPr>
                <w:sz w:val="20"/>
                <w:szCs w:val="20"/>
                <w:color w:val="auto"/>
              </w:rPr>
            </w:pPr>
            <w:r>
              <w:rPr>
                <w:rFonts w:ascii="Arial" w:cs="Arial" w:eastAsia="Arial" w:hAnsi="Arial"/>
                <w:sz w:val="17"/>
                <w:szCs w:val="17"/>
                <w:color w:val="auto"/>
              </w:rPr>
              <w:t>$ 1,016,964</w:t>
            </w:r>
          </w:p>
        </w:tc>
        <w:tc>
          <w:tcPr>
            <w:tcW w:w="1260" w:type="dxa"/>
            <w:vAlign w:val="bottom"/>
          </w:tcPr>
          <w:p>
            <w:pPr>
              <w:jc w:val="center"/>
              <w:spacing w:after="0"/>
              <w:rPr>
                <w:sz w:val="20"/>
                <w:szCs w:val="20"/>
                <w:color w:val="auto"/>
              </w:rPr>
            </w:pPr>
            <w:r>
              <w:rPr>
                <w:rFonts w:ascii="Arial" w:cs="Arial" w:eastAsia="Arial" w:hAnsi="Arial"/>
                <w:sz w:val="17"/>
                <w:szCs w:val="17"/>
                <w:color w:val="auto"/>
              </w:rPr>
              <w:t>$ 1,017,317</w:t>
            </w:r>
          </w:p>
        </w:tc>
        <w:tc>
          <w:tcPr>
            <w:tcW w:w="32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38"/>
              <w:spacing w:after="0"/>
              <w:rPr>
                <w:sz w:val="20"/>
                <w:szCs w:val="20"/>
                <w:color w:val="auto"/>
              </w:rPr>
            </w:pPr>
            <w:r>
              <w:rPr>
                <w:rFonts w:ascii="Arial" w:cs="Arial" w:eastAsia="Arial" w:hAnsi="Arial"/>
                <w:sz w:val="17"/>
                <w:szCs w:val="17"/>
                <w:color w:val="auto"/>
              </w:rPr>
              <w:t>8,243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4,290,857</w:t>
            </w:r>
          </w:p>
        </w:tc>
      </w:tr>
      <w:tr>
        <w:trPr>
          <w:trHeight w:val="238"/>
        </w:trPr>
        <w:tc>
          <w:tcPr>
            <w:tcW w:w="2540" w:type="dxa"/>
            <w:vAlign w:val="bottom"/>
            <w:gridSpan w:val="2"/>
          </w:tcPr>
          <w:p>
            <w:pPr>
              <w:ind w:left="240"/>
              <w:spacing w:after="0"/>
              <w:rPr>
                <w:sz w:val="20"/>
                <w:szCs w:val="20"/>
                <w:color w:val="auto"/>
              </w:rPr>
            </w:pPr>
            <w:r>
              <w:rPr>
                <w:rFonts w:ascii="Arial" w:cs="Arial" w:eastAsia="Arial" w:hAnsi="Arial"/>
                <w:sz w:val="17"/>
                <w:szCs w:val="17"/>
                <w:color w:val="auto"/>
              </w:rPr>
              <w:t>&amp; Chief Financial Officer 2012</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587,917</w:t>
            </w:r>
          </w:p>
        </w:tc>
        <w:tc>
          <w:tcPr>
            <w:tcW w:w="6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100" w:type="dxa"/>
            <w:vAlign w:val="bottom"/>
          </w:tcPr>
          <w:p>
            <w:pPr>
              <w:jc w:val="center"/>
              <w:spacing w:after="0"/>
              <w:rPr>
                <w:sz w:val="20"/>
                <w:szCs w:val="20"/>
                <w:color w:val="auto"/>
              </w:rPr>
            </w:pPr>
            <w:r>
              <w:rPr>
                <w:rFonts w:ascii="Arial" w:cs="Arial" w:eastAsia="Arial" w:hAnsi="Arial"/>
                <w:sz w:val="17"/>
                <w:szCs w:val="17"/>
                <w:color w:val="auto"/>
              </w:rPr>
              <w:t>$ 1,618,000</w:t>
            </w:r>
          </w:p>
        </w:tc>
        <w:tc>
          <w:tcPr>
            <w:tcW w:w="1140" w:type="dxa"/>
            <w:vAlign w:val="bottom"/>
          </w:tcPr>
          <w:p>
            <w:pPr>
              <w:jc w:val="center"/>
              <w:spacing w:after="0"/>
              <w:rPr>
                <w:sz w:val="20"/>
                <w:szCs w:val="20"/>
                <w:color w:val="auto"/>
              </w:rPr>
            </w:pPr>
            <w:r>
              <w:rPr>
                <w:rFonts w:ascii="Arial" w:cs="Arial" w:eastAsia="Arial" w:hAnsi="Arial"/>
                <w:sz w:val="17"/>
                <w:szCs w:val="17"/>
                <w:color w:val="auto"/>
              </w:rPr>
              <w:t>$ 1,247,478</w:t>
            </w:r>
          </w:p>
        </w:tc>
        <w:tc>
          <w:tcPr>
            <w:tcW w:w="1260" w:type="dxa"/>
            <w:vAlign w:val="bottom"/>
          </w:tcPr>
          <w:p>
            <w:pPr>
              <w:jc w:val="center"/>
              <w:spacing w:after="0"/>
              <w:rPr>
                <w:sz w:val="20"/>
                <w:szCs w:val="20"/>
                <w:color w:val="auto"/>
              </w:rPr>
            </w:pPr>
            <w:r>
              <w:rPr>
                <w:rFonts w:ascii="Arial" w:cs="Arial" w:eastAsia="Arial" w:hAnsi="Arial"/>
                <w:sz w:val="17"/>
                <w:szCs w:val="17"/>
                <w:color w:val="auto"/>
              </w:rPr>
              <w:t>$  902,573</w:t>
            </w:r>
          </w:p>
        </w:tc>
        <w:tc>
          <w:tcPr>
            <w:tcW w:w="1320" w:type="dxa"/>
            <w:vAlign w:val="bottom"/>
            <w:gridSpan w:val="2"/>
          </w:tcPr>
          <w:p>
            <w:pPr>
              <w:jc w:val="right"/>
              <w:ind w:right="119"/>
              <w:spacing w:after="0"/>
              <w:rPr>
                <w:sz w:val="20"/>
                <w:szCs w:val="20"/>
                <w:color w:val="auto"/>
              </w:rPr>
            </w:pPr>
            <w:r>
              <w:rPr>
                <w:rFonts w:ascii="Arial" w:cs="Arial" w:eastAsia="Arial" w:hAnsi="Arial"/>
                <w:sz w:val="17"/>
                <w:szCs w:val="17"/>
                <w:color w:val="auto"/>
              </w:rPr>
              <w:t>$ 1,065,717</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38"/>
              <w:spacing w:after="0"/>
              <w:rPr>
                <w:sz w:val="20"/>
                <w:szCs w:val="20"/>
                <w:color w:val="auto"/>
              </w:rPr>
            </w:pPr>
            <w:r>
              <w:rPr>
                <w:rFonts w:ascii="Arial" w:cs="Arial" w:eastAsia="Arial" w:hAnsi="Arial"/>
                <w:sz w:val="17"/>
                <w:szCs w:val="17"/>
                <w:color w:val="auto"/>
              </w:rPr>
              <w:t>20,244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5,441,929</w:t>
            </w:r>
          </w:p>
        </w:tc>
      </w:tr>
      <w:tr>
        <w:trPr>
          <w:trHeight w:val="254"/>
        </w:trPr>
        <w:tc>
          <w:tcPr>
            <w:tcW w:w="2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20" w:type="dxa"/>
            <w:vAlign w:val="bottom"/>
            <w:gridSpan w:val="2"/>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38"/>
        </w:trPr>
        <w:tc>
          <w:tcPr>
            <w:tcW w:w="2160" w:type="dxa"/>
            <w:vAlign w:val="bottom"/>
            <w:shd w:val="clear" w:color="auto" w:fill="E9E9E9"/>
          </w:tcPr>
          <w:p>
            <w:pPr>
              <w:spacing w:after="0"/>
              <w:rPr>
                <w:sz w:val="20"/>
                <w:szCs w:val="20"/>
                <w:color w:val="auto"/>
              </w:rPr>
            </w:pPr>
            <w:r>
              <w:rPr>
                <w:rFonts w:ascii="Arial" w:cs="Arial" w:eastAsia="Arial" w:hAnsi="Arial"/>
                <w:sz w:val="17"/>
                <w:szCs w:val="17"/>
                <w:color w:val="auto"/>
              </w:rPr>
              <w:t>Brian T. Crutcher</w:t>
            </w:r>
          </w:p>
        </w:tc>
        <w:tc>
          <w:tcPr>
            <w:tcW w:w="3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2014</w:t>
            </w:r>
          </w:p>
        </w:tc>
        <w:tc>
          <w:tcPr>
            <w:tcW w:w="3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17"/>
              <w:spacing w:after="0"/>
              <w:rPr>
                <w:sz w:val="20"/>
                <w:szCs w:val="20"/>
                <w:color w:val="auto"/>
              </w:rPr>
            </w:pPr>
            <w:r>
              <w:rPr>
                <w:rFonts w:ascii="Arial" w:cs="Arial" w:eastAsia="Arial" w:hAnsi="Arial"/>
                <w:sz w:val="17"/>
                <w:szCs w:val="17"/>
                <w:color w:val="auto"/>
              </w:rPr>
              <w:t>739,583</w:t>
            </w:r>
          </w:p>
        </w:tc>
        <w:tc>
          <w:tcPr>
            <w:tcW w:w="6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1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$ 2,250,001</w:t>
            </w:r>
          </w:p>
        </w:tc>
        <w:tc>
          <w:tcPr>
            <w:tcW w:w="11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$ 2,250,007</w:t>
            </w:r>
          </w:p>
        </w:tc>
        <w:tc>
          <w:tcPr>
            <w:tcW w:w="12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$ 1,622,860</w:t>
            </w:r>
          </w:p>
        </w:tc>
        <w:tc>
          <w:tcPr>
            <w:tcW w:w="320" w:type="dxa"/>
            <w:vAlign w:val="bottom"/>
            <w:shd w:val="clear" w:color="auto" w:fill="E9E9E9"/>
          </w:tcPr>
          <w:p>
            <w:pPr>
              <w:ind w:lef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E9E9E9"/>
          </w:tcPr>
          <w:p>
            <w:pPr>
              <w:jc w:val="right"/>
              <w:ind w:right="119"/>
              <w:spacing w:after="0"/>
              <w:rPr>
                <w:sz w:val="20"/>
                <w:szCs w:val="20"/>
                <w:color w:val="auto"/>
              </w:rPr>
            </w:pPr>
            <w:r>
              <w:rPr>
                <w:rFonts w:ascii="Arial" w:cs="Arial" w:eastAsia="Arial" w:hAnsi="Arial"/>
                <w:sz w:val="17"/>
                <w:szCs w:val="17"/>
                <w:color w:val="auto"/>
              </w:rPr>
              <w:t>1,112</w:t>
            </w:r>
          </w:p>
        </w:tc>
        <w:tc>
          <w:tcPr>
            <w:tcW w:w="1220" w:type="dxa"/>
            <w:vAlign w:val="bottom"/>
            <w:gridSpan w:val="2"/>
            <w:shd w:val="clear" w:color="auto" w:fill="E9E9E9"/>
          </w:tcPr>
          <w:p>
            <w:pPr>
              <w:jc w:val="right"/>
              <w:ind w:right="138"/>
              <w:spacing w:after="0"/>
              <w:rPr>
                <w:sz w:val="20"/>
                <w:szCs w:val="20"/>
                <w:color w:val="auto"/>
              </w:rPr>
            </w:pPr>
            <w:r>
              <w:rPr>
                <w:rFonts w:ascii="Arial" w:cs="Arial" w:eastAsia="Arial" w:hAnsi="Arial"/>
                <w:sz w:val="17"/>
                <w:szCs w:val="17"/>
                <w:color w:val="auto"/>
              </w:rPr>
              <w:t>$ 110,688</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6,974,251</w:t>
            </w:r>
          </w:p>
        </w:tc>
      </w:tr>
      <w:tr>
        <w:trPr>
          <w:trHeight w:val="230"/>
        </w:trPr>
        <w:tc>
          <w:tcPr>
            <w:tcW w:w="2540" w:type="dxa"/>
            <w:vAlign w:val="bottom"/>
            <w:gridSpan w:val="2"/>
          </w:tcPr>
          <w:p>
            <w:pPr>
              <w:ind w:left="240"/>
              <w:spacing w:after="0"/>
              <w:rPr>
                <w:sz w:val="20"/>
                <w:szCs w:val="20"/>
                <w:color w:val="auto"/>
              </w:rPr>
            </w:pPr>
            <w:r>
              <w:rPr>
                <w:rFonts w:ascii="Arial" w:cs="Arial" w:eastAsia="Arial" w:hAnsi="Arial"/>
                <w:sz w:val="17"/>
                <w:szCs w:val="17"/>
                <w:color w:val="auto"/>
              </w:rPr>
              <w:t>Executive Vice President2013</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671,250</w:t>
            </w:r>
          </w:p>
        </w:tc>
        <w:tc>
          <w:tcPr>
            <w:tcW w:w="6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100" w:type="dxa"/>
            <w:vAlign w:val="bottom"/>
          </w:tcPr>
          <w:p>
            <w:pPr>
              <w:jc w:val="center"/>
              <w:spacing w:after="0"/>
              <w:rPr>
                <w:sz w:val="20"/>
                <w:szCs w:val="20"/>
                <w:color w:val="auto"/>
              </w:rPr>
            </w:pPr>
            <w:r>
              <w:rPr>
                <w:rFonts w:ascii="Arial" w:cs="Arial" w:eastAsia="Arial" w:hAnsi="Arial"/>
                <w:sz w:val="17"/>
                <w:szCs w:val="17"/>
                <w:color w:val="auto"/>
              </w:rPr>
              <w:t>$ 2,460,000</w:t>
            </w:r>
          </w:p>
        </w:tc>
        <w:tc>
          <w:tcPr>
            <w:tcW w:w="1140" w:type="dxa"/>
            <w:vAlign w:val="bottom"/>
          </w:tcPr>
          <w:p>
            <w:pPr>
              <w:jc w:val="center"/>
              <w:spacing w:after="0"/>
              <w:rPr>
                <w:sz w:val="20"/>
                <w:szCs w:val="20"/>
                <w:color w:val="auto"/>
              </w:rPr>
            </w:pPr>
            <w:r>
              <w:rPr>
                <w:rFonts w:ascii="Arial" w:cs="Arial" w:eastAsia="Arial" w:hAnsi="Arial"/>
                <w:sz w:val="17"/>
                <w:szCs w:val="17"/>
                <w:color w:val="auto"/>
              </w:rPr>
              <w:t>$ 1,525,446</w:t>
            </w:r>
          </w:p>
        </w:tc>
        <w:tc>
          <w:tcPr>
            <w:tcW w:w="1260" w:type="dxa"/>
            <w:vAlign w:val="bottom"/>
          </w:tcPr>
          <w:p>
            <w:pPr>
              <w:jc w:val="center"/>
              <w:spacing w:after="0"/>
              <w:rPr>
                <w:sz w:val="20"/>
                <w:szCs w:val="20"/>
                <w:color w:val="auto"/>
              </w:rPr>
            </w:pPr>
            <w:r>
              <w:rPr>
                <w:rFonts w:ascii="Arial" w:cs="Arial" w:eastAsia="Arial" w:hAnsi="Arial"/>
                <w:sz w:val="17"/>
                <w:szCs w:val="17"/>
                <w:color w:val="auto"/>
              </w:rPr>
              <w:t>$ 1,267,728</w:t>
            </w:r>
          </w:p>
        </w:tc>
        <w:tc>
          <w:tcPr>
            <w:tcW w:w="320" w:type="dxa"/>
            <w:vAlign w:val="bottom"/>
          </w:tcPr>
          <w:p>
            <w:pPr>
              <w:spacing w:after="0"/>
              <w:rPr>
                <w:sz w:val="19"/>
                <w:szCs w:val="19"/>
                <w:color w:val="auto"/>
              </w:rPr>
            </w:pPr>
          </w:p>
        </w:tc>
        <w:tc>
          <w:tcPr>
            <w:tcW w:w="1000" w:type="dxa"/>
            <w:vAlign w:val="bottom"/>
          </w:tcPr>
          <w:p>
            <w:pPr>
              <w:jc w:val="right"/>
              <w:ind w:right="119"/>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$ 106,655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6,031,079</w:t>
            </w:r>
          </w:p>
        </w:tc>
      </w:tr>
      <w:tr>
        <w:trPr>
          <w:trHeight w:val="238"/>
        </w:trPr>
        <w:tc>
          <w:tcPr>
            <w:tcW w:w="2160" w:type="dxa"/>
            <w:vAlign w:val="bottom"/>
          </w:tcPr>
          <w:p>
            <w:pPr>
              <w:spacing w:after="0"/>
              <w:rPr>
                <w:sz w:val="20"/>
                <w:szCs w:val="20"/>
                <w:color w:val="auto"/>
              </w:rPr>
            </w:pPr>
          </w:p>
        </w:tc>
        <w:tc>
          <w:tcPr>
            <w:tcW w:w="380" w:type="dxa"/>
            <w:vAlign w:val="bottom"/>
          </w:tcPr>
          <w:p>
            <w:pPr>
              <w:jc w:val="center"/>
              <w:spacing w:after="0"/>
              <w:rPr>
                <w:sz w:val="20"/>
                <w:szCs w:val="20"/>
                <w:color w:val="auto"/>
              </w:rPr>
            </w:pPr>
            <w:r>
              <w:rPr>
                <w:rFonts w:ascii="Arial" w:cs="Arial" w:eastAsia="Arial" w:hAnsi="Arial"/>
                <w:sz w:val="17"/>
                <w:szCs w:val="17"/>
                <w:color w:val="auto"/>
              </w:rPr>
              <w:t>2012</w:t>
            </w:r>
          </w:p>
        </w:tc>
        <w:tc>
          <w:tcPr>
            <w:tcW w:w="3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17"/>
              <w:spacing w:after="0"/>
              <w:rPr>
                <w:sz w:val="20"/>
                <w:szCs w:val="20"/>
                <w:color w:val="auto"/>
              </w:rPr>
            </w:pPr>
            <w:r>
              <w:rPr>
                <w:rFonts w:ascii="Arial" w:cs="Arial" w:eastAsia="Arial" w:hAnsi="Arial"/>
                <w:sz w:val="17"/>
                <w:szCs w:val="17"/>
                <w:color w:val="auto"/>
              </w:rPr>
              <w:t>587,917</w:t>
            </w:r>
          </w:p>
        </w:tc>
        <w:tc>
          <w:tcPr>
            <w:tcW w:w="600" w:type="dxa"/>
            <w:vAlign w:val="bottom"/>
            <w:shd w:val="clear" w:color="auto" w:fill="E9E9E9"/>
          </w:tcPr>
          <w:p>
            <w:pPr>
              <w:spacing w:after="0"/>
              <w:rPr>
                <w:sz w:val="20"/>
                <w:szCs w:val="20"/>
                <w:color w:val="auto"/>
              </w:rPr>
            </w:pPr>
          </w:p>
        </w:tc>
        <w:tc>
          <w:tcPr>
            <w:tcW w:w="11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$ 4,782,500</w:t>
            </w:r>
          </w:p>
        </w:tc>
        <w:tc>
          <w:tcPr>
            <w:tcW w:w="11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$ 1,559,348</w:t>
            </w:r>
          </w:p>
        </w:tc>
        <w:tc>
          <w:tcPr>
            <w:tcW w:w="12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$ 1,127,573</w:t>
            </w:r>
          </w:p>
        </w:tc>
        <w:tc>
          <w:tcPr>
            <w:tcW w:w="320" w:type="dxa"/>
            <w:vAlign w:val="bottom"/>
            <w:shd w:val="clear" w:color="auto" w:fill="E9E9E9"/>
          </w:tcPr>
          <w:p>
            <w:pPr>
              <w:ind w:lef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E9E9E9"/>
          </w:tcPr>
          <w:p>
            <w:pPr>
              <w:jc w:val="right"/>
              <w:ind w:right="119"/>
              <w:spacing w:after="0"/>
              <w:rPr>
                <w:sz w:val="20"/>
                <w:szCs w:val="20"/>
                <w:color w:val="auto"/>
              </w:rPr>
            </w:pPr>
            <w:r>
              <w:rPr>
                <w:rFonts w:ascii="Arial" w:cs="Arial" w:eastAsia="Arial" w:hAnsi="Arial"/>
                <w:sz w:val="17"/>
                <w:szCs w:val="17"/>
                <w:color w:val="auto"/>
              </w:rPr>
              <w:t>1,005</w:t>
            </w:r>
          </w:p>
        </w:tc>
        <w:tc>
          <w:tcPr>
            <w:tcW w:w="3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ind w:right="138"/>
              <w:spacing w:after="0"/>
              <w:rPr>
                <w:sz w:val="20"/>
                <w:szCs w:val="20"/>
                <w:color w:val="auto"/>
              </w:rPr>
            </w:pPr>
            <w:r>
              <w:rPr>
                <w:rFonts w:ascii="Arial" w:cs="Arial" w:eastAsia="Arial" w:hAnsi="Arial"/>
                <w:sz w:val="17"/>
                <w:szCs w:val="17"/>
                <w:color w:val="auto"/>
              </w:rPr>
              <w:t>95,375</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8,153,718</w:t>
            </w:r>
          </w:p>
        </w:tc>
      </w:tr>
      <w:tr>
        <w:trPr>
          <w:trHeight w:val="246"/>
        </w:trPr>
        <w:tc>
          <w:tcPr>
            <w:tcW w:w="21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600" w:type="dxa"/>
            <w:vAlign w:val="bottom"/>
            <w:shd w:val="clear" w:color="auto" w:fill="E9E9E9"/>
          </w:tcPr>
          <w:p>
            <w:pPr>
              <w:spacing w:after="0"/>
              <w:rPr>
                <w:sz w:val="21"/>
                <w:szCs w:val="21"/>
                <w:color w:val="auto"/>
              </w:rPr>
            </w:pPr>
          </w:p>
        </w:tc>
        <w:tc>
          <w:tcPr>
            <w:tcW w:w="1100" w:type="dxa"/>
            <w:vAlign w:val="bottom"/>
            <w:shd w:val="clear" w:color="auto" w:fill="E9E9E9"/>
          </w:tcPr>
          <w:p>
            <w:pPr>
              <w:spacing w:after="0"/>
              <w:rPr>
                <w:sz w:val="21"/>
                <w:szCs w:val="21"/>
                <w:color w:val="auto"/>
              </w:rPr>
            </w:pPr>
          </w:p>
        </w:tc>
        <w:tc>
          <w:tcPr>
            <w:tcW w:w="1140" w:type="dxa"/>
            <w:vAlign w:val="bottom"/>
            <w:shd w:val="clear" w:color="auto" w:fill="E9E9E9"/>
          </w:tcPr>
          <w:p>
            <w:pPr>
              <w:spacing w:after="0"/>
              <w:rPr>
                <w:sz w:val="21"/>
                <w:szCs w:val="21"/>
                <w:color w:val="auto"/>
              </w:rPr>
            </w:pPr>
          </w:p>
        </w:tc>
        <w:tc>
          <w:tcPr>
            <w:tcW w:w="12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88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880" w:type="dxa"/>
            <w:vAlign w:val="bottom"/>
            <w:shd w:val="clear" w:color="auto" w:fill="E9E9E9"/>
          </w:tcPr>
          <w:p>
            <w:pPr>
              <w:spacing w:after="0"/>
              <w:rPr>
                <w:sz w:val="21"/>
                <w:szCs w:val="21"/>
                <w:color w:val="auto"/>
              </w:rPr>
            </w:pPr>
          </w:p>
        </w:tc>
      </w:tr>
      <w:tr>
        <w:trPr>
          <w:trHeight w:val="222"/>
        </w:trPr>
        <w:tc>
          <w:tcPr>
            <w:tcW w:w="2160" w:type="dxa"/>
            <w:vAlign w:val="bottom"/>
          </w:tcPr>
          <w:p>
            <w:pPr>
              <w:spacing w:after="0"/>
              <w:rPr>
                <w:sz w:val="20"/>
                <w:szCs w:val="20"/>
                <w:color w:val="auto"/>
              </w:rPr>
            </w:pPr>
            <w:r>
              <w:rPr>
                <w:rFonts w:ascii="Arial" w:cs="Arial" w:eastAsia="Arial" w:hAnsi="Arial"/>
                <w:sz w:val="17"/>
                <w:szCs w:val="17"/>
                <w:color w:val="auto"/>
              </w:rPr>
              <w:t>Stephen A. Anderson</w:t>
            </w:r>
          </w:p>
        </w:tc>
        <w:tc>
          <w:tcPr>
            <w:tcW w:w="380" w:type="dxa"/>
            <w:vAlign w:val="bottom"/>
          </w:tcPr>
          <w:p>
            <w:pPr>
              <w:jc w:val="center"/>
              <w:spacing w:after="0"/>
              <w:rPr>
                <w:sz w:val="20"/>
                <w:szCs w:val="20"/>
                <w:color w:val="auto"/>
              </w:rPr>
            </w:pPr>
            <w:r>
              <w:rPr>
                <w:rFonts w:ascii="Arial" w:cs="Arial" w:eastAsia="Arial" w:hAnsi="Arial"/>
                <w:sz w:val="17"/>
                <w:szCs w:val="17"/>
                <w:color w:val="auto"/>
              </w:rPr>
              <w:t>2014</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508,750</w:t>
            </w:r>
          </w:p>
        </w:tc>
        <w:tc>
          <w:tcPr>
            <w:tcW w:w="6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100" w:type="dxa"/>
            <w:vAlign w:val="bottom"/>
          </w:tcPr>
          <w:p>
            <w:pPr>
              <w:jc w:val="center"/>
              <w:spacing w:after="0"/>
              <w:rPr>
                <w:sz w:val="20"/>
                <w:szCs w:val="20"/>
                <w:color w:val="auto"/>
              </w:rPr>
            </w:pPr>
            <w:r>
              <w:rPr>
                <w:rFonts w:ascii="Arial" w:cs="Arial" w:eastAsia="Arial" w:hAnsi="Arial"/>
                <w:sz w:val="17"/>
                <w:szCs w:val="17"/>
                <w:color w:val="auto"/>
              </w:rPr>
              <w:t>$ 3,350,039</w:t>
            </w:r>
          </w:p>
        </w:tc>
        <w:tc>
          <w:tcPr>
            <w:tcW w:w="1140" w:type="dxa"/>
            <w:vAlign w:val="bottom"/>
          </w:tcPr>
          <w:p>
            <w:pPr>
              <w:jc w:val="center"/>
              <w:spacing w:after="0"/>
              <w:rPr>
                <w:sz w:val="20"/>
                <w:szCs w:val="20"/>
                <w:color w:val="auto"/>
              </w:rPr>
            </w:pPr>
            <w:r>
              <w:rPr>
                <w:rFonts w:ascii="Arial" w:cs="Arial" w:eastAsia="Arial" w:hAnsi="Arial"/>
                <w:sz w:val="17"/>
                <w:szCs w:val="17"/>
                <w:color w:val="auto"/>
              </w:rPr>
              <w:t>$ 1,350,003</w:t>
            </w:r>
          </w:p>
        </w:tc>
        <w:tc>
          <w:tcPr>
            <w:tcW w:w="1260" w:type="dxa"/>
            <w:vAlign w:val="bottom"/>
          </w:tcPr>
          <w:p>
            <w:pPr>
              <w:jc w:val="center"/>
              <w:spacing w:after="0"/>
              <w:rPr>
                <w:sz w:val="20"/>
                <w:szCs w:val="20"/>
                <w:color w:val="auto"/>
              </w:rPr>
            </w:pPr>
            <w:r>
              <w:rPr>
                <w:rFonts w:ascii="Arial" w:cs="Arial" w:eastAsia="Arial" w:hAnsi="Arial"/>
                <w:sz w:val="17"/>
                <w:szCs w:val="17"/>
                <w:color w:val="auto"/>
              </w:rPr>
              <w:t>$ 1,002,635</w:t>
            </w:r>
          </w:p>
        </w:tc>
        <w:tc>
          <w:tcPr>
            <w:tcW w:w="320" w:type="dxa"/>
            <w:vAlign w:val="bottom"/>
          </w:tcPr>
          <w:p>
            <w:pPr>
              <w:spacing w:after="0"/>
              <w:rPr>
                <w:sz w:val="19"/>
                <w:szCs w:val="19"/>
                <w:color w:val="auto"/>
              </w:rPr>
            </w:pPr>
          </w:p>
        </w:tc>
        <w:tc>
          <w:tcPr>
            <w:tcW w:w="1000" w:type="dxa"/>
            <w:vAlign w:val="bottom"/>
          </w:tcPr>
          <w:p>
            <w:pPr>
              <w:jc w:val="right"/>
              <w:ind w:right="119"/>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38"/>
              <w:spacing w:after="0"/>
              <w:rPr>
                <w:sz w:val="20"/>
                <w:szCs w:val="20"/>
                <w:color w:val="auto"/>
              </w:rPr>
            </w:pPr>
            <w:r>
              <w:rPr>
                <w:rFonts w:ascii="Arial" w:cs="Arial" w:eastAsia="Arial" w:hAnsi="Arial"/>
                <w:sz w:val="17"/>
                <w:szCs w:val="17"/>
                <w:color w:val="auto"/>
              </w:rPr>
              <w:t>74,202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6,285,629</w:t>
            </w:r>
          </w:p>
        </w:tc>
      </w:tr>
      <w:tr>
        <w:trPr>
          <w:trHeight w:val="238"/>
        </w:trPr>
        <w:tc>
          <w:tcPr>
            <w:tcW w:w="2160" w:type="dxa"/>
            <w:vAlign w:val="bottom"/>
          </w:tcPr>
          <w:p>
            <w:pPr>
              <w:ind w:left="240"/>
              <w:spacing w:after="0"/>
              <w:rPr>
                <w:sz w:val="20"/>
                <w:szCs w:val="20"/>
                <w:color w:val="auto"/>
              </w:rPr>
            </w:pPr>
            <w:r>
              <w:rPr>
                <w:rFonts w:ascii="Arial" w:cs="Arial" w:eastAsia="Arial" w:hAnsi="Arial"/>
                <w:sz w:val="17"/>
                <w:szCs w:val="17"/>
                <w:color w:val="auto"/>
              </w:rPr>
              <w:t>Senior Vice President</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4"/>
        </w:trPr>
        <w:tc>
          <w:tcPr>
            <w:tcW w:w="2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2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2"/>
        </w:trPr>
        <w:tc>
          <w:tcPr>
            <w:tcW w:w="2160" w:type="dxa"/>
            <w:vAlign w:val="bottom"/>
            <w:shd w:val="clear" w:color="auto" w:fill="E9E9E9"/>
          </w:tcPr>
          <w:p>
            <w:pPr>
              <w:spacing w:after="0"/>
              <w:rPr>
                <w:sz w:val="20"/>
                <w:szCs w:val="20"/>
                <w:color w:val="auto"/>
              </w:rPr>
            </w:pPr>
            <w:r>
              <w:rPr>
                <w:rFonts w:ascii="Arial" w:cs="Arial" w:eastAsia="Arial" w:hAnsi="Arial"/>
                <w:sz w:val="17"/>
                <w:szCs w:val="17"/>
                <w:color w:val="auto"/>
              </w:rPr>
              <w:t>Kevin J. Ritchie</w:t>
            </w:r>
          </w:p>
        </w:tc>
        <w:tc>
          <w:tcPr>
            <w:tcW w:w="3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2014</w:t>
            </w:r>
          </w:p>
        </w:tc>
        <w:tc>
          <w:tcPr>
            <w:tcW w:w="3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17"/>
              <w:spacing w:after="0"/>
              <w:rPr>
                <w:sz w:val="20"/>
                <w:szCs w:val="20"/>
                <w:color w:val="auto"/>
              </w:rPr>
            </w:pPr>
            <w:r>
              <w:rPr>
                <w:rFonts w:ascii="Arial" w:cs="Arial" w:eastAsia="Arial" w:hAnsi="Arial"/>
                <w:sz w:val="17"/>
                <w:szCs w:val="17"/>
                <w:color w:val="auto"/>
              </w:rPr>
              <w:t>647,917</w:t>
            </w:r>
          </w:p>
        </w:tc>
        <w:tc>
          <w:tcPr>
            <w:tcW w:w="6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1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$ 2,000,011</w:t>
            </w:r>
          </w:p>
        </w:tc>
        <w:tc>
          <w:tcPr>
            <w:tcW w:w="11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$ 2,000,004</w:t>
            </w:r>
          </w:p>
        </w:tc>
        <w:tc>
          <w:tcPr>
            <w:tcW w:w="12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$ 1,363,872</w:t>
            </w:r>
          </w:p>
        </w:tc>
        <w:tc>
          <w:tcPr>
            <w:tcW w:w="1320" w:type="dxa"/>
            <w:vAlign w:val="bottom"/>
            <w:gridSpan w:val="2"/>
            <w:shd w:val="clear" w:color="auto" w:fill="E9E9E9"/>
          </w:tcPr>
          <w:p>
            <w:pPr>
              <w:jc w:val="right"/>
              <w:ind w:right="119"/>
              <w:spacing w:after="0"/>
              <w:rPr>
                <w:sz w:val="20"/>
                <w:szCs w:val="20"/>
                <w:color w:val="auto"/>
              </w:rPr>
            </w:pPr>
            <w:r>
              <w:rPr>
                <w:rFonts w:ascii="Arial" w:cs="Arial" w:eastAsia="Arial" w:hAnsi="Arial"/>
                <w:sz w:val="17"/>
                <w:szCs w:val="17"/>
                <w:color w:val="auto"/>
              </w:rPr>
              <w:t>$ 2,146,473</w:t>
            </w:r>
          </w:p>
        </w:tc>
        <w:tc>
          <w:tcPr>
            <w:tcW w:w="3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ind w:right="138"/>
              <w:spacing w:after="0"/>
              <w:rPr>
                <w:sz w:val="20"/>
                <w:szCs w:val="20"/>
                <w:color w:val="auto"/>
              </w:rPr>
            </w:pPr>
            <w:r>
              <w:rPr>
                <w:rFonts w:ascii="Arial" w:cs="Arial" w:eastAsia="Arial" w:hAnsi="Arial"/>
                <w:sz w:val="17"/>
                <w:szCs w:val="17"/>
                <w:color w:val="auto"/>
              </w:rPr>
              <w:t>5,200</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8,163,477</w:t>
            </w:r>
          </w:p>
        </w:tc>
      </w:tr>
      <w:tr>
        <w:trPr>
          <w:trHeight w:val="238"/>
        </w:trPr>
        <w:tc>
          <w:tcPr>
            <w:tcW w:w="2160" w:type="dxa"/>
            <w:vAlign w:val="bottom"/>
            <w:shd w:val="clear" w:color="auto" w:fill="E9E9E9"/>
          </w:tcPr>
          <w:p>
            <w:pPr>
              <w:ind w:left="240"/>
              <w:spacing w:after="0"/>
              <w:rPr>
                <w:sz w:val="20"/>
                <w:szCs w:val="20"/>
                <w:color w:val="auto"/>
              </w:rPr>
            </w:pPr>
            <w:r>
              <w:rPr>
                <w:rFonts w:ascii="Arial" w:cs="Arial" w:eastAsia="Arial" w:hAnsi="Arial"/>
                <w:sz w:val="17"/>
                <w:szCs w:val="17"/>
                <w:color w:val="auto"/>
              </w:rPr>
              <w:t>Senior Vice President</w:t>
            </w:r>
          </w:p>
        </w:tc>
        <w:tc>
          <w:tcPr>
            <w:tcW w:w="3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2013</w:t>
            </w:r>
          </w:p>
        </w:tc>
        <w:tc>
          <w:tcPr>
            <w:tcW w:w="3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17"/>
              <w:spacing w:after="0"/>
              <w:rPr>
                <w:sz w:val="20"/>
                <w:szCs w:val="20"/>
                <w:color w:val="auto"/>
              </w:rPr>
            </w:pPr>
            <w:r>
              <w:rPr>
                <w:rFonts w:ascii="Arial" w:cs="Arial" w:eastAsia="Arial" w:hAnsi="Arial"/>
                <w:sz w:val="17"/>
                <w:szCs w:val="17"/>
                <w:color w:val="auto"/>
              </w:rPr>
              <w:t>622,917</w:t>
            </w:r>
          </w:p>
        </w:tc>
        <w:tc>
          <w:tcPr>
            <w:tcW w:w="6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1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$ 2,186,678</w:t>
            </w:r>
          </w:p>
        </w:tc>
        <w:tc>
          <w:tcPr>
            <w:tcW w:w="11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$ 1,355,952</w:t>
            </w:r>
          </w:p>
        </w:tc>
        <w:tc>
          <w:tcPr>
            <w:tcW w:w="12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$ 1,153,571</w:t>
            </w:r>
          </w:p>
        </w:tc>
        <w:tc>
          <w:tcPr>
            <w:tcW w:w="320" w:type="dxa"/>
            <w:vAlign w:val="bottom"/>
            <w:shd w:val="clear" w:color="auto" w:fill="E9E9E9"/>
          </w:tcPr>
          <w:p>
            <w:pPr>
              <w:spacing w:after="0"/>
              <w:rPr>
                <w:sz w:val="20"/>
                <w:szCs w:val="20"/>
                <w:color w:val="auto"/>
              </w:rPr>
            </w:pPr>
          </w:p>
        </w:tc>
        <w:tc>
          <w:tcPr>
            <w:tcW w:w="1000" w:type="dxa"/>
            <w:vAlign w:val="bottom"/>
            <w:shd w:val="clear" w:color="auto" w:fill="E9E9E9"/>
          </w:tcPr>
          <w:p>
            <w:pPr>
              <w:jc w:val="right"/>
              <w:ind w:right="119"/>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ind w:right="138"/>
              <w:spacing w:after="0"/>
              <w:rPr>
                <w:sz w:val="20"/>
                <w:szCs w:val="20"/>
                <w:color w:val="auto"/>
              </w:rPr>
            </w:pPr>
            <w:r>
              <w:rPr>
                <w:rFonts w:ascii="Arial" w:cs="Arial" w:eastAsia="Arial" w:hAnsi="Arial"/>
                <w:sz w:val="17"/>
                <w:szCs w:val="17"/>
                <w:color w:val="auto"/>
              </w:rPr>
              <w:t>7,427</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5,326,545</w:t>
            </w:r>
          </w:p>
        </w:tc>
      </w:tr>
      <w:tr>
        <w:trPr>
          <w:trHeight w:val="254"/>
        </w:trPr>
        <w:tc>
          <w:tcPr>
            <w:tcW w:w="2160" w:type="dxa"/>
            <w:vAlign w:val="bottom"/>
            <w:shd w:val="clear" w:color="auto" w:fill="E9E9E9"/>
          </w:tcPr>
          <w:p>
            <w:pPr>
              <w:spacing w:after="0"/>
              <w:rPr>
                <w:sz w:val="22"/>
                <w:szCs w:val="22"/>
                <w:color w:val="auto"/>
              </w:rPr>
            </w:pPr>
          </w:p>
        </w:tc>
        <w:tc>
          <w:tcPr>
            <w:tcW w:w="3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2012</w:t>
            </w:r>
          </w:p>
        </w:tc>
        <w:tc>
          <w:tcPr>
            <w:tcW w:w="3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17"/>
              <w:spacing w:after="0"/>
              <w:rPr>
                <w:sz w:val="20"/>
                <w:szCs w:val="20"/>
                <w:color w:val="auto"/>
              </w:rPr>
            </w:pPr>
            <w:r>
              <w:rPr>
                <w:rFonts w:ascii="Arial" w:cs="Arial" w:eastAsia="Arial" w:hAnsi="Arial"/>
                <w:sz w:val="17"/>
                <w:szCs w:val="17"/>
                <w:color w:val="auto"/>
              </w:rPr>
              <w:t>595,835</w:t>
            </w:r>
          </w:p>
        </w:tc>
        <w:tc>
          <w:tcPr>
            <w:tcW w:w="6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1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$ 1,887,688</w:t>
            </w:r>
          </w:p>
        </w:tc>
        <w:tc>
          <w:tcPr>
            <w:tcW w:w="11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$ 1,455,391</w:t>
            </w:r>
          </w:p>
        </w:tc>
        <w:tc>
          <w:tcPr>
            <w:tcW w:w="12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$ 1,027,945</w:t>
            </w:r>
          </w:p>
        </w:tc>
        <w:tc>
          <w:tcPr>
            <w:tcW w:w="1320" w:type="dxa"/>
            <w:vAlign w:val="bottom"/>
            <w:gridSpan w:val="2"/>
            <w:shd w:val="clear" w:color="auto" w:fill="E9E9E9"/>
          </w:tcPr>
          <w:p>
            <w:pPr>
              <w:jc w:val="right"/>
              <w:ind w:right="119"/>
              <w:spacing w:after="0"/>
              <w:rPr>
                <w:sz w:val="20"/>
                <w:szCs w:val="20"/>
                <w:color w:val="auto"/>
              </w:rPr>
            </w:pPr>
            <w:r>
              <w:rPr>
                <w:rFonts w:ascii="Arial" w:cs="Arial" w:eastAsia="Arial" w:hAnsi="Arial"/>
                <w:sz w:val="17"/>
                <w:szCs w:val="17"/>
                <w:color w:val="auto"/>
              </w:rPr>
              <w:t>$ 1,371,918</w:t>
            </w:r>
          </w:p>
        </w:tc>
        <w:tc>
          <w:tcPr>
            <w:tcW w:w="3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ind w:right="138"/>
              <w:spacing w:after="0"/>
              <w:rPr>
                <w:sz w:val="20"/>
                <w:szCs w:val="20"/>
                <w:color w:val="auto"/>
              </w:rPr>
            </w:pPr>
            <w:r>
              <w:rPr>
                <w:rFonts w:ascii="Arial" w:cs="Arial" w:eastAsia="Arial" w:hAnsi="Arial"/>
                <w:sz w:val="17"/>
                <w:szCs w:val="17"/>
                <w:color w:val="auto"/>
              </w:rPr>
              <w:t>19,847</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6,358,624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-2726055</wp:posOffset>
            </wp:positionV>
            <wp:extent cx="1610995" cy="4616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10995" cy="4616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-1509395</wp:posOffset>
            </wp:positionV>
            <wp:extent cx="7311390" cy="4533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11390" cy="453390"/>
                    </a:xfrm>
                    <a:prstGeom prst="rect">
                      <a:avLst/>
                    </a:prstGeom>
                    <a:noFill/>
                  </pic:spPr>
                </pic:pic>
              </a:graphicData>
            </a:graphic>
          </wp:anchor>
        </w:drawing>
      </w:r>
    </w:p>
    <w:p>
      <w:pPr>
        <w:spacing w:after="0" w:line="221" w:lineRule="exact"/>
        <w:rPr>
          <w:sz w:val="20"/>
          <w:szCs w:val="20"/>
          <w:color w:val="auto"/>
        </w:rPr>
      </w:pPr>
    </w:p>
    <w:p>
      <w:pPr>
        <w:ind w:left="460" w:right="1000" w:hanging="454"/>
        <w:spacing w:after="0" w:line="255"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Performance bonuses for 2014 were paid under the Texas Instruments Executive Officer Performance Plan. In accordance with SEC requirements, these amounts are reported in the Non-Equity Incentive Plan Compensation column.</w:t>
      </w:r>
    </w:p>
    <w:p>
      <w:pPr>
        <w:spacing w:after="0" w:line="179" w:lineRule="exact"/>
        <w:rPr>
          <w:rFonts w:ascii="Arial" w:cs="Arial" w:eastAsia="Arial" w:hAnsi="Arial"/>
          <w:sz w:val="17"/>
          <w:szCs w:val="17"/>
          <w:color w:val="auto"/>
        </w:rPr>
      </w:pPr>
    </w:p>
    <w:p>
      <w:pPr>
        <w:ind w:left="460" w:right="100" w:hanging="454"/>
        <w:spacing w:after="0" w:line="246"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Shown is the aggregate grant date fair value of restricted stock unit (RSU) awards calculated in accordance with ASC 718. The discussion of the assumptions used for purposes of the valuation of the awards granted in 2014 appears in Note 5 to the Financial Statements in TI’s annual report on Form 10-K for the year ended December 31, 2014. For a description of the grant terms, please see page 103. The discussion of the assumptions used for purposes of the valuation of the awards granted in 2013 and 2012 appears in Note 5 in Exhibit 13 to, respectively, TI’s annual report on Form 10-K for the year ended December 31, 2013, and TI’s annual report on Form 10-K for the year ended December 31, 2012.</w:t>
      </w:r>
    </w:p>
    <w:p>
      <w:pPr>
        <w:spacing w:after="0" w:line="385" w:lineRule="exact"/>
        <w:rPr>
          <w:rFonts w:ascii="Arial" w:cs="Arial" w:eastAsia="Arial" w:hAnsi="Arial"/>
          <w:sz w:val="17"/>
          <w:szCs w:val="17"/>
          <w:color w:val="auto"/>
        </w:rPr>
      </w:pPr>
    </w:p>
    <w:p>
      <w:pPr>
        <w:ind w:left="460" w:right="380" w:hanging="454"/>
        <w:spacing w:after="0" w:line="246"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Shown is the aggregate grant date fair value of options calculated in accordance with ASC 718. The discussion of the assumptions used for purposes of the valuation of options granted in 2014 appears in Note 5 to the Financial Statements in TI’s annual report on Form 10-K for the year ended December 31, 2014. For a description of the grant terms, please see page 102. The discussion of the assumptions used for purposes of the valuation of the awards granted in 2013 and 2012 appears in Note 5 in Exhibit 13 to, respectively, TI’s annual report on Form 10-K for the year ended December 31, 2013, and TI’s annual report on Form 10-K for the year ended December 31, 2012.</w:t>
      </w:r>
    </w:p>
    <w:p>
      <w:pPr>
        <w:spacing w:after="0" w:line="237" w:lineRule="exact"/>
        <w:rPr>
          <w:sz w:val="20"/>
          <w:szCs w:val="20"/>
          <w:color w:val="auto"/>
        </w:rPr>
      </w:pPr>
    </w:p>
    <w:p>
      <w:pPr>
        <w:spacing w:after="0"/>
        <w:tabs>
          <w:tab w:leader="none" w:pos="4100" w:val="left"/>
        </w:tabs>
        <w:rPr>
          <w:sz w:val="20"/>
          <w:szCs w:val="20"/>
          <w:color w:val="auto"/>
        </w:rPr>
      </w:pPr>
      <w:r>
        <w:rPr>
          <w:rFonts w:ascii="Arial" w:cs="Arial" w:eastAsia="Arial" w:hAnsi="Arial"/>
          <w:sz w:val="13"/>
          <w:szCs w:val="13"/>
          <w:color w:val="838383"/>
        </w:rPr>
        <w:t>98</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520"/>
          </w:cols>
          <w:pgMar w:left="240" w:top="572" w:right="139" w:bottom="1440" w:gutter="0" w:footer="0" w:header="0"/>
        </w:sectPr>
      </w:pPr>
    </w:p>
    <w:bookmarkStart w:id="29" w:name="page30"/>
    <w:bookmarkEnd w:id="29"/>
    <w:p>
      <w:pPr>
        <w:ind w:left="460" w:right="160" w:hanging="454"/>
        <w:spacing w:after="0" w:line="255"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Consists of performance bonus and profit sharing for 2014. Please see page 94 for the amounts of bonus and profit sharing paid to each of the named executive officers for 2014.</w:t>
      </w:r>
    </w:p>
    <w:p>
      <w:pPr>
        <w:spacing w:after="0" w:line="179" w:lineRule="exact"/>
        <w:rPr>
          <w:rFonts w:ascii="Arial" w:cs="Arial" w:eastAsia="Arial" w:hAnsi="Arial"/>
          <w:sz w:val="17"/>
          <w:szCs w:val="17"/>
          <w:color w:val="auto"/>
        </w:rPr>
      </w:pPr>
    </w:p>
    <w:p>
      <w:pPr>
        <w:ind w:left="460" w:right="160" w:hanging="454"/>
        <w:spacing w:after="0" w:line="245"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plans (TI Employees Non-Qualified Pension Plan and TI Employees Non-Qualified Pension Plan II) from December 31, 2013, through December 31, 2014. This “change in the actuarial value” is the difference between the 2013 and 2014 present value of the pension benefit accumulated as of year-end by the named executive officer, assuming that benefit is not paid until age 65. Mr. Templeton’s and Mr. Crutcher’s benefits under the company’s pension plans were frozen as of December 31, 1997. Mr. Anderson does not participate in any of the company’s defined benefit pension plans.</w:t>
      </w:r>
    </w:p>
    <w:p>
      <w:pPr>
        <w:spacing w:after="0" w:line="188" w:lineRule="exact"/>
        <w:rPr>
          <w:rFonts w:ascii="Arial" w:cs="Arial" w:eastAsia="Arial" w:hAnsi="Arial"/>
          <w:sz w:val="17"/>
          <w:szCs w:val="17"/>
          <w:color w:val="auto"/>
        </w:rPr>
      </w:pPr>
    </w:p>
    <w:p>
      <w:pPr>
        <w:ind w:left="460" w:right="580" w:hanging="454"/>
        <w:spacing w:after="0" w:line="255"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Consists of (i) the amounts in the table below, which result from programs available to all eligible U.S. employees, and (ii) perquisites and personal benefits that meet the disclosure thresholds established by the SEC and are detailed in the paragraph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ind w:right="260"/>
              <w:spacing w:after="0"/>
              <w:rPr>
                <w:sz w:val="20"/>
                <w:szCs w:val="20"/>
                <w:color w:val="auto"/>
              </w:rPr>
            </w:pPr>
            <w:r>
              <w:rPr>
                <w:rFonts w:ascii="Arial" w:cs="Arial" w:eastAsia="Arial" w:hAnsi="Arial"/>
                <w:sz w:val="13"/>
                <w:szCs w:val="13"/>
                <w:b w:val="1"/>
                <w:bCs w:val="1"/>
                <w:color w:val="auto"/>
              </w:rPr>
              <w:t>Defined</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38"/>
        </w:trPr>
        <w:tc>
          <w:tcPr>
            <w:tcW w:w="48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b w:val="1"/>
                <w:bCs w:val="1"/>
                <w:color w:val="auto"/>
              </w:rPr>
              <w:t>Contribution</w:t>
            </w:r>
          </w:p>
        </w:tc>
        <w:tc>
          <w:tcPr>
            <w:tcW w:w="260" w:type="dxa"/>
            <w:vAlign w:val="bottom"/>
          </w:tcPr>
          <w:p>
            <w:pPr>
              <w:spacing w:after="0"/>
              <w:rPr>
                <w:sz w:val="20"/>
                <w:szCs w:val="20"/>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b w:val="1"/>
                <w:bCs w:val="1"/>
                <w:color w:val="auto"/>
              </w:rPr>
              <w:t>Unused</w:t>
            </w:r>
          </w:p>
        </w:tc>
      </w:tr>
      <w:tr>
        <w:trPr>
          <w:trHeight w:val="264"/>
        </w:trPr>
        <w:tc>
          <w:tcPr>
            <w:tcW w:w="48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820" w:type="dxa"/>
            <w:vAlign w:val="bottom"/>
          </w:tcPr>
          <w:p>
            <w:pPr>
              <w:jc w:val="right"/>
              <w:ind w:right="297"/>
              <w:spacing w:after="0"/>
              <w:rPr>
                <w:sz w:val="20"/>
                <w:szCs w:val="20"/>
                <w:color w:val="auto"/>
              </w:rPr>
            </w:pPr>
            <w:r>
              <w:rPr>
                <w:rFonts w:ascii="Arial" w:cs="Arial" w:eastAsia="Arial" w:hAnsi="Arial"/>
                <w:sz w:val="13"/>
                <w:szCs w:val="13"/>
                <w:b w:val="1"/>
                <w:bCs w:val="1"/>
                <w:color w:val="auto"/>
              </w:rPr>
              <w:t>401 (k)</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Retirement</w:t>
            </w:r>
          </w:p>
        </w:tc>
        <w:tc>
          <w:tcPr>
            <w:tcW w:w="840" w:type="dxa"/>
            <w:vAlign w:val="bottom"/>
            <w:gridSpan w:val="2"/>
          </w:tcPr>
          <w:p>
            <w:pPr>
              <w:jc w:val="center"/>
              <w:ind w:left="102"/>
              <w:spacing w:after="0"/>
              <w:rPr>
                <w:sz w:val="20"/>
                <w:szCs w:val="20"/>
                <w:color w:val="auto"/>
              </w:rPr>
            </w:pPr>
            <w:r>
              <w:rPr>
                <w:rFonts w:ascii="Arial" w:cs="Arial" w:eastAsia="Arial" w:hAnsi="Arial"/>
                <w:sz w:val="13"/>
                <w:szCs w:val="13"/>
                <w:b w:val="1"/>
                <w:bCs w:val="1"/>
                <w:color w:val="auto"/>
                <w:w w:val="99"/>
              </w:rPr>
              <w:t>Vacation</w:t>
            </w:r>
          </w:p>
        </w:tc>
      </w:tr>
      <w:tr>
        <w:trPr>
          <w:trHeight w:val="238"/>
        </w:trPr>
        <w:tc>
          <w:tcPr>
            <w:tcW w:w="48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4580" w:type="dxa"/>
            <w:vAlign w:val="bottom"/>
            <w:gridSpan w:val="2"/>
          </w:tcPr>
          <w:p>
            <w:pPr>
              <w:jc w:val="right"/>
              <w:ind w:right="117"/>
              <w:spacing w:after="0"/>
              <w:rPr>
                <w:sz w:val="20"/>
                <w:szCs w:val="20"/>
                <w:color w:val="auto"/>
              </w:rPr>
            </w:pPr>
            <w:r>
              <w:rPr>
                <w:rFonts w:ascii="Arial" w:cs="Arial" w:eastAsia="Arial" w:hAnsi="Arial"/>
                <w:sz w:val="13"/>
                <w:szCs w:val="13"/>
                <w:b w:val="1"/>
                <w:bCs w:val="1"/>
                <w:color w:val="auto"/>
              </w:rPr>
              <w:t>Contribution</w:t>
            </w:r>
          </w:p>
        </w:tc>
        <w:tc>
          <w:tcPr>
            <w:tcW w:w="340" w:type="dxa"/>
            <w:vAlign w:val="bottom"/>
          </w:tcPr>
          <w:p>
            <w:pPr>
              <w:spacing w:after="0"/>
              <w:rPr>
                <w:sz w:val="20"/>
                <w:szCs w:val="20"/>
                <w:color w:val="auto"/>
              </w:rPr>
            </w:pPr>
          </w:p>
        </w:tc>
        <w:tc>
          <w:tcPr>
            <w:tcW w:w="840" w:type="dxa"/>
            <w:vAlign w:val="bottom"/>
          </w:tcPr>
          <w:p>
            <w:pPr>
              <w:jc w:val="right"/>
              <w:ind w:right="260"/>
              <w:spacing w:after="0"/>
              <w:rPr>
                <w:sz w:val="20"/>
                <w:szCs w:val="20"/>
                <w:color w:val="auto"/>
              </w:rPr>
            </w:pPr>
            <w:r>
              <w:rPr>
                <w:rFonts w:ascii="Arial" w:cs="Arial" w:eastAsia="Arial" w:hAnsi="Arial"/>
                <w:sz w:val="13"/>
                <w:szCs w:val="13"/>
                <w:b w:val="1"/>
                <w:bCs w:val="1"/>
                <w:color w:val="auto"/>
              </w:rPr>
              <w:t>Plan (a)</w:t>
            </w:r>
          </w:p>
        </w:tc>
        <w:tc>
          <w:tcPr>
            <w:tcW w:w="840" w:type="dxa"/>
            <w:vAlign w:val="bottom"/>
            <w:gridSpan w:val="2"/>
          </w:tcPr>
          <w:p>
            <w:pPr>
              <w:jc w:val="center"/>
              <w:ind w:left="82"/>
              <w:spacing w:after="0"/>
              <w:rPr>
                <w:sz w:val="20"/>
                <w:szCs w:val="20"/>
                <w:color w:val="auto"/>
              </w:rPr>
            </w:pPr>
            <w:r>
              <w:rPr>
                <w:rFonts w:ascii="Arial" w:cs="Arial" w:eastAsia="Arial" w:hAnsi="Arial"/>
                <w:sz w:val="13"/>
                <w:szCs w:val="13"/>
                <w:b w:val="1"/>
                <w:bCs w:val="1"/>
                <w:color w:val="auto"/>
              </w:rPr>
              <w:t>Time (b)</w:t>
            </w:r>
          </w:p>
        </w:tc>
      </w:tr>
      <w:tr>
        <w:trPr>
          <w:trHeight w:val="41"/>
        </w:trPr>
        <w:tc>
          <w:tcPr>
            <w:tcW w:w="482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31"/>
        </w:trPr>
        <w:tc>
          <w:tcPr>
            <w:tcW w:w="482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3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177"/>
              <w:spacing w:after="0"/>
              <w:rPr>
                <w:sz w:val="20"/>
                <w:szCs w:val="20"/>
                <w:color w:val="auto"/>
              </w:rPr>
            </w:pPr>
            <w:r>
              <w:rPr>
                <w:rFonts w:ascii="Arial" w:cs="Arial" w:eastAsia="Arial" w:hAnsi="Arial"/>
                <w:sz w:val="17"/>
                <w:szCs w:val="17"/>
                <w:color w:val="auto"/>
              </w:rPr>
              <w:t>10,400</w:t>
            </w:r>
          </w:p>
        </w:tc>
        <w:tc>
          <w:tcPr>
            <w:tcW w:w="340" w:type="dxa"/>
            <w:vAlign w:val="bottom"/>
            <w:shd w:val="clear" w:color="auto" w:fill="E9E9E9"/>
          </w:tcPr>
          <w:p>
            <w:pPr>
              <w:ind w:left="22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20"/>
              <w:spacing w:after="0"/>
              <w:rPr>
                <w:sz w:val="20"/>
                <w:szCs w:val="20"/>
                <w:color w:val="auto"/>
              </w:rPr>
            </w:pPr>
            <w:r>
              <w:rPr>
                <w:rFonts w:ascii="Arial" w:cs="Arial" w:eastAsia="Arial" w:hAnsi="Arial"/>
                <w:sz w:val="17"/>
                <w:szCs w:val="17"/>
                <w:color w:val="auto"/>
              </w:rPr>
              <w:t>223,316</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16,125</w:t>
            </w:r>
          </w:p>
        </w:tc>
      </w:tr>
      <w:tr>
        <w:trPr>
          <w:trHeight w:val="230"/>
        </w:trPr>
        <w:tc>
          <w:tcPr>
            <w:tcW w:w="4820" w:type="dxa"/>
            <w:vAlign w:val="bottom"/>
          </w:tcPr>
          <w:p>
            <w:pPr>
              <w:spacing w:after="0"/>
              <w:rPr>
                <w:sz w:val="20"/>
                <w:szCs w:val="20"/>
                <w:color w:val="auto"/>
              </w:rPr>
            </w:pPr>
            <w:r>
              <w:rPr>
                <w:rFonts w:ascii="Arial" w:cs="Arial" w:eastAsia="Arial" w:hAnsi="Arial"/>
                <w:sz w:val="17"/>
                <w:szCs w:val="17"/>
                <w:color w:val="auto"/>
              </w:rPr>
              <w:t>K. P. March</w:t>
            </w:r>
          </w:p>
        </w:tc>
        <w:tc>
          <w:tcPr>
            <w:tcW w:w="37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77"/>
              <w:spacing w:after="0"/>
              <w:rPr>
                <w:sz w:val="20"/>
                <w:szCs w:val="20"/>
                <w:color w:val="auto"/>
              </w:rPr>
            </w:pPr>
            <w:r>
              <w:rPr>
                <w:rFonts w:ascii="Arial" w:cs="Arial" w:eastAsia="Arial" w:hAnsi="Arial"/>
                <w:sz w:val="17"/>
                <w:szCs w:val="17"/>
                <w:color w:val="auto"/>
              </w:rPr>
              <w:t>5,200</w:t>
            </w:r>
          </w:p>
        </w:tc>
        <w:tc>
          <w:tcPr>
            <w:tcW w:w="340" w:type="dxa"/>
            <w:vAlign w:val="bottom"/>
          </w:tcPr>
          <w:p>
            <w:pPr>
              <w:spacing w:after="0"/>
              <w:rPr>
                <w:sz w:val="19"/>
                <w:szCs w:val="19"/>
                <w:color w:val="auto"/>
              </w:rPr>
            </w:pPr>
          </w:p>
        </w:tc>
        <w:tc>
          <w:tcPr>
            <w:tcW w:w="840" w:type="dxa"/>
            <w:vAlign w:val="bottom"/>
          </w:tcPr>
          <w:p>
            <w:pPr>
              <w:jc w:val="right"/>
              <w:ind w:right="120"/>
              <w:spacing w:after="0"/>
              <w:rPr>
                <w:sz w:val="20"/>
                <w:szCs w:val="20"/>
                <w:color w:val="auto"/>
              </w:rPr>
            </w:pPr>
            <w:r>
              <w:rPr>
                <w:rFonts w:ascii="Arial" w:cs="Arial" w:eastAsia="Arial" w:hAnsi="Arial"/>
                <w:sz w:val="17"/>
                <w:szCs w:val="17"/>
                <w:color w:val="auto"/>
              </w:rPr>
              <w:t>N/A</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15,309</w:t>
            </w:r>
          </w:p>
        </w:tc>
      </w:tr>
      <w:tr>
        <w:trPr>
          <w:trHeight w:val="246"/>
        </w:trPr>
        <w:tc>
          <w:tcPr>
            <w:tcW w:w="4820" w:type="dxa"/>
            <w:vAlign w:val="bottom"/>
            <w:shd w:val="clear" w:color="auto" w:fill="E9E9E9"/>
          </w:tcPr>
          <w:p>
            <w:pPr>
              <w:spacing w:after="0"/>
              <w:rPr>
                <w:sz w:val="20"/>
                <w:szCs w:val="20"/>
                <w:color w:val="auto"/>
              </w:rPr>
            </w:pPr>
            <w:r>
              <w:rPr>
                <w:rFonts w:ascii="Arial" w:cs="Arial" w:eastAsia="Arial" w:hAnsi="Arial"/>
                <w:sz w:val="17"/>
                <w:szCs w:val="17"/>
                <w:color w:val="auto"/>
              </w:rPr>
              <w:t>B. T. Crutcher</w:t>
            </w:r>
          </w:p>
        </w:tc>
        <w:tc>
          <w:tcPr>
            <w:tcW w:w="3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177"/>
              <w:spacing w:after="0"/>
              <w:rPr>
                <w:sz w:val="20"/>
                <w:szCs w:val="20"/>
                <w:color w:val="auto"/>
              </w:rPr>
            </w:pPr>
            <w:r>
              <w:rPr>
                <w:rFonts w:ascii="Arial" w:cs="Arial" w:eastAsia="Arial" w:hAnsi="Arial"/>
                <w:sz w:val="17"/>
                <w:szCs w:val="17"/>
                <w:color w:val="auto"/>
              </w:rPr>
              <w:t>10,400</w:t>
            </w:r>
          </w:p>
        </w:tc>
        <w:tc>
          <w:tcPr>
            <w:tcW w:w="340" w:type="dxa"/>
            <w:vAlign w:val="bottom"/>
            <w:shd w:val="clear" w:color="auto" w:fill="E9E9E9"/>
          </w:tcPr>
          <w:p>
            <w:pPr>
              <w:ind w:left="22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20"/>
              <w:spacing w:after="0"/>
              <w:rPr>
                <w:sz w:val="20"/>
                <w:szCs w:val="20"/>
                <w:color w:val="auto"/>
              </w:rPr>
            </w:pPr>
            <w:r>
              <w:rPr>
                <w:rFonts w:ascii="Arial" w:cs="Arial" w:eastAsia="Arial" w:hAnsi="Arial"/>
                <w:sz w:val="17"/>
                <w:szCs w:val="17"/>
                <w:color w:val="auto"/>
              </w:rPr>
              <w:t>100,288</w:t>
            </w:r>
          </w:p>
        </w:tc>
        <w:tc>
          <w:tcPr>
            <w:tcW w:w="260" w:type="dxa"/>
            <w:vAlign w:val="bottom"/>
            <w:shd w:val="clear" w:color="auto" w:fill="E9E9E9"/>
          </w:tcPr>
          <w:p>
            <w:pPr>
              <w:spacing w:after="0"/>
              <w:rPr>
                <w:sz w:val="21"/>
                <w:szCs w:val="21"/>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4820" w:type="dxa"/>
            <w:vAlign w:val="bottom"/>
          </w:tcPr>
          <w:p>
            <w:pPr>
              <w:spacing w:after="0"/>
              <w:rPr>
                <w:sz w:val="20"/>
                <w:szCs w:val="20"/>
                <w:color w:val="auto"/>
              </w:rPr>
            </w:pPr>
            <w:r>
              <w:rPr>
                <w:rFonts w:ascii="Arial" w:cs="Arial" w:eastAsia="Arial" w:hAnsi="Arial"/>
                <w:sz w:val="17"/>
                <w:szCs w:val="17"/>
                <w:color w:val="auto"/>
              </w:rPr>
              <w:t>S. A. Anderson</w:t>
            </w:r>
          </w:p>
        </w:tc>
        <w:tc>
          <w:tcPr>
            <w:tcW w:w="37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77"/>
              <w:spacing w:after="0"/>
              <w:rPr>
                <w:sz w:val="20"/>
                <w:szCs w:val="20"/>
                <w:color w:val="auto"/>
              </w:rPr>
            </w:pPr>
            <w:r>
              <w:rPr>
                <w:rFonts w:ascii="Arial" w:cs="Arial" w:eastAsia="Arial" w:hAnsi="Arial"/>
                <w:sz w:val="17"/>
                <w:szCs w:val="17"/>
                <w:color w:val="auto"/>
              </w:rPr>
              <w:t>10,400</w:t>
            </w:r>
          </w:p>
        </w:tc>
        <w:tc>
          <w:tcPr>
            <w:tcW w:w="340" w:type="dxa"/>
            <w:vAlign w:val="bottom"/>
          </w:tcPr>
          <w:p>
            <w:pPr>
              <w:ind w:left="22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20"/>
              <w:spacing w:after="0"/>
              <w:rPr>
                <w:sz w:val="20"/>
                <w:szCs w:val="20"/>
                <w:color w:val="auto"/>
              </w:rPr>
            </w:pPr>
            <w:r>
              <w:rPr>
                <w:rFonts w:ascii="Arial" w:cs="Arial" w:eastAsia="Arial" w:hAnsi="Arial"/>
                <w:sz w:val="17"/>
                <w:szCs w:val="17"/>
                <w:color w:val="auto"/>
              </w:rPr>
              <w:t>58,289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5,513</w:t>
            </w:r>
          </w:p>
        </w:tc>
      </w:tr>
      <w:tr>
        <w:trPr>
          <w:trHeight w:val="246"/>
        </w:trPr>
        <w:tc>
          <w:tcPr>
            <w:tcW w:w="482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3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177"/>
              <w:spacing w:after="0"/>
              <w:rPr>
                <w:sz w:val="20"/>
                <w:szCs w:val="20"/>
                <w:color w:val="auto"/>
              </w:rPr>
            </w:pPr>
            <w:r>
              <w:rPr>
                <w:rFonts w:ascii="Arial" w:cs="Arial" w:eastAsia="Arial" w:hAnsi="Arial"/>
                <w:sz w:val="17"/>
                <w:szCs w:val="17"/>
                <w:color w:val="auto"/>
              </w:rPr>
              <w:t>5,200</w:t>
            </w:r>
          </w:p>
        </w:tc>
        <w:tc>
          <w:tcPr>
            <w:tcW w:w="340" w:type="dxa"/>
            <w:vAlign w:val="bottom"/>
            <w:shd w:val="clear" w:color="auto" w:fill="E9E9E9"/>
          </w:tcPr>
          <w:p>
            <w:pPr>
              <w:spacing w:after="0"/>
              <w:rPr>
                <w:sz w:val="21"/>
                <w:szCs w:val="21"/>
                <w:color w:val="auto"/>
              </w:rPr>
            </w:pPr>
          </w:p>
        </w:tc>
        <w:tc>
          <w:tcPr>
            <w:tcW w:w="840" w:type="dxa"/>
            <w:vAlign w:val="bottom"/>
            <w:shd w:val="clear" w:color="auto" w:fill="E9E9E9"/>
          </w:tcPr>
          <w:p>
            <w:pPr>
              <w:jc w:val="right"/>
              <w:ind w:right="120"/>
              <w:spacing w:after="0"/>
              <w:rPr>
                <w:sz w:val="20"/>
                <w:szCs w:val="20"/>
                <w:color w:val="auto"/>
              </w:rPr>
            </w:pPr>
            <w:r>
              <w:rPr>
                <w:rFonts w:ascii="Arial" w:cs="Arial" w:eastAsia="Arial" w:hAnsi="Arial"/>
                <w:sz w:val="17"/>
                <w:szCs w:val="17"/>
                <w:color w:val="auto"/>
              </w:rPr>
              <w:t>N/A</w:t>
            </w:r>
          </w:p>
        </w:tc>
        <w:tc>
          <w:tcPr>
            <w:tcW w:w="260" w:type="dxa"/>
            <w:vAlign w:val="bottom"/>
            <w:shd w:val="clear" w:color="auto" w:fill="E9E9E9"/>
          </w:tcPr>
          <w:p>
            <w:pPr>
              <w:spacing w:after="0"/>
              <w:rPr>
                <w:sz w:val="21"/>
                <w:szCs w:val="21"/>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r>
    </w:tbl>
    <w:p>
      <w:pPr>
        <w:spacing w:after="0" w:line="241" w:lineRule="exact"/>
        <w:rPr>
          <w:sz w:val="20"/>
          <w:szCs w:val="20"/>
          <w:color w:val="auto"/>
        </w:rPr>
      </w:pPr>
    </w:p>
    <w:p>
      <w:pPr>
        <w:ind w:left="460" w:right="400" w:hanging="454"/>
        <w:spacing w:after="0" w:line="247" w:lineRule="auto"/>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Consists of (i) contributions under the company’s enhanced defined contribution retirement plan of $5,200 and (ii) an additional amount of $218,116 for Mr. Templeton, $95,088 for Mr. Crutcher, and $53,089 for Mr. Anderson accrued by TI to offset IRC limitations on amounts that could be contributed to the enhanced defined contribution retirement plan, which amount is also shown in the non-qualified deferred compensation table on page 106.</w:t>
      </w:r>
    </w:p>
    <w:p>
      <w:pPr>
        <w:spacing w:after="0" w:line="186" w:lineRule="exact"/>
        <w:rPr>
          <w:rFonts w:ascii="Arial" w:cs="Arial" w:eastAsia="Arial" w:hAnsi="Arial"/>
          <w:sz w:val="17"/>
          <w:szCs w:val="17"/>
          <w:color w:val="auto"/>
        </w:rPr>
      </w:pPr>
    </w:p>
    <w:p>
      <w:pPr>
        <w:ind w:left="460" w:hanging="454"/>
        <w:spacing w:after="0"/>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Represents payments for unused vacation time that could not be carried forward.</w:t>
      </w:r>
    </w:p>
    <w:p>
      <w:pPr>
        <w:spacing w:after="0" w:line="214"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The perquisites and personal benefits are as follows: $68,243 for Mr. Templeton, consisting of personal use of company aircraft ($57,095), financial counseling and an executive physical. Financial counseling and an executive physical were made available to the other named executive officers, but the amounts attributable to those officers were below the disclosure thresholds. The amount shown for personal use of aircraft is the incremental cost, which we valued using a method that takes into account: landing, parking and flight planning services expenses; crew travel expenses; supplies and catering expenses; aircraft fuel and oil expenses per hour of flight; communications costs; a portion of ongoing maintenance; and any customs, foreign permit and similar fees. Because company aircraft are primarily used for business travel, this methodology excludes the fixed costs, which do not change based on usage, such as pilots’ salaries and the lease or purchase cost of the company-owned aircraft.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300" w:type="dxa"/>
            <w:vAlign w:val="bottom"/>
          </w:tcPr>
          <w:p>
            <w:pPr>
              <w:ind w:left="4120"/>
              <w:spacing w:after="0"/>
              <w:rPr>
                <w:sz w:val="20"/>
                <w:szCs w:val="20"/>
                <w:color w:val="auto"/>
              </w:rPr>
            </w:pPr>
            <w:r>
              <w:rPr>
                <w:rFonts w:ascii="Arial" w:cs="Arial" w:eastAsia="Arial" w:hAnsi="Arial"/>
                <w:sz w:val="13"/>
                <w:szCs w:val="13"/>
                <w:color w:val="838383"/>
              </w:rPr>
              <w:t>TEXAS INSTRUMENTS ● 2015 PROXY STATEMENT</w:t>
            </w:r>
          </w:p>
        </w:tc>
        <w:tc>
          <w:tcPr>
            <w:tcW w:w="2140" w:type="dxa"/>
            <w:vAlign w:val="bottom"/>
          </w:tcPr>
          <w:p>
            <w:pPr>
              <w:jc w:val="right"/>
              <w:spacing w:after="0"/>
              <w:rPr>
                <w:sz w:val="20"/>
                <w:szCs w:val="20"/>
                <w:color w:val="auto"/>
              </w:rPr>
            </w:pPr>
            <w:r>
              <w:rPr>
                <w:rFonts w:ascii="Arial" w:cs="Arial" w:eastAsia="Arial" w:hAnsi="Arial"/>
                <w:sz w:val="13"/>
                <w:szCs w:val="13"/>
                <w:color w:val="838383"/>
              </w:rPr>
              <w:t>99</w:t>
            </w:r>
          </w:p>
        </w:tc>
      </w:tr>
      <w:tr>
        <w:trPr>
          <w:trHeight w:val="355"/>
        </w:trPr>
        <w:tc>
          <w:tcPr>
            <w:tcW w:w="930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Grants of plan-based awards in 2014</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grants of plan-based awards to the named executive officers in 2014.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All Other</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8"/>
        </w:trPr>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Stock</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Exercise</w:t>
            </w:r>
          </w:p>
        </w:tc>
        <w:tc>
          <w:tcPr>
            <w:tcW w:w="1040" w:type="dxa"/>
            <w:vAlign w:val="bottom"/>
          </w:tcPr>
          <w:p>
            <w:pPr>
              <w:spacing w:after="0"/>
              <w:rPr>
                <w:sz w:val="20"/>
                <w:szCs w:val="20"/>
                <w:color w:val="auto"/>
              </w:rPr>
            </w:pPr>
          </w:p>
        </w:tc>
      </w:tr>
      <w:tr>
        <w:trPr>
          <w:trHeight w:val="238"/>
        </w:trPr>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or Base</w:t>
            </w:r>
          </w:p>
        </w:tc>
        <w:tc>
          <w:tcPr>
            <w:tcW w:w="1040" w:type="dxa"/>
            <w:vAlign w:val="bottom"/>
          </w:tcPr>
          <w:p>
            <w:pPr>
              <w:spacing w:after="0"/>
              <w:rPr>
                <w:sz w:val="20"/>
                <w:szCs w:val="20"/>
                <w:color w:val="auto"/>
              </w:rPr>
            </w:pPr>
          </w:p>
        </w:tc>
      </w:tr>
      <w:tr>
        <w:trPr>
          <w:trHeight w:val="238"/>
        </w:trPr>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20" w:type="dxa"/>
            <w:vAlign w:val="bottom"/>
            <w:gridSpan w:val="3"/>
          </w:tcPr>
          <w:p>
            <w:pPr>
              <w:jc w:val="center"/>
              <w:spacing w:after="0"/>
              <w:rPr>
                <w:sz w:val="20"/>
                <w:szCs w:val="20"/>
                <w:color w:val="auto"/>
              </w:rPr>
            </w:pPr>
            <w:r>
              <w:rPr>
                <w:rFonts w:ascii="Arial" w:cs="Arial" w:eastAsia="Arial" w:hAnsi="Arial"/>
                <w:sz w:val="13"/>
                <w:szCs w:val="13"/>
                <w:b w:val="1"/>
                <w:bCs w:val="1"/>
                <w:color w:val="auto"/>
              </w:rPr>
              <w:t>Estimated Possible Payouts</w:t>
            </w:r>
          </w:p>
        </w:tc>
        <w:tc>
          <w:tcPr>
            <w:tcW w:w="2240" w:type="dxa"/>
            <w:vAlign w:val="bottom"/>
            <w:gridSpan w:val="3"/>
          </w:tcPr>
          <w:p>
            <w:pPr>
              <w:jc w:val="center"/>
              <w:spacing w:after="0"/>
              <w:rPr>
                <w:sz w:val="20"/>
                <w:szCs w:val="20"/>
                <w:color w:val="auto"/>
              </w:rPr>
            </w:pPr>
            <w:r>
              <w:rPr>
                <w:rFonts w:ascii="Arial" w:cs="Arial" w:eastAsia="Arial" w:hAnsi="Arial"/>
                <w:sz w:val="13"/>
                <w:szCs w:val="13"/>
                <w:b w:val="1"/>
                <w:bCs w:val="1"/>
                <w:color w:val="auto"/>
              </w:rPr>
              <w:t>Estimated Future Payouts</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Price of</w:t>
            </w:r>
          </w:p>
        </w:tc>
        <w:tc>
          <w:tcPr>
            <w:tcW w:w="1040" w:type="dxa"/>
            <w:vAlign w:val="bottom"/>
          </w:tcPr>
          <w:p>
            <w:pPr>
              <w:jc w:val="center"/>
              <w:ind w:left="40"/>
              <w:spacing w:after="0"/>
              <w:rPr>
                <w:sz w:val="20"/>
                <w:szCs w:val="20"/>
                <w:color w:val="auto"/>
              </w:rPr>
            </w:pPr>
            <w:r>
              <w:rPr>
                <w:rFonts w:ascii="Arial" w:cs="Arial" w:eastAsia="Arial" w:hAnsi="Arial"/>
                <w:sz w:val="13"/>
                <w:szCs w:val="13"/>
                <w:b w:val="1"/>
                <w:bCs w:val="1"/>
                <w:color w:val="auto"/>
              </w:rPr>
              <w:t>Grant Date</w:t>
            </w:r>
          </w:p>
        </w:tc>
      </w:tr>
      <w:tr>
        <w:trPr>
          <w:trHeight w:val="238"/>
        </w:trPr>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20" w:type="dxa"/>
            <w:vAlign w:val="bottom"/>
            <w:gridSpan w:val="3"/>
          </w:tcPr>
          <w:p>
            <w:pPr>
              <w:jc w:val="center"/>
              <w:spacing w:after="0"/>
              <w:rPr>
                <w:sz w:val="20"/>
                <w:szCs w:val="20"/>
                <w:color w:val="auto"/>
              </w:rPr>
            </w:pPr>
            <w:r>
              <w:rPr>
                <w:rFonts w:ascii="Arial" w:cs="Arial" w:eastAsia="Arial" w:hAnsi="Arial"/>
                <w:sz w:val="13"/>
                <w:szCs w:val="13"/>
                <w:b w:val="1"/>
                <w:bCs w:val="1"/>
                <w:color w:val="auto"/>
              </w:rPr>
              <w:t>under Non-Equity Incentive</w:t>
            </w:r>
          </w:p>
        </w:tc>
        <w:tc>
          <w:tcPr>
            <w:tcW w:w="2240" w:type="dxa"/>
            <w:vAlign w:val="bottom"/>
            <w:gridSpan w:val="3"/>
          </w:tcPr>
          <w:p>
            <w:pPr>
              <w:jc w:val="center"/>
              <w:spacing w:after="0"/>
              <w:rPr>
                <w:sz w:val="20"/>
                <w:szCs w:val="20"/>
                <w:color w:val="auto"/>
              </w:rPr>
            </w:pPr>
            <w:r>
              <w:rPr>
                <w:rFonts w:ascii="Arial" w:cs="Arial" w:eastAsia="Arial" w:hAnsi="Arial"/>
                <w:sz w:val="13"/>
                <w:szCs w:val="13"/>
                <w:b w:val="1"/>
                <w:bCs w:val="1"/>
                <w:color w:val="auto"/>
              </w:rPr>
              <w:t>under Equity Incentive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Shares of</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9"/>
              </w:rPr>
              <w:t>Securities</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1040" w:type="dxa"/>
            <w:vAlign w:val="bottom"/>
          </w:tcPr>
          <w:p>
            <w:pPr>
              <w:jc w:val="center"/>
              <w:ind w:left="60"/>
              <w:spacing w:after="0"/>
              <w:rPr>
                <w:sz w:val="20"/>
                <w:szCs w:val="20"/>
                <w:color w:val="auto"/>
              </w:rPr>
            </w:pPr>
            <w:r>
              <w:rPr>
                <w:rFonts w:ascii="Arial" w:cs="Arial" w:eastAsia="Arial" w:hAnsi="Arial"/>
                <w:sz w:val="13"/>
                <w:szCs w:val="13"/>
                <w:b w:val="1"/>
                <w:bCs w:val="1"/>
                <w:color w:val="auto"/>
                <w:w w:val="99"/>
              </w:rPr>
              <w:t>Fair Value</w:t>
            </w:r>
          </w:p>
        </w:tc>
      </w:tr>
      <w:tr>
        <w:trPr>
          <w:trHeight w:val="238"/>
        </w:trPr>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Date of</w:t>
            </w:r>
          </w:p>
        </w:tc>
        <w:tc>
          <w:tcPr>
            <w:tcW w:w="1520" w:type="dxa"/>
            <w:vAlign w:val="bottom"/>
            <w:gridSpan w:val="2"/>
          </w:tcPr>
          <w:p>
            <w:pPr>
              <w:jc w:val="center"/>
              <w:ind w:left="624"/>
              <w:spacing w:after="0"/>
              <w:rPr>
                <w:sz w:val="20"/>
                <w:szCs w:val="20"/>
                <w:color w:val="auto"/>
              </w:rPr>
            </w:pPr>
            <w:r>
              <w:rPr>
                <w:rFonts w:ascii="Arial" w:cs="Arial" w:eastAsia="Arial" w:hAnsi="Arial"/>
                <w:sz w:val="13"/>
                <w:szCs w:val="13"/>
                <w:b w:val="1"/>
                <w:bCs w:val="1"/>
                <w:color w:val="auto"/>
                <w:w w:val="99"/>
              </w:rPr>
              <w:t>Plan Awards</w:t>
            </w:r>
          </w:p>
        </w:tc>
        <w:tc>
          <w:tcPr>
            <w:tcW w:w="700" w:type="dxa"/>
            <w:vAlign w:val="bottom"/>
          </w:tcPr>
          <w:p>
            <w:pPr>
              <w:spacing w:after="0"/>
              <w:rPr>
                <w:sz w:val="20"/>
                <w:szCs w:val="20"/>
                <w:color w:val="auto"/>
              </w:rPr>
            </w:pPr>
          </w:p>
        </w:tc>
        <w:tc>
          <w:tcPr>
            <w:tcW w:w="1520" w:type="dxa"/>
            <w:vAlign w:val="bottom"/>
            <w:gridSpan w:val="2"/>
          </w:tcPr>
          <w:p>
            <w:pPr>
              <w:jc w:val="center"/>
              <w:ind w:left="624"/>
              <w:spacing w:after="0"/>
              <w:rPr>
                <w:sz w:val="20"/>
                <w:szCs w:val="20"/>
                <w:color w:val="auto"/>
              </w:rPr>
            </w:pPr>
            <w:r>
              <w:rPr>
                <w:rFonts w:ascii="Arial" w:cs="Arial" w:eastAsia="Arial" w:hAnsi="Arial"/>
                <w:sz w:val="13"/>
                <w:szCs w:val="13"/>
                <w:b w:val="1"/>
                <w:bCs w:val="1"/>
                <w:color w:val="auto"/>
                <w:w w:val="99"/>
              </w:rPr>
              <w:t>Plan Awards</w:t>
            </w:r>
          </w:p>
        </w:tc>
        <w:tc>
          <w:tcPr>
            <w:tcW w:w="7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Stock or</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1040" w:type="dxa"/>
            <w:vAlign w:val="bottom"/>
          </w:tcPr>
          <w:p>
            <w:pPr>
              <w:jc w:val="center"/>
              <w:ind w:left="40"/>
              <w:spacing w:after="0"/>
              <w:rPr>
                <w:sz w:val="20"/>
                <w:szCs w:val="20"/>
                <w:color w:val="auto"/>
              </w:rPr>
            </w:pPr>
            <w:r>
              <w:rPr>
                <w:rFonts w:ascii="Arial" w:cs="Arial" w:eastAsia="Arial" w:hAnsi="Arial"/>
                <w:sz w:val="13"/>
                <w:szCs w:val="13"/>
                <w:b w:val="1"/>
                <w:bCs w:val="1"/>
                <w:color w:val="auto"/>
              </w:rPr>
              <w:t>of Stock</w:t>
            </w:r>
          </w:p>
        </w:tc>
      </w:tr>
      <w:tr>
        <w:trPr>
          <w:trHeight w:val="238"/>
        </w:trPr>
        <w:tc>
          <w:tcPr>
            <w:tcW w:w="1340" w:type="dxa"/>
            <w:vAlign w:val="bottom"/>
          </w:tcPr>
          <w:p>
            <w:pPr>
              <w:spacing w:after="0"/>
              <w:rPr>
                <w:sz w:val="20"/>
                <w:szCs w:val="20"/>
                <w:color w:val="auto"/>
              </w:rPr>
            </w:pPr>
          </w:p>
        </w:tc>
        <w:tc>
          <w:tcPr>
            <w:tcW w:w="920" w:type="dxa"/>
            <w:vAlign w:val="bottom"/>
          </w:tcPr>
          <w:p>
            <w:pPr>
              <w:ind w:left="120"/>
              <w:spacing w:after="0"/>
              <w:rPr>
                <w:sz w:val="20"/>
                <w:szCs w:val="20"/>
                <w:color w:val="auto"/>
              </w:rPr>
            </w:pPr>
            <w:r>
              <w:rPr>
                <w:rFonts w:ascii="Arial" w:cs="Arial" w:eastAsia="Arial" w:hAnsi="Arial"/>
                <w:sz w:val="13"/>
                <w:szCs w:val="13"/>
                <w:b w:val="1"/>
                <w:bCs w:val="1"/>
                <w:color w:val="auto"/>
              </w:rPr>
              <w:t>Grant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Committee</w:t>
            </w:r>
          </w:p>
        </w:tc>
        <w:tc>
          <w:tcPr>
            <w:tcW w:w="840" w:type="dxa"/>
            <w:vAlign w:val="bottom"/>
          </w:tcPr>
          <w:p>
            <w:pPr>
              <w:ind w:left="100"/>
              <w:spacing w:after="0"/>
              <w:rPr>
                <w:sz w:val="20"/>
                <w:szCs w:val="20"/>
                <w:color w:val="auto"/>
              </w:rPr>
            </w:pPr>
            <w:r>
              <w:rPr>
                <w:rFonts w:ascii="Arial" w:cs="Arial" w:eastAsia="Arial" w:hAnsi="Arial"/>
                <w:sz w:val="13"/>
                <w:szCs w:val="13"/>
                <w:b w:val="1"/>
                <w:bCs w:val="1"/>
                <w:color w:val="auto"/>
              </w:rPr>
              <w:t>Threshold</w:t>
            </w:r>
          </w:p>
        </w:tc>
        <w:tc>
          <w:tcPr>
            <w:tcW w:w="680" w:type="dxa"/>
            <w:vAlign w:val="bottom"/>
          </w:tcPr>
          <w:p>
            <w:pPr>
              <w:jc w:val="center"/>
              <w:ind w:right="20"/>
              <w:spacing w:after="0"/>
              <w:rPr>
                <w:sz w:val="20"/>
                <w:szCs w:val="20"/>
                <w:color w:val="auto"/>
              </w:rPr>
            </w:pPr>
            <w:r>
              <w:rPr>
                <w:rFonts w:ascii="Arial" w:cs="Arial" w:eastAsia="Arial" w:hAnsi="Arial"/>
                <w:sz w:val="13"/>
                <w:szCs w:val="13"/>
                <w:b w:val="1"/>
                <w:bCs w:val="1"/>
                <w:color w:val="auto"/>
                <w:w w:val="95"/>
              </w:rPr>
              <w:t>Target</w:t>
            </w:r>
          </w:p>
        </w:tc>
        <w:tc>
          <w:tcPr>
            <w:tcW w:w="700" w:type="dxa"/>
            <w:vAlign w:val="bottom"/>
          </w:tcPr>
          <w:p>
            <w:pPr>
              <w:spacing w:after="0"/>
              <w:rPr>
                <w:sz w:val="20"/>
                <w:szCs w:val="20"/>
                <w:color w:val="auto"/>
              </w:rPr>
            </w:pPr>
            <w:r>
              <w:rPr>
                <w:rFonts w:ascii="Arial" w:cs="Arial" w:eastAsia="Arial" w:hAnsi="Arial"/>
                <w:sz w:val="13"/>
                <w:szCs w:val="13"/>
                <w:b w:val="1"/>
                <w:bCs w:val="1"/>
                <w:color w:val="auto"/>
              </w:rPr>
              <w:t>Maximum</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Threshold</w:t>
            </w:r>
          </w:p>
        </w:tc>
        <w:tc>
          <w:tcPr>
            <w:tcW w:w="680" w:type="dxa"/>
            <w:vAlign w:val="bottom"/>
          </w:tcPr>
          <w:p>
            <w:pPr>
              <w:jc w:val="center"/>
              <w:ind w:right="20"/>
              <w:spacing w:after="0"/>
              <w:rPr>
                <w:sz w:val="20"/>
                <w:szCs w:val="20"/>
                <w:color w:val="auto"/>
              </w:rPr>
            </w:pPr>
            <w:r>
              <w:rPr>
                <w:rFonts w:ascii="Arial" w:cs="Arial" w:eastAsia="Arial" w:hAnsi="Arial"/>
                <w:sz w:val="13"/>
                <w:szCs w:val="13"/>
                <w:b w:val="1"/>
                <w:bCs w:val="1"/>
                <w:color w:val="auto"/>
                <w:w w:val="95"/>
              </w:rPr>
              <w:t>Target</w:t>
            </w:r>
          </w:p>
        </w:tc>
        <w:tc>
          <w:tcPr>
            <w:tcW w:w="720" w:type="dxa"/>
            <w:vAlign w:val="bottom"/>
          </w:tcPr>
          <w:p>
            <w:pPr>
              <w:jc w:val="center"/>
              <w:ind w:right="40"/>
              <w:spacing w:after="0"/>
              <w:rPr>
                <w:sz w:val="20"/>
                <w:szCs w:val="20"/>
                <w:color w:val="auto"/>
              </w:rPr>
            </w:pPr>
            <w:r>
              <w:rPr>
                <w:rFonts w:ascii="Arial" w:cs="Arial" w:eastAsia="Arial" w:hAnsi="Arial"/>
                <w:sz w:val="13"/>
                <w:szCs w:val="13"/>
                <w:b w:val="1"/>
                <w:bCs w:val="1"/>
                <w:color w:val="auto"/>
                <w:w w:val="99"/>
              </w:rPr>
              <w:t>Maximum</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Units</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Options</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($/Sh)</w:t>
            </w:r>
          </w:p>
        </w:tc>
        <w:tc>
          <w:tcPr>
            <w:tcW w:w="1040" w:type="dxa"/>
            <w:vAlign w:val="bottom"/>
          </w:tcPr>
          <w:p>
            <w:pPr>
              <w:jc w:val="center"/>
              <w:ind w:left="60"/>
              <w:spacing w:after="0"/>
              <w:rPr>
                <w:sz w:val="20"/>
                <w:szCs w:val="20"/>
                <w:color w:val="auto"/>
              </w:rPr>
            </w:pPr>
            <w:r>
              <w:rPr>
                <w:rFonts w:ascii="Arial" w:cs="Arial" w:eastAsia="Arial" w:hAnsi="Arial"/>
                <w:sz w:val="13"/>
                <w:szCs w:val="13"/>
                <w:b w:val="1"/>
                <w:bCs w:val="1"/>
                <w:color w:val="auto"/>
              </w:rPr>
              <w:t>and Option</w:t>
            </w:r>
          </w:p>
        </w:tc>
      </w:tr>
      <w:tr>
        <w:trPr>
          <w:trHeight w:val="238"/>
        </w:trPr>
        <w:tc>
          <w:tcPr>
            <w:tcW w:w="13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920" w:type="dxa"/>
            <w:vAlign w:val="bottom"/>
          </w:tcPr>
          <w:p>
            <w:pPr>
              <w:ind w:left="140"/>
              <w:spacing w:after="0"/>
              <w:rPr>
                <w:sz w:val="20"/>
                <w:szCs w:val="20"/>
                <w:color w:val="auto"/>
              </w:rPr>
            </w:pPr>
            <w:r>
              <w:rPr>
                <w:rFonts w:ascii="Arial" w:cs="Arial" w:eastAsia="Arial" w:hAnsi="Arial"/>
                <w:sz w:val="13"/>
                <w:szCs w:val="13"/>
                <w:b w:val="1"/>
                <w:bCs w:val="1"/>
                <w:color w:val="auto"/>
              </w:rPr>
              <w:t>Date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Action</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center"/>
              <w:ind w:right="40"/>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center"/>
              <w:ind w:right="20"/>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center"/>
              <w:ind w:right="40"/>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center"/>
              <w:ind w:right="40"/>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 (2)</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 (3)</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(4)</w:t>
            </w:r>
          </w:p>
        </w:tc>
        <w:tc>
          <w:tcPr>
            <w:tcW w:w="1040" w:type="dxa"/>
            <w:vAlign w:val="bottom"/>
          </w:tcPr>
          <w:p>
            <w:pPr>
              <w:jc w:val="center"/>
              <w:ind w:left="40"/>
              <w:spacing w:after="0"/>
              <w:rPr>
                <w:sz w:val="20"/>
                <w:szCs w:val="20"/>
                <w:color w:val="auto"/>
              </w:rPr>
            </w:pPr>
            <w:r>
              <w:rPr>
                <w:rFonts w:ascii="Arial" w:cs="Arial" w:eastAsia="Arial" w:hAnsi="Arial"/>
                <w:sz w:val="13"/>
                <w:szCs w:val="13"/>
                <w:b w:val="1"/>
                <w:bCs w:val="1"/>
                <w:color w:val="auto"/>
              </w:rPr>
              <w:t>Awards (5)</w:t>
            </w:r>
          </w:p>
        </w:tc>
      </w:tr>
      <w:tr>
        <w:trPr>
          <w:trHeight w:val="41"/>
        </w:trPr>
        <w:tc>
          <w:tcPr>
            <w:tcW w:w="13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5"/>
        </w:trPr>
        <w:tc>
          <w:tcPr>
            <w:tcW w:w="134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920" w:type="dxa"/>
            <w:vAlign w:val="bottom"/>
            <w:shd w:val="clear" w:color="auto" w:fill="E9E9E9"/>
          </w:tcPr>
          <w:p>
            <w:pPr>
              <w:spacing w:after="0"/>
              <w:rPr>
                <w:sz w:val="20"/>
                <w:szCs w:val="20"/>
                <w:color w:val="auto"/>
              </w:rPr>
            </w:pPr>
            <w:r>
              <w:rPr>
                <w:rFonts w:ascii="Arial" w:cs="Arial" w:eastAsia="Arial" w:hAnsi="Arial"/>
                <w:sz w:val="17"/>
                <w:szCs w:val="17"/>
                <w:color w:val="auto"/>
              </w:rPr>
              <w:t>1/23/14 (1)</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1/16/14</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680" w:type="dxa"/>
            <w:vAlign w:val="bottom"/>
            <w:shd w:val="clear" w:color="auto" w:fill="E9E9E9"/>
          </w:tcPr>
          <w:p>
            <w:pPr>
              <w:jc w:val="center"/>
              <w:ind w:right="20"/>
              <w:spacing w:after="0"/>
              <w:rPr>
                <w:sz w:val="20"/>
                <w:szCs w:val="20"/>
                <w:color w:val="auto"/>
              </w:rPr>
            </w:pPr>
            <w:r>
              <w:rPr>
                <w:rFonts w:ascii="Arial" w:cs="Arial" w:eastAsia="Arial" w:hAnsi="Arial"/>
                <w:sz w:val="17"/>
                <w:szCs w:val="17"/>
                <w:color w:val="auto"/>
                <w:w w:val="89"/>
              </w:rPr>
              <w:t>*</w:t>
            </w:r>
          </w:p>
        </w:tc>
        <w:tc>
          <w:tcPr>
            <w:tcW w:w="700" w:type="dxa"/>
            <w:vAlign w:val="bottom"/>
            <w:shd w:val="clear" w:color="auto" w:fill="E9E9E9"/>
          </w:tcPr>
          <w:p>
            <w:pPr>
              <w:jc w:val="center"/>
              <w:ind w:righ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680" w:type="dxa"/>
            <w:vAlign w:val="bottom"/>
            <w:shd w:val="clear" w:color="auto" w:fill="E9E9E9"/>
          </w:tcPr>
          <w:p>
            <w:pPr>
              <w:jc w:val="center"/>
              <w:ind w:righ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E9E9E9"/>
          </w:tcPr>
          <w:p>
            <w:pPr>
              <w:jc w:val="center"/>
              <w:ind w:right="40"/>
              <w:spacing w:after="0"/>
              <w:rPr>
                <w:sz w:val="20"/>
                <w:szCs w:val="20"/>
                <w:color w:val="auto"/>
              </w:rPr>
            </w:pPr>
            <w:r>
              <w:rPr>
                <w:rFonts w:ascii="Arial" w:cs="Arial" w:eastAsia="Arial" w:hAnsi="Arial"/>
                <w:sz w:val="17"/>
                <w:szCs w:val="17"/>
                <w:color w:val="auto"/>
                <w:w w:val="93"/>
              </w:rPr>
              <w:t>—</w:t>
            </w:r>
          </w:p>
        </w:tc>
        <w:tc>
          <w:tcPr>
            <w:tcW w:w="940" w:type="dxa"/>
            <w:vAlign w:val="bottom"/>
            <w:shd w:val="clear" w:color="auto" w:fill="E9E9E9"/>
          </w:tcPr>
          <w:p>
            <w:pPr>
              <w:spacing w:after="0"/>
              <w:rPr>
                <w:sz w:val="18"/>
                <w:szCs w:val="18"/>
                <w:color w:val="auto"/>
              </w:rPr>
            </w:pP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602,692</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$ 44.09</w:t>
            </w:r>
          </w:p>
        </w:tc>
        <w:tc>
          <w:tcPr>
            <w:tcW w:w="1040" w:type="dxa"/>
            <w:vAlign w:val="bottom"/>
            <w:shd w:val="clear" w:color="auto" w:fill="E9E9E9"/>
          </w:tcPr>
          <w:p>
            <w:pPr>
              <w:jc w:val="center"/>
              <w:ind w:left="60"/>
              <w:spacing w:after="0"/>
              <w:rPr>
                <w:sz w:val="20"/>
                <w:szCs w:val="20"/>
                <w:color w:val="auto"/>
              </w:rPr>
            </w:pPr>
            <w:r>
              <w:rPr>
                <w:rFonts w:ascii="Arial" w:cs="Arial" w:eastAsia="Arial" w:hAnsi="Arial"/>
                <w:sz w:val="17"/>
                <w:szCs w:val="17"/>
                <w:color w:val="auto"/>
              </w:rPr>
              <w:t>$ 4,900,004</w:t>
            </w:r>
          </w:p>
        </w:tc>
      </w:tr>
      <w:tr>
        <w:trPr>
          <w:trHeight w:val="238"/>
        </w:trPr>
        <w:tc>
          <w:tcPr>
            <w:tcW w:w="1340" w:type="dxa"/>
            <w:vAlign w:val="bottom"/>
            <w:shd w:val="clear" w:color="auto" w:fill="E9E9E9"/>
          </w:tcPr>
          <w:p>
            <w:pPr>
              <w:spacing w:after="0"/>
              <w:rPr>
                <w:sz w:val="20"/>
                <w:szCs w:val="20"/>
                <w:color w:val="auto"/>
              </w:rPr>
            </w:pPr>
          </w:p>
        </w:tc>
        <w:tc>
          <w:tcPr>
            <w:tcW w:w="920" w:type="dxa"/>
            <w:vAlign w:val="bottom"/>
            <w:shd w:val="clear" w:color="auto" w:fill="E9E9E9"/>
          </w:tcPr>
          <w:p>
            <w:pPr>
              <w:spacing w:after="0"/>
              <w:rPr>
                <w:sz w:val="20"/>
                <w:szCs w:val="20"/>
                <w:color w:val="auto"/>
              </w:rPr>
            </w:pPr>
            <w:r>
              <w:rPr>
                <w:rFonts w:ascii="Arial" w:cs="Arial" w:eastAsia="Arial" w:hAnsi="Arial"/>
                <w:sz w:val="17"/>
                <w:szCs w:val="17"/>
                <w:color w:val="auto"/>
              </w:rPr>
              <w:t>1/23/14 (1)</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1/16/14</w:t>
            </w:r>
          </w:p>
        </w:tc>
        <w:tc>
          <w:tcPr>
            <w:tcW w:w="840" w:type="dxa"/>
            <w:vAlign w:val="bottom"/>
            <w:shd w:val="clear" w:color="auto" w:fill="E9E9E9"/>
          </w:tcPr>
          <w:p>
            <w:pPr>
              <w:spacing w:after="0"/>
              <w:rPr>
                <w:sz w:val="20"/>
                <w:szCs w:val="20"/>
                <w:color w:val="auto"/>
              </w:rPr>
            </w:pPr>
          </w:p>
        </w:tc>
        <w:tc>
          <w:tcPr>
            <w:tcW w:w="680" w:type="dxa"/>
            <w:vAlign w:val="bottom"/>
            <w:shd w:val="clear" w:color="auto" w:fill="E9E9E9"/>
          </w:tcPr>
          <w:p>
            <w:pPr>
              <w:spacing w:after="0"/>
              <w:rPr>
                <w:sz w:val="20"/>
                <w:szCs w:val="20"/>
                <w:color w:val="auto"/>
              </w:rPr>
            </w:pPr>
          </w:p>
        </w:tc>
        <w:tc>
          <w:tcPr>
            <w:tcW w:w="70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c>
          <w:tcPr>
            <w:tcW w:w="68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940" w:type="dxa"/>
            <w:vAlign w:val="bottom"/>
            <w:shd w:val="clear" w:color="auto" w:fill="E9E9E9"/>
          </w:tcPr>
          <w:p>
            <w:pPr>
              <w:jc w:val="right"/>
              <w:ind w:right="105"/>
              <w:spacing w:after="0"/>
              <w:rPr>
                <w:sz w:val="20"/>
                <w:szCs w:val="20"/>
                <w:color w:val="auto"/>
              </w:rPr>
            </w:pPr>
            <w:r>
              <w:rPr>
                <w:rFonts w:ascii="Arial" w:cs="Arial" w:eastAsia="Arial" w:hAnsi="Arial"/>
                <w:sz w:val="17"/>
                <w:szCs w:val="17"/>
                <w:color w:val="auto"/>
              </w:rPr>
              <w:t>111,137</w:t>
            </w:r>
          </w:p>
        </w:tc>
        <w:tc>
          <w:tcPr>
            <w:tcW w:w="1000" w:type="dxa"/>
            <w:vAlign w:val="bottom"/>
            <w:shd w:val="clear" w:color="auto" w:fill="E9E9E9"/>
          </w:tcPr>
          <w:p>
            <w:pPr>
              <w:spacing w:after="0"/>
              <w:rPr>
                <w:sz w:val="20"/>
                <w:szCs w:val="20"/>
                <w:color w:val="auto"/>
              </w:rPr>
            </w:pPr>
          </w:p>
        </w:tc>
        <w:tc>
          <w:tcPr>
            <w:tcW w:w="860" w:type="dxa"/>
            <w:vAlign w:val="bottom"/>
            <w:shd w:val="clear" w:color="auto" w:fill="E9E9E9"/>
          </w:tcPr>
          <w:p>
            <w:pPr>
              <w:spacing w:after="0"/>
              <w:rPr>
                <w:sz w:val="20"/>
                <w:szCs w:val="20"/>
                <w:color w:val="auto"/>
              </w:rPr>
            </w:pPr>
          </w:p>
        </w:tc>
        <w:tc>
          <w:tcPr>
            <w:tcW w:w="1040" w:type="dxa"/>
            <w:vAlign w:val="bottom"/>
            <w:shd w:val="clear" w:color="auto" w:fill="E9E9E9"/>
          </w:tcPr>
          <w:p>
            <w:pPr>
              <w:jc w:val="center"/>
              <w:ind w:left="60"/>
              <w:spacing w:after="0"/>
              <w:rPr>
                <w:sz w:val="20"/>
                <w:szCs w:val="20"/>
                <w:color w:val="auto"/>
              </w:rPr>
            </w:pPr>
            <w:r>
              <w:rPr>
                <w:rFonts w:ascii="Arial" w:cs="Arial" w:eastAsia="Arial" w:hAnsi="Arial"/>
                <w:sz w:val="17"/>
                <w:szCs w:val="17"/>
                <w:color w:val="auto"/>
              </w:rPr>
              <w:t>$ 4,900,030</w:t>
            </w:r>
          </w:p>
        </w:tc>
      </w:tr>
      <w:tr>
        <w:trPr>
          <w:trHeight w:val="254"/>
        </w:trPr>
        <w:tc>
          <w:tcPr>
            <w:tcW w:w="1340" w:type="dxa"/>
            <w:vAlign w:val="bottom"/>
            <w:shd w:val="clear" w:color="auto" w:fill="E9E9E9"/>
          </w:tcPr>
          <w:p>
            <w:pPr>
              <w:spacing w:after="0"/>
              <w:rPr>
                <w:sz w:val="22"/>
                <w:szCs w:val="22"/>
                <w:color w:val="auto"/>
              </w:rPr>
            </w:pPr>
          </w:p>
        </w:tc>
        <w:tc>
          <w:tcPr>
            <w:tcW w:w="920" w:type="dxa"/>
            <w:vAlign w:val="bottom"/>
            <w:shd w:val="clear" w:color="auto" w:fill="E9E9E9"/>
          </w:tcPr>
          <w:p>
            <w:pPr>
              <w:spacing w:after="0"/>
              <w:rPr>
                <w:sz w:val="22"/>
                <w:szCs w:val="22"/>
                <w:color w:val="auto"/>
              </w:rPr>
            </w:pPr>
          </w:p>
        </w:tc>
        <w:tc>
          <w:tcPr>
            <w:tcW w:w="860" w:type="dxa"/>
            <w:vAlign w:val="bottom"/>
            <w:shd w:val="clear" w:color="auto" w:fill="E9E9E9"/>
          </w:tcPr>
          <w:p>
            <w:pPr>
              <w:spacing w:after="0"/>
              <w:rPr>
                <w:sz w:val="22"/>
                <w:szCs w:val="22"/>
                <w:color w:val="auto"/>
              </w:rPr>
            </w:pPr>
          </w:p>
        </w:tc>
        <w:tc>
          <w:tcPr>
            <w:tcW w:w="840" w:type="dxa"/>
            <w:vAlign w:val="bottom"/>
            <w:shd w:val="clear" w:color="auto" w:fill="E9E9E9"/>
          </w:tcPr>
          <w:p>
            <w:pPr>
              <w:spacing w:after="0"/>
              <w:rPr>
                <w:sz w:val="22"/>
                <w:szCs w:val="22"/>
                <w:color w:val="auto"/>
              </w:rPr>
            </w:pPr>
          </w:p>
        </w:tc>
        <w:tc>
          <w:tcPr>
            <w:tcW w:w="680" w:type="dxa"/>
            <w:vAlign w:val="bottom"/>
            <w:shd w:val="clear" w:color="auto" w:fill="E9E9E9"/>
          </w:tcPr>
          <w:p>
            <w:pPr>
              <w:spacing w:after="0"/>
              <w:rPr>
                <w:sz w:val="22"/>
                <w:szCs w:val="22"/>
                <w:color w:val="auto"/>
              </w:rPr>
            </w:pPr>
          </w:p>
        </w:tc>
        <w:tc>
          <w:tcPr>
            <w:tcW w:w="700" w:type="dxa"/>
            <w:vAlign w:val="bottom"/>
            <w:shd w:val="clear" w:color="auto" w:fill="E9E9E9"/>
          </w:tcPr>
          <w:p>
            <w:pPr>
              <w:spacing w:after="0"/>
              <w:rPr>
                <w:sz w:val="22"/>
                <w:szCs w:val="22"/>
                <w:color w:val="auto"/>
              </w:rPr>
            </w:pPr>
          </w:p>
        </w:tc>
        <w:tc>
          <w:tcPr>
            <w:tcW w:w="840" w:type="dxa"/>
            <w:vAlign w:val="bottom"/>
            <w:shd w:val="clear" w:color="auto" w:fill="E9E9E9"/>
          </w:tcPr>
          <w:p>
            <w:pPr>
              <w:spacing w:after="0"/>
              <w:rPr>
                <w:sz w:val="22"/>
                <w:szCs w:val="22"/>
                <w:color w:val="auto"/>
              </w:rPr>
            </w:pPr>
          </w:p>
        </w:tc>
        <w:tc>
          <w:tcPr>
            <w:tcW w:w="680" w:type="dxa"/>
            <w:vAlign w:val="bottom"/>
            <w:shd w:val="clear" w:color="auto" w:fill="E9E9E9"/>
          </w:tcPr>
          <w:p>
            <w:pPr>
              <w:spacing w:after="0"/>
              <w:rPr>
                <w:sz w:val="22"/>
                <w:szCs w:val="22"/>
                <w:color w:val="auto"/>
              </w:rPr>
            </w:pPr>
          </w:p>
        </w:tc>
        <w:tc>
          <w:tcPr>
            <w:tcW w:w="720" w:type="dxa"/>
            <w:vAlign w:val="bottom"/>
            <w:shd w:val="clear" w:color="auto" w:fill="E9E9E9"/>
          </w:tcPr>
          <w:p>
            <w:pPr>
              <w:spacing w:after="0"/>
              <w:rPr>
                <w:sz w:val="22"/>
                <w:szCs w:val="22"/>
                <w:color w:val="auto"/>
              </w:rPr>
            </w:pPr>
          </w:p>
        </w:tc>
        <w:tc>
          <w:tcPr>
            <w:tcW w:w="940" w:type="dxa"/>
            <w:vAlign w:val="bottom"/>
            <w:shd w:val="clear" w:color="auto" w:fill="E9E9E9"/>
          </w:tcPr>
          <w:p>
            <w:pPr>
              <w:spacing w:after="0"/>
              <w:rPr>
                <w:sz w:val="22"/>
                <w:szCs w:val="22"/>
                <w:color w:val="auto"/>
              </w:rPr>
            </w:pPr>
          </w:p>
        </w:tc>
        <w:tc>
          <w:tcPr>
            <w:tcW w:w="1000" w:type="dxa"/>
            <w:vAlign w:val="bottom"/>
            <w:shd w:val="clear" w:color="auto" w:fill="E9E9E9"/>
          </w:tcPr>
          <w:p>
            <w:pPr>
              <w:spacing w:after="0"/>
              <w:rPr>
                <w:sz w:val="22"/>
                <w:szCs w:val="22"/>
                <w:color w:val="auto"/>
              </w:rPr>
            </w:pPr>
          </w:p>
        </w:tc>
        <w:tc>
          <w:tcPr>
            <w:tcW w:w="860" w:type="dxa"/>
            <w:vAlign w:val="bottom"/>
            <w:shd w:val="clear" w:color="auto" w:fill="E9E9E9"/>
          </w:tcPr>
          <w:p>
            <w:pPr>
              <w:spacing w:after="0"/>
              <w:rPr>
                <w:sz w:val="22"/>
                <w:szCs w:val="22"/>
                <w:color w:val="auto"/>
              </w:rPr>
            </w:pPr>
          </w:p>
        </w:tc>
        <w:tc>
          <w:tcPr>
            <w:tcW w:w="1040" w:type="dxa"/>
            <w:vAlign w:val="bottom"/>
            <w:shd w:val="clear" w:color="auto" w:fill="E9E9E9"/>
          </w:tcPr>
          <w:p>
            <w:pPr>
              <w:spacing w:after="0"/>
              <w:rPr>
                <w:sz w:val="22"/>
                <w:szCs w:val="22"/>
                <w:color w:val="auto"/>
              </w:rPr>
            </w:pPr>
          </w:p>
        </w:tc>
      </w:tr>
      <w:tr>
        <w:trPr>
          <w:trHeight w:val="222"/>
        </w:trPr>
        <w:tc>
          <w:tcPr>
            <w:tcW w:w="1340" w:type="dxa"/>
            <w:vAlign w:val="bottom"/>
          </w:tcPr>
          <w:p>
            <w:pPr>
              <w:spacing w:after="0"/>
              <w:rPr>
                <w:sz w:val="20"/>
                <w:szCs w:val="20"/>
                <w:color w:val="auto"/>
              </w:rPr>
            </w:pPr>
            <w:r>
              <w:rPr>
                <w:rFonts w:ascii="Arial" w:cs="Arial" w:eastAsia="Arial" w:hAnsi="Arial"/>
                <w:sz w:val="17"/>
                <w:szCs w:val="17"/>
                <w:color w:val="auto"/>
              </w:rPr>
              <w:t>K. P. March</w:t>
            </w:r>
          </w:p>
        </w:tc>
        <w:tc>
          <w:tcPr>
            <w:tcW w:w="920" w:type="dxa"/>
            <w:vAlign w:val="bottom"/>
          </w:tcPr>
          <w:p>
            <w:pPr>
              <w:spacing w:after="0"/>
              <w:rPr>
                <w:sz w:val="20"/>
                <w:szCs w:val="20"/>
                <w:color w:val="auto"/>
              </w:rPr>
            </w:pPr>
            <w:r>
              <w:rPr>
                <w:rFonts w:ascii="Arial" w:cs="Arial" w:eastAsia="Arial" w:hAnsi="Arial"/>
                <w:sz w:val="17"/>
                <w:szCs w:val="17"/>
                <w:color w:val="auto"/>
              </w:rPr>
              <w:t>1/23/14 (1)</w:t>
            </w:r>
          </w:p>
        </w:tc>
        <w:tc>
          <w:tcPr>
            <w:tcW w:w="860" w:type="dxa"/>
            <w:vAlign w:val="bottom"/>
          </w:tcPr>
          <w:p>
            <w:pPr>
              <w:jc w:val="center"/>
              <w:spacing w:after="0"/>
              <w:rPr>
                <w:sz w:val="20"/>
                <w:szCs w:val="20"/>
                <w:color w:val="auto"/>
              </w:rPr>
            </w:pPr>
            <w:r>
              <w:rPr>
                <w:rFonts w:ascii="Arial" w:cs="Arial" w:eastAsia="Arial" w:hAnsi="Arial"/>
                <w:sz w:val="17"/>
                <w:szCs w:val="17"/>
                <w:color w:val="auto"/>
              </w:rPr>
              <w:t>1/16/14</w:t>
            </w:r>
          </w:p>
        </w:tc>
        <w:tc>
          <w:tcPr>
            <w:tcW w:w="840" w:type="dxa"/>
            <w:vAlign w:val="bottom"/>
          </w:tcPr>
          <w:p>
            <w:pPr>
              <w:jc w:val="center"/>
              <w:spacing w:after="0"/>
              <w:rPr>
                <w:sz w:val="20"/>
                <w:szCs w:val="20"/>
                <w:color w:val="auto"/>
              </w:rPr>
            </w:pPr>
            <w:r>
              <w:rPr>
                <w:rFonts w:ascii="Arial" w:cs="Arial" w:eastAsia="Arial" w:hAnsi="Arial"/>
                <w:sz w:val="17"/>
                <w:szCs w:val="17"/>
                <w:color w:val="auto"/>
              </w:rPr>
              <w:t>*</w:t>
            </w:r>
          </w:p>
        </w:tc>
        <w:tc>
          <w:tcPr>
            <w:tcW w:w="680" w:type="dxa"/>
            <w:vAlign w:val="bottom"/>
          </w:tcPr>
          <w:p>
            <w:pPr>
              <w:jc w:val="center"/>
              <w:ind w:right="20"/>
              <w:spacing w:after="0"/>
              <w:rPr>
                <w:sz w:val="20"/>
                <w:szCs w:val="20"/>
                <w:color w:val="auto"/>
              </w:rPr>
            </w:pPr>
            <w:r>
              <w:rPr>
                <w:rFonts w:ascii="Arial" w:cs="Arial" w:eastAsia="Arial" w:hAnsi="Arial"/>
                <w:sz w:val="17"/>
                <w:szCs w:val="17"/>
                <w:color w:val="auto"/>
                <w:w w:val="89"/>
              </w:rPr>
              <w:t>*</w:t>
            </w:r>
          </w:p>
        </w:tc>
        <w:tc>
          <w:tcPr>
            <w:tcW w:w="700" w:type="dxa"/>
            <w:vAlign w:val="bottom"/>
          </w:tcPr>
          <w:p>
            <w:pPr>
              <w:jc w:val="center"/>
              <w:ind w:right="20"/>
              <w:spacing w:after="0"/>
              <w:rPr>
                <w:sz w:val="20"/>
                <w:szCs w:val="20"/>
                <w:color w:val="auto"/>
              </w:rPr>
            </w:pPr>
            <w:r>
              <w:rPr>
                <w:rFonts w:ascii="Arial" w:cs="Arial" w:eastAsia="Arial" w:hAnsi="Arial"/>
                <w:sz w:val="17"/>
                <w:szCs w:val="17"/>
                <w:color w:val="auto"/>
              </w:rPr>
              <w:t>*</w:t>
            </w:r>
          </w:p>
        </w:tc>
        <w:tc>
          <w:tcPr>
            <w:tcW w:w="84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680" w:type="dxa"/>
            <w:vAlign w:val="bottom"/>
          </w:tcPr>
          <w:p>
            <w:pPr>
              <w:jc w:val="center"/>
              <w:ind w:right="20"/>
              <w:spacing w:after="0"/>
              <w:rPr>
                <w:sz w:val="20"/>
                <w:szCs w:val="20"/>
                <w:color w:val="auto"/>
              </w:rPr>
            </w:pPr>
            <w:r>
              <w:rPr>
                <w:rFonts w:ascii="Arial" w:cs="Arial" w:eastAsia="Arial" w:hAnsi="Arial"/>
                <w:sz w:val="17"/>
                <w:szCs w:val="17"/>
                <w:color w:val="auto"/>
              </w:rPr>
              <w:t>—</w:t>
            </w:r>
          </w:p>
        </w:tc>
        <w:tc>
          <w:tcPr>
            <w:tcW w:w="720" w:type="dxa"/>
            <w:vAlign w:val="bottom"/>
          </w:tcPr>
          <w:p>
            <w:pPr>
              <w:jc w:val="center"/>
              <w:ind w:right="40"/>
              <w:spacing w:after="0"/>
              <w:rPr>
                <w:sz w:val="20"/>
                <w:szCs w:val="20"/>
                <w:color w:val="auto"/>
              </w:rPr>
            </w:pPr>
            <w:r>
              <w:rPr>
                <w:rFonts w:ascii="Arial" w:cs="Arial" w:eastAsia="Arial" w:hAnsi="Arial"/>
                <w:sz w:val="17"/>
                <w:szCs w:val="17"/>
                <w:color w:val="auto"/>
                <w:w w:val="93"/>
              </w:rPr>
              <w:t>—</w:t>
            </w:r>
          </w:p>
        </w:tc>
        <w:tc>
          <w:tcPr>
            <w:tcW w:w="9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166,048</w:t>
            </w:r>
          </w:p>
        </w:tc>
        <w:tc>
          <w:tcPr>
            <w:tcW w:w="860" w:type="dxa"/>
            <w:vAlign w:val="bottom"/>
          </w:tcPr>
          <w:p>
            <w:pPr>
              <w:jc w:val="center"/>
              <w:spacing w:after="0"/>
              <w:rPr>
                <w:sz w:val="20"/>
                <w:szCs w:val="20"/>
                <w:color w:val="auto"/>
              </w:rPr>
            </w:pPr>
            <w:r>
              <w:rPr>
                <w:rFonts w:ascii="Arial" w:cs="Arial" w:eastAsia="Arial" w:hAnsi="Arial"/>
                <w:sz w:val="17"/>
                <w:szCs w:val="17"/>
                <w:color w:val="auto"/>
              </w:rPr>
              <w:t>$ 44.09</w:t>
            </w:r>
          </w:p>
        </w:tc>
        <w:tc>
          <w:tcPr>
            <w:tcW w:w="1040" w:type="dxa"/>
            <w:vAlign w:val="bottom"/>
          </w:tcPr>
          <w:p>
            <w:pPr>
              <w:jc w:val="center"/>
              <w:ind w:left="60"/>
              <w:spacing w:after="0"/>
              <w:rPr>
                <w:sz w:val="20"/>
                <w:szCs w:val="20"/>
                <w:color w:val="auto"/>
              </w:rPr>
            </w:pPr>
            <w:r>
              <w:rPr>
                <w:rFonts w:ascii="Arial" w:cs="Arial" w:eastAsia="Arial" w:hAnsi="Arial"/>
                <w:sz w:val="17"/>
                <w:szCs w:val="17"/>
                <w:color w:val="auto"/>
              </w:rPr>
              <w:t>$ 1,350,003</w:t>
            </w:r>
          </w:p>
        </w:tc>
      </w:tr>
      <w:tr>
        <w:trPr>
          <w:trHeight w:val="238"/>
        </w:trPr>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1/23/14 (1)</w:t>
            </w:r>
          </w:p>
        </w:tc>
        <w:tc>
          <w:tcPr>
            <w:tcW w:w="860" w:type="dxa"/>
            <w:vAlign w:val="bottom"/>
          </w:tcPr>
          <w:p>
            <w:pPr>
              <w:jc w:val="center"/>
              <w:spacing w:after="0"/>
              <w:rPr>
                <w:sz w:val="20"/>
                <w:szCs w:val="20"/>
                <w:color w:val="auto"/>
              </w:rPr>
            </w:pPr>
            <w:r>
              <w:rPr>
                <w:rFonts w:ascii="Arial" w:cs="Arial" w:eastAsia="Arial" w:hAnsi="Arial"/>
                <w:sz w:val="17"/>
                <w:szCs w:val="17"/>
                <w:color w:val="auto"/>
              </w:rPr>
              <w:t>1/16/14</w:t>
            </w: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jc w:val="right"/>
              <w:ind w:right="105"/>
              <w:spacing w:after="0"/>
              <w:rPr>
                <w:sz w:val="20"/>
                <w:szCs w:val="20"/>
                <w:color w:val="auto"/>
              </w:rPr>
            </w:pPr>
            <w:r>
              <w:rPr>
                <w:rFonts w:ascii="Arial" w:cs="Arial" w:eastAsia="Arial" w:hAnsi="Arial"/>
                <w:sz w:val="17"/>
                <w:szCs w:val="17"/>
                <w:color w:val="auto"/>
              </w:rPr>
              <w:t>30,620</w:t>
            </w: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jc w:val="center"/>
              <w:ind w:left="60"/>
              <w:spacing w:after="0"/>
              <w:rPr>
                <w:sz w:val="20"/>
                <w:szCs w:val="20"/>
                <w:color w:val="auto"/>
              </w:rPr>
            </w:pPr>
            <w:r>
              <w:rPr>
                <w:rFonts w:ascii="Arial" w:cs="Arial" w:eastAsia="Arial" w:hAnsi="Arial"/>
                <w:sz w:val="17"/>
                <w:szCs w:val="17"/>
                <w:color w:val="auto"/>
              </w:rPr>
              <w:t>$ 1,350,036</w:t>
            </w:r>
          </w:p>
        </w:tc>
      </w:tr>
      <w:tr>
        <w:trPr>
          <w:trHeight w:val="254"/>
        </w:trPr>
        <w:tc>
          <w:tcPr>
            <w:tcW w:w="1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2"/>
        </w:trPr>
        <w:tc>
          <w:tcPr>
            <w:tcW w:w="1340" w:type="dxa"/>
            <w:vAlign w:val="bottom"/>
            <w:shd w:val="clear" w:color="auto" w:fill="E9E9E9"/>
          </w:tcPr>
          <w:p>
            <w:pPr>
              <w:spacing w:after="0"/>
              <w:rPr>
                <w:sz w:val="20"/>
                <w:szCs w:val="20"/>
                <w:color w:val="auto"/>
              </w:rPr>
            </w:pPr>
            <w:r>
              <w:rPr>
                <w:rFonts w:ascii="Arial" w:cs="Arial" w:eastAsia="Arial" w:hAnsi="Arial"/>
                <w:sz w:val="17"/>
                <w:szCs w:val="17"/>
                <w:color w:val="auto"/>
              </w:rPr>
              <w:t>B. T. Crutcher</w:t>
            </w:r>
          </w:p>
        </w:tc>
        <w:tc>
          <w:tcPr>
            <w:tcW w:w="920" w:type="dxa"/>
            <w:vAlign w:val="bottom"/>
            <w:shd w:val="clear" w:color="auto" w:fill="E9E9E9"/>
          </w:tcPr>
          <w:p>
            <w:pPr>
              <w:spacing w:after="0"/>
              <w:rPr>
                <w:sz w:val="20"/>
                <w:szCs w:val="20"/>
                <w:color w:val="auto"/>
              </w:rPr>
            </w:pPr>
            <w:r>
              <w:rPr>
                <w:rFonts w:ascii="Arial" w:cs="Arial" w:eastAsia="Arial" w:hAnsi="Arial"/>
                <w:sz w:val="17"/>
                <w:szCs w:val="17"/>
                <w:color w:val="auto"/>
              </w:rPr>
              <w:t>1/23/14 (1)</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1/16/14</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680" w:type="dxa"/>
            <w:vAlign w:val="bottom"/>
            <w:shd w:val="clear" w:color="auto" w:fill="E9E9E9"/>
          </w:tcPr>
          <w:p>
            <w:pPr>
              <w:jc w:val="center"/>
              <w:ind w:right="20"/>
              <w:spacing w:after="0"/>
              <w:rPr>
                <w:sz w:val="20"/>
                <w:szCs w:val="20"/>
                <w:color w:val="auto"/>
              </w:rPr>
            </w:pPr>
            <w:r>
              <w:rPr>
                <w:rFonts w:ascii="Arial" w:cs="Arial" w:eastAsia="Arial" w:hAnsi="Arial"/>
                <w:sz w:val="17"/>
                <w:szCs w:val="17"/>
                <w:color w:val="auto"/>
                <w:w w:val="89"/>
              </w:rPr>
              <w:t>*</w:t>
            </w:r>
          </w:p>
        </w:tc>
        <w:tc>
          <w:tcPr>
            <w:tcW w:w="700" w:type="dxa"/>
            <w:vAlign w:val="bottom"/>
            <w:shd w:val="clear" w:color="auto" w:fill="E9E9E9"/>
          </w:tcPr>
          <w:p>
            <w:pPr>
              <w:jc w:val="center"/>
              <w:ind w:righ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680" w:type="dxa"/>
            <w:vAlign w:val="bottom"/>
            <w:shd w:val="clear" w:color="auto" w:fill="E9E9E9"/>
          </w:tcPr>
          <w:p>
            <w:pPr>
              <w:jc w:val="center"/>
              <w:ind w:righ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E9E9E9"/>
          </w:tcPr>
          <w:p>
            <w:pPr>
              <w:jc w:val="center"/>
              <w:ind w:right="40"/>
              <w:spacing w:after="0"/>
              <w:rPr>
                <w:sz w:val="20"/>
                <w:szCs w:val="20"/>
                <w:color w:val="auto"/>
              </w:rPr>
            </w:pPr>
            <w:r>
              <w:rPr>
                <w:rFonts w:ascii="Arial" w:cs="Arial" w:eastAsia="Arial" w:hAnsi="Arial"/>
                <w:sz w:val="17"/>
                <w:szCs w:val="17"/>
                <w:color w:val="auto"/>
                <w:w w:val="93"/>
              </w:rPr>
              <w:t>—</w:t>
            </w:r>
          </w:p>
        </w:tc>
        <w:tc>
          <w:tcPr>
            <w:tcW w:w="940" w:type="dxa"/>
            <w:vAlign w:val="bottom"/>
            <w:shd w:val="clear" w:color="auto" w:fill="E9E9E9"/>
          </w:tcPr>
          <w:p>
            <w:pPr>
              <w:spacing w:after="0"/>
              <w:rPr>
                <w:sz w:val="19"/>
                <w:szCs w:val="19"/>
                <w:color w:val="auto"/>
              </w:rPr>
            </w:pP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276,747</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$ 44.09</w:t>
            </w:r>
          </w:p>
        </w:tc>
        <w:tc>
          <w:tcPr>
            <w:tcW w:w="1040" w:type="dxa"/>
            <w:vAlign w:val="bottom"/>
            <w:shd w:val="clear" w:color="auto" w:fill="E9E9E9"/>
          </w:tcPr>
          <w:p>
            <w:pPr>
              <w:jc w:val="center"/>
              <w:ind w:left="60"/>
              <w:spacing w:after="0"/>
              <w:rPr>
                <w:sz w:val="20"/>
                <w:szCs w:val="20"/>
                <w:color w:val="auto"/>
              </w:rPr>
            </w:pPr>
            <w:r>
              <w:rPr>
                <w:rFonts w:ascii="Arial" w:cs="Arial" w:eastAsia="Arial" w:hAnsi="Arial"/>
                <w:sz w:val="17"/>
                <w:szCs w:val="17"/>
                <w:color w:val="auto"/>
              </w:rPr>
              <w:t>$ 2,250,007</w:t>
            </w:r>
          </w:p>
        </w:tc>
      </w:tr>
      <w:tr>
        <w:trPr>
          <w:trHeight w:val="238"/>
        </w:trPr>
        <w:tc>
          <w:tcPr>
            <w:tcW w:w="1340" w:type="dxa"/>
            <w:vAlign w:val="bottom"/>
            <w:shd w:val="clear" w:color="auto" w:fill="E9E9E9"/>
          </w:tcPr>
          <w:p>
            <w:pPr>
              <w:spacing w:after="0"/>
              <w:rPr>
                <w:sz w:val="20"/>
                <w:szCs w:val="20"/>
                <w:color w:val="auto"/>
              </w:rPr>
            </w:pPr>
          </w:p>
        </w:tc>
        <w:tc>
          <w:tcPr>
            <w:tcW w:w="920" w:type="dxa"/>
            <w:vAlign w:val="bottom"/>
            <w:shd w:val="clear" w:color="auto" w:fill="E9E9E9"/>
          </w:tcPr>
          <w:p>
            <w:pPr>
              <w:spacing w:after="0"/>
              <w:rPr>
                <w:sz w:val="20"/>
                <w:szCs w:val="20"/>
                <w:color w:val="auto"/>
              </w:rPr>
            </w:pPr>
            <w:r>
              <w:rPr>
                <w:rFonts w:ascii="Arial" w:cs="Arial" w:eastAsia="Arial" w:hAnsi="Arial"/>
                <w:sz w:val="17"/>
                <w:szCs w:val="17"/>
                <w:color w:val="auto"/>
              </w:rPr>
              <w:t>1/23/14 (1)</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1/16/14</w:t>
            </w:r>
          </w:p>
        </w:tc>
        <w:tc>
          <w:tcPr>
            <w:tcW w:w="840" w:type="dxa"/>
            <w:vAlign w:val="bottom"/>
            <w:shd w:val="clear" w:color="auto" w:fill="E9E9E9"/>
          </w:tcPr>
          <w:p>
            <w:pPr>
              <w:spacing w:after="0"/>
              <w:rPr>
                <w:sz w:val="20"/>
                <w:szCs w:val="20"/>
                <w:color w:val="auto"/>
              </w:rPr>
            </w:pPr>
          </w:p>
        </w:tc>
        <w:tc>
          <w:tcPr>
            <w:tcW w:w="680" w:type="dxa"/>
            <w:vAlign w:val="bottom"/>
            <w:shd w:val="clear" w:color="auto" w:fill="E9E9E9"/>
          </w:tcPr>
          <w:p>
            <w:pPr>
              <w:spacing w:after="0"/>
              <w:rPr>
                <w:sz w:val="20"/>
                <w:szCs w:val="20"/>
                <w:color w:val="auto"/>
              </w:rPr>
            </w:pPr>
          </w:p>
        </w:tc>
        <w:tc>
          <w:tcPr>
            <w:tcW w:w="70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c>
          <w:tcPr>
            <w:tcW w:w="68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940" w:type="dxa"/>
            <w:vAlign w:val="bottom"/>
            <w:shd w:val="clear" w:color="auto" w:fill="E9E9E9"/>
          </w:tcPr>
          <w:p>
            <w:pPr>
              <w:jc w:val="right"/>
              <w:ind w:right="105"/>
              <w:spacing w:after="0"/>
              <w:rPr>
                <w:sz w:val="20"/>
                <w:szCs w:val="20"/>
                <w:color w:val="auto"/>
              </w:rPr>
            </w:pPr>
            <w:r>
              <w:rPr>
                <w:rFonts w:ascii="Arial" w:cs="Arial" w:eastAsia="Arial" w:hAnsi="Arial"/>
                <w:sz w:val="17"/>
                <w:szCs w:val="17"/>
                <w:color w:val="auto"/>
              </w:rPr>
              <w:t>51,032</w:t>
            </w:r>
          </w:p>
        </w:tc>
        <w:tc>
          <w:tcPr>
            <w:tcW w:w="1000" w:type="dxa"/>
            <w:vAlign w:val="bottom"/>
            <w:shd w:val="clear" w:color="auto" w:fill="E9E9E9"/>
          </w:tcPr>
          <w:p>
            <w:pPr>
              <w:spacing w:after="0"/>
              <w:rPr>
                <w:sz w:val="20"/>
                <w:szCs w:val="20"/>
                <w:color w:val="auto"/>
              </w:rPr>
            </w:pPr>
          </w:p>
        </w:tc>
        <w:tc>
          <w:tcPr>
            <w:tcW w:w="860" w:type="dxa"/>
            <w:vAlign w:val="bottom"/>
            <w:shd w:val="clear" w:color="auto" w:fill="E9E9E9"/>
          </w:tcPr>
          <w:p>
            <w:pPr>
              <w:spacing w:after="0"/>
              <w:rPr>
                <w:sz w:val="20"/>
                <w:szCs w:val="20"/>
                <w:color w:val="auto"/>
              </w:rPr>
            </w:pPr>
          </w:p>
        </w:tc>
        <w:tc>
          <w:tcPr>
            <w:tcW w:w="1040" w:type="dxa"/>
            <w:vAlign w:val="bottom"/>
            <w:shd w:val="clear" w:color="auto" w:fill="E9E9E9"/>
          </w:tcPr>
          <w:p>
            <w:pPr>
              <w:jc w:val="center"/>
              <w:ind w:left="60"/>
              <w:spacing w:after="0"/>
              <w:rPr>
                <w:sz w:val="20"/>
                <w:szCs w:val="20"/>
                <w:color w:val="auto"/>
              </w:rPr>
            </w:pPr>
            <w:r>
              <w:rPr>
                <w:rFonts w:ascii="Arial" w:cs="Arial" w:eastAsia="Arial" w:hAnsi="Arial"/>
                <w:sz w:val="17"/>
                <w:szCs w:val="17"/>
                <w:color w:val="auto"/>
              </w:rPr>
              <w:t>$ 2,250,001</w:t>
            </w:r>
          </w:p>
        </w:tc>
      </w:tr>
      <w:tr>
        <w:trPr>
          <w:trHeight w:val="254"/>
        </w:trPr>
        <w:tc>
          <w:tcPr>
            <w:tcW w:w="1340" w:type="dxa"/>
            <w:vAlign w:val="bottom"/>
            <w:shd w:val="clear" w:color="auto" w:fill="E9E9E9"/>
          </w:tcPr>
          <w:p>
            <w:pPr>
              <w:spacing w:after="0"/>
              <w:rPr>
                <w:sz w:val="22"/>
                <w:szCs w:val="22"/>
                <w:color w:val="auto"/>
              </w:rPr>
            </w:pPr>
          </w:p>
        </w:tc>
        <w:tc>
          <w:tcPr>
            <w:tcW w:w="920" w:type="dxa"/>
            <w:vAlign w:val="bottom"/>
            <w:shd w:val="clear" w:color="auto" w:fill="E9E9E9"/>
          </w:tcPr>
          <w:p>
            <w:pPr>
              <w:spacing w:after="0"/>
              <w:rPr>
                <w:sz w:val="22"/>
                <w:szCs w:val="22"/>
                <w:color w:val="auto"/>
              </w:rPr>
            </w:pPr>
          </w:p>
        </w:tc>
        <w:tc>
          <w:tcPr>
            <w:tcW w:w="860" w:type="dxa"/>
            <w:vAlign w:val="bottom"/>
            <w:shd w:val="clear" w:color="auto" w:fill="E9E9E9"/>
          </w:tcPr>
          <w:p>
            <w:pPr>
              <w:spacing w:after="0"/>
              <w:rPr>
                <w:sz w:val="22"/>
                <w:szCs w:val="22"/>
                <w:color w:val="auto"/>
              </w:rPr>
            </w:pPr>
          </w:p>
        </w:tc>
        <w:tc>
          <w:tcPr>
            <w:tcW w:w="840" w:type="dxa"/>
            <w:vAlign w:val="bottom"/>
            <w:shd w:val="clear" w:color="auto" w:fill="E9E9E9"/>
          </w:tcPr>
          <w:p>
            <w:pPr>
              <w:spacing w:after="0"/>
              <w:rPr>
                <w:sz w:val="22"/>
                <w:szCs w:val="22"/>
                <w:color w:val="auto"/>
              </w:rPr>
            </w:pPr>
          </w:p>
        </w:tc>
        <w:tc>
          <w:tcPr>
            <w:tcW w:w="680" w:type="dxa"/>
            <w:vAlign w:val="bottom"/>
            <w:shd w:val="clear" w:color="auto" w:fill="E9E9E9"/>
          </w:tcPr>
          <w:p>
            <w:pPr>
              <w:spacing w:after="0"/>
              <w:rPr>
                <w:sz w:val="22"/>
                <w:szCs w:val="22"/>
                <w:color w:val="auto"/>
              </w:rPr>
            </w:pPr>
          </w:p>
        </w:tc>
        <w:tc>
          <w:tcPr>
            <w:tcW w:w="700" w:type="dxa"/>
            <w:vAlign w:val="bottom"/>
            <w:shd w:val="clear" w:color="auto" w:fill="E9E9E9"/>
          </w:tcPr>
          <w:p>
            <w:pPr>
              <w:spacing w:after="0"/>
              <w:rPr>
                <w:sz w:val="22"/>
                <w:szCs w:val="22"/>
                <w:color w:val="auto"/>
              </w:rPr>
            </w:pPr>
          </w:p>
        </w:tc>
        <w:tc>
          <w:tcPr>
            <w:tcW w:w="840" w:type="dxa"/>
            <w:vAlign w:val="bottom"/>
            <w:shd w:val="clear" w:color="auto" w:fill="E9E9E9"/>
          </w:tcPr>
          <w:p>
            <w:pPr>
              <w:spacing w:after="0"/>
              <w:rPr>
                <w:sz w:val="22"/>
                <w:szCs w:val="22"/>
                <w:color w:val="auto"/>
              </w:rPr>
            </w:pPr>
          </w:p>
        </w:tc>
        <w:tc>
          <w:tcPr>
            <w:tcW w:w="680" w:type="dxa"/>
            <w:vAlign w:val="bottom"/>
            <w:shd w:val="clear" w:color="auto" w:fill="E9E9E9"/>
          </w:tcPr>
          <w:p>
            <w:pPr>
              <w:spacing w:after="0"/>
              <w:rPr>
                <w:sz w:val="22"/>
                <w:szCs w:val="22"/>
                <w:color w:val="auto"/>
              </w:rPr>
            </w:pPr>
          </w:p>
        </w:tc>
        <w:tc>
          <w:tcPr>
            <w:tcW w:w="720" w:type="dxa"/>
            <w:vAlign w:val="bottom"/>
            <w:shd w:val="clear" w:color="auto" w:fill="E9E9E9"/>
          </w:tcPr>
          <w:p>
            <w:pPr>
              <w:spacing w:after="0"/>
              <w:rPr>
                <w:sz w:val="22"/>
                <w:szCs w:val="22"/>
                <w:color w:val="auto"/>
              </w:rPr>
            </w:pPr>
          </w:p>
        </w:tc>
        <w:tc>
          <w:tcPr>
            <w:tcW w:w="940" w:type="dxa"/>
            <w:vAlign w:val="bottom"/>
            <w:shd w:val="clear" w:color="auto" w:fill="E9E9E9"/>
          </w:tcPr>
          <w:p>
            <w:pPr>
              <w:spacing w:after="0"/>
              <w:rPr>
                <w:sz w:val="22"/>
                <w:szCs w:val="22"/>
                <w:color w:val="auto"/>
              </w:rPr>
            </w:pPr>
          </w:p>
        </w:tc>
        <w:tc>
          <w:tcPr>
            <w:tcW w:w="1000" w:type="dxa"/>
            <w:vAlign w:val="bottom"/>
            <w:shd w:val="clear" w:color="auto" w:fill="E9E9E9"/>
          </w:tcPr>
          <w:p>
            <w:pPr>
              <w:spacing w:after="0"/>
              <w:rPr>
                <w:sz w:val="22"/>
                <w:szCs w:val="22"/>
                <w:color w:val="auto"/>
              </w:rPr>
            </w:pPr>
          </w:p>
        </w:tc>
        <w:tc>
          <w:tcPr>
            <w:tcW w:w="860" w:type="dxa"/>
            <w:vAlign w:val="bottom"/>
            <w:shd w:val="clear" w:color="auto" w:fill="E9E9E9"/>
          </w:tcPr>
          <w:p>
            <w:pPr>
              <w:spacing w:after="0"/>
              <w:rPr>
                <w:sz w:val="22"/>
                <w:szCs w:val="22"/>
                <w:color w:val="auto"/>
              </w:rPr>
            </w:pPr>
          </w:p>
        </w:tc>
        <w:tc>
          <w:tcPr>
            <w:tcW w:w="1040" w:type="dxa"/>
            <w:vAlign w:val="bottom"/>
            <w:shd w:val="clear" w:color="auto" w:fill="E9E9E9"/>
          </w:tcPr>
          <w:p>
            <w:pPr>
              <w:spacing w:after="0"/>
              <w:rPr>
                <w:sz w:val="22"/>
                <w:szCs w:val="22"/>
                <w:color w:val="auto"/>
              </w:rPr>
            </w:pPr>
          </w:p>
        </w:tc>
      </w:tr>
      <w:tr>
        <w:trPr>
          <w:trHeight w:val="222"/>
        </w:trPr>
        <w:tc>
          <w:tcPr>
            <w:tcW w:w="1340" w:type="dxa"/>
            <w:vAlign w:val="bottom"/>
          </w:tcPr>
          <w:p>
            <w:pPr>
              <w:spacing w:after="0"/>
              <w:rPr>
                <w:sz w:val="20"/>
                <w:szCs w:val="20"/>
                <w:color w:val="auto"/>
              </w:rPr>
            </w:pPr>
            <w:r>
              <w:rPr>
                <w:rFonts w:ascii="Arial" w:cs="Arial" w:eastAsia="Arial" w:hAnsi="Arial"/>
                <w:sz w:val="17"/>
                <w:szCs w:val="17"/>
                <w:color w:val="auto"/>
              </w:rPr>
              <w:t>S. A. Anderson</w:t>
            </w:r>
          </w:p>
        </w:tc>
        <w:tc>
          <w:tcPr>
            <w:tcW w:w="920" w:type="dxa"/>
            <w:vAlign w:val="bottom"/>
          </w:tcPr>
          <w:p>
            <w:pPr>
              <w:spacing w:after="0"/>
              <w:rPr>
                <w:sz w:val="20"/>
                <w:szCs w:val="20"/>
                <w:color w:val="auto"/>
              </w:rPr>
            </w:pPr>
            <w:r>
              <w:rPr>
                <w:rFonts w:ascii="Arial" w:cs="Arial" w:eastAsia="Arial" w:hAnsi="Arial"/>
                <w:sz w:val="17"/>
                <w:szCs w:val="17"/>
                <w:color w:val="auto"/>
              </w:rPr>
              <w:t>1/23/14 (1)</w:t>
            </w:r>
          </w:p>
        </w:tc>
        <w:tc>
          <w:tcPr>
            <w:tcW w:w="860" w:type="dxa"/>
            <w:vAlign w:val="bottom"/>
          </w:tcPr>
          <w:p>
            <w:pPr>
              <w:jc w:val="center"/>
              <w:spacing w:after="0"/>
              <w:rPr>
                <w:sz w:val="20"/>
                <w:szCs w:val="20"/>
                <w:color w:val="auto"/>
              </w:rPr>
            </w:pPr>
            <w:r>
              <w:rPr>
                <w:rFonts w:ascii="Arial" w:cs="Arial" w:eastAsia="Arial" w:hAnsi="Arial"/>
                <w:sz w:val="17"/>
                <w:szCs w:val="17"/>
                <w:color w:val="auto"/>
              </w:rPr>
              <w:t>1/16/14</w:t>
            </w:r>
          </w:p>
        </w:tc>
        <w:tc>
          <w:tcPr>
            <w:tcW w:w="840" w:type="dxa"/>
            <w:vAlign w:val="bottom"/>
          </w:tcPr>
          <w:p>
            <w:pPr>
              <w:jc w:val="center"/>
              <w:spacing w:after="0"/>
              <w:rPr>
                <w:sz w:val="20"/>
                <w:szCs w:val="20"/>
                <w:color w:val="auto"/>
              </w:rPr>
            </w:pPr>
            <w:r>
              <w:rPr>
                <w:rFonts w:ascii="Arial" w:cs="Arial" w:eastAsia="Arial" w:hAnsi="Arial"/>
                <w:sz w:val="17"/>
                <w:szCs w:val="17"/>
                <w:color w:val="auto"/>
              </w:rPr>
              <w:t>*</w:t>
            </w:r>
          </w:p>
        </w:tc>
        <w:tc>
          <w:tcPr>
            <w:tcW w:w="680" w:type="dxa"/>
            <w:vAlign w:val="bottom"/>
          </w:tcPr>
          <w:p>
            <w:pPr>
              <w:jc w:val="center"/>
              <w:ind w:right="20"/>
              <w:spacing w:after="0"/>
              <w:rPr>
                <w:sz w:val="20"/>
                <w:szCs w:val="20"/>
                <w:color w:val="auto"/>
              </w:rPr>
            </w:pPr>
            <w:r>
              <w:rPr>
                <w:rFonts w:ascii="Arial" w:cs="Arial" w:eastAsia="Arial" w:hAnsi="Arial"/>
                <w:sz w:val="17"/>
                <w:szCs w:val="17"/>
                <w:color w:val="auto"/>
                <w:w w:val="89"/>
              </w:rPr>
              <w:t>*</w:t>
            </w:r>
          </w:p>
        </w:tc>
        <w:tc>
          <w:tcPr>
            <w:tcW w:w="700" w:type="dxa"/>
            <w:vAlign w:val="bottom"/>
          </w:tcPr>
          <w:p>
            <w:pPr>
              <w:jc w:val="center"/>
              <w:ind w:right="20"/>
              <w:spacing w:after="0"/>
              <w:rPr>
                <w:sz w:val="20"/>
                <w:szCs w:val="20"/>
                <w:color w:val="auto"/>
              </w:rPr>
            </w:pPr>
            <w:r>
              <w:rPr>
                <w:rFonts w:ascii="Arial" w:cs="Arial" w:eastAsia="Arial" w:hAnsi="Arial"/>
                <w:sz w:val="17"/>
                <w:szCs w:val="17"/>
                <w:color w:val="auto"/>
              </w:rPr>
              <w:t>*</w:t>
            </w:r>
          </w:p>
        </w:tc>
        <w:tc>
          <w:tcPr>
            <w:tcW w:w="84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680" w:type="dxa"/>
            <w:vAlign w:val="bottom"/>
          </w:tcPr>
          <w:p>
            <w:pPr>
              <w:jc w:val="center"/>
              <w:ind w:right="20"/>
              <w:spacing w:after="0"/>
              <w:rPr>
                <w:sz w:val="20"/>
                <w:szCs w:val="20"/>
                <w:color w:val="auto"/>
              </w:rPr>
            </w:pPr>
            <w:r>
              <w:rPr>
                <w:rFonts w:ascii="Arial" w:cs="Arial" w:eastAsia="Arial" w:hAnsi="Arial"/>
                <w:sz w:val="17"/>
                <w:szCs w:val="17"/>
                <w:color w:val="auto"/>
              </w:rPr>
              <w:t>—</w:t>
            </w:r>
          </w:p>
        </w:tc>
        <w:tc>
          <w:tcPr>
            <w:tcW w:w="720" w:type="dxa"/>
            <w:vAlign w:val="bottom"/>
          </w:tcPr>
          <w:p>
            <w:pPr>
              <w:jc w:val="center"/>
              <w:ind w:right="40"/>
              <w:spacing w:after="0"/>
              <w:rPr>
                <w:sz w:val="20"/>
                <w:szCs w:val="20"/>
                <w:color w:val="auto"/>
              </w:rPr>
            </w:pPr>
            <w:r>
              <w:rPr>
                <w:rFonts w:ascii="Arial" w:cs="Arial" w:eastAsia="Arial" w:hAnsi="Arial"/>
                <w:sz w:val="17"/>
                <w:szCs w:val="17"/>
                <w:color w:val="auto"/>
                <w:w w:val="93"/>
              </w:rPr>
              <w:t>—</w:t>
            </w:r>
          </w:p>
        </w:tc>
        <w:tc>
          <w:tcPr>
            <w:tcW w:w="9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166,048</w:t>
            </w:r>
          </w:p>
        </w:tc>
        <w:tc>
          <w:tcPr>
            <w:tcW w:w="860" w:type="dxa"/>
            <w:vAlign w:val="bottom"/>
          </w:tcPr>
          <w:p>
            <w:pPr>
              <w:jc w:val="center"/>
              <w:spacing w:after="0"/>
              <w:rPr>
                <w:sz w:val="20"/>
                <w:szCs w:val="20"/>
                <w:color w:val="auto"/>
              </w:rPr>
            </w:pPr>
            <w:r>
              <w:rPr>
                <w:rFonts w:ascii="Arial" w:cs="Arial" w:eastAsia="Arial" w:hAnsi="Arial"/>
                <w:sz w:val="17"/>
                <w:szCs w:val="17"/>
                <w:color w:val="auto"/>
              </w:rPr>
              <w:t>$ 44.09</w:t>
            </w:r>
          </w:p>
        </w:tc>
        <w:tc>
          <w:tcPr>
            <w:tcW w:w="1040" w:type="dxa"/>
            <w:vAlign w:val="bottom"/>
          </w:tcPr>
          <w:p>
            <w:pPr>
              <w:jc w:val="center"/>
              <w:ind w:left="60"/>
              <w:spacing w:after="0"/>
              <w:rPr>
                <w:sz w:val="20"/>
                <w:szCs w:val="20"/>
                <w:color w:val="auto"/>
              </w:rPr>
            </w:pPr>
            <w:r>
              <w:rPr>
                <w:rFonts w:ascii="Arial" w:cs="Arial" w:eastAsia="Arial" w:hAnsi="Arial"/>
                <w:sz w:val="17"/>
                <w:szCs w:val="17"/>
                <w:color w:val="auto"/>
              </w:rPr>
              <w:t>$ 1,350,003</w:t>
            </w:r>
          </w:p>
        </w:tc>
      </w:tr>
      <w:tr>
        <w:trPr>
          <w:trHeight w:val="238"/>
        </w:trPr>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1/23/14 (1)</w:t>
            </w:r>
          </w:p>
        </w:tc>
        <w:tc>
          <w:tcPr>
            <w:tcW w:w="860" w:type="dxa"/>
            <w:vAlign w:val="bottom"/>
          </w:tcPr>
          <w:p>
            <w:pPr>
              <w:jc w:val="center"/>
              <w:spacing w:after="0"/>
              <w:rPr>
                <w:sz w:val="20"/>
                <w:szCs w:val="20"/>
                <w:color w:val="auto"/>
              </w:rPr>
            </w:pPr>
            <w:r>
              <w:rPr>
                <w:rFonts w:ascii="Arial" w:cs="Arial" w:eastAsia="Arial" w:hAnsi="Arial"/>
                <w:sz w:val="17"/>
                <w:szCs w:val="17"/>
                <w:color w:val="auto"/>
              </w:rPr>
              <w:t>1/16/14</w:t>
            </w: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jc w:val="right"/>
              <w:ind w:right="105"/>
              <w:spacing w:after="0"/>
              <w:rPr>
                <w:sz w:val="20"/>
                <w:szCs w:val="20"/>
                <w:color w:val="auto"/>
              </w:rPr>
            </w:pPr>
            <w:r>
              <w:rPr>
                <w:rFonts w:ascii="Arial" w:cs="Arial" w:eastAsia="Arial" w:hAnsi="Arial"/>
                <w:sz w:val="17"/>
                <w:szCs w:val="17"/>
                <w:color w:val="auto"/>
              </w:rPr>
              <w:t>30,620</w:t>
            </w: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jc w:val="center"/>
              <w:ind w:left="60"/>
              <w:spacing w:after="0"/>
              <w:rPr>
                <w:sz w:val="20"/>
                <w:szCs w:val="20"/>
                <w:color w:val="auto"/>
              </w:rPr>
            </w:pPr>
            <w:r>
              <w:rPr>
                <w:rFonts w:ascii="Arial" w:cs="Arial" w:eastAsia="Arial" w:hAnsi="Arial"/>
                <w:sz w:val="17"/>
                <w:szCs w:val="17"/>
                <w:color w:val="auto"/>
              </w:rPr>
              <w:t>$ 1,350,036</w:t>
            </w:r>
          </w:p>
        </w:tc>
      </w:tr>
      <w:tr>
        <w:trPr>
          <w:trHeight w:val="238"/>
        </w:trPr>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6/19/14</w:t>
            </w:r>
          </w:p>
        </w:tc>
        <w:tc>
          <w:tcPr>
            <w:tcW w:w="860" w:type="dxa"/>
            <w:vAlign w:val="bottom"/>
          </w:tcPr>
          <w:p>
            <w:pPr>
              <w:jc w:val="center"/>
              <w:spacing w:after="0"/>
              <w:rPr>
                <w:sz w:val="20"/>
                <w:szCs w:val="20"/>
                <w:color w:val="auto"/>
              </w:rPr>
            </w:pPr>
            <w:r>
              <w:rPr>
                <w:rFonts w:ascii="Arial" w:cs="Arial" w:eastAsia="Arial" w:hAnsi="Arial"/>
                <w:sz w:val="17"/>
                <w:szCs w:val="17"/>
                <w:color w:val="auto"/>
              </w:rPr>
              <w:t>6/19/14</w:t>
            </w: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jc w:val="right"/>
              <w:ind w:right="105"/>
              <w:spacing w:after="0"/>
              <w:rPr>
                <w:sz w:val="20"/>
                <w:szCs w:val="20"/>
                <w:color w:val="auto"/>
              </w:rPr>
            </w:pPr>
            <w:r>
              <w:rPr>
                <w:rFonts w:ascii="Arial" w:cs="Arial" w:eastAsia="Arial" w:hAnsi="Arial"/>
                <w:sz w:val="17"/>
                <w:szCs w:val="17"/>
                <w:color w:val="auto"/>
              </w:rPr>
              <w:t>41,745</w:t>
            </w: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jc w:val="center"/>
              <w:ind w:left="60"/>
              <w:spacing w:after="0"/>
              <w:rPr>
                <w:sz w:val="20"/>
                <w:szCs w:val="20"/>
                <w:color w:val="auto"/>
              </w:rPr>
            </w:pPr>
            <w:r>
              <w:rPr>
                <w:rFonts w:ascii="Arial" w:cs="Arial" w:eastAsia="Arial" w:hAnsi="Arial"/>
                <w:sz w:val="17"/>
                <w:szCs w:val="17"/>
                <w:color w:val="auto"/>
              </w:rPr>
              <w:t>$ 2,000,003</w:t>
            </w:r>
          </w:p>
        </w:tc>
      </w:tr>
      <w:tr>
        <w:trPr>
          <w:trHeight w:val="254"/>
        </w:trPr>
        <w:tc>
          <w:tcPr>
            <w:tcW w:w="1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2"/>
        </w:trPr>
        <w:tc>
          <w:tcPr>
            <w:tcW w:w="134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920" w:type="dxa"/>
            <w:vAlign w:val="bottom"/>
            <w:shd w:val="clear" w:color="auto" w:fill="E9E9E9"/>
          </w:tcPr>
          <w:p>
            <w:pPr>
              <w:spacing w:after="0"/>
              <w:rPr>
                <w:sz w:val="20"/>
                <w:szCs w:val="20"/>
                <w:color w:val="auto"/>
              </w:rPr>
            </w:pPr>
            <w:r>
              <w:rPr>
                <w:rFonts w:ascii="Arial" w:cs="Arial" w:eastAsia="Arial" w:hAnsi="Arial"/>
                <w:sz w:val="17"/>
                <w:szCs w:val="17"/>
                <w:color w:val="auto"/>
              </w:rPr>
              <w:t>1/23/14 (1)</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1/16/14</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680" w:type="dxa"/>
            <w:vAlign w:val="bottom"/>
            <w:shd w:val="clear" w:color="auto" w:fill="E9E9E9"/>
          </w:tcPr>
          <w:p>
            <w:pPr>
              <w:jc w:val="center"/>
              <w:ind w:right="20"/>
              <w:spacing w:after="0"/>
              <w:rPr>
                <w:sz w:val="20"/>
                <w:szCs w:val="20"/>
                <w:color w:val="auto"/>
              </w:rPr>
            </w:pPr>
            <w:r>
              <w:rPr>
                <w:rFonts w:ascii="Arial" w:cs="Arial" w:eastAsia="Arial" w:hAnsi="Arial"/>
                <w:sz w:val="17"/>
                <w:szCs w:val="17"/>
                <w:color w:val="auto"/>
                <w:w w:val="89"/>
              </w:rPr>
              <w:t>*</w:t>
            </w:r>
          </w:p>
        </w:tc>
        <w:tc>
          <w:tcPr>
            <w:tcW w:w="700" w:type="dxa"/>
            <w:vAlign w:val="bottom"/>
            <w:shd w:val="clear" w:color="auto" w:fill="E9E9E9"/>
          </w:tcPr>
          <w:p>
            <w:pPr>
              <w:jc w:val="center"/>
              <w:ind w:righ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680" w:type="dxa"/>
            <w:vAlign w:val="bottom"/>
            <w:shd w:val="clear" w:color="auto" w:fill="E9E9E9"/>
          </w:tcPr>
          <w:p>
            <w:pPr>
              <w:jc w:val="center"/>
              <w:ind w:righ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E9E9E9"/>
          </w:tcPr>
          <w:p>
            <w:pPr>
              <w:jc w:val="center"/>
              <w:ind w:right="40"/>
              <w:spacing w:after="0"/>
              <w:rPr>
                <w:sz w:val="20"/>
                <w:szCs w:val="20"/>
                <w:color w:val="auto"/>
              </w:rPr>
            </w:pPr>
            <w:r>
              <w:rPr>
                <w:rFonts w:ascii="Arial" w:cs="Arial" w:eastAsia="Arial" w:hAnsi="Arial"/>
                <w:sz w:val="17"/>
                <w:szCs w:val="17"/>
                <w:color w:val="auto"/>
                <w:w w:val="93"/>
              </w:rPr>
              <w:t>—</w:t>
            </w:r>
          </w:p>
        </w:tc>
        <w:tc>
          <w:tcPr>
            <w:tcW w:w="940" w:type="dxa"/>
            <w:vAlign w:val="bottom"/>
            <w:shd w:val="clear" w:color="auto" w:fill="E9E9E9"/>
          </w:tcPr>
          <w:p>
            <w:pPr>
              <w:spacing w:after="0"/>
              <w:rPr>
                <w:sz w:val="19"/>
                <w:szCs w:val="19"/>
                <w:color w:val="auto"/>
              </w:rPr>
            </w:pP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245,997</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$ 44.09</w:t>
            </w:r>
          </w:p>
        </w:tc>
        <w:tc>
          <w:tcPr>
            <w:tcW w:w="1040" w:type="dxa"/>
            <w:vAlign w:val="bottom"/>
            <w:shd w:val="clear" w:color="auto" w:fill="E9E9E9"/>
          </w:tcPr>
          <w:p>
            <w:pPr>
              <w:jc w:val="center"/>
              <w:ind w:left="60"/>
              <w:spacing w:after="0"/>
              <w:rPr>
                <w:sz w:val="20"/>
                <w:szCs w:val="20"/>
                <w:color w:val="auto"/>
              </w:rPr>
            </w:pPr>
            <w:r>
              <w:rPr>
                <w:rFonts w:ascii="Arial" w:cs="Arial" w:eastAsia="Arial" w:hAnsi="Arial"/>
                <w:sz w:val="17"/>
                <w:szCs w:val="17"/>
                <w:color w:val="auto"/>
              </w:rPr>
              <w:t>$ 2,000,004</w:t>
            </w:r>
          </w:p>
        </w:tc>
      </w:tr>
      <w:tr>
        <w:trPr>
          <w:trHeight w:val="254"/>
        </w:trPr>
        <w:tc>
          <w:tcPr>
            <w:tcW w:w="1340" w:type="dxa"/>
            <w:vAlign w:val="bottom"/>
            <w:shd w:val="clear" w:color="auto" w:fill="E9E9E9"/>
          </w:tcPr>
          <w:p>
            <w:pPr>
              <w:spacing w:after="0"/>
              <w:rPr>
                <w:sz w:val="22"/>
                <w:szCs w:val="22"/>
                <w:color w:val="auto"/>
              </w:rPr>
            </w:pPr>
          </w:p>
        </w:tc>
        <w:tc>
          <w:tcPr>
            <w:tcW w:w="920" w:type="dxa"/>
            <w:vAlign w:val="bottom"/>
            <w:shd w:val="clear" w:color="auto" w:fill="E9E9E9"/>
          </w:tcPr>
          <w:p>
            <w:pPr>
              <w:spacing w:after="0"/>
              <w:rPr>
                <w:sz w:val="20"/>
                <w:szCs w:val="20"/>
                <w:color w:val="auto"/>
              </w:rPr>
            </w:pPr>
            <w:r>
              <w:rPr>
                <w:rFonts w:ascii="Arial" w:cs="Arial" w:eastAsia="Arial" w:hAnsi="Arial"/>
                <w:sz w:val="17"/>
                <w:szCs w:val="17"/>
                <w:color w:val="auto"/>
              </w:rPr>
              <w:t>1/23/14 (1)</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1/16/14</w:t>
            </w:r>
          </w:p>
        </w:tc>
        <w:tc>
          <w:tcPr>
            <w:tcW w:w="840" w:type="dxa"/>
            <w:vAlign w:val="bottom"/>
            <w:shd w:val="clear" w:color="auto" w:fill="E9E9E9"/>
          </w:tcPr>
          <w:p>
            <w:pPr>
              <w:spacing w:after="0"/>
              <w:rPr>
                <w:sz w:val="22"/>
                <w:szCs w:val="22"/>
                <w:color w:val="auto"/>
              </w:rPr>
            </w:pPr>
          </w:p>
        </w:tc>
        <w:tc>
          <w:tcPr>
            <w:tcW w:w="680" w:type="dxa"/>
            <w:vAlign w:val="bottom"/>
            <w:shd w:val="clear" w:color="auto" w:fill="E9E9E9"/>
          </w:tcPr>
          <w:p>
            <w:pPr>
              <w:spacing w:after="0"/>
              <w:rPr>
                <w:sz w:val="22"/>
                <w:szCs w:val="22"/>
                <w:color w:val="auto"/>
              </w:rPr>
            </w:pPr>
          </w:p>
        </w:tc>
        <w:tc>
          <w:tcPr>
            <w:tcW w:w="700" w:type="dxa"/>
            <w:vAlign w:val="bottom"/>
            <w:shd w:val="clear" w:color="auto" w:fill="E9E9E9"/>
          </w:tcPr>
          <w:p>
            <w:pPr>
              <w:spacing w:after="0"/>
              <w:rPr>
                <w:sz w:val="22"/>
                <w:szCs w:val="22"/>
                <w:color w:val="auto"/>
              </w:rPr>
            </w:pPr>
          </w:p>
        </w:tc>
        <w:tc>
          <w:tcPr>
            <w:tcW w:w="840" w:type="dxa"/>
            <w:vAlign w:val="bottom"/>
            <w:shd w:val="clear" w:color="auto" w:fill="E9E9E9"/>
          </w:tcPr>
          <w:p>
            <w:pPr>
              <w:spacing w:after="0"/>
              <w:rPr>
                <w:sz w:val="22"/>
                <w:szCs w:val="22"/>
                <w:color w:val="auto"/>
              </w:rPr>
            </w:pPr>
          </w:p>
        </w:tc>
        <w:tc>
          <w:tcPr>
            <w:tcW w:w="680" w:type="dxa"/>
            <w:vAlign w:val="bottom"/>
            <w:shd w:val="clear" w:color="auto" w:fill="E9E9E9"/>
          </w:tcPr>
          <w:p>
            <w:pPr>
              <w:spacing w:after="0"/>
              <w:rPr>
                <w:sz w:val="22"/>
                <w:szCs w:val="22"/>
                <w:color w:val="auto"/>
              </w:rPr>
            </w:pPr>
          </w:p>
        </w:tc>
        <w:tc>
          <w:tcPr>
            <w:tcW w:w="720" w:type="dxa"/>
            <w:vAlign w:val="bottom"/>
            <w:shd w:val="clear" w:color="auto" w:fill="E9E9E9"/>
          </w:tcPr>
          <w:p>
            <w:pPr>
              <w:spacing w:after="0"/>
              <w:rPr>
                <w:sz w:val="22"/>
                <w:szCs w:val="22"/>
                <w:color w:val="auto"/>
              </w:rPr>
            </w:pPr>
          </w:p>
        </w:tc>
        <w:tc>
          <w:tcPr>
            <w:tcW w:w="940" w:type="dxa"/>
            <w:vAlign w:val="bottom"/>
            <w:shd w:val="clear" w:color="auto" w:fill="E9E9E9"/>
          </w:tcPr>
          <w:p>
            <w:pPr>
              <w:jc w:val="right"/>
              <w:ind w:right="105"/>
              <w:spacing w:after="0"/>
              <w:rPr>
                <w:sz w:val="20"/>
                <w:szCs w:val="20"/>
                <w:color w:val="auto"/>
              </w:rPr>
            </w:pPr>
            <w:r>
              <w:rPr>
                <w:rFonts w:ascii="Arial" w:cs="Arial" w:eastAsia="Arial" w:hAnsi="Arial"/>
                <w:sz w:val="17"/>
                <w:szCs w:val="17"/>
                <w:color w:val="auto"/>
              </w:rPr>
              <w:t>45,362</w:t>
            </w:r>
          </w:p>
        </w:tc>
        <w:tc>
          <w:tcPr>
            <w:tcW w:w="1000" w:type="dxa"/>
            <w:vAlign w:val="bottom"/>
            <w:shd w:val="clear" w:color="auto" w:fill="E9E9E9"/>
          </w:tcPr>
          <w:p>
            <w:pPr>
              <w:spacing w:after="0"/>
              <w:rPr>
                <w:sz w:val="22"/>
                <w:szCs w:val="22"/>
                <w:color w:val="auto"/>
              </w:rPr>
            </w:pPr>
          </w:p>
        </w:tc>
        <w:tc>
          <w:tcPr>
            <w:tcW w:w="860" w:type="dxa"/>
            <w:vAlign w:val="bottom"/>
            <w:shd w:val="clear" w:color="auto" w:fill="E9E9E9"/>
          </w:tcPr>
          <w:p>
            <w:pPr>
              <w:spacing w:after="0"/>
              <w:rPr>
                <w:sz w:val="22"/>
                <w:szCs w:val="22"/>
                <w:color w:val="auto"/>
              </w:rPr>
            </w:pPr>
          </w:p>
        </w:tc>
        <w:tc>
          <w:tcPr>
            <w:tcW w:w="1040" w:type="dxa"/>
            <w:vAlign w:val="bottom"/>
            <w:shd w:val="clear" w:color="auto" w:fill="E9E9E9"/>
          </w:tcPr>
          <w:p>
            <w:pPr>
              <w:jc w:val="center"/>
              <w:ind w:left="60"/>
              <w:spacing w:after="0"/>
              <w:rPr>
                <w:sz w:val="20"/>
                <w:szCs w:val="20"/>
                <w:color w:val="auto"/>
              </w:rPr>
            </w:pPr>
            <w:r>
              <w:rPr>
                <w:rFonts w:ascii="Arial" w:cs="Arial" w:eastAsia="Arial" w:hAnsi="Arial"/>
                <w:sz w:val="17"/>
                <w:szCs w:val="17"/>
                <w:color w:val="auto"/>
              </w:rPr>
              <w:t>$ 2,000,011</w:t>
            </w:r>
          </w:p>
        </w:tc>
      </w:tr>
    </w:tbl>
    <w:p>
      <w:pPr>
        <w:spacing w:after="0" w:line="241" w:lineRule="exact"/>
        <w:rPr>
          <w:sz w:val="20"/>
          <w:szCs w:val="20"/>
          <w:color w:val="auto"/>
        </w:rPr>
      </w:pPr>
    </w:p>
    <w:p>
      <w:pPr>
        <w:ind w:left="460" w:right="80" w:hanging="454"/>
        <w:spacing w:after="0" w:line="247"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TI did not use formulas or pre-set thresholds or multiples to determine incentive awards. Under the terms of the Executive Officer Performance Plan, each named executive officer is eligible to receive a cash bonus equal to 0.5 percent of the company’s consolidated income (as defined in the plan). However, the Compensation Committee has the discretion to set bonuses at a lower level if it decides it is appropriate to do so. The committee decided to do so for 2014.</w:t>
      </w:r>
    </w:p>
    <w:p>
      <w:pPr>
        <w:spacing w:after="0" w:line="186" w:lineRule="exact"/>
        <w:rPr>
          <w:sz w:val="20"/>
          <w:szCs w:val="20"/>
          <w:color w:val="auto"/>
        </w:rPr>
      </w:pPr>
    </w:p>
    <w:p>
      <w:pPr>
        <w:ind w:left="460" w:right="80" w:hanging="454"/>
        <w:spacing w:after="0" w:line="249"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accordance with the grant policy of the Compensation Committee of the board (described on page 95), the grants became effective on the second trading day after the company released its financial results for the fourth quarter and year 2013. The company released these results on January 21, 2014.</w:t>
      </w:r>
    </w:p>
    <w:p>
      <w:pPr>
        <w:spacing w:after="0" w:line="184" w:lineRule="exact"/>
        <w:rPr>
          <w:rFonts w:ascii="Arial" w:cs="Arial" w:eastAsia="Arial" w:hAnsi="Arial"/>
          <w:sz w:val="17"/>
          <w:szCs w:val="17"/>
          <w:color w:val="auto"/>
        </w:rPr>
      </w:pPr>
    </w:p>
    <w:p>
      <w:pPr>
        <w:ind w:left="460" w:right="380" w:hanging="454"/>
        <w:spacing w:after="0" w:line="255"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stock awards granted to the named executive officers in 2014 were RSU awards. These awards were made under the company’s 2009 Long-Term Incentive Plan. For information on the terms and conditions of these RSU awards, please see the discussion on page 103.</w:t>
      </w:r>
    </w:p>
    <w:p>
      <w:pPr>
        <w:spacing w:after="0" w:line="179" w:lineRule="exact"/>
        <w:rPr>
          <w:rFonts w:ascii="Arial" w:cs="Arial" w:eastAsia="Arial" w:hAnsi="Arial"/>
          <w:sz w:val="17"/>
          <w:szCs w:val="17"/>
          <w:color w:val="auto"/>
        </w:rPr>
      </w:pPr>
    </w:p>
    <w:p>
      <w:pPr>
        <w:ind w:left="460" w:right="240" w:hanging="454"/>
        <w:spacing w:after="0" w:line="255"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options were granted under the company’s 2009 Long-Term Incentive Plan. For information on the terms and conditions of these options, please see the discussion on page 102.</w:t>
      </w:r>
    </w:p>
    <w:p>
      <w:pPr>
        <w:spacing w:after="0" w:line="179" w:lineRule="exact"/>
        <w:rPr>
          <w:rFonts w:ascii="Arial" w:cs="Arial" w:eastAsia="Arial" w:hAnsi="Arial"/>
          <w:sz w:val="17"/>
          <w:szCs w:val="17"/>
          <w:color w:val="auto"/>
        </w:rPr>
      </w:pPr>
    </w:p>
    <w:p>
      <w:pPr>
        <w:ind w:left="460" w:hanging="454"/>
        <w:spacing w:after="0"/>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exercise price of the options is the closing price of TI common stock on January 23, 2014.</w:t>
      </w:r>
    </w:p>
    <w:p>
      <w:pPr>
        <w:spacing w:after="0" w:line="200" w:lineRule="exact"/>
        <w:rPr>
          <w:rFonts w:ascii="Arial" w:cs="Arial" w:eastAsia="Arial" w:hAnsi="Arial"/>
          <w:sz w:val="17"/>
          <w:szCs w:val="17"/>
          <w:color w:val="auto"/>
        </w:rPr>
      </w:pPr>
    </w:p>
    <w:p>
      <w:pPr>
        <w:ind w:left="460" w:right="100" w:hanging="454"/>
        <w:spacing w:after="0" w:line="249"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Shown is the aggregate grant date fair value computed in accordance with ASC 718 for stock and option awards in 2014. The discussion of the assumptions used for purposes of the valuation appears in Note 5 to the Financial Statements in TI’s annual report on Form 10-K for the year ended December 31, 2014.</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None of the options or other equity awards granted to the named executive officers was repriced or modified by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regarding TI’s equity compensation grant practices, please see pages 88, 90-91, 95, 97 and 102-103.</w:t>
      </w:r>
    </w:p>
    <w:p>
      <w:pPr>
        <w:spacing w:after="0" w:line="224" w:lineRule="exact"/>
        <w:rPr>
          <w:sz w:val="20"/>
          <w:szCs w:val="20"/>
          <w:color w:val="auto"/>
        </w:rPr>
      </w:pPr>
    </w:p>
    <w:p>
      <w:pPr>
        <w:spacing w:after="0"/>
        <w:tabs>
          <w:tab w:leader="none" w:pos="4140" w:val="left"/>
        </w:tabs>
        <w:rPr>
          <w:sz w:val="20"/>
          <w:szCs w:val="20"/>
          <w:color w:val="auto"/>
        </w:rPr>
      </w:pPr>
      <w:r>
        <w:rPr>
          <w:rFonts w:ascii="Arial" w:cs="Arial" w:eastAsia="Arial" w:hAnsi="Arial"/>
          <w:sz w:val="13"/>
          <w:szCs w:val="13"/>
          <w:color w:val="838383"/>
        </w:rPr>
        <w:t>100</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Outstanding equity awards at fiscal year-end 2014</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outstanding equity awards for each of the named executive officers as of December 31, 2014.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Option Awards</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40" w:type="dxa"/>
            <w:vAlign w:val="bottom"/>
            <w:gridSpan w:val="2"/>
          </w:tcPr>
          <w:p>
            <w:pPr>
              <w:ind w:left="420"/>
              <w:spacing w:after="0"/>
              <w:rPr>
                <w:sz w:val="20"/>
                <w:szCs w:val="20"/>
                <w:color w:val="auto"/>
              </w:rPr>
            </w:pPr>
            <w:r>
              <w:rPr>
                <w:rFonts w:ascii="Arial" w:cs="Arial" w:eastAsia="Arial" w:hAnsi="Arial"/>
                <w:sz w:val="13"/>
                <w:szCs w:val="13"/>
                <w:b w:val="1"/>
                <w:bCs w:val="1"/>
                <w:color w:val="auto"/>
              </w:rPr>
              <w:t>Stock Awards</w:t>
            </w:r>
          </w:p>
        </w:tc>
        <w:tc>
          <w:tcPr>
            <w:tcW w:w="900" w:type="dxa"/>
            <w:vAlign w:val="bottom"/>
          </w:tcPr>
          <w:p>
            <w:pPr>
              <w:spacing w:after="0"/>
              <w:rPr>
                <w:sz w:val="15"/>
                <w:szCs w:val="15"/>
                <w:color w:val="auto"/>
              </w:rPr>
            </w:pPr>
          </w:p>
        </w:tc>
      </w:tr>
      <w:tr>
        <w:trPr>
          <w:trHeight w:val="41"/>
        </w:trPr>
        <w:tc>
          <w:tcPr>
            <w:tcW w:w="2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90"/>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900" w:type="dxa"/>
            <w:vAlign w:val="bottom"/>
          </w:tcPr>
          <w:p>
            <w:pPr>
              <w:spacing w:after="0"/>
              <w:rPr>
                <w:sz w:val="16"/>
                <w:szCs w:val="16"/>
                <w:color w:val="auto"/>
              </w:rPr>
            </w:pPr>
          </w:p>
        </w:tc>
      </w:tr>
      <w:tr>
        <w:trPr>
          <w:trHeight w:val="238"/>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Incentive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r>
      <w:tr>
        <w:trPr>
          <w:trHeight w:val="238"/>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9"/>
              </w:rPr>
              <w:t>Incentive</w:t>
            </w:r>
          </w:p>
        </w:tc>
      </w:tr>
      <w:tr>
        <w:trPr>
          <w:trHeight w:val="238"/>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Incentive</w:t>
            </w: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Plan Awards:</w:t>
            </w:r>
          </w:p>
        </w:tc>
      </w:tr>
      <w:tr>
        <w:trPr>
          <w:trHeight w:val="238"/>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Market or</w:t>
            </w:r>
          </w:p>
        </w:tc>
      </w:tr>
      <w:tr>
        <w:trPr>
          <w:trHeight w:val="238"/>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Unearned</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Payout Value</w:t>
            </w:r>
          </w:p>
        </w:tc>
      </w:tr>
      <w:tr>
        <w:trPr>
          <w:trHeight w:val="238"/>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1220" w:type="dxa"/>
            <w:vAlign w:val="bottom"/>
            <w:gridSpan w:val="2"/>
          </w:tcPr>
          <w:p>
            <w:pPr>
              <w:jc w:val="center"/>
              <w:ind w:left="38"/>
              <w:spacing w:after="0"/>
              <w:rPr>
                <w:sz w:val="20"/>
                <w:szCs w:val="20"/>
                <w:color w:val="auto"/>
              </w:rPr>
            </w:pPr>
            <w:r>
              <w:rPr>
                <w:rFonts w:ascii="Arial" w:cs="Arial" w:eastAsia="Arial" w:hAnsi="Arial"/>
                <w:sz w:val="13"/>
                <w:szCs w:val="13"/>
                <w:b w:val="1"/>
                <w:bCs w:val="1"/>
                <w:color w:val="auto"/>
              </w:rPr>
              <w:t>Number of</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Market Value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of Unearned</w:t>
            </w:r>
          </w:p>
        </w:tc>
      </w:tr>
      <w:tr>
        <w:trPr>
          <w:trHeight w:val="238"/>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9"/>
              </w:rPr>
              <w:t>Securities</w:t>
            </w:r>
          </w:p>
        </w:tc>
        <w:tc>
          <w:tcPr>
            <w:tcW w:w="1220" w:type="dxa"/>
            <w:vAlign w:val="bottom"/>
            <w:gridSpan w:val="2"/>
          </w:tcPr>
          <w:p>
            <w:pPr>
              <w:jc w:val="center"/>
              <w:ind w:left="18"/>
              <w:spacing w:after="0"/>
              <w:rPr>
                <w:sz w:val="20"/>
                <w:szCs w:val="20"/>
                <w:color w:val="auto"/>
              </w:rPr>
            </w:pPr>
            <w:r>
              <w:rPr>
                <w:rFonts w:ascii="Arial" w:cs="Arial" w:eastAsia="Arial" w:hAnsi="Arial"/>
                <w:sz w:val="13"/>
                <w:szCs w:val="13"/>
                <w:b w:val="1"/>
                <w:bCs w:val="1"/>
                <w:color w:val="auto"/>
              </w:rPr>
              <w:t>Securities</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9"/>
              </w:rPr>
              <w:t>Securities</w:t>
            </w: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rPr>
              <w:t>Number of</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of Shares or</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Units or</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Shares, Units</w:t>
            </w:r>
          </w:p>
        </w:tc>
      </w:tr>
      <w:tr>
        <w:trPr>
          <w:trHeight w:val="238"/>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1220" w:type="dxa"/>
            <w:vAlign w:val="bottom"/>
            <w:gridSpan w:val="2"/>
          </w:tcPr>
          <w:p>
            <w:pPr>
              <w:jc w:val="center"/>
              <w:ind w:left="18"/>
              <w:spacing w:after="0"/>
              <w:rPr>
                <w:sz w:val="20"/>
                <w:szCs w:val="20"/>
                <w:color w:val="auto"/>
              </w:rPr>
            </w:pPr>
            <w:r>
              <w:rPr>
                <w:rFonts w:ascii="Arial" w:cs="Arial" w:eastAsia="Arial" w:hAnsi="Arial"/>
                <w:sz w:val="13"/>
                <w:szCs w:val="13"/>
                <w:b w:val="1"/>
                <w:bCs w:val="1"/>
                <w:color w:val="auto"/>
              </w:rPr>
              <w:t>Underlying</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rPr>
              <w:t>Shares or</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Units of Stock</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Other</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or Other</w:t>
            </w:r>
          </w:p>
        </w:tc>
      </w:tr>
      <w:tr>
        <w:trPr>
          <w:trHeight w:val="238"/>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Unexercised</w:t>
            </w:r>
          </w:p>
        </w:tc>
        <w:tc>
          <w:tcPr>
            <w:tcW w:w="1220" w:type="dxa"/>
            <w:vAlign w:val="bottom"/>
            <w:gridSpan w:val="2"/>
          </w:tcPr>
          <w:p>
            <w:pPr>
              <w:jc w:val="center"/>
              <w:ind w:left="38"/>
              <w:spacing w:after="0"/>
              <w:rPr>
                <w:sz w:val="20"/>
                <w:szCs w:val="20"/>
                <w:color w:val="auto"/>
              </w:rPr>
            </w:pPr>
            <w:r>
              <w:rPr>
                <w:rFonts w:ascii="Arial" w:cs="Arial" w:eastAsia="Arial" w:hAnsi="Arial"/>
                <w:sz w:val="13"/>
                <w:szCs w:val="13"/>
                <w:b w:val="1"/>
                <w:bCs w:val="1"/>
                <w:color w:val="auto"/>
              </w:rPr>
              <w:t>Unexercised</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Unexercised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9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Option</w:t>
            </w: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Units of Stock</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That Have Not</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Rights That</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Rights That</w:t>
            </w:r>
          </w:p>
        </w:tc>
      </w:tr>
      <w:tr>
        <w:trPr>
          <w:trHeight w:val="238"/>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Options (#)</w:t>
            </w:r>
          </w:p>
        </w:tc>
        <w:tc>
          <w:tcPr>
            <w:tcW w:w="1220" w:type="dxa"/>
            <w:vAlign w:val="bottom"/>
            <w:gridSpan w:val="2"/>
          </w:tcPr>
          <w:p>
            <w:pPr>
              <w:jc w:val="center"/>
              <w:ind w:left="38"/>
              <w:spacing w:after="0"/>
              <w:rPr>
                <w:sz w:val="20"/>
                <w:szCs w:val="20"/>
                <w:color w:val="auto"/>
              </w:rPr>
            </w:pPr>
            <w:r>
              <w:rPr>
                <w:rFonts w:ascii="Arial" w:cs="Arial" w:eastAsia="Arial" w:hAnsi="Arial"/>
                <w:sz w:val="13"/>
                <w:szCs w:val="13"/>
                <w:b w:val="1"/>
                <w:bCs w:val="1"/>
                <w:color w:val="auto"/>
              </w:rPr>
              <w:t>Options (#)</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Unearned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Exercise</w:t>
            </w:r>
          </w:p>
        </w:tc>
        <w:tc>
          <w:tcPr>
            <w:tcW w:w="9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Expiration</w:t>
            </w: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rPr>
              <w:t>That Have Not</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8"/>
              </w:rPr>
              <w:t>Vested</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Have Not</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9"/>
              </w:rPr>
              <w:t>Have Not</w:t>
            </w:r>
          </w:p>
        </w:tc>
      </w:tr>
      <w:tr>
        <w:trPr>
          <w:trHeight w:val="238"/>
        </w:trPr>
        <w:tc>
          <w:tcPr>
            <w:tcW w:w="22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Exercisable</w:t>
            </w:r>
          </w:p>
        </w:tc>
        <w:tc>
          <w:tcPr>
            <w:tcW w:w="1220" w:type="dxa"/>
            <w:vAlign w:val="bottom"/>
            <w:gridSpan w:val="2"/>
          </w:tcPr>
          <w:p>
            <w:pPr>
              <w:jc w:val="center"/>
              <w:ind w:left="38"/>
              <w:spacing w:after="0"/>
              <w:rPr>
                <w:sz w:val="20"/>
                <w:szCs w:val="20"/>
                <w:color w:val="auto"/>
              </w:rPr>
            </w:pPr>
            <w:r>
              <w:rPr>
                <w:rFonts w:ascii="Arial" w:cs="Arial" w:eastAsia="Arial" w:hAnsi="Arial"/>
                <w:sz w:val="13"/>
                <w:szCs w:val="13"/>
                <w:b w:val="1"/>
                <w:bCs w:val="1"/>
                <w:color w:val="auto"/>
              </w:rPr>
              <w:t>Unexercisable</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Options (#)</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Price ($)</w:t>
            </w:r>
          </w:p>
        </w:tc>
        <w:tc>
          <w:tcPr>
            <w:tcW w:w="9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Date</w:t>
            </w: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Vested (#)</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 (1)</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9"/>
              </w:rPr>
              <w:t>Vested (#)</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Vested ($)</w:t>
            </w:r>
          </w:p>
        </w:tc>
      </w:tr>
      <w:tr>
        <w:trPr>
          <w:trHeight w:val="41"/>
        </w:trPr>
        <w:tc>
          <w:tcPr>
            <w:tcW w:w="2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5"/>
        </w:trPr>
        <w:tc>
          <w:tcPr>
            <w:tcW w:w="224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120" w:type="dxa"/>
            <w:vAlign w:val="bottom"/>
            <w:shd w:val="clear" w:color="auto" w:fill="E9E9E9"/>
          </w:tcPr>
          <w:p>
            <w:pPr>
              <w:spacing w:after="0"/>
              <w:rPr>
                <w:sz w:val="18"/>
                <w:szCs w:val="18"/>
                <w:color w:val="auto"/>
              </w:rPr>
            </w:pPr>
          </w:p>
        </w:tc>
        <w:tc>
          <w:tcPr>
            <w:tcW w:w="940" w:type="dxa"/>
            <w:vAlign w:val="bottom"/>
            <w:shd w:val="clear" w:color="auto" w:fill="E9E9E9"/>
          </w:tcPr>
          <w:p>
            <w:pPr>
              <w:jc w:val="right"/>
              <w:ind w:right="79"/>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602,692</w:t>
            </w:r>
          </w:p>
        </w:tc>
        <w:tc>
          <w:tcPr>
            <w:tcW w:w="360" w:type="dxa"/>
            <w:vAlign w:val="bottom"/>
            <w:shd w:val="clear" w:color="auto" w:fill="E9E9E9"/>
          </w:tcPr>
          <w:p>
            <w:pPr>
              <w:jc w:val="right"/>
              <w:ind w:right="35"/>
              <w:spacing w:after="0"/>
              <w:rPr>
                <w:sz w:val="20"/>
                <w:szCs w:val="20"/>
                <w:color w:val="auto"/>
              </w:rPr>
            </w:pPr>
            <w:r>
              <w:rPr>
                <w:rFonts w:ascii="Arial" w:cs="Arial" w:eastAsia="Arial" w:hAnsi="Arial"/>
                <w:sz w:val="17"/>
                <w:szCs w:val="17"/>
                <w:color w:val="auto"/>
              </w:rPr>
              <w:t>(2)</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$ 44.09</w:t>
            </w:r>
          </w:p>
        </w:tc>
        <w:tc>
          <w:tcPr>
            <w:tcW w:w="860" w:type="dxa"/>
            <w:vAlign w:val="bottom"/>
            <w:shd w:val="clear" w:color="auto" w:fill="E9E9E9"/>
          </w:tcPr>
          <w:p>
            <w:pPr>
              <w:jc w:val="center"/>
              <w:ind w:left="16"/>
              <w:spacing w:after="0"/>
              <w:rPr>
                <w:sz w:val="20"/>
                <w:szCs w:val="20"/>
                <w:color w:val="auto"/>
              </w:rPr>
            </w:pPr>
            <w:r>
              <w:rPr>
                <w:rFonts w:ascii="Arial" w:cs="Arial" w:eastAsia="Arial" w:hAnsi="Arial"/>
                <w:sz w:val="17"/>
                <w:szCs w:val="17"/>
                <w:color w:val="auto"/>
              </w:rPr>
              <w:t>1/23/2024</w:t>
            </w:r>
          </w:p>
        </w:tc>
        <w:tc>
          <w:tcPr>
            <w:tcW w:w="120" w:type="dxa"/>
            <w:vAlign w:val="bottom"/>
            <w:shd w:val="clear" w:color="auto" w:fill="E9E9E9"/>
          </w:tcPr>
          <w:p>
            <w:pPr>
              <w:spacing w:after="0"/>
              <w:rPr>
                <w:sz w:val="18"/>
                <w:szCs w:val="18"/>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111,137</w:t>
            </w:r>
          </w:p>
        </w:tc>
        <w:tc>
          <w:tcPr>
            <w:tcW w:w="460" w:type="dxa"/>
            <w:vAlign w:val="bottom"/>
            <w:shd w:val="clear" w:color="auto" w:fill="E9E9E9"/>
          </w:tcPr>
          <w:p>
            <w:pPr>
              <w:ind w:left="20"/>
              <w:spacing w:after="0"/>
              <w:rPr>
                <w:sz w:val="20"/>
                <w:szCs w:val="20"/>
                <w:color w:val="auto"/>
              </w:rPr>
            </w:pPr>
            <w:r>
              <w:rPr>
                <w:rFonts w:ascii="Arial" w:cs="Arial" w:eastAsia="Arial" w:hAnsi="Arial"/>
                <w:sz w:val="17"/>
                <w:szCs w:val="17"/>
                <w:color w:val="auto"/>
              </w:rPr>
              <w:t>(6)</w:t>
            </w:r>
          </w:p>
        </w:tc>
        <w:tc>
          <w:tcPr>
            <w:tcW w:w="116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$ 5,942,495</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40" w:type="dxa"/>
            <w:vAlign w:val="bottom"/>
            <w:shd w:val="clear" w:color="auto" w:fill="E9E9E9"/>
          </w:tcPr>
          <w:p>
            <w:pPr>
              <w:jc w:val="right"/>
              <w:ind w:right="79"/>
              <w:spacing w:after="0"/>
              <w:rPr>
                <w:sz w:val="20"/>
                <w:szCs w:val="20"/>
                <w:color w:val="auto"/>
              </w:rPr>
            </w:pPr>
            <w:r>
              <w:rPr>
                <w:rFonts w:ascii="Arial" w:cs="Arial" w:eastAsia="Arial" w:hAnsi="Arial"/>
                <w:sz w:val="17"/>
                <w:szCs w:val="17"/>
                <w:color w:val="auto"/>
              </w:rPr>
              <w:t>131,250</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393,750</w:t>
            </w:r>
          </w:p>
        </w:tc>
        <w:tc>
          <w:tcPr>
            <w:tcW w:w="360" w:type="dxa"/>
            <w:vAlign w:val="bottom"/>
            <w:shd w:val="clear" w:color="auto" w:fill="E9E9E9"/>
          </w:tcPr>
          <w:p>
            <w:pPr>
              <w:jc w:val="right"/>
              <w:ind w:right="35"/>
              <w:spacing w:after="0"/>
              <w:rPr>
                <w:sz w:val="20"/>
                <w:szCs w:val="20"/>
                <w:color w:val="auto"/>
              </w:rPr>
            </w:pPr>
            <w:r>
              <w:rPr>
                <w:rFonts w:ascii="Arial" w:cs="Arial" w:eastAsia="Arial" w:hAnsi="Arial"/>
                <w:sz w:val="17"/>
                <w:szCs w:val="17"/>
                <w:color w:val="auto"/>
              </w:rPr>
              <w:t>(3)</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$ 32.80</w:t>
            </w:r>
          </w:p>
        </w:tc>
        <w:tc>
          <w:tcPr>
            <w:tcW w:w="860" w:type="dxa"/>
            <w:vAlign w:val="bottom"/>
            <w:shd w:val="clear" w:color="auto" w:fill="E9E9E9"/>
          </w:tcPr>
          <w:p>
            <w:pPr>
              <w:jc w:val="center"/>
              <w:ind w:left="16"/>
              <w:spacing w:after="0"/>
              <w:rPr>
                <w:sz w:val="20"/>
                <w:szCs w:val="20"/>
                <w:color w:val="auto"/>
              </w:rPr>
            </w:pPr>
            <w:r>
              <w:rPr>
                <w:rFonts w:ascii="Arial" w:cs="Arial" w:eastAsia="Arial" w:hAnsi="Arial"/>
                <w:sz w:val="17"/>
                <w:szCs w:val="17"/>
                <w:color w:val="auto"/>
              </w:rPr>
              <w:t>1/25/2023</w:t>
            </w:r>
          </w:p>
        </w:tc>
        <w:tc>
          <w:tcPr>
            <w:tcW w:w="120" w:type="dxa"/>
            <w:vAlign w:val="bottom"/>
            <w:shd w:val="clear" w:color="auto" w:fill="E9E9E9"/>
          </w:tcPr>
          <w:p>
            <w:pPr>
              <w:spacing w:after="0"/>
              <w:rPr>
                <w:sz w:val="20"/>
                <w:szCs w:val="20"/>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175,000</w:t>
            </w:r>
          </w:p>
        </w:tc>
        <w:tc>
          <w:tcPr>
            <w:tcW w:w="460" w:type="dxa"/>
            <w:vAlign w:val="bottom"/>
            <w:shd w:val="clear" w:color="auto" w:fill="E9E9E9"/>
          </w:tcPr>
          <w:p>
            <w:pPr>
              <w:ind w:left="20"/>
              <w:spacing w:after="0"/>
              <w:rPr>
                <w:sz w:val="20"/>
                <w:szCs w:val="20"/>
                <w:color w:val="auto"/>
              </w:rPr>
            </w:pPr>
            <w:r>
              <w:rPr>
                <w:rFonts w:ascii="Arial" w:cs="Arial" w:eastAsia="Arial" w:hAnsi="Arial"/>
                <w:sz w:val="17"/>
                <w:szCs w:val="17"/>
                <w:color w:val="auto"/>
              </w:rPr>
              <w:t>(7)</w:t>
            </w:r>
          </w:p>
        </w:tc>
        <w:tc>
          <w:tcPr>
            <w:tcW w:w="116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$ 9,357,250</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40" w:type="dxa"/>
            <w:vAlign w:val="bottom"/>
            <w:shd w:val="clear" w:color="auto" w:fill="E9E9E9"/>
          </w:tcPr>
          <w:p>
            <w:pPr>
              <w:jc w:val="right"/>
              <w:ind w:right="79"/>
              <w:spacing w:after="0"/>
              <w:rPr>
                <w:sz w:val="20"/>
                <w:szCs w:val="20"/>
                <w:color w:val="auto"/>
              </w:rPr>
            </w:pPr>
            <w:r>
              <w:rPr>
                <w:rFonts w:ascii="Arial" w:cs="Arial" w:eastAsia="Arial" w:hAnsi="Arial"/>
                <w:sz w:val="17"/>
                <w:szCs w:val="17"/>
                <w:color w:val="auto"/>
              </w:rPr>
              <w:t>237,500</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237,500</w:t>
            </w:r>
          </w:p>
        </w:tc>
        <w:tc>
          <w:tcPr>
            <w:tcW w:w="360" w:type="dxa"/>
            <w:vAlign w:val="bottom"/>
            <w:shd w:val="clear" w:color="auto" w:fill="E9E9E9"/>
          </w:tcPr>
          <w:p>
            <w:pPr>
              <w:jc w:val="right"/>
              <w:ind w:right="35"/>
              <w:spacing w:after="0"/>
              <w:rPr>
                <w:sz w:val="20"/>
                <w:szCs w:val="20"/>
                <w:color w:val="auto"/>
              </w:rPr>
            </w:pPr>
            <w:r>
              <w:rPr>
                <w:rFonts w:ascii="Arial" w:cs="Arial" w:eastAsia="Arial" w:hAnsi="Arial"/>
                <w:sz w:val="17"/>
                <w:szCs w:val="17"/>
                <w:color w:val="auto"/>
              </w:rPr>
              <w:t>(4)</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$ 32.36</w:t>
            </w:r>
          </w:p>
        </w:tc>
        <w:tc>
          <w:tcPr>
            <w:tcW w:w="860" w:type="dxa"/>
            <w:vAlign w:val="bottom"/>
            <w:shd w:val="clear" w:color="auto" w:fill="E9E9E9"/>
          </w:tcPr>
          <w:p>
            <w:pPr>
              <w:jc w:val="center"/>
              <w:ind w:left="16"/>
              <w:spacing w:after="0"/>
              <w:rPr>
                <w:sz w:val="20"/>
                <w:szCs w:val="20"/>
                <w:color w:val="auto"/>
              </w:rPr>
            </w:pPr>
            <w:r>
              <w:rPr>
                <w:rFonts w:ascii="Arial" w:cs="Arial" w:eastAsia="Arial" w:hAnsi="Arial"/>
                <w:sz w:val="17"/>
                <w:szCs w:val="17"/>
                <w:color w:val="auto"/>
              </w:rPr>
              <w:t>1/26/2022</w:t>
            </w:r>
          </w:p>
        </w:tc>
        <w:tc>
          <w:tcPr>
            <w:tcW w:w="120" w:type="dxa"/>
            <w:vAlign w:val="bottom"/>
            <w:shd w:val="clear" w:color="auto" w:fill="E9E9E9"/>
          </w:tcPr>
          <w:p>
            <w:pPr>
              <w:spacing w:after="0"/>
              <w:rPr>
                <w:sz w:val="20"/>
                <w:szCs w:val="20"/>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158,334</w:t>
            </w:r>
          </w:p>
        </w:tc>
        <w:tc>
          <w:tcPr>
            <w:tcW w:w="460" w:type="dxa"/>
            <w:vAlign w:val="bottom"/>
            <w:shd w:val="clear" w:color="auto" w:fill="E9E9E9"/>
          </w:tcPr>
          <w:p>
            <w:pPr>
              <w:ind w:left="20"/>
              <w:spacing w:after="0"/>
              <w:rPr>
                <w:sz w:val="20"/>
                <w:szCs w:val="20"/>
                <w:color w:val="auto"/>
              </w:rPr>
            </w:pPr>
            <w:r>
              <w:rPr>
                <w:rFonts w:ascii="Arial" w:cs="Arial" w:eastAsia="Arial" w:hAnsi="Arial"/>
                <w:sz w:val="17"/>
                <w:szCs w:val="17"/>
                <w:color w:val="auto"/>
              </w:rPr>
              <w:t>(8)</w:t>
            </w:r>
          </w:p>
        </w:tc>
        <w:tc>
          <w:tcPr>
            <w:tcW w:w="116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$ 8,466,119</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40" w:type="dxa"/>
            <w:vAlign w:val="bottom"/>
            <w:shd w:val="clear" w:color="auto" w:fill="E9E9E9"/>
          </w:tcPr>
          <w:p>
            <w:pPr>
              <w:jc w:val="right"/>
              <w:ind w:right="79"/>
              <w:spacing w:after="0"/>
              <w:rPr>
                <w:sz w:val="20"/>
                <w:szCs w:val="20"/>
                <w:color w:val="auto"/>
              </w:rPr>
            </w:pPr>
            <w:r>
              <w:rPr>
                <w:rFonts w:ascii="Arial" w:cs="Arial" w:eastAsia="Arial" w:hAnsi="Arial"/>
                <w:sz w:val="17"/>
                <w:szCs w:val="17"/>
                <w:color w:val="auto"/>
              </w:rPr>
              <w:t>337,500</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112,500</w:t>
            </w:r>
          </w:p>
        </w:tc>
        <w:tc>
          <w:tcPr>
            <w:tcW w:w="360" w:type="dxa"/>
            <w:vAlign w:val="bottom"/>
            <w:shd w:val="clear" w:color="auto" w:fill="E9E9E9"/>
          </w:tcPr>
          <w:p>
            <w:pPr>
              <w:jc w:val="right"/>
              <w:ind w:right="35"/>
              <w:spacing w:after="0"/>
              <w:rPr>
                <w:sz w:val="20"/>
                <w:szCs w:val="20"/>
                <w:color w:val="auto"/>
              </w:rPr>
            </w:pPr>
            <w:r>
              <w:rPr>
                <w:rFonts w:ascii="Arial" w:cs="Arial" w:eastAsia="Arial" w:hAnsi="Arial"/>
                <w:sz w:val="17"/>
                <w:szCs w:val="17"/>
                <w:color w:val="auto"/>
              </w:rPr>
              <w:t>(5)</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$ 34.63</w:t>
            </w:r>
          </w:p>
        </w:tc>
        <w:tc>
          <w:tcPr>
            <w:tcW w:w="860" w:type="dxa"/>
            <w:vAlign w:val="bottom"/>
            <w:shd w:val="clear" w:color="auto" w:fill="E9E9E9"/>
          </w:tcPr>
          <w:p>
            <w:pPr>
              <w:jc w:val="center"/>
              <w:ind w:left="16"/>
              <w:spacing w:after="0"/>
              <w:rPr>
                <w:sz w:val="20"/>
                <w:szCs w:val="20"/>
                <w:color w:val="auto"/>
              </w:rPr>
            </w:pPr>
            <w:r>
              <w:rPr>
                <w:rFonts w:ascii="Arial" w:cs="Arial" w:eastAsia="Arial" w:hAnsi="Arial"/>
                <w:sz w:val="17"/>
                <w:szCs w:val="17"/>
                <w:color w:val="auto"/>
              </w:rPr>
              <w:t>1/27/2021</w:t>
            </w:r>
          </w:p>
        </w:tc>
        <w:tc>
          <w:tcPr>
            <w:tcW w:w="120" w:type="dxa"/>
            <w:vAlign w:val="bottom"/>
            <w:shd w:val="clear" w:color="auto" w:fill="E9E9E9"/>
          </w:tcPr>
          <w:p>
            <w:pPr>
              <w:spacing w:after="0"/>
              <w:rPr>
                <w:sz w:val="20"/>
                <w:szCs w:val="20"/>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150,000</w:t>
            </w:r>
          </w:p>
        </w:tc>
        <w:tc>
          <w:tcPr>
            <w:tcW w:w="460" w:type="dxa"/>
            <w:vAlign w:val="bottom"/>
            <w:shd w:val="clear" w:color="auto" w:fill="E9E9E9"/>
          </w:tcPr>
          <w:p>
            <w:pPr>
              <w:ind w:left="20"/>
              <w:spacing w:after="0"/>
              <w:rPr>
                <w:sz w:val="20"/>
                <w:szCs w:val="20"/>
                <w:color w:val="auto"/>
              </w:rPr>
            </w:pPr>
            <w:r>
              <w:rPr>
                <w:rFonts w:ascii="Arial" w:cs="Arial" w:eastAsia="Arial" w:hAnsi="Arial"/>
                <w:sz w:val="17"/>
                <w:szCs w:val="17"/>
                <w:color w:val="auto"/>
              </w:rPr>
              <w:t>(9)</w:t>
            </w:r>
          </w:p>
        </w:tc>
        <w:tc>
          <w:tcPr>
            <w:tcW w:w="116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$ 8,020,500</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40" w:type="dxa"/>
            <w:vAlign w:val="bottom"/>
            <w:shd w:val="clear" w:color="auto" w:fill="E9E9E9"/>
          </w:tcPr>
          <w:p>
            <w:pPr>
              <w:jc w:val="right"/>
              <w:ind w:right="79"/>
              <w:spacing w:after="0"/>
              <w:rPr>
                <w:sz w:val="20"/>
                <w:szCs w:val="20"/>
                <w:color w:val="auto"/>
              </w:rPr>
            </w:pPr>
            <w:r>
              <w:rPr>
                <w:rFonts w:ascii="Arial" w:cs="Arial" w:eastAsia="Arial" w:hAnsi="Arial"/>
                <w:sz w:val="17"/>
                <w:szCs w:val="17"/>
                <w:color w:val="auto"/>
              </w:rPr>
              <w:t>540,000</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E9E9E9"/>
          </w:tcPr>
          <w:p>
            <w:pPr>
              <w:spacing w:after="0"/>
              <w:rPr>
                <w:sz w:val="20"/>
                <w:szCs w:val="20"/>
                <w:color w:val="auto"/>
              </w:rPr>
            </w:pP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$ 23.05</w:t>
            </w:r>
          </w:p>
        </w:tc>
        <w:tc>
          <w:tcPr>
            <w:tcW w:w="860" w:type="dxa"/>
            <w:vAlign w:val="bottom"/>
            <w:shd w:val="clear" w:color="auto" w:fill="E9E9E9"/>
          </w:tcPr>
          <w:p>
            <w:pPr>
              <w:jc w:val="center"/>
              <w:ind w:left="16"/>
              <w:spacing w:after="0"/>
              <w:rPr>
                <w:sz w:val="20"/>
                <w:szCs w:val="20"/>
                <w:color w:val="auto"/>
              </w:rPr>
            </w:pPr>
            <w:r>
              <w:rPr>
                <w:rFonts w:ascii="Arial" w:cs="Arial" w:eastAsia="Arial" w:hAnsi="Arial"/>
                <w:sz w:val="17"/>
                <w:szCs w:val="17"/>
                <w:color w:val="auto"/>
              </w:rPr>
              <w:t>1/28/2020</w:t>
            </w:r>
          </w:p>
        </w:tc>
        <w:tc>
          <w:tcPr>
            <w:tcW w:w="120" w:type="dxa"/>
            <w:vAlign w:val="bottom"/>
            <w:shd w:val="clear" w:color="auto" w:fill="E9E9E9"/>
          </w:tcPr>
          <w:p>
            <w:pPr>
              <w:spacing w:after="0"/>
              <w:rPr>
                <w:sz w:val="20"/>
                <w:szCs w:val="20"/>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9E9E9"/>
          </w:tcPr>
          <w:p>
            <w:pPr>
              <w:spacing w:after="0"/>
              <w:rPr>
                <w:sz w:val="20"/>
                <w:szCs w:val="20"/>
                <w:color w:val="auto"/>
              </w:rPr>
            </w:pPr>
          </w:p>
        </w:tc>
        <w:tc>
          <w:tcPr>
            <w:tcW w:w="116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40" w:type="dxa"/>
            <w:vAlign w:val="bottom"/>
            <w:shd w:val="clear" w:color="auto" w:fill="E9E9E9"/>
          </w:tcPr>
          <w:p>
            <w:pPr>
              <w:jc w:val="right"/>
              <w:ind w:right="79"/>
              <w:spacing w:after="0"/>
              <w:rPr>
                <w:sz w:val="20"/>
                <w:szCs w:val="20"/>
                <w:color w:val="auto"/>
              </w:rPr>
            </w:pPr>
            <w:r>
              <w:rPr>
                <w:rFonts w:ascii="Arial" w:cs="Arial" w:eastAsia="Arial" w:hAnsi="Arial"/>
                <w:sz w:val="17"/>
                <w:szCs w:val="17"/>
                <w:color w:val="auto"/>
              </w:rPr>
              <w:t>664,461</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E9E9E9"/>
          </w:tcPr>
          <w:p>
            <w:pPr>
              <w:spacing w:after="0"/>
              <w:rPr>
                <w:sz w:val="20"/>
                <w:szCs w:val="20"/>
                <w:color w:val="auto"/>
              </w:rPr>
            </w:pP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$ 14.95</w:t>
            </w:r>
          </w:p>
        </w:tc>
        <w:tc>
          <w:tcPr>
            <w:tcW w:w="860" w:type="dxa"/>
            <w:vAlign w:val="bottom"/>
            <w:shd w:val="clear" w:color="auto" w:fill="E9E9E9"/>
          </w:tcPr>
          <w:p>
            <w:pPr>
              <w:jc w:val="center"/>
              <w:ind w:left="16"/>
              <w:spacing w:after="0"/>
              <w:rPr>
                <w:sz w:val="20"/>
                <w:szCs w:val="20"/>
                <w:color w:val="auto"/>
              </w:rPr>
            </w:pPr>
            <w:r>
              <w:rPr>
                <w:rFonts w:ascii="Arial" w:cs="Arial" w:eastAsia="Arial" w:hAnsi="Arial"/>
                <w:sz w:val="17"/>
                <w:szCs w:val="17"/>
                <w:color w:val="auto"/>
              </w:rPr>
              <w:t>1/29/2019</w:t>
            </w:r>
          </w:p>
        </w:tc>
        <w:tc>
          <w:tcPr>
            <w:tcW w:w="120" w:type="dxa"/>
            <w:vAlign w:val="bottom"/>
            <w:shd w:val="clear" w:color="auto" w:fill="E9E9E9"/>
          </w:tcPr>
          <w:p>
            <w:pPr>
              <w:spacing w:after="0"/>
              <w:rPr>
                <w:sz w:val="20"/>
                <w:szCs w:val="20"/>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9E9E9"/>
          </w:tcPr>
          <w:p>
            <w:pPr>
              <w:spacing w:after="0"/>
              <w:rPr>
                <w:sz w:val="20"/>
                <w:szCs w:val="20"/>
                <w:color w:val="auto"/>
              </w:rPr>
            </w:pPr>
          </w:p>
        </w:tc>
        <w:tc>
          <w:tcPr>
            <w:tcW w:w="116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40" w:type="dxa"/>
            <w:vAlign w:val="bottom"/>
            <w:shd w:val="clear" w:color="auto" w:fill="E9E9E9"/>
          </w:tcPr>
          <w:p>
            <w:pPr>
              <w:jc w:val="right"/>
              <w:ind w:right="79"/>
              <w:spacing w:after="0"/>
              <w:rPr>
                <w:sz w:val="20"/>
                <w:szCs w:val="20"/>
                <w:color w:val="auto"/>
              </w:rPr>
            </w:pPr>
            <w:r>
              <w:rPr>
                <w:rFonts w:ascii="Arial" w:cs="Arial" w:eastAsia="Arial" w:hAnsi="Arial"/>
                <w:sz w:val="17"/>
                <w:szCs w:val="17"/>
                <w:color w:val="auto"/>
              </w:rPr>
              <w:t>270,000</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E9E9E9"/>
          </w:tcPr>
          <w:p>
            <w:pPr>
              <w:spacing w:after="0"/>
              <w:rPr>
                <w:sz w:val="20"/>
                <w:szCs w:val="20"/>
                <w:color w:val="auto"/>
              </w:rPr>
            </w:pP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$ 29.79</w:t>
            </w:r>
          </w:p>
        </w:tc>
        <w:tc>
          <w:tcPr>
            <w:tcW w:w="860" w:type="dxa"/>
            <w:vAlign w:val="bottom"/>
            <w:shd w:val="clear" w:color="auto" w:fill="E9E9E9"/>
          </w:tcPr>
          <w:p>
            <w:pPr>
              <w:jc w:val="center"/>
              <w:ind w:left="16"/>
              <w:spacing w:after="0"/>
              <w:rPr>
                <w:sz w:val="20"/>
                <w:szCs w:val="20"/>
                <w:color w:val="auto"/>
              </w:rPr>
            </w:pPr>
            <w:r>
              <w:rPr>
                <w:rFonts w:ascii="Arial" w:cs="Arial" w:eastAsia="Arial" w:hAnsi="Arial"/>
                <w:sz w:val="17"/>
                <w:szCs w:val="17"/>
                <w:color w:val="auto"/>
              </w:rPr>
              <w:t>1/25/2018</w:t>
            </w:r>
          </w:p>
        </w:tc>
        <w:tc>
          <w:tcPr>
            <w:tcW w:w="120" w:type="dxa"/>
            <w:vAlign w:val="bottom"/>
            <w:shd w:val="clear" w:color="auto" w:fill="E9E9E9"/>
          </w:tcPr>
          <w:p>
            <w:pPr>
              <w:spacing w:after="0"/>
              <w:rPr>
                <w:sz w:val="20"/>
                <w:szCs w:val="20"/>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9E9E9"/>
          </w:tcPr>
          <w:p>
            <w:pPr>
              <w:spacing w:after="0"/>
              <w:rPr>
                <w:sz w:val="20"/>
                <w:szCs w:val="20"/>
                <w:color w:val="auto"/>
              </w:rPr>
            </w:pPr>
          </w:p>
        </w:tc>
        <w:tc>
          <w:tcPr>
            <w:tcW w:w="116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40" w:type="dxa"/>
            <w:vAlign w:val="bottom"/>
            <w:shd w:val="clear" w:color="auto" w:fill="E9E9E9"/>
          </w:tcPr>
          <w:p>
            <w:pPr>
              <w:jc w:val="right"/>
              <w:ind w:right="79"/>
              <w:spacing w:after="0"/>
              <w:rPr>
                <w:sz w:val="20"/>
                <w:szCs w:val="20"/>
                <w:color w:val="auto"/>
              </w:rPr>
            </w:pPr>
            <w:r>
              <w:rPr>
                <w:rFonts w:ascii="Arial" w:cs="Arial" w:eastAsia="Arial" w:hAnsi="Arial"/>
                <w:sz w:val="17"/>
                <w:szCs w:val="17"/>
                <w:color w:val="auto"/>
              </w:rPr>
              <w:t>270,000</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E9E9E9"/>
          </w:tcPr>
          <w:p>
            <w:pPr>
              <w:spacing w:after="0"/>
              <w:rPr>
                <w:sz w:val="20"/>
                <w:szCs w:val="20"/>
                <w:color w:val="auto"/>
              </w:rPr>
            </w:pP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$ 28.32</w:t>
            </w:r>
          </w:p>
        </w:tc>
        <w:tc>
          <w:tcPr>
            <w:tcW w:w="860" w:type="dxa"/>
            <w:vAlign w:val="bottom"/>
            <w:shd w:val="clear" w:color="auto" w:fill="E9E9E9"/>
          </w:tcPr>
          <w:p>
            <w:pPr>
              <w:jc w:val="center"/>
              <w:ind w:left="16"/>
              <w:spacing w:after="0"/>
              <w:rPr>
                <w:sz w:val="20"/>
                <w:szCs w:val="20"/>
                <w:color w:val="auto"/>
              </w:rPr>
            </w:pPr>
            <w:r>
              <w:rPr>
                <w:rFonts w:ascii="Arial" w:cs="Arial" w:eastAsia="Arial" w:hAnsi="Arial"/>
                <w:sz w:val="17"/>
                <w:szCs w:val="17"/>
                <w:color w:val="auto"/>
              </w:rPr>
              <w:t>1/18/2017</w:t>
            </w:r>
          </w:p>
        </w:tc>
        <w:tc>
          <w:tcPr>
            <w:tcW w:w="120" w:type="dxa"/>
            <w:vAlign w:val="bottom"/>
            <w:shd w:val="clear" w:color="auto" w:fill="E9E9E9"/>
          </w:tcPr>
          <w:p>
            <w:pPr>
              <w:spacing w:after="0"/>
              <w:rPr>
                <w:sz w:val="20"/>
                <w:szCs w:val="20"/>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9E9E9"/>
          </w:tcPr>
          <w:p>
            <w:pPr>
              <w:spacing w:after="0"/>
              <w:rPr>
                <w:sz w:val="20"/>
                <w:szCs w:val="20"/>
                <w:color w:val="auto"/>
              </w:rPr>
            </w:pPr>
          </w:p>
        </w:tc>
        <w:tc>
          <w:tcPr>
            <w:tcW w:w="116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40" w:type="dxa"/>
            <w:vAlign w:val="bottom"/>
            <w:shd w:val="clear" w:color="auto" w:fill="E9E9E9"/>
          </w:tcPr>
          <w:p>
            <w:pPr>
              <w:jc w:val="right"/>
              <w:ind w:right="79"/>
              <w:spacing w:after="0"/>
              <w:rPr>
                <w:sz w:val="20"/>
                <w:szCs w:val="20"/>
                <w:color w:val="auto"/>
              </w:rPr>
            </w:pPr>
            <w:r>
              <w:rPr>
                <w:rFonts w:ascii="Arial" w:cs="Arial" w:eastAsia="Arial" w:hAnsi="Arial"/>
                <w:sz w:val="17"/>
                <w:szCs w:val="17"/>
                <w:color w:val="auto"/>
              </w:rPr>
              <w:t>350,000</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E9E9E9"/>
          </w:tcPr>
          <w:p>
            <w:pPr>
              <w:spacing w:after="0"/>
              <w:rPr>
                <w:sz w:val="20"/>
                <w:szCs w:val="20"/>
                <w:color w:val="auto"/>
              </w:rPr>
            </w:pP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$ 32.55</w:t>
            </w:r>
          </w:p>
        </w:tc>
        <w:tc>
          <w:tcPr>
            <w:tcW w:w="860" w:type="dxa"/>
            <w:vAlign w:val="bottom"/>
            <w:shd w:val="clear" w:color="auto" w:fill="E9E9E9"/>
          </w:tcPr>
          <w:p>
            <w:pPr>
              <w:jc w:val="center"/>
              <w:ind w:left="16"/>
              <w:spacing w:after="0"/>
              <w:rPr>
                <w:sz w:val="20"/>
                <w:szCs w:val="20"/>
                <w:color w:val="auto"/>
              </w:rPr>
            </w:pPr>
            <w:r>
              <w:rPr>
                <w:rFonts w:ascii="Arial" w:cs="Arial" w:eastAsia="Arial" w:hAnsi="Arial"/>
                <w:sz w:val="17"/>
                <w:szCs w:val="17"/>
                <w:color w:val="auto"/>
              </w:rPr>
              <w:t>1/19/2016</w:t>
            </w:r>
          </w:p>
        </w:tc>
        <w:tc>
          <w:tcPr>
            <w:tcW w:w="120" w:type="dxa"/>
            <w:vAlign w:val="bottom"/>
            <w:shd w:val="clear" w:color="auto" w:fill="E9E9E9"/>
          </w:tcPr>
          <w:p>
            <w:pPr>
              <w:spacing w:after="0"/>
              <w:rPr>
                <w:sz w:val="20"/>
                <w:szCs w:val="20"/>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9E9E9"/>
          </w:tcPr>
          <w:p>
            <w:pPr>
              <w:spacing w:after="0"/>
              <w:rPr>
                <w:sz w:val="20"/>
                <w:szCs w:val="20"/>
                <w:color w:val="auto"/>
              </w:rPr>
            </w:pPr>
          </w:p>
        </w:tc>
        <w:tc>
          <w:tcPr>
            <w:tcW w:w="116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54"/>
        </w:trPr>
        <w:tc>
          <w:tcPr>
            <w:tcW w:w="2240" w:type="dxa"/>
            <w:vAlign w:val="bottom"/>
            <w:shd w:val="clear" w:color="auto" w:fill="E9E9E9"/>
          </w:tcPr>
          <w:p>
            <w:pPr>
              <w:spacing w:after="0"/>
              <w:rPr>
                <w:sz w:val="22"/>
                <w:szCs w:val="22"/>
                <w:color w:val="auto"/>
              </w:rPr>
            </w:pPr>
          </w:p>
        </w:tc>
        <w:tc>
          <w:tcPr>
            <w:tcW w:w="120" w:type="dxa"/>
            <w:vAlign w:val="bottom"/>
            <w:shd w:val="clear" w:color="auto" w:fill="E9E9E9"/>
          </w:tcPr>
          <w:p>
            <w:pPr>
              <w:spacing w:after="0"/>
              <w:rPr>
                <w:sz w:val="22"/>
                <w:szCs w:val="22"/>
                <w:color w:val="auto"/>
              </w:rPr>
            </w:pPr>
          </w:p>
        </w:tc>
        <w:tc>
          <w:tcPr>
            <w:tcW w:w="940" w:type="dxa"/>
            <w:vAlign w:val="bottom"/>
            <w:shd w:val="clear" w:color="auto" w:fill="E9E9E9"/>
          </w:tcPr>
          <w:p>
            <w:pPr>
              <w:spacing w:after="0"/>
              <w:rPr>
                <w:sz w:val="22"/>
                <w:szCs w:val="22"/>
                <w:color w:val="auto"/>
              </w:rPr>
            </w:pPr>
          </w:p>
        </w:tc>
        <w:tc>
          <w:tcPr>
            <w:tcW w:w="860" w:type="dxa"/>
            <w:vAlign w:val="bottom"/>
            <w:shd w:val="clear" w:color="auto" w:fill="E9E9E9"/>
          </w:tcPr>
          <w:p>
            <w:pPr>
              <w:spacing w:after="0"/>
              <w:rPr>
                <w:sz w:val="22"/>
                <w:szCs w:val="22"/>
                <w:color w:val="auto"/>
              </w:rPr>
            </w:pPr>
          </w:p>
        </w:tc>
        <w:tc>
          <w:tcPr>
            <w:tcW w:w="360" w:type="dxa"/>
            <w:vAlign w:val="bottom"/>
            <w:shd w:val="clear" w:color="auto" w:fill="E9E9E9"/>
          </w:tcPr>
          <w:p>
            <w:pPr>
              <w:spacing w:after="0"/>
              <w:rPr>
                <w:sz w:val="22"/>
                <w:szCs w:val="22"/>
                <w:color w:val="auto"/>
              </w:rPr>
            </w:pPr>
          </w:p>
        </w:tc>
        <w:tc>
          <w:tcPr>
            <w:tcW w:w="1000" w:type="dxa"/>
            <w:vAlign w:val="bottom"/>
            <w:shd w:val="clear" w:color="auto" w:fill="E9E9E9"/>
          </w:tcPr>
          <w:p>
            <w:pPr>
              <w:spacing w:after="0"/>
              <w:rPr>
                <w:sz w:val="22"/>
                <w:szCs w:val="22"/>
                <w:color w:val="auto"/>
              </w:rPr>
            </w:pPr>
          </w:p>
        </w:tc>
        <w:tc>
          <w:tcPr>
            <w:tcW w:w="760" w:type="dxa"/>
            <w:vAlign w:val="bottom"/>
            <w:shd w:val="clear" w:color="auto" w:fill="E9E9E9"/>
          </w:tcPr>
          <w:p>
            <w:pPr>
              <w:spacing w:after="0"/>
              <w:rPr>
                <w:sz w:val="22"/>
                <w:szCs w:val="22"/>
                <w:color w:val="auto"/>
              </w:rPr>
            </w:pPr>
          </w:p>
        </w:tc>
        <w:tc>
          <w:tcPr>
            <w:tcW w:w="860" w:type="dxa"/>
            <w:vAlign w:val="bottom"/>
            <w:shd w:val="clear" w:color="auto" w:fill="E9E9E9"/>
          </w:tcPr>
          <w:p>
            <w:pPr>
              <w:spacing w:after="0"/>
              <w:rPr>
                <w:sz w:val="22"/>
                <w:szCs w:val="22"/>
                <w:color w:val="auto"/>
              </w:rPr>
            </w:pPr>
          </w:p>
        </w:tc>
        <w:tc>
          <w:tcPr>
            <w:tcW w:w="120" w:type="dxa"/>
            <w:vAlign w:val="bottom"/>
            <w:shd w:val="clear" w:color="auto" w:fill="E9E9E9"/>
          </w:tcPr>
          <w:p>
            <w:pPr>
              <w:spacing w:after="0"/>
              <w:rPr>
                <w:sz w:val="22"/>
                <w:szCs w:val="22"/>
                <w:color w:val="auto"/>
              </w:rPr>
            </w:pPr>
          </w:p>
        </w:tc>
        <w:tc>
          <w:tcPr>
            <w:tcW w:w="760" w:type="dxa"/>
            <w:vAlign w:val="bottom"/>
            <w:shd w:val="clear" w:color="auto" w:fill="E9E9E9"/>
          </w:tcPr>
          <w:p>
            <w:pPr>
              <w:spacing w:after="0"/>
              <w:rPr>
                <w:sz w:val="22"/>
                <w:szCs w:val="22"/>
                <w:color w:val="auto"/>
              </w:rPr>
            </w:pPr>
          </w:p>
        </w:tc>
        <w:tc>
          <w:tcPr>
            <w:tcW w:w="460" w:type="dxa"/>
            <w:vAlign w:val="bottom"/>
            <w:shd w:val="clear" w:color="auto" w:fill="E9E9E9"/>
          </w:tcPr>
          <w:p>
            <w:pPr>
              <w:spacing w:after="0"/>
              <w:rPr>
                <w:sz w:val="22"/>
                <w:szCs w:val="22"/>
                <w:color w:val="auto"/>
              </w:rPr>
            </w:pPr>
          </w:p>
        </w:tc>
        <w:tc>
          <w:tcPr>
            <w:tcW w:w="1160" w:type="dxa"/>
            <w:vAlign w:val="bottom"/>
            <w:shd w:val="clear" w:color="auto" w:fill="E9E9E9"/>
          </w:tcPr>
          <w:p>
            <w:pPr>
              <w:spacing w:after="0"/>
              <w:rPr>
                <w:sz w:val="22"/>
                <w:szCs w:val="22"/>
                <w:color w:val="auto"/>
              </w:rPr>
            </w:pPr>
          </w:p>
        </w:tc>
        <w:tc>
          <w:tcPr>
            <w:tcW w:w="880" w:type="dxa"/>
            <w:vAlign w:val="bottom"/>
            <w:shd w:val="clear" w:color="auto" w:fill="E9E9E9"/>
          </w:tcPr>
          <w:p>
            <w:pPr>
              <w:spacing w:after="0"/>
              <w:rPr>
                <w:sz w:val="22"/>
                <w:szCs w:val="22"/>
                <w:color w:val="auto"/>
              </w:rPr>
            </w:pPr>
          </w:p>
        </w:tc>
        <w:tc>
          <w:tcPr>
            <w:tcW w:w="900" w:type="dxa"/>
            <w:vAlign w:val="bottom"/>
            <w:shd w:val="clear" w:color="auto" w:fill="E9E9E9"/>
          </w:tcPr>
          <w:p>
            <w:pPr>
              <w:spacing w:after="0"/>
              <w:rPr>
                <w:sz w:val="22"/>
                <w:szCs w:val="22"/>
                <w:color w:val="auto"/>
              </w:rPr>
            </w:pPr>
          </w:p>
        </w:tc>
      </w:tr>
      <w:tr>
        <w:trPr>
          <w:trHeight w:val="222"/>
        </w:trPr>
        <w:tc>
          <w:tcPr>
            <w:tcW w:w="2240" w:type="dxa"/>
            <w:vAlign w:val="bottom"/>
          </w:tcPr>
          <w:p>
            <w:pPr>
              <w:spacing w:after="0"/>
              <w:rPr>
                <w:sz w:val="20"/>
                <w:szCs w:val="20"/>
                <w:color w:val="auto"/>
              </w:rPr>
            </w:pPr>
            <w:r>
              <w:rPr>
                <w:rFonts w:ascii="Arial" w:cs="Arial" w:eastAsia="Arial" w:hAnsi="Arial"/>
                <w:sz w:val="17"/>
                <w:szCs w:val="17"/>
                <w:color w:val="auto"/>
              </w:rPr>
              <w:t>K. P. March</w:t>
            </w:r>
          </w:p>
        </w:tc>
        <w:tc>
          <w:tcPr>
            <w:tcW w:w="1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166,048</w:t>
            </w:r>
          </w:p>
        </w:tc>
        <w:tc>
          <w:tcPr>
            <w:tcW w:w="360" w:type="dxa"/>
            <w:vAlign w:val="bottom"/>
          </w:tcPr>
          <w:p>
            <w:pPr>
              <w:jc w:val="right"/>
              <w:ind w:right="35"/>
              <w:spacing w:after="0"/>
              <w:rPr>
                <w:sz w:val="20"/>
                <w:szCs w:val="20"/>
                <w:color w:val="auto"/>
              </w:rPr>
            </w:pPr>
            <w:r>
              <w:rPr>
                <w:rFonts w:ascii="Arial" w:cs="Arial" w:eastAsia="Arial" w:hAnsi="Arial"/>
                <w:sz w:val="17"/>
                <w:szCs w:val="17"/>
                <w:color w:val="auto"/>
              </w:rPr>
              <w:t>(2)</w:t>
            </w:r>
          </w:p>
        </w:tc>
        <w:tc>
          <w:tcPr>
            <w:tcW w:w="1000" w:type="dxa"/>
            <w:vAlign w:val="bottom"/>
          </w:tcPr>
          <w:p>
            <w:pPr>
              <w:jc w:val="center"/>
              <w:spacing w:after="0"/>
              <w:rPr>
                <w:sz w:val="20"/>
                <w:szCs w:val="20"/>
                <w:color w:val="auto"/>
              </w:rPr>
            </w:pPr>
            <w:r>
              <w:rPr>
                <w:rFonts w:ascii="Arial" w:cs="Arial" w:eastAsia="Arial" w:hAnsi="Arial"/>
                <w:sz w:val="17"/>
                <w:szCs w:val="17"/>
                <w:color w:val="auto"/>
              </w:rPr>
              <w:t>—</w:t>
            </w:r>
          </w:p>
        </w:tc>
        <w:tc>
          <w:tcPr>
            <w:tcW w:w="760" w:type="dxa"/>
            <w:vAlign w:val="bottom"/>
          </w:tcPr>
          <w:p>
            <w:pPr>
              <w:jc w:val="center"/>
              <w:spacing w:after="0"/>
              <w:rPr>
                <w:sz w:val="20"/>
                <w:szCs w:val="20"/>
                <w:color w:val="auto"/>
              </w:rPr>
            </w:pPr>
            <w:r>
              <w:rPr>
                <w:rFonts w:ascii="Arial" w:cs="Arial" w:eastAsia="Arial" w:hAnsi="Arial"/>
                <w:sz w:val="17"/>
                <w:szCs w:val="17"/>
                <w:color w:val="auto"/>
              </w:rPr>
              <w:t>$ 44.09</w:t>
            </w:r>
          </w:p>
        </w:tc>
        <w:tc>
          <w:tcPr>
            <w:tcW w:w="860" w:type="dxa"/>
            <w:vAlign w:val="bottom"/>
          </w:tcPr>
          <w:p>
            <w:pPr>
              <w:jc w:val="center"/>
              <w:ind w:left="16"/>
              <w:spacing w:after="0"/>
              <w:rPr>
                <w:sz w:val="20"/>
                <w:szCs w:val="20"/>
                <w:color w:val="auto"/>
              </w:rPr>
            </w:pPr>
            <w:r>
              <w:rPr>
                <w:rFonts w:ascii="Arial" w:cs="Arial" w:eastAsia="Arial" w:hAnsi="Arial"/>
                <w:sz w:val="17"/>
                <w:szCs w:val="17"/>
                <w:color w:val="auto"/>
              </w:rPr>
              <w:t>1/23/2024</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30,620</w:t>
            </w:r>
          </w:p>
        </w:tc>
        <w:tc>
          <w:tcPr>
            <w:tcW w:w="460" w:type="dxa"/>
            <w:vAlign w:val="bottom"/>
          </w:tcPr>
          <w:p>
            <w:pPr>
              <w:ind w:left="20"/>
              <w:spacing w:after="0"/>
              <w:rPr>
                <w:sz w:val="20"/>
                <w:szCs w:val="20"/>
                <w:color w:val="auto"/>
              </w:rPr>
            </w:pPr>
            <w:r>
              <w:rPr>
                <w:rFonts w:ascii="Arial" w:cs="Arial" w:eastAsia="Arial" w:hAnsi="Arial"/>
                <w:sz w:val="17"/>
                <w:szCs w:val="17"/>
                <w:color w:val="auto"/>
              </w:rPr>
              <w:t>(6)</w:t>
            </w: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$ 1,637,251</w:t>
            </w:r>
          </w:p>
        </w:tc>
        <w:tc>
          <w:tcPr>
            <w:tcW w:w="880" w:type="dxa"/>
            <w:vAlign w:val="bottom"/>
          </w:tcPr>
          <w:p>
            <w:pPr>
              <w:jc w:val="center"/>
              <w:spacing w:after="0"/>
              <w:rPr>
                <w:sz w:val="20"/>
                <w:szCs w:val="20"/>
                <w:color w:val="auto"/>
              </w:rPr>
            </w:pPr>
            <w:r>
              <w:rPr>
                <w:rFonts w:ascii="Arial" w:cs="Arial" w:eastAsia="Arial" w:hAnsi="Arial"/>
                <w:sz w:val="17"/>
                <w:szCs w:val="17"/>
                <w:color w:val="auto"/>
              </w:rPr>
              <w:t>—</w:t>
            </w:r>
          </w:p>
        </w:tc>
        <w:tc>
          <w:tcPr>
            <w:tcW w:w="90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tcPr>
          <w:p>
            <w:pPr>
              <w:spacing w:after="0"/>
              <w:rPr>
                <w:sz w:val="20"/>
                <w:szCs w:val="20"/>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7"/>
                <w:szCs w:val="17"/>
                <w:color w:val="auto"/>
              </w:rPr>
              <w:t>37,500</w:t>
            </w:r>
          </w:p>
        </w:tc>
        <w:tc>
          <w:tcPr>
            <w:tcW w:w="860" w:type="dxa"/>
            <w:vAlign w:val="bottom"/>
          </w:tcPr>
          <w:p>
            <w:pPr>
              <w:jc w:val="right"/>
              <w:spacing w:after="0"/>
              <w:rPr>
                <w:sz w:val="20"/>
                <w:szCs w:val="20"/>
                <w:color w:val="auto"/>
              </w:rPr>
            </w:pPr>
            <w:r>
              <w:rPr>
                <w:rFonts w:ascii="Arial" w:cs="Arial" w:eastAsia="Arial" w:hAnsi="Arial"/>
                <w:sz w:val="17"/>
                <w:szCs w:val="17"/>
                <w:color w:val="auto"/>
              </w:rPr>
              <w:t>112,500</w:t>
            </w:r>
          </w:p>
        </w:tc>
        <w:tc>
          <w:tcPr>
            <w:tcW w:w="360" w:type="dxa"/>
            <w:vAlign w:val="bottom"/>
          </w:tcPr>
          <w:p>
            <w:pPr>
              <w:jc w:val="right"/>
              <w:ind w:right="35"/>
              <w:spacing w:after="0"/>
              <w:rPr>
                <w:sz w:val="20"/>
                <w:szCs w:val="20"/>
                <w:color w:val="auto"/>
              </w:rPr>
            </w:pPr>
            <w:r>
              <w:rPr>
                <w:rFonts w:ascii="Arial" w:cs="Arial" w:eastAsia="Arial" w:hAnsi="Arial"/>
                <w:sz w:val="17"/>
                <w:szCs w:val="17"/>
                <w:color w:val="auto"/>
              </w:rPr>
              <w:t>(3)</w:t>
            </w:r>
          </w:p>
        </w:tc>
        <w:tc>
          <w:tcPr>
            <w:tcW w:w="1000" w:type="dxa"/>
            <w:vAlign w:val="bottom"/>
          </w:tcPr>
          <w:p>
            <w:pPr>
              <w:jc w:val="center"/>
              <w:spacing w:after="0"/>
              <w:rPr>
                <w:sz w:val="20"/>
                <w:szCs w:val="20"/>
                <w:color w:val="auto"/>
              </w:rPr>
            </w:pPr>
            <w:r>
              <w:rPr>
                <w:rFonts w:ascii="Arial" w:cs="Arial" w:eastAsia="Arial" w:hAnsi="Arial"/>
                <w:sz w:val="17"/>
                <w:szCs w:val="17"/>
                <w:color w:val="auto"/>
              </w:rPr>
              <w:t>—</w:t>
            </w:r>
          </w:p>
        </w:tc>
        <w:tc>
          <w:tcPr>
            <w:tcW w:w="760" w:type="dxa"/>
            <w:vAlign w:val="bottom"/>
          </w:tcPr>
          <w:p>
            <w:pPr>
              <w:jc w:val="center"/>
              <w:spacing w:after="0"/>
              <w:rPr>
                <w:sz w:val="20"/>
                <w:szCs w:val="20"/>
                <w:color w:val="auto"/>
              </w:rPr>
            </w:pPr>
            <w:r>
              <w:rPr>
                <w:rFonts w:ascii="Arial" w:cs="Arial" w:eastAsia="Arial" w:hAnsi="Arial"/>
                <w:sz w:val="17"/>
                <w:szCs w:val="17"/>
                <w:color w:val="auto"/>
              </w:rPr>
              <w:t>$ 32.80</w:t>
            </w:r>
          </w:p>
        </w:tc>
        <w:tc>
          <w:tcPr>
            <w:tcW w:w="860" w:type="dxa"/>
            <w:vAlign w:val="bottom"/>
          </w:tcPr>
          <w:p>
            <w:pPr>
              <w:jc w:val="center"/>
              <w:ind w:left="16"/>
              <w:spacing w:after="0"/>
              <w:rPr>
                <w:sz w:val="20"/>
                <w:szCs w:val="20"/>
                <w:color w:val="auto"/>
              </w:rPr>
            </w:pPr>
            <w:r>
              <w:rPr>
                <w:rFonts w:ascii="Arial" w:cs="Arial" w:eastAsia="Arial" w:hAnsi="Arial"/>
                <w:sz w:val="17"/>
                <w:szCs w:val="17"/>
                <w:color w:val="auto"/>
              </w:rPr>
              <w:t>1/25/2023</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50,000</w:t>
            </w:r>
          </w:p>
        </w:tc>
        <w:tc>
          <w:tcPr>
            <w:tcW w:w="460" w:type="dxa"/>
            <w:vAlign w:val="bottom"/>
          </w:tcPr>
          <w:p>
            <w:pPr>
              <w:ind w:left="20"/>
              <w:spacing w:after="0"/>
              <w:rPr>
                <w:sz w:val="20"/>
                <w:szCs w:val="20"/>
                <w:color w:val="auto"/>
              </w:rPr>
            </w:pPr>
            <w:r>
              <w:rPr>
                <w:rFonts w:ascii="Arial" w:cs="Arial" w:eastAsia="Arial" w:hAnsi="Arial"/>
                <w:sz w:val="17"/>
                <w:szCs w:val="17"/>
                <w:color w:val="auto"/>
              </w:rPr>
              <w:t>(7)</w:t>
            </w: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$ 2,673,500</w:t>
            </w:r>
          </w:p>
        </w:tc>
        <w:tc>
          <w:tcPr>
            <w:tcW w:w="880" w:type="dxa"/>
            <w:vAlign w:val="bottom"/>
          </w:tcPr>
          <w:p>
            <w:pPr>
              <w:jc w:val="center"/>
              <w:spacing w:after="0"/>
              <w:rPr>
                <w:sz w:val="20"/>
                <w:szCs w:val="20"/>
                <w:color w:val="auto"/>
              </w:rPr>
            </w:pPr>
            <w:r>
              <w:rPr>
                <w:rFonts w:ascii="Arial" w:cs="Arial" w:eastAsia="Arial" w:hAnsi="Arial"/>
                <w:sz w:val="17"/>
                <w:szCs w:val="17"/>
                <w:color w:val="auto"/>
              </w:rPr>
              <w:t>—</w:t>
            </w:r>
          </w:p>
        </w:tc>
        <w:tc>
          <w:tcPr>
            <w:tcW w:w="90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tcPr>
          <w:p>
            <w:pPr>
              <w:spacing w:after="0"/>
              <w:rPr>
                <w:sz w:val="20"/>
                <w:szCs w:val="20"/>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7"/>
                <w:szCs w:val="17"/>
                <w:color w:val="auto"/>
              </w:rPr>
              <w:t>75,000</w:t>
            </w:r>
          </w:p>
        </w:tc>
        <w:tc>
          <w:tcPr>
            <w:tcW w:w="860" w:type="dxa"/>
            <w:vAlign w:val="bottom"/>
          </w:tcPr>
          <w:p>
            <w:pPr>
              <w:jc w:val="right"/>
              <w:spacing w:after="0"/>
              <w:rPr>
                <w:sz w:val="20"/>
                <w:szCs w:val="20"/>
                <w:color w:val="auto"/>
              </w:rPr>
            </w:pPr>
            <w:r>
              <w:rPr>
                <w:rFonts w:ascii="Arial" w:cs="Arial" w:eastAsia="Arial" w:hAnsi="Arial"/>
                <w:sz w:val="17"/>
                <w:szCs w:val="17"/>
                <w:color w:val="auto"/>
              </w:rPr>
              <w:t>75,000</w:t>
            </w:r>
          </w:p>
        </w:tc>
        <w:tc>
          <w:tcPr>
            <w:tcW w:w="360" w:type="dxa"/>
            <w:vAlign w:val="bottom"/>
          </w:tcPr>
          <w:p>
            <w:pPr>
              <w:jc w:val="right"/>
              <w:ind w:right="35"/>
              <w:spacing w:after="0"/>
              <w:rPr>
                <w:sz w:val="20"/>
                <w:szCs w:val="20"/>
                <w:color w:val="auto"/>
              </w:rPr>
            </w:pPr>
            <w:r>
              <w:rPr>
                <w:rFonts w:ascii="Arial" w:cs="Arial" w:eastAsia="Arial" w:hAnsi="Arial"/>
                <w:sz w:val="17"/>
                <w:szCs w:val="17"/>
                <w:color w:val="auto"/>
              </w:rPr>
              <w:t>(4)</w:t>
            </w:r>
          </w:p>
        </w:tc>
        <w:tc>
          <w:tcPr>
            <w:tcW w:w="1000" w:type="dxa"/>
            <w:vAlign w:val="bottom"/>
          </w:tcPr>
          <w:p>
            <w:pPr>
              <w:jc w:val="center"/>
              <w:spacing w:after="0"/>
              <w:rPr>
                <w:sz w:val="20"/>
                <w:szCs w:val="20"/>
                <w:color w:val="auto"/>
              </w:rPr>
            </w:pPr>
            <w:r>
              <w:rPr>
                <w:rFonts w:ascii="Arial" w:cs="Arial" w:eastAsia="Arial" w:hAnsi="Arial"/>
                <w:sz w:val="17"/>
                <w:szCs w:val="17"/>
                <w:color w:val="auto"/>
              </w:rPr>
              <w:t>—</w:t>
            </w:r>
          </w:p>
        </w:tc>
        <w:tc>
          <w:tcPr>
            <w:tcW w:w="760" w:type="dxa"/>
            <w:vAlign w:val="bottom"/>
          </w:tcPr>
          <w:p>
            <w:pPr>
              <w:jc w:val="center"/>
              <w:spacing w:after="0"/>
              <w:rPr>
                <w:sz w:val="20"/>
                <w:szCs w:val="20"/>
                <w:color w:val="auto"/>
              </w:rPr>
            </w:pPr>
            <w:r>
              <w:rPr>
                <w:rFonts w:ascii="Arial" w:cs="Arial" w:eastAsia="Arial" w:hAnsi="Arial"/>
                <w:sz w:val="17"/>
                <w:szCs w:val="17"/>
                <w:color w:val="auto"/>
              </w:rPr>
              <w:t>$ 32.36</w:t>
            </w:r>
          </w:p>
        </w:tc>
        <w:tc>
          <w:tcPr>
            <w:tcW w:w="860" w:type="dxa"/>
            <w:vAlign w:val="bottom"/>
          </w:tcPr>
          <w:p>
            <w:pPr>
              <w:jc w:val="center"/>
              <w:ind w:left="16"/>
              <w:spacing w:after="0"/>
              <w:rPr>
                <w:sz w:val="20"/>
                <w:szCs w:val="20"/>
                <w:color w:val="auto"/>
              </w:rPr>
            </w:pPr>
            <w:r>
              <w:rPr>
                <w:rFonts w:ascii="Arial" w:cs="Arial" w:eastAsia="Arial" w:hAnsi="Arial"/>
                <w:sz w:val="17"/>
                <w:szCs w:val="17"/>
                <w:color w:val="auto"/>
              </w:rPr>
              <w:t>1/26/2022</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50,000</w:t>
            </w:r>
          </w:p>
        </w:tc>
        <w:tc>
          <w:tcPr>
            <w:tcW w:w="460" w:type="dxa"/>
            <w:vAlign w:val="bottom"/>
          </w:tcPr>
          <w:p>
            <w:pPr>
              <w:ind w:left="20"/>
              <w:spacing w:after="0"/>
              <w:rPr>
                <w:sz w:val="20"/>
                <w:szCs w:val="20"/>
                <w:color w:val="auto"/>
              </w:rPr>
            </w:pPr>
            <w:r>
              <w:rPr>
                <w:rFonts w:ascii="Arial" w:cs="Arial" w:eastAsia="Arial" w:hAnsi="Arial"/>
                <w:sz w:val="17"/>
                <w:szCs w:val="17"/>
                <w:color w:val="auto"/>
              </w:rPr>
              <w:t>(8)</w:t>
            </w: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$ 2,673,500</w:t>
            </w:r>
          </w:p>
        </w:tc>
        <w:tc>
          <w:tcPr>
            <w:tcW w:w="880" w:type="dxa"/>
            <w:vAlign w:val="bottom"/>
          </w:tcPr>
          <w:p>
            <w:pPr>
              <w:jc w:val="center"/>
              <w:spacing w:after="0"/>
              <w:rPr>
                <w:sz w:val="20"/>
                <w:szCs w:val="20"/>
                <w:color w:val="auto"/>
              </w:rPr>
            </w:pPr>
            <w:r>
              <w:rPr>
                <w:rFonts w:ascii="Arial" w:cs="Arial" w:eastAsia="Arial" w:hAnsi="Arial"/>
                <w:sz w:val="17"/>
                <w:szCs w:val="17"/>
                <w:color w:val="auto"/>
              </w:rPr>
              <w:t>—</w:t>
            </w:r>
          </w:p>
        </w:tc>
        <w:tc>
          <w:tcPr>
            <w:tcW w:w="90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tcPr>
          <w:p>
            <w:pPr>
              <w:spacing w:after="0"/>
              <w:rPr>
                <w:sz w:val="20"/>
                <w:szCs w:val="20"/>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7"/>
                <w:szCs w:val="17"/>
                <w:color w:val="auto"/>
              </w:rPr>
              <w:t>103,125</w:t>
            </w:r>
          </w:p>
        </w:tc>
        <w:tc>
          <w:tcPr>
            <w:tcW w:w="860" w:type="dxa"/>
            <w:vAlign w:val="bottom"/>
          </w:tcPr>
          <w:p>
            <w:pPr>
              <w:jc w:val="right"/>
              <w:spacing w:after="0"/>
              <w:rPr>
                <w:sz w:val="20"/>
                <w:szCs w:val="20"/>
                <w:color w:val="auto"/>
              </w:rPr>
            </w:pPr>
            <w:r>
              <w:rPr>
                <w:rFonts w:ascii="Arial" w:cs="Arial" w:eastAsia="Arial" w:hAnsi="Arial"/>
                <w:sz w:val="17"/>
                <w:szCs w:val="17"/>
                <w:color w:val="auto"/>
              </w:rPr>
              <w:t>34,375</w:t>
            </w:r>
          </w:p>
        </w:tc>
        <w:tc>
          <w:tcPr>
            <w:tcW w:w="360" w:type="dxa"/>
            <w:vAlign w:val="bottom"/>
          </w:tcPr>
          <w:p>
            <w:pPr>
              <w:jc w:val="right"/>
              <w:ind w:right="35"/>
              <w:spacing w:after="0"/>
              <w:rPr>
                <w:sz w:val="20"/>
                <w:szCs w:val="20"/>
                <w:color w:val="auto"/>
              </w:rPr>
            </w:pPr>
            <w:r>
              <w:rPr>
                <w:rFonts w:ascii="Arial" w:cs="Arial" w:eastAsia="Arial" w:hAnsi="Arial"/>
                <w:sz w:val="17"/>
                <w:szCs w:val="17"/>
                <w:color w:val="auto"/>
              </w:rPr>
              <w:t>(5)</w:t>
            </w:r>
          </w:p>
        </w:tc>
        <w:tc>
          <w:tcPr>
            <w:tcW w:w="1000" w:type="dxa"/>
            <w:vAlign w:val="bottom"/>
          </w:tcPr>
          <w:p>
            <w:pPr>
              <w:jc w:val="center"/>
              <w:spacing w:after="0"/>
              <w:rPr>
                <w:sz w:val="20"/>
                <w:szCs w:val="20"/>
                <w:color w:val="auto"/>
              </w:rPr>
            </w:pPr>
            <w:r>
              <w:rPr>
                <w:rFonts w:ascii="Arial" w:cs="Arial" w:eastAsia="Arial" w:hAnsi="Arial"/>
                <w:sz w:val="17"/>
                <w:szCs w:val="17"/>
                <w:color w:val="auto"/>
              </w:rPr>
              <w:t>—</w:t>
            </w:r>
          </w:p>
        </w:tc>
        <w:tc>
          <w:tcPr>
            <w:tcW w:w="760" w:type="dxa"/>
            <w:vAlign w:val="bottom"/>
          </w:tcPr>
          <w:p>
            <w:pPr>
              <w:jc w:val="center"/>
              <w:spacing w:after="0"/>
              <w:rPr>
                <w:sz w:val="20"/>
                <w:szCs w:val="20"/>
                <w:color w:val="auto"/>
              </w:rPr>
            </w:pPr>
            <w:r>
              <w:rPr>
                <w:rFonts w:ascii="Arial" w:cs="Arial" w:eastAsia="Arial" w:hAnsi="Arial"/>
                <w:sz w:val="17"/>
                <w:szCs w:val="17"/>
                <w:color w:val="auto"/>
              </w:rPr>
              <w:t>$ 34.63</w:t>
            </w:r>
          </w:p>
        </w:tc>
        <w:tc>
          <w:tcPr>
            <w:tcW w:w="860" w:type="dxa"/>
            <w:vAlign w:val="bottom"/>
          </w:tcPr>
          <w:p>
            <w:pPr>
              <w:jc w:val="center"/>
              <w:ind w:left="16"/>
              <w:spacing w:after="0"/>
              <w:rPr>
                <w:sz w:val="20"/>
                <w:szCs w:val="20"/>
                <w:color w:val="auto"/>
              </w:rPr>
            </w:pPr>
            <w:r>
              <w:rPr>
                <w:rFonts w:ascii="Arial" w:cs="Arial" w:eastAsia="Arial" w:hAnsi="Arial"/>
                <w:sz w:val="17"/>
                <w:szCs w:val="17"/>
                <w:color w:val="auto"/>
              </w:rPr>
              <w:t>1/27/2021</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45,834</w:t>
            </w:r>
          </w:p>
        </w:tc>
        <w:tc>
          <w:tcPr>
            <w:tcW w:w="460" w:type="dxa"/>
            <w:vAlign w:val="bottom"/>
          </w:tcPr>
          <w:p>
            <w:pPr>
              <w:ind w:left="20"/>
              <w:spacing w:after="0"/>
              <w:rPr>
                <w:sz w:val="20"/>
                <w:szCs w:val="20"/>
                <w:color w:val="auto"/>
              </w:rPr>
            </w:pPr>
            <w:r>
              <w:rPr>
                <w:rFonts w:ascii="Arial" w:cs="Arial" w:eastAsia="Arial" w:hAnsi="Arial"/>
                <w:sz w:val="17"/>
                <w:szCs w:val="17"/>
                <w:color w:val="auto"/>
              </w:rPr>
              <w:t>(9)</w:t>
            </w: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$ 2,450,744</w:t>
            </w:r>
          </w:p>
        </w:tc>
        <w:tc>
          <w:tcPr>
            <w:tcW w:w="880" w:type="dxa"/>
            <w:vAlign w:val="bottom"/>
          </w:tcPr>
          <w:p>
            <w:pPr>
              <w:jc w:val="center"/>
              <w:spacing w:after="0"/>
              <w:rPr>
                <w:sz w:val="20"/>
                <w:szCs w:val="20"/>
                <w:color w:val="auto"/>
              </w:rPr>
            </w:pPr>
            <w:r>
              <w:rPr>
                <w:rFonts w:ascii="Arial" w:cs="Arial" w:eastAsia="Arial" w:hAnsi="Arial"/>
                <w:sz w:val="17"/>
                <w:szCs w:val="17"/>
                <w:color w:val="auto"/>
              </w:rPr>
              <w:t>—</w:t>
            </w:r>
          </w:p>
        </w:tc>
        <w:tc>
          <w:tcPr>
            <w:tcW w:w="90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tcPr>
          <w:p>
            <w:pPr>
              <w:spacing w:after="0"/>
              <w:rPr>
                <w:sz w:val="20"/>
                <w:szCs w:val="20"/>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7"/>
                <w:szCs w:val="17"/>
                <w:color w:val="auto"/>
              </w:rPr>
              <w:t>107,500</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w:t>
            </w:r>
          </w:p>
        </w:tc>
        <w:tc>
          <w:tcPr>
            <w:tcW w:w="760" w:type="dxa"/>
            <w:vAlign w:val="bottom"/>
          </w:tcPr>
          <w:p>
            <w:pPr>
              <w:jc w:val="center"/>
              <w:spacing w:after="0"/>
              <w:rPr>
                <w:sz w:val="20"/>
                <w:szCs w:val="20"/>
                <w:color w:val="auto"/>
              </w:rPr>
            </w:pPr>
            <w:r>
              <w:rPr>
                <w:rFonts w:ascii="Arial" w:cs="Arial" w:eastAsia="Arial" w:hAnsi="Arial"/>
                <w:sz w:val="17"/>
                <w:szCs w:val="17"/>
                <w:color w:val="auto"/>
              </w:rPr>
              <w:t>$ 23.05</w:t>
            </w:r>
          </w:p>
        </w:tc>
        <w:tc>
          <w:tcPr>
            <w:tcW w:w="860" w:type="dxa"/>
            <w:vAlign w:val="bottom"/>
          </w:tcPr>
          <w:p>
            <w:pPr>
              <w:jc w:val="center"/>
              <w:ind w:left="16"/>
              <w:spacing w:after="0"/>
              <w:rPr>
                <w:sz w:val="20"/>
                <w:szCs w:val="20"/>
                <w:color w:val="auto"/>
              </w:rPr>
            </w:pPr>
            <w:r>
              <w:rPr>
                <w:rFonts w:ascii="Arial" w:cs="Arial" w:eastAsia="Arial" w:hAnsi="Arial"/>
                <w:sz w:val="17"/>
                <w:szCs w:val="17"/>
                <w:color w:val="auto"/>
              </w:rPr>
              <w:t>1/28/2020</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w:t>
            </w:r>
          </w:p>
        </w:tc>
        <w:tc>
          <w:tcPr>
            <w:tcW w:w="90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54"/>
        </w:trPr>
        <w:tc>
          <w:tcPr>
            <w:tcW w:w="2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2"/>
        </w:trPr>
        <w:tc>
          <w:tcPr>
            <w:tcW w:w="2240" w:type="dxa"/>
            <w:vAlign w:val="bottom"/>
            <w:shd w:val="clear" w:color="auto" w:fill="E9E9E9"/>
          </w:tcPr>
          <w:p>
            <w:pPr>
              <w:spacing w:after="0"/>
              <w:rPr>
                <w:sz w:val="20"/>
                <w:szCs w:val="20"/>
                <w:color w:val="auto"/>
              </w:rPr>
            </w:pPr>
            <w:r>
              <w:rPr>
                <w:rFonts w:ascii="Arial" w:cs="Arial" w:eastAsia="Arial" w:hAnsi="Arial"/>
                <w:sz w:val="17"/>
                <w:szCs w:val="17"/>
                <w:color w:val="auto"/>
              </w:rPr>
              <w:t>B. T. Crutcher</w:t>
            </w:r>
          </w:p>
        </w:tc>
        <w:tc>
          <w:tcPr>
            <w:tcW w:w="120" w:type="dxa"/>
            <w:vAlign w:val="bottom"/>
            <w:shd w:val="clear" w:color="auto" w:fill="E9E9E9"/>
          </w:tcPr>
          <w:p>
            <w:pPr>
              <w:spacing w:after="0"/>
              <w:rPr>
                <w:sz w:val="19"/>
                <w:szCs w:val="19"/>
                <w:color w:val="auto"/>
              </w:rPr>
            </w:pPr>
          </w:p>
        </w:tc>
        <w:tc>
          <w:tcPr>
            <w:tcW w:w="940" w:type="dxa"/>
            <w:vAlign w:val="bottom"/>
            <w:shd w:val="clear" w:color="auto" w:fill="E9E9E9"/>
          </w:tcPr>
          <w:p>
            <w:pPr>
              <w:jc w:val="right"/>
              <w:ind w:right="79"/>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276,747</w:t>
            </w:r>
          </w:p>
        </w:tc>
        <w:tc>
          <w:tcPr>
            <w:tcW w:w="360" w:type="dxa"/>
            <w:vAlign w:val="bottom"/>
            <w:shd w:val="clear" w:color="auto" w:fill="E9E9E9"/>
          </w:tcPr>
          <w:p>
            <w:pPr>
              <w:jc w:val="right"/>
              <w:ind w:right="35"/>
              <w:spacing w:after="0"/>
              <w:rPr>
                <w:sz w:val="20"/>
                <w:szCs w:val="20"/>
                <w:color w:val="auto"/>
              </w:rPr>
            </w:pPr>
            <w:r>
              <w:rPr>
                <w:rFonts w:ascii="Arial" w:cs="Arial" w:eastAsia="Arial" w:hAnsi="Arial"/>
                <w:sz w:val="17"/>
                <w:szCs w:val="17"/>
                <w:color w:val="auto"/>
              </w:rPr>
              <w:t>(2)</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$ 44.09</w:t>
            </w:r>
          </w:p>
        </w:tc>
        <w:tc>
          <w:tcPr>
            <w:tcW w:w="860" w:type="dxa"/>
            <w:vAlign w:val="bottom"/>
            <w:shd w:val="clear" w:color="auto" w:fill="E9E9E9"/>
          </w:tcPr>
          <w:p>
            <w:pPr>
              <w:jc w:val="center"/>
              <w:ind w:left="16"/>
              <w:spacing w:after="0"/>
              <w:rPr>
                <w:sz w:val="20"/>
                <w:szCs w:val="20"/>
                <w:color w:val="auto"/>
              </w:rPr>
            </w:pPr>
            <w:r>
              <w:rPr>
                <w:rFonts w:ascii="Arial" w:cs="Arial" w:eastAsia="Arial" w:hAnsi="Arial"/>
                <w:sz w:val="17"/>
                <w:szCs w:val="17"/>
                <w:color w:val="auto"/>
              </w:rPr>
              <w:t>1/23/2024</w:t>
            </w:r>
          </w:p>
        </w:tc>
        <w:tc>
          <w:tcPr>
            <w:tcW w:w="120" w:type="dxa"/>
            <w:vAlign w:val="bottom"/>
            <w:shd w:val="clear" w:color="auto" w:fill="E9E9E9"/>
          </w:tcPr>
          <w:p>
            <w:pPr>
              <w:spacing w:after="0"/>
              <w:rPr>
                <w:sz w:val="19"/>
                <w:szCs w:val="19"/>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51,032</w:t>
            </w:r>
          </w:p>
        </w:tc>
        <w:tc>
          <w:tcPr>
            <w:tcW w:w="460" w:type="dxa"/>
            <w:vAlign w:val="bottom"/>
            <w:shd w:val="clear" w:color="auto" w:fill="E9E9E9"/>
          </w:tcPr>
          <w:p>
            <w:pPr>
              <w:ind w:left="20"/>
              <w:spacing w:after="0"/>
              <w:rPr>
                <w:sz w:val="20"/>
                <w:szCs w:val="20"/>
                <w:color w:val="auto"/>
              </w:rPr>
            </w:pPr>
            <w:r>
              <w:rPr>
                <w:rFonts w:ascii="Arial" w:cs="Arial" w:eastAsia="Arial" w:hAnsi="Arial"/>
                <w:sz w:val="17"/>
                <w:szCs w:val="17"/>
                <w:color w:val="auto"/>
              </w:rPr>
              <w:t>(6)</w:t>
            </w:r>
          </w:p>
        </w:tc>
        <w:tc>
          <w:tcPr>
            <w:tcW w:w="116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$ 2,728,681</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40" w:type="dxa"/>
            <w:vAlign w:val="bottom"/>
            <w:shd w:val="clear" w:color="auto" w:fill="E9E9E9"/>
          </w:tcPr>
          <w:p>
            <w:pPr>
              <w:jc w:val="right"/>
              <w:ind w:right="79"/>
              <w:spacing w:after="0"/>
              <w:rPr>
                <w:sz w:val="20"/>
                <w:szCs w:val="20"/>
                <w:color w:val="auto"/>
              </w:rPr>
            </w:pPr>
            <w:r>
              <w:rPr>
                <w:rFonts w:ascii="Arial" w:cs="Arial" w:eastAsia="Arial" w:hAnsi="Arial"/>
                <w:sz w:val="17"/>
                <w:szCs w:val="17"/>
                <w:color w:val="auto"/>
              </w:rPr>
              <w:t>56,250</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168,750</w:t>
            </w:r>
          </w:p>
        </w:tc>
        <w:tc>
          <w:tcPr>
            <w:tcW w:w="360" w:type="dxa"/>
            <w:vAlign w:val="bottom"/>
            <w:shd w:val="clear" w:color="auto" w:fill="E9E9E9"/>
          </w:tcPr>
          <w:p>
            <w:pPr>
              <w:jc w:val="right"/>
              <w:ind w:right="35"/>
              <w:spacing w:after="0"/>
              <w:rPr>
                <w:sz w:val="20"/>
                <w:szCs w:val="20"/>
                <w:color w:val="auto"/>
              </w:rPr>
            </w:pPr>
            <w:r>
              <w:rPr>
                <w:rFonts w:ascii="Arial" w:cs="Arial" w:eastAsia="Arial" w:hAnsi="Arial"/>
                <w:sz w:val="17"/>
                <w:szCs w:val="17"/>
                <w:color w:val="auto"/>
              </w:rPr>
              <w:t>(3)</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$ 32.80</w:t>
            </w:r>
          </w:p>
        </w:tc>
        <w:tc>
          <w:tcPr>
            <w:tcW w:w="860" w:type="dxa"/>
            <w:vAlign w:val="bottom"/>
            <w:shd w:val="clear" w:color="auto" w:fill="E9E9E9"/>
          </w:tcPr>
          <w:p>
            <w:pPr>
              <w:jc w:val="center"/>
              <w:ind w:left="16"/>
              <w:spacing w:after="0"/>
              <w:rPr>
                <w:sz w:val="20"/>
                <w:szCs w:val="20"/>
                <w:color w:val="auto"/>
              </w:rPr>
            </w:pPr>
            <w:r>
              <w:rPr>
                <w:rFonts w:ascii="Arial" w:cs="Arial" w:eastAsia="Arial" w:hAnsi="Arial"/>
                <w:sz w:val="17"/>
                <w:szCs w:val="17"/>
                <w:color w:val="auto"/>
              </w:rPr>
              <w:t>1/25/2023</w:t>
            </w:r>
          </w:p>
        </w:tc>
        <w:tc>
          <w:tcPr>
            <w:tcW w:w="120" w:type="dxa"/>
            <w:vAlign w:val="bottom"/>
            <w:shd w:val="clear" w:color="auto" w:fill="E9E9E9"/>
          </w:tcPr>
          <w:p>
            <w:pPr>
              <w:spacing w:after="0"/>
              <w:rPr>
                <w:sz w:val="20"/>
                <w:szCs w:val="20"/>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75,000</w:t>
            </w:r>
          </w:p>
        </w:tc>
        <w:tc>
          <w:tcPr>
            <w:tcW w:w="460" w:type="dxa"/>
            <w:vAlign w:val="bottom"/>
            <w:shd w:val="clear" w:color="auto" w:fill="E9E9E9"/>
          </w:tcPr>
          <w:p>
            <w:pPr>
              <w:ind w:left="20"/>
              <w:spacing w:after="0"/>
              <w:rPr>
                <w:sz w:val="20"/>
                <w:szCs w:val="20"/>
                <w:color w:val="auto"/>
              </w:rPr>
            </w:pPr>
            <w:r>
              <w:rPr>
                <w:rFonts w:ascii="Arial" w:cs="Arial" w:eastAsia="Arial" w:hAnsi="Arial"/>
                <w:sz w:val="17"/>
                <w:szCs w:val="17"/>
                <w:color w:val="auto"/>
              </w:rPr>
              <w:t>(7)</w:t>
            </w:r>
          </w:p>
        </w:tc>
        <w:tc>
          <w:tcPr>
            <w:tcW w:w="116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$ 4,010,250</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40" w:type="dxa"/>
            <w:vAlign w:val="bottom"/>
            <w:shd w:val="clear" w:color="auto" w:fill="E9E9E9"/>
          </w:tcPr>
          <w:p>
            <w:pPr>
              <w:jc w:val="right"/>
              <w:ind w:right="79"/>
              <w:spacing w:after="0"/>
              <w:rPr>
                <w:sz w:val="20"/>
                <w:szCs w:val="20"/>
                <w:color w:val="auto"/>
              </w:rPr>
            </w:pPr>
            <w:r>
              <w:rPr>
                <w:rFonts w:ascii="Arial" w:cs="Arial" w:eastAsia="Arial" w:hAnsi="Arial"/>
                <w:sz w:val="17"/>
                <w:szCs w:val="17"/>
                <w:color w:val="auto"/>
              </w:rPr>
              <w:t>65,625</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93,750</w:t>
            </w:r>
          </w:p>
        </w:tc>
        <w:tc>
          <w:tcPr>
            <w:tcW w:w="360" w:type="dxa"/>
            <w:vAlign w:val="bottom"/>
            <w:shd w:val="clear" w:color="auto" w:fill="E9E9E9"/>
          </w:tcPr>
          <w:p>
            <w:pPr>
              <w:jc w:val="right"/>
              <w:ind w:right="35"/>
              <w:spacing w:after="0"/>
              <w:rPr>
                <w:sz w:val="20"/>
                <w:szCs w:val="20"/>
                <w:color w:val="auto"/>
              </w:rPr>
            </w:pPr>
            <w:r>
              <w:rPr>
                <w:rFonts w:ascii="Arial" w:cs="Arial" w:eastAsia="Arial" w:hAnsi="Arial"/>
                <w:sz w:val="17"/>
                <w:szCs w:val="17"/>
                <w:color w:val="auto"/>
              </w:rPr>
              <w:t>(4)</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$ 32.36</w:t>
            </w:r>
          </w:p>
        </w:tc>
        <w:tc>
          <w:tcPr>
            <w:tcW w:w="860" w:type="dxa"/>
            <w:vAlign w:val="bottom"/>
            <w:shd w:val="clear" w:color="auto" w:fill="E9E9E9"/>
          </w:tcPr>
          <w:p>
            <w:pPr>
              <w:jc w:val="center"/>
              <w:ind w:left="16"/>
              <w:spacing w:after="0"/>
              <w:rPr>
                <w:sz w:val="20"/>
                <w:szCs w:val="20"/>
                <w:color w:val="auto"/>
              </w:rPr>
            </w:pPr>
            <w:r>
              <w:rPr>
                <w:rFonts w:ascii="Arial" w:cs="Arial" w:eastAsia="Arial" w:hAnsi="Arial"/>
                <w:sz w:val="17"/>
                <w:szCs w:val="17"/>
                <w:color w:val="auto"/>
              </w:rPr>
              <w:t>1/26/2022</w:t>
            </w:r>
          </w:p>
        </w:tc>
        <w:tc>
          <w:tcPr>
            <w:tcW w:w="120" w:type="dxa"/>
            <w:vAlign w:val="bottom"/>
            <w:shd w:val="clear" w:color="auto" w:fill="E9E9E9"/>
          </w:tcPr>
          <w:p>
            <w:pPr>
              <w:spacing w:after="0"/>
              <w:rPr>
                <w:sz w:val="20"/>
                <w:szCs w:val="20"/>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62,500</w:t>
            </w:r>
          </w:p>
        </w:tc>
        <w:tc>
          <w:tcPr>
            <w:tcW w:w="460" w:type="dxa"/>
            <w:vAlign w:val="bottom"/>
            <w:shd w:val="clear" w:color="auto" w:fill="E9E9E9"/>
          </w:tcPr>
          <w:p>
            <w:pPr>
              <w:ind w:left="20"/>
              <w:spacing w:after="0"/>
              <w:rPr>
                <w:sz w:val="20"/>
                <w:szCs w:val="20"/>
                <w:color w:val="auto"/>
              </w:rPr>
            </w:pPr>
            <w:r>
              <w:rPr>
                <w:rFonts w:ascii="Arial" w:cs="Arial" w:eastAsia="Arial" w:hAnsi="Arial"/>
                <w:sz w:val="17"/>
                <w:szCs w:val="17"/>
                <w:color w:val="auto"/>
              </w:rPr>
              <w:t>(8)</w:t>
            </w:r>
          </w:p>
        </w:tc>
        <w:tc>
          <w:tcPr>
            <w:tcW w:w="116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$ 3,341,875</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40" w:type="dxa"/>
            <w:vAlign w:val="bottom"/>
            <w:shd w:val="clear" w:color="auto" w:fill="E9E9E9"/>
          </w:tcPr>
          <w:p>
            <w:pPr>
              <w:jc w:val="right"/>
              <w:ind w:right="79"/>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40,625</w:t>
            </w:r>
          </w:p>
        </w:tc>
        <w:tc>
          <w:tcPr>
            <w:tcW w:w="360" w:type="dxa"/>
            <w:vAlign w:val="bottom"/>
            <w:shd w:val="clear" w:color="auto" w:fill="E9E9E9"/>
          </w:tcPr>
          <w:p>
            <w:pPr>
              <w:jc w:val="right"/>
              <w:ind w:right="35"/>
              <w:spacing w:after="0"/>
              <w:rPr>
                <w:sz w:val="20"/>
                <w:szCs w:val="20"/>
                <w:color w:val="auto"/>
              </w:rPr>
            </w:pPr>
            <w:r>
              <w:rPr>
                <w:rFonts w:ascii="Arial" w:cs="Arial" w:eastAsia="Arial" w:hAnsi="Arial"/>
                <w:sz w:val="17"/>
                <w:szCs w:val="17"/>
                <w:color w:val="auto"/>
              </w:rPr>
              <w:t>(5)</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$ 34.63</w:t>
            </w:r>
          </w:p>
        </w:tc>
        <w:tc>
          <w:tcPr>
            <w:tcW w:w="860" w:type="dxa"/>
            <w:vAlign w:val="bottom"/>
            <w:shd w:val="clear" w:color="auto" w:fill="E9E9E9"/>
          </w:tcPr>
          <w:p>
            <w:pPr>
              <w:jc w:val="center"/>
              <w:ind w:left="16"/>
              <w:spacing w:after="0"/>
              <w:rPr>
                <w:sz w:val="20"/>
                <w:szCs w:val="20"/>
                <w:color w:val="auto"/>
              </w:rPr>
            </w:pPr>
            <w:r>
              <w:rPr>
                <w:rFonts w:ascii="Arial" w:cs="Arial" w:eastAsia="Arial" w:hAnsi="Arial"/>
                <w:sz w:val="17"/>
                <w:szCs w:val="17"/>
                <w:color w:val="auto"/>
              </w:rPr>
              <w:t>1/27/2021</w:t>
            </w:r>
          </w:p>
        </w:tc>
        <w:tc>
          <w:tcPr>
            <w:tcW w:w="120" w:type="dxa"/>
            <w:vAlign w:val="bottom"/>
            <w:shd w:val="clear" w:color="auto" w:fill="E9E9E9"/>
          </w:tcPr>
          <w:p>
            <w:pPr>
              <w:spacing w:after="0"/>
              <w:rPr>
                <w:sz w:val="20"/>
                <w:szCs w:val="20"/>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54,167</w:t>
            </w:r>
          </w:p>
        </w:tc>
        <w:tc>
          <w:tcPr>
            <w:tcW w:w="460" w:type="dxa"/>
            <w:vAlign w:val="bottom"/>
            <w:shd w:val="clear" w:color="auto" w:fill="E9E9E9"/>
          </w:tcPr>
          <w:p>
            <w:pPr>
              <w:ind w:left="20"/>
              <w:spacing w:after="0"/>
              <w:rPr>
                <w:sz w:val="20"/>
                <w:szCs w:val="20"/>
                <w:color w:val="auto"/>
              </w:rPr>
            </w:pPr>
            <w:r>
              <w:rPr>
                <w:rFonts w:ascii="Arial" w:cs="Arial" w:eastAsia="Arial" w:hAnsi="Arial"/>
                <w:sz w:val="17"/>
                <w:szCs w:val="17"/>
                <w:color w:val="auto"/>
              </w:rPr>
              <w:t>(9)</w:t>
            </w:r>
          </w:p>
        </w:tc>
        <w:tc>
          <w:tcPr>
            <w:tcW w:w="116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$ 2,896,309</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40" w:type="dxa"/>
            <w:vAlign w:val="bottom"/>
            <w:shd w:val="clear" w:color="auto" w:fill="E9E9E9"/>
          </w:tcPr>
          <w:p>
            <w:pPr>
              <w:spacing w:after="0"/>
              <w:rPr>
                <w:sz w:val="20"/>
                <w:szCs w:val="20"/>
                <w:color w:val="auto"/>
              </w:rPr>
            </w:pPr>
          </w:p>
        </w:tc>
        <w:tc>
          <w:tcPr>
            <w:tcW w:w="860" w:type="dxa"/>
            <w:vAlign w:val="bottom"/>
            <w:shd w:val="clear" w:color="auto" w:fill="E9E9E9"/>
          </w:tcPr>
          <w:p>
            <w:pPr>
              <w:spacing w:after="0"/>
              <w:rPr>
                <w:sz w:val="20"/>
                <w:szCs w:val="20"/>
                <w:color w:val="auto"/>
              </w:rPr>
            </w:pPr>
          </w:p>
        </w:tc>
        <w:tc>
          <w:tcPr>
            <w:tcW w:w="360" w:type="dxa"/>
            <w:vAlign w:val="bottom"/>
            <w:shd w:val="clear" w:color="auto" w:fill="E9E9E9"/>
          </w:tcPr>
          <w:p>
            <w:pPr>
              <w:spacing w:after="0"/>
              <w:rPr>
                <w:sz w:val="20"/>
                <w:szCs w:val="20"/>
                <w:color w:val="auto"/>
              </w:rPr>
            </w:pPr>
          </w:p>
        </w:tc>
        <w:tc>
          <w:tcPr>
            <w:tcW w:w="1000" w:type="dxa"/>
            <w:vAlign w:val="bottom"/>
            <w:shd w:val="clear" w:color="auto" w:fill="E9E9E9"/>
          </w:tcPr>
          <w:p>
            <w:pPr>
              <w:spacing w:after="0"/>
              <w:rPr>
                <w:sz w:val="20"/>
                <w:szCs w:val="20"/>
                <w:color w:val="auto"/>
              </w:rPr>
            </w:pPr>
          </w:p>
        </w:tc>
        <w:tc>
          <w:tcPr>
            <w:tcW w:w="760" w:type="dxa"/>
            <w:vAlign w:val="bottom"/>
            <w:shd w:val="clear" w:color="auto" w:fill="E9E9E9"/>
          </w:tcPr>
          <w:p>
            <w:pPr>
              <w:spacing w:after="0"/>
              <w:rPr>
                <w:sz w:val="20"/>
                <w:szCs w:val="20"/>
                <w:color w:val="auto"/>
              </w:rPr>
            </w:pPr>
          </w:p>
        </w:tc>
        <w:tc>
          <w:tcPr>
            <w:tcW w:w="86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100,000</w:t>
            </w:r>
          </w:p>
        </w:tc>
        <w:tc>
          <w:tcPr>
            <w:tcW w:w="460" w:type="dxa"/>
            <w:vAlign w:val="bottom"/>
            <w:shd w:val="clear" w:color="auto" w:fill="E9E9E9"/>
          </w:tcPr>
          <w:p>
            <w:pPr>
              <w:ind w:left="20"/>
              <w:spacing w:after="0"/>
              <w:rPr>
                <w:sz w:val="20"/>
                <w:szCs w:val="20"/>
                <w:color w:val="auto"/>
              </w:rPr>
            </w:pPr>
            <w:r>
              <w:rPr>
                <w:rFonts w:ascii="Arial" w:cs="Arial" w:eastAsia="Arial" w:hAnsi="Arial"/>
                <w:sz w:val="17"/>
                <w:szCs w:val="17"/>
                <w:color w:val="auto"/>
              </w:rPr>
              <w:t>(10)</w:t>
            </w:r>
          </w:p>
        </w:tc>
        <w:tc>
          <w:tcPr>
            <w:tcW w:w="116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$ 5,347,000</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54"/>
        </w:trPr>
        <w:tc>
          <w:tcPr>
            <w:tcW w:w="2240" w:type="dxa"/>
            <w:vAlign w:val="bottom"/>
            <w:shd w:val="clear" w:color="auto" w:fill="E9E9E9"/>
          </w:tcPr>
          <w:p>
            <w:pPr>
              <w:spacing w:after="0"/>
              <w:rPr>
                <w:sz w:val="22"/>
                <w:szCs w:val="22"/>
                <w:color w:val="auto"/>
              </w:rPr>
            </w:pPr>
          </w:p>
        </w:tc>
        <w:tc>
          <w:tcPr>
            <w:tcW w:w="120" w:type="dxa"/>
            <w:vAlign w:val="bottom"/>
            <w:shd w:val="clear" w:color="auto" w:fill="E9E9E9"/>
          </w:tcPr>
          <w:p>
            <w:pPr>
              <w:spacing w:after="0"/>
              <w:rPr>
                <w:sz w:val="22"/>
                <w:szCs w:val="22"/>
                <w:color w:val="auto"/>
              </w:rPr>
            </w:pPr>
          </w:p>
        </w:tc>
        <w:tc>
          <w:tcPr>
            <w:tcW w:w="940" w:type="dxa"/>
            <w:vAlign w:val="bottom"/>
            <w:shd w:val="clear" w:color="auto" w:fill="E9E9E9"/>
          </w:tcPr>
          <w:p>
            <w:pPr>
              <w:spacing w:after="0"/>
              <w:rPr>
                <w:sz w:val="22"/>
                <w:szCs w:val="22"/>
                <w:color w:val="auto"/>
              </w:rPr>
            </w:pPr>
          </w:p>
        </w:tc>
        <w:tc>
          <w:tcPr>
            <w:tcW w:w="860" w:type="dxa"/>
            <w:vAlign w:val="bottom"/>
            <w:shd w:val="clear" w:color="auto" w:fill="E9E9E9"/>
          </w:tcPr>
          <w:p>
            <w:pPr>
              <w:spacing w:after="0"/>
              <w:rPr>
                <w:sz w:val="22"/>
                <w:szCs w:val="22"/>
                <w:color w:val="auto"/>
              </w:rPr>
            </w:pPr>
          </w:p>
        </w:tc>
        <w:tc>
          <w:tcPr>
            <w:tcW w:w="360" w:type="dxa"/>
            <w:vAlign w:val="bottom"/>
            <w:shd w:val="clear" w:color="auto" w:fill="E9E9E9"/>
          </w:tcPr>
          <w:p>
            <w:pPr>
              <w:spacing w:after="0"/>
              <w:rPr>
                <w:sz w:val="22"/>
                <w:szCs w:val="22"/>
                <w:color w:val="auto"/>
              </w:rPr>
            </w:pPr>
          </w:p>
        </w:tc>
        <w:tc>
          <w:tcPr>
            <w:tcW w:w="1000" w:type="dxa"/>
            <w:vAlign w:val="bottom"/>
            <w:shd w:val="clear" w:color="auto" w:fill="E9E9E9"/>
          </w:tcPr>
          <w:p>
            <w:pPr>
              <w:spacing w:after="0"/>
              <w:rPr>
                <w:sz w:val="22"/>
                <w:szCs w:val="22"/>
                <w:color w:val="auto"/>
              </w:rPr>
            </w:pPr>
          </w:p>
        </w:tc>
        <w:tc>
          <w:tcPr>
            <w:tcW w:w="760" w:type="dxa"/>
            <w:vAlign w:val="bottom"/>
            <w:shd w:val="clear" w:color="auto" w:fill="E9E9E9"/>
          </w:tcPr>
          <w:p>
            <w:pPr>
              <w:spacing w:after="0"/>
              <w:rPr>
                <w:sz w:val="22"/>
                <w:szCs w:val="22"/>
                <w:color w:val="auto"/>
              </w:rPr>
            </w:pPr>
          </w:p>
        </w:tc>
        <w:tc>
          <w:tcPr>
            <w:tcW w:w="860" w:type="dxa"/>
            <w:vAlign w:val="bottom"/>
            <w:shd w:val="clear" w:color="auto" w:fill="E9E9E9"/>
          </w:tcPr>
          <w:p>
            <w:pPr>
              <w:spacing w:after="0"/>
              <w:rPr>
                <w:sz w:val="22"/>
                <w:szCs w:val="22"/>
                <w:color w:val="auto"/>
              </w:rPr>
            </w:pPr>
          </w:p>
        </w:tc>
        <w:tc>
          <w:tcPr>
            <w:tcW w:w="120" w:type="dxa"/>
            <w:vAlign w:val="bottom"/>
            <w:shd w:val="clear" w:color="auto" w:fill="E9E9E9"/>
          </w:tcPr>
          <w:p>
            <w:pPr>
              <w:spacing w:after="0"/>
              <w:rPr>
                <w:sz w:val="22"/>
                <w:szCs w:val="22"/>
                <w:color w:val="auto"/>
              </w:rPr>
            </w:pPr>
          </w:p>
        </w:tc>
        <w:tc>
          <w:tcPr>
            <w:tcW w:w="760" w:type="dxa"/>
            <w:vAlign w:val="bottom"/>
            <w:shd w:val="clear" w:color="auto" w:fill="E9E9E9"/>
          </w:tcPr>
          <w:p>
            <w:pPr>
              <w:spacing w:after="0"/>
              <w:rPr>
                <w:sz w:val="22"/>
                <w:szCs w:val="22"/>
                <w:color w:val="auto"/>
              </w:rPr>
            </w:pPr>
          </w:p>
        </w:tc>
        <w:tc>
          <w:tcPr>
            <w:tcW w:w="460" w:type="dxa"/>
            <w:vAlign w:val="bottom"/>
            <w:shd w:val="clear" w:color="auto" w:fill="E9E9E9"/>
          </w:tcPr>
          <w:p>
            <w:pPr>
              <w:spacing w:after="0"/>
              <w:rPr>
                <w:sz w:val="22"/>
                <w:szCs w:val="22"/>
                <w:color w:val="auto"/>
              </w:rPr>
            </w:pPr>
          </w:p>
        </w:tc>
        <w:tc>
          <w:tcPr>
            <w:tcW w:w="1160" w:type="dxa"/>
            <w:vAlign w:val="bottom"/>
            <w:shd w:val="clear" w:color="auto" w:fill="E9E9E9"/>
          </w:tcPr>
          <w:p>
            <w:pPr>
              <w:spacing w:after="0"/>
              <w:rPr>
                <w:sz w:val="22"/>
                <w:szCs w:val="22"/>
                <w:color w:val="auto"/>
              </w:rPr>
            </w:pPr>
          </w:p>
        </w:tc>
        <w:tc>
          <w:tcPr>
            <w:tcW w:w="880" w:type="dxa"/>
            <w:vAlign w:val="bottom"/>
            <w:shd w:val="clear" w:color="auto" w:fill="E9E9E9"/>
          </w:tcPr>
          <w:p>
            <w:pPr>
              <w:spacing w:after="0"/>
              <w:rPr>
                <w:sz w:val="22"/>
                <w:szCs w:val="22"/>
                <w:color w:val="auto"/>
              </w:rPr>
            </w:pPr>
          </w:p>
        </w:tc>
        <w:tc>
          <w:tcPr>
            <w:tcW w:w="900" w:type="dxa"/>
            <w:vAlign w:val="bottom"/>
            <w:shd w:val="clear" w:color="auto" w:fill="E9E9E9"/>
          </w:tcPr>
          <w:p>
            <w:pPr>
              <w:spacing w:after="0"/>
              <w:rPr>
                <w:sz w:val="22"/>
                <w:szCs w:val="22"/>
                <w:color w:val="auto"/>
              </w:rPr>
            </w:pPr>
          </w:p>
        </w:tc>
      </w:tr>
      <w:tr>
        <w:trPr>
          <w:trHeight w:val="222"/>
        </w:trPr>
        <w:tc>
          <w:tcPr>
            <w:tcW w:w="2240" w:type="dxa"/>
            <w:vAlign w:val="bottom"/>
          </w:tcPr>
          <w:p>
            <w:pPr>
              <w:spacing w:after="0"/>
              <w:rPr>
                <w:sz w:val="20"/>
                <w:szCs w:val="20"/>
                <w:color w:val="auto"/>
              </w:rPr>
            </w:pPr>
            <w:r>
              <w:rPr>
                <w:rFonts w:ascii="Arial" w:cs="Arial" w:eastAsia="Arial" w:hAnsi="Arial"/>
                <w:sz w:val="17"/>
                <w:szCs w:val="17"/>
                <w:color w:val="auto"/>
              </w:rPr>
              <w:t>S. A. Anderson</w:t>
            </w:r>
          </w:p>
        </w:tc>
        <w:tc>
          <w:tcPr>
            <w:tcW w:w="1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166,048</w:t>
            </w:r>
          </w:p>
        </w:tc>
        <w:tc>
          <w:tcPr>
            <w:tcW w:w="360" w:type="dxa"/>
            <w:vAlign w:val="bottom"/>
          </w:tcPr>
          <w:p>
            <w:pPr>
              <w:jc w:val="right"/>
              <w:ind w:right="35"/>
              <w:spacing w:after="0"/>
              <w:rPr>
                <w:sz w:val="20"/>
                <w:szCs w:val="20"/>
                <w:color w:val="auto"/>
              </w:rPr>
            </w:pPr>
            <w:r>
              <w:rPr>
                <w:rFonts w:ascii="Arial" w:cs="Arial" w:eastAsia="Arial" w:hAnsi="Arial"/>
                <w:sz w:val="17"/>
                <w:szCs w:val="17"/>
                <w:color w:val="auto"/>
              </w:rPr>
              <w:t>(2)</w:t>
            </w:r>
          </w:p>
        </w:tc>
        <w:tc>
          <w:tcPr>
            <w:tcW w:w="1000" w:type="dxa"/>
            <w:vAlign w:val="bottom"/>
          </w:tcPr>
          <w:p>
            <w:pPr>
              <w:jc w:val="center"/>
              <w:spacing w:after="0"/>
              <w:rPr>
                <w:sz w:val="20"/>
                <w:szCs w:val="20"/>
                <w:color w:val="auto"/>
              </w:rPr>
            </w:pPr>
            <w:r>
              <w:rPr>
                <w:rFonts w:ascii="Arial" w:cs="Arial" w:eastAsia="Arial" w:hAnsi="Arial"/>
                <w:sz w:val="17"/>
                <w:szCs w:val="17"/>
                <w:color w:val="auto"/>
              </w:rPr>
              <w:t>—</w:t>
            </w:r>
          </w:p>
        </w:tc>
        <w:tc>
          <w:tcPr>
            <w:tcW w:w="760" w:type="dxa"/>
            <w:vAlign w:val="bottom"/>
          </w:tcPr>
          <w:p>
            <w:pPr>
              <w:jc w:val="center"/>
              <w:spacing w:after="0"/>
              <w:rPr>
                <w:sz w:val="20"/>
                <w:szCs w:val="20"/>
                <w:color w:val="auto"/>
              </w:rPr>
            </w:pPr>
            <w:r>
              <w:rPr>
                <w:rFonts w:ascii="Arial" w:cs="Arial" w:eastAsia="Arial" w:hAnsi="Arial"/>
                <w:sz w:val="17"/>
                <w:szCs w:val="17"/>
                <w:color w:val="auto"/>
              </w:rPr>
              <w:t>$ 44.09</w:t>
            </w:r>
          </w:p>
        </w:tc>
        <w:tc>
          <w:tcPr>
            <w:tcW w:w="860" w:type="dxa"/>
            <w:vAlign w:val="bottom"/>
          </w:tcPr>
          <w:p>
            <w:pPr>
              <w:jc w:val="center"/>
              <w:ind w:left="16"/>
              <w:spacing w:after="0"/>
              <w:rPr>
                <w:sz w:val="20"/>
                <w:szCs w:val="20"/>
                <w:color w:val="auto"/>
              </w:rPr>
            </w:pPr>
            <w:r>
              <w:rPr>
                <w:rFonts w:ascii="Arial" w:cs="Arial" w:eastAsia="Arial" w:hAnsi="Arial"/>
                <w:sz w:val="17"/>
                <w:szCs w:val="17"/>
                <w:color w:val="auto"/>
              </w:rPr>
              <w:t>1/23/2024</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30,620</w:t>
            </w:r>
          </w:p>
        </w:tc>
        <w:tc>
          <w:tcPr>
            <w:tcW w:w="460" w:type="dxa"/>
            <w:vAlign w:val="bottom"/>
          </w:tcPr>
          <w:p>
            <w:pPr>
              <w:ind w:left="20"/>
              <w:spacing w:after="0"/>
              <w:rPr>
                <w:sz w:val="20"/>
                <w:szCs w:val="20"/>
                <w:color w:val="auto"/>
              </w:rPr>
            </w:pPr>
            <w:r>
              <w:rPr>
                <w:rFonts w:ascii="Arial" w:cs="Arial" w:eastAsia="Arial" w:hAnsi="Arial"/>
                <w:sz w:val="17"/>
                <w:szCs w:val="17"/>
                <w:color w:val="auto"/>
              </w:rPr>
              <w:t>(6)</w:t>
            </w: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$ 1,637,251</w:t>
            </w:r>
          </w:p>
        </w:tc>
        <w:tc>
          <w:tcPr>
            <w:tcW w:w="880" w:type="dxa"/>
            <w:vAlign w:val="bottom"/>
          </w:tcPr>
          <w:p>
            <w:pPr>
              <w:jc w:val="center"/>
              <w:spacing w:after="0"/>
              <w:rPr>
                <w:sz w:val="20"/>
                <w:szCs w:val="20"/>
                <w:color w:val="auto"/>
              </w:rPr>
            </w:pPr>
            <w:r>
              <w:rPr>
                <w:rFonts w:ascii="Arial" w:cs="Arial" w:eastAsia="Arial" w:hAnsi="Arial"/>
                <w:sz w:val="17"/>
                <w:szCs w:val="17"/>
                <w:color w:val="auto"/>
              </w:rPr>
              <w:t>—</w:t>
            </w:r>
          </w:p>
        </w:tc>
        <w:tc>
          <w:tcPr>
            <w:tcW w:w="90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tcPr>
          <w:p>
            <w:pPr>
              <w:spacing w:after="0"/>
              <w:rPr>
                <w:sz w:val="20"/>
                <w:szCs w:val="20"/>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7"/>
                <w:szCs w:val="17"/>
                <w:color w:val="auto"/>
              </w:rPr>
              <w:t>34,375</w:t>
            </w:r>
          </w:p>
        </w:tc>
        <w:tc>
          <w:tcPr>
            <w:tcW w:w="860" w:type="dxa"/>
            <w:vAlign w:val="bottom"/>
          </w:tcPr>
          <w:p>
            <w:pPr>
              <w:jc w:val="right"/>
              <w:spacing w:after="0"/>
              <w:rPr>
                <w:sz w:val="20"/>
                <w:szCs w:val="20"/>
                <w:color w:val="auto"/>
              </w:rPr>
            </w:pPr>
            <w:r>
              <w:rPr>
                <w:rFonts w:ascii="Arial" w:cs="Arial" w:eastAsia="Arial" w:hAnsi="Arial"/>
                <w:sz w:val="17"/>
                <w:szCs w:val="17"/>
                <w:color w:val="auto"/>
              </w:rPr>
              <w:t>103,125</w:t>
            </w:r>
          </w:p>
        </w:tc>
        <w:tc>
          <w:tcPr>
            <w:tcW w:w="360" w:type="dxa"/>
            <w:vAlign w:val="bottom"/>
          </w:tcPr>
          <w:p>
            <w:pPr>
              <w:jc w:val="right"/>
              <w:ind w:right="35"/>
              <w:spacing w:after="0"/>
              <w:rPr>
                <w:sz w:val="20"/>
                <w:szCs w:val="20"/>
                <w:color w:val="auto"/>
              </w:rPr>
            </w:pPr>
            <w:r>
              <w:rPr>
                <w:rFonts w:ascii="Arial" w:cs="Arial" w:eastAsia="Arial" w:hAnsi="Arial"/>
                <w:sz w:val="17"/>
                <w:szCs w:val="17"/>
                <w:color w:val="auto"/>
              </w:rPr>
              <w:t>(3)</w:t>
            </w:r>
          </w:p>
        </w:tc>
        <w:tc>
          <w:tcPr>
            <w:tcW w:w="1000" w:type="dxa"/>
            <w:vAlign w:val="bottom"/>
          </w:tcPr>
          <w:p>
            <w:pPr>
              <w:jc w:val="center"/>
              <w:spacing w:after="0"/>
              <w:rPr>
                <w:sz w:val="20"/>
                <w:szCs w:val="20"/>
                <w:color w:val="auto"/>
              </w:rPr>
            </w:pPr>
            <w:r>
              <w:rPr>
                <w:rFonts w:ascii="Arial" w:cs="Arial" w:eastAsia="Arial" w:hAnsi="Arial"/>
                <w:sz w:val="17"/>
                <w:szCs w:val="17"/>
                <w:color w:val="auto"/>
              </w:rPr>
              <w:t>—</w:t>
            </w:r>
          </w:p>
        </w:tc>
        <w:tc>
          <w:tcPr>
            <w:tcW w:w="760" w:type="dxa"/>
            <w:vAlign w:val="bottom"/>
          </w:tcPr>
          <w:p>
            <w:pPr>
              <w:jc w:val="center"/>
              <w:spacing w:after="0"/>
              <w:rPr>
                <w:sz w:val="20"/>
                <w:szCs w:val="20"/>
                <w:color w:val="auto"/>
              </w:rPr>
            </w:pPr>
            <w:r>
              <w:rPr>
                <w:rFonts w:ascii="Arial" w:cs="Arial" w:eastAsia="Arial" w:hAnsi="Arial"/>
                <w:sz w:val="17"/>
                <w:szCs w:val="17"/>
                <w:color w:val="auto"/>
              </w:rPr>
              <w:t>$ 32.80</w:t>
            </w:r>
          </w:p>
        </w:tc>
        <w:tc>
          <w:tcPr>
            <w:tcW w:w="860" w:type="dxa"/>
            <w:vAlign w:val="bottom"/>
          </w:tcPr>
          <w:p>
            <w:pPr>
              <w:jc w:val="center"/>
              <w:ind w:left="16"/>
              <w:spacing w:after="0"/>
              <w:rPr>
                <w:sz w:val="20"/>
                <w:szCs w:val="20"/>
                <w:color w:val="auto"/>
              </w:rPr>
            </w:pPr>
            <w:r>
              <w:rPr>
                <w:rFonts w:ascii="Arial" w:cs="Arial" w:eastAsia="Arial" w:hAnsi="Arial"/>
                <w:sz w:val="17"/>
                <w:szCs w:val="17"/>
                <w:color w:val="auto"/>
              </w:rPr>
              <w:t>1/25/2023</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45,834</w:t>
            </w:r>
          </w:p>
        </w:tc>
        <w:tc>
          <w:tcPr>
            <w:tcW w:w="460" w:type="dxa"/>
            <w:vAlign w:val="bottom"/>
          </w:tcPr>
          <w:p>
            <w:pPr>
              <w:ind w:left="20"/>
              <w:spacing w:after="0"/>
              <w:rPr>
                <w:sz w:val="20"/>
                <w:szCs w:val="20"/>
                <w:color w:val="auto"/>
              </w:rPr>
            </w:pPr>
            <w:r>
              <w:rPr>
                <w:rFonts w:ascii="Arial" w:cs="Arial" w:eastAsia="Arial" w:hAnsi="Arial"/>
                <w:sz w:val="17"/>
                <w:szCs w:val="17"/>
                <w:color w:val="auto"/>
              </w:rPr>
              <w:t>(7)</w:t>
            </w: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$ 2,450,744</w:t>
            </w:r>
          </w:p>
        </w:tc>
        <w:tc>
          <w:tcPr>
            <w:tcW w:w="880" w:type="dxa"/>
            <w:vAlign w:val="bottom"/>
          </w:tcPr>
          <w:p>
            <w:pPr>
              <w:jc w:val="center"/>
              <w:spacing w:after="0"/>
              <w:rPr>
                <w:sz w:val="20"/>
                <w:szCs w:val="20"/>
                <w:color w:val="auto"/>
              </w:rPr>
            </w:pPr>
            <w:r>
              <w:rPr>
                <w:rFonts w:ascii="Arial" w:cs="Arial" w:eastAsia="Arial" w:hAnsi="Arial"/>
                <w:sz w:val="17"/>
                <w:szCs w:val="17"/>
                <w:color w:val="auto"/>
              </w:rPr>
              <w:t>—</w:t>
            </w:r>
          </w:p>
        </w:tc>
        <w:tc>
          <w:tcPr>
            <w:tcW w:w="90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tcPr>
          <w:p>
            <w:pPr>
              <w:spacing w:after="0"/>
              <w:rPr>
                <w:sz w:val="20"/>
                <w:szCs w:val="20"/>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7"/>
                <w:szCs w:val="17"/>
                <w:color w:val="auto"/>
              </w:rPr>
              <w:t>68,750</w:t>
            </w:r>
          </w:p>
        </w:tc>
        <w:tc>
          <w:tcPr>
            <w:tcW w:w="860" w:type="dxa"/>
            <w:vAlign w:val="bottom"/>
          </w:tcPr>
          <w:p>
            <w:pPr>
              <w:jc w:val="right"/>
              <w:spacing w:after="0"/>
              <w:rPr>
                <w:sz w:val="20"/>
                <w:szCs w:val="20"/>
                <w:color w:val="auto"/>
              </w:rPr>
            </w:pPr>
            <w:r>
              <w:rPr>
                <w:rFonts w:ascii="Arial" w:cs="Arial" w:eastAsia="Arial" w:hAnsi="Arial"/>
                <w:sz w:val="17"/>
                <w:szCs w:val="17"/>
                <w:color w:val="auto"/>
              </w:rPr>
              <w:t>68,750</w:t>
            </w:r>
          </w:p>
        </w:tc>
        <w:tc>
          <w:tcPr>
            <w:tcW w:w="360" w:type="dxa"/>
            <w:vAlign w:val="bottom"/>
          </w:tcPr>
          <w:p>
            <w:pPr>
              <w:jc w:val="right"/>
              <w:ind w:right="35"/>
              <w:spacing w:after="0"/>
              <w:rPr>
                <w:sz w:val="20"/>
                <w:szCs w:val="20"/>
                <w:color w:val="auto"/>
              </w:rPr>
            </w:pPr>
            <w:r>
              <w:rPr>
                <w:rFonts w:ascii="Arial" w:cs="Arial" w:eastAsia="Arial" w:hAnsi="Arial"/>
                <w:sz w:val="17"/>
                <w:szCs w:val="17"/>
                <w:color w:val="auto"/>
              </w:rPr>
              <w:t>(4)</w:t>
            </w:r>
          </w:p>
        </w:tc>
        <w:tc>
          <w:tcPr>
            <w:tcW w:w="1000" w:type="dxa"/>
            <w:vAlign w:val="bottom"/>
          </w:tcPr>
          <w:p>
            <w:pPr>
              <w:jc w:val="center"/>
              <w:spacing w:after="0"/>
              <w:rPr>
                <w:sz w:val="20"/>
                <w:szCs w:val="20"/>
                <w:color w:val="auto"/>
              </w:rPr>
            </w:pPr>
            <w:r>
              <w:rPr>
                <w:rFonts w:ascii="Arial" w:cs="Arial" w:eastAsia="Arial" w:hAnsi="Arial"/>
                <w:sz w:val="17"/>
                <w:szCs w:val="17"/>
                <w:color w:val="auto"/>
              </w:rPr>
              <w:t>—</w:t>
            </w:r>
          </w:p>
        </w:tc>
        <w:tc>
          <w:tcPr>
            <w:tcW w:w="760" w:type="dxa"/>
            <w:vAlign w:val="bottom"/>
          </w:tcPr>
          <w:p>
            <w:pPr>
              <w:jc w:val="center"/>
              <w:spacing w:after="0"/>
              <w:rPr>
                <w:sz w:val="20"/>
                <w:szCs w:val="20"/>
                <w:color w:val="auto"/>
              </w:rPr>
            </w:pPr>
            <w:r>
              <w:rPr>
                <w:rFonts w:ascii="Arial" w:cs="Arial" w:eastAsia="Arial" w:hAnsi="Arial"/>
                <w:sz w:val="17"/>
                <w:szCs w:val="17"/>
                <w:color w:val="auto"/>
              </w:rPr>
              <w:t>$ 32.36</w:t>
            </w:r>
          </w:p>
        </w:tc>
        <w:tc>
          <w:tcPr>
            <w:tcW w:w="860" w:type="dxa"/>
            <w:vAlign w:val="bottom"/>
          </w:tcPr>
          <w:p>
            <w:pPr>
              <w:jc w:val="center"/>
              <w:ind w:left="16"/>
              <w:spacing w:after="0"/>
              <w:rPr>
                <w:sz w:val="20"/>
                <w:szCs w:val="20"/>
                <w:color w:val="auto"/>
              </w:rPr>
            </w:pPr>
            <w:r>
              <w:rPr>
                <w:rFonts w:ascii="Arial" w:cs="Arial" w:eastAsia="Arial" w:hAnsi="Arial"/>
                <w:sz w:val="17"/>
                <w:szCs w:val="17"/>
                <w:color w:val="auto"/>
              </w:rPr>
              <w:t>1/26/2022</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45,834</w:t>
            </w:r>
          </w:p>
        </w:tc>
        <w:tc>
          <w:tcPr>
            <w:tcW w:w="460" w:type="dxa"/>
            <w:vAlign w:val="bottom"/>
          </w:tcPr>
          <w:p>
            <w:pPr>
              <w:ind w:left="20"/>
              <w:spacing w:after="0"/>
              <w:rPr>
                <w:sz w:val="20"/>
                <w:szCs w:val="20"/>
                <w:color w:val="auto"/>
              </w:rPr>
            </w:pPr>
            <w:r>
              <w:rPr>
                <w:rFonts w:ascii="Arial" w:cs="Arial" w:eastAsia="Arial" w:hAnsi="Arial"/>
                <w:sz w:val="17"/>
                <w:szCs w:val="17"/>
                <w:color w:val="auto"/>
              </w:rPr>
              <w:t>(8)</w:t>
            </w: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$ 2,450,744</w:t>
            </w:r>
          </w:p>
        </w:tc>
        <w:tc>
          <w:tcPr>
            <w:tcW w:w="880" w:type="dxa"/>
            <w:vAlign w:val="bottom"/>
          </w:tcPr>
          <w:p>
            <w:pPr>
              <w:jc w:val="center"/>
              <w:spacing w:after="0"/>
              <w:rPr>
                <w:sz w:val="20"/>
                <w:szCs w:val="20"/>
                <w:color w:val="auto"/>
              </w:rPr>
            </w:pPr>
            <w:r>
              <w:rPr>
                <w:rFonts w:ascii="Arial" w:cs="Arial" w:eastAsia="Arial" w:hAnsi="Arial"/>
                <w:sz w:val="17"/>
                <w:szCs w:val="17"/>
                <w:color w:val="auto"/>
              </w:rPr>
              <w:t>—</w:t>
            </w:r>
          </w:p>
        </w:tc>
        <w:tc>
          <w:tcPr>
            <w:tcW w:w="90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tcPr>
          <w:p>
            <w:pPr>
              <w:spacing w:after="0"/>
              <w:rPr>
                <w:sz w:val="20"/>
                <w:szCs w:val="20"/>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7"/>
                <w:szCs w:val="17"/>
                <w:color w:val="auto"/>
              </w:rPr>
              <w:t>93,750</w:t>
            </w:r>
          </w:p>
        </w:tc>
        <w:tc>
          <w:tcPr>
            <w:tcW w:w="860" w:type="dxa"/>
            <w:vAlign w:val="bottom"/>
          </w:tcPr>
          <w:p>
            <w:pPr>
              <w:jc w:val="right"/>
              <w:spacing w:after="0"/>
              <w:rPr>
                <w:sz w:val="20"/>
                <w:szCs w:val="20"/>
                <w:color w:val="auto"/>
              </w:rPr>
            </w:pPr>
            <w:r>
              <w:rPr>
                <w:rFonts w:ascii="Arial" w:cs="Arial" w:eastAsia="Arial" w:hAnsi="Arial"/>
                <w:sz w:val="17"/>
                <w:szCs w:val="17"/>
                <w:color w:val="auto"/>
              </w:rPr>
              <w:t>31,250</w:t>
            </w:r>
          </w:p>
        </w:tc>
        <w:tc>
          <w:tcPr>
            <w:tcW w:w="360" w:type="dxa"/>
            <w:vAlign w:val="bottom"/>
          </w:tcPr>
          <w:p>
            <w:pPr>
              <w:jc w:val="right"/>
              <w:ind w:right="35"/>
              <w:spacing w:after="0"/>
              <w:rPr>
                <w:sz w:val="20"/>
                <w:szCs w:val="20"/>
                <w:color w:val="auto"/>
              </w:rPr>
            </w:pPr>
            <w:r>
              <w:rPr>
                <w:rFonts w:ascii="Arial" w:cs="Arial" w:eastAsia="Arial" w:hAnsi="Arial"/>
                <w:sz w:val="17"/>
                <w:szCs w:val="17"/>
                <w:color w:val="auto"/>
              </w:rPr>
              <w:t>(5)</w:t>
            </w:r>
          </w:p>
        </w:tc>
        <w:tc>
          <w:tcPr>
            <w:tcW w:w="1000" w:type="dxa"/>
            <w:vAlign w:val="bottom"/>
          </w:tcPr>
          <w:p>
            <w:pPr>
              <w:jc w:val="center"/>
              <w:spacing w:after="0"/>
              <w:rPr>
                <w:sz w:val="20"/>
                <w:szCs w:val="20"/>
                <w:color w:val="auto"/>
              </w:rPr>
            </w:pPr>
            <w:r>
              <w:rPr>
                <w:rFonts w:ascii="Arial" w:cs="Arial" w:eastAsia="Arial" w:hAnsi="Arial"/>
                <w:sz w:val="17"/>
                <w:szCs w:val="17"/>
                <w:color w:val="auto"/>
              </w:rPr>
              <w:t>—</w:t>
            </w:r>
          </w:p>
        </w:tc>
        <w:tc>
          <w:tcPr>
            <w:tcW w:w="760" w:type="dxa"/>
            <w:vAlign w:val="bottom"/>
          </w:tcPr>
          <w:p>
            <w:pPr>
              <w:jc w:val="center"/>
              <w:spacing w:after="0"/>
              <w:rPr>
                <w:sz w:val="20"/>
                <w:szCs w:val="20"/>
                <w:color w:val="auto"/>
              </w:rPr>
            </w:pPr>
            <w:r>
              <w:rPr>
                <w:rFonts w:ascii="Arial" w:cs="Arial" w:eastAsia="Arial" w:hAnsi="Arial"/>
                <w:sz w:val="17"/>
                <w:szCs w:val="17"/>
                <w:color w:val="auto"/>
              </w:rPr>
              <w:t>$ 34.63</w:t>
            </w:r>
          </w:p>
        </w:tc>
        <w:tc>
          <w:tcPr>
            <w:tcW w:w="860" w:type="dxa"/>
            <w:vAlign w:val="bottom"/>
          </w:tcPr>
          <w:p>
            <w:pPr>
              <w:jc w:val="center"/>
              <w:ind w:left="16"/>
              <w:spacing w:after="0"/>
              <w:rPr>
                <w:sz w:val="20"/>
                <w:szCs w:val="20"/>
                <w:color w:val="auto"/>
              </w:rPr>
            </w:pPr>
            <w:r>
              <w:rPr>
                <w:rFonts w:ascii="Arial" w:cs="Arial" w:eastAsia="Arial" w:hAnsi="Arial"/>
                <w:sz w:val="17"/>
                <w:szCs w:val="17"/>
                <w:color w:val="auto"/>
              </w:rPr>
              <w:t>1/27/2021</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41,667</w:t>
            </w:r>
          </w:p>
        </w:tc>
        <w:tc>
          <w:tcPr>
            <w:tcW w:w="460" w:type="dxa"/>
            <w:vAlign w:val="bottom"/>
          </w:tcPr>
          <w:p>
            <w:pPr>
              <w:ind w:left="20"/>
              <w:spacing w:after="0"/>
              <w:rPr>
                <w:sz w:val="20"/>
                <w:szCs w:val="20"/>
                <w:color w:val="auto"/>
              </w:rPr>
            </w:pPr>
            <w:r>
              <w:rPr>
                <w:rFonts w:ascii="Arial" w:cs="Arial" w:eastAsia="Arial" w:hAnsi="Arial"/>
                <w:sz w:val="17"/>
                <w:szCs w:val="17"/>
                <w:color w:val="auto"/>
              </w:rPr>
              <w:t>(9)</w:t>
            </w: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$ 2,227,934</w:t>
            </w:r>
          </w:p>
        </w:tc>
        <w:tc>
          <w:tcPr>
            <w:tcW w:w="880" w:type="dxa"/>
            <w:vAlign w:val="bottom"/>
          </w:tcPr>
          <w:p>
            <w:pPr>
              <w:jc w:val="center"/>
              <w:spacing w:after="0"/>
              <w:rPr>
                <w:sz w:val="20"/>
                <w:szCs w:val="20"/>
                <w:color w:val="auto"/>
              </w:rPr>
            </w:pPr>
            <w:r>
              <w:rPr>
                <w:rFonts w:ascii="Arial" w:cs="Arial" w:eastAsia="Arial" w:hAnsi="Arial"/>
                <w:sz w:val="17"/>
                <w:szCs w:val="17"/>
                <w:color w:val="auto"/>
              </w:rPr>
              <w:t>—</w:t>
            </w:r>
          </w:p>
        </w:tc>
        <w:tc>
          <w:tcPr>
            <w:tcW w:w="90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41,745</w:t>
            </w:r>
          </w:p>
        </w:tc>
        <w:tc>
          <w:tcPr>
            <w:tcW w:w="460" w:type="dxa"/>
            <w:vAlign w:val="bottom"/>
          </w:tcPr>
          <w:p>
            <w:pPr>
              <w:ind w:left="20"/>
              <w:spacing w:after="0"/>
              <w:rPr>
                <w:sz w:val="20"/>
                <w:szCs w:val="20"/>
                <w:color w:val="auto"/>
              </w:rPr>
            </w:pPr>
            <w:r>
              <w:rPr>
                <w:rFonts w:ascii="Arial" w:cs="Arial" w:eastAsia="Arial" w:hAnsi="Arial"/>
                <w:sz w:val="17"/>
                <w:szCs w:val="17"/>
                <w:color w:val="auto"/>
              </w:rPr>
              <w:t>(11)</w:t>
            </w: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$ 2,232,105</w:t>
            </w:r>
          </w:p>
        </w:tc>
        <w:tc>
          <w:tcPr>
            <w:tcW w:w="880" w:type="dxa"/>
            <w:vAlign w:val="bottom"/>
          </w:tcPr>
          <w:p>
            <w:pPr>
              <w:jc w:val="center"/>
              <w:spacing w:after="0"/>
              <w:rPr>
                <w:sz w:val="20"/>
                <w:szCs w:val="20"/>
                <w:color w:val="auto"/>
              </w:rPr>
            </w:pPr>
            <w:r>
              <w:rPr>
                <w:rFonts w:ascii="Arial" w:cs="Arial" w:eastAsia="Arial" w:hAnsi="Arial"/>
                <w:sz w:val="17"/>
                <w:szCs w:val="17"/>
                <w:color w:val="auto"/>
              </w:rPr>
              <w:t>—</w:t>
            </w:r>
          </w:p>
        </w:tc>
        <w:tc>
          <w:tcPr>
            <w:tcW w:w="90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54"/>
        </w:trPr>
        <w:tc>
          <w:tcPr>
            <w:tcW w:w="2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2"/>
        </w:trPr>
        <w:tc>
          <w:tcPr>
            <w:tcW w:w="224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120" w:type="dxa"/>
            <w:vAlign w:val="bottom"/>
            <w:shd w:val="clear" w:color="auto" w:fill="E9E9E9"/>
          </w:tcPr>
          <w:p>
            <w:pPr>
              <w:spacing w:after="0"/>
              <w:rPr>
                <w:sz w:val="19"/>
                <w:szCs w:val="19"/>
                <w:color w:val="auto"/>
              </w:rPr>
            </w:pPr>
          </w:p>
        </w:tc>
        <w:tc>
          <w:tcPr>
            <w:tcW w:w="940" w:type="dxa"/>
            <w:vAlign w:val="bottom"/>
            <w:shd w:val="clear" w:color="auto" w:fill="E9E9E9"/>
          </w:tcPr>
          <w:p>
            <w:pPr>
              <w:jc w:val="right"/>
              <w:ind w:right="79"/>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245,997</w:t>
            </w:r>
          </w:p>
        </w:tc>
        <w:tc>
          <w:tcPr>
            <w:tcW w:w="360" w:type="dxa"/>
            <w:vAlign w:val="bottom"/>
            <w:shd w:val="clear" w:color="auto" w:fill="E9E9E9"/>
          </w:tcPr>
          <w:p>
            <w:pPr>
              <w:jc w:val="right"/>
              <w:ind w:right="35"/>
              <w:spacing w:after="0"/>
              <w:rPr>
                <w:sz w:val="20"/>
                <w:szCs w:val="20"/>
                <w:color w:val="auto"/>
              </w:rPr>
            </w:pPr>
            <w:r>
              <w:rPr>
                <w:rFonts w:ascii="Arial" w:cs="Arial" w:eastAsia="Arial" w:hAnsi="Arial"/>
                <w:sz w:val="17"/>
                <w:szCs w:val="17"/>
                <w:color w:val="auto"/>
              </w:rPr>
              <w:t>(2)</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$ 44.09</w:t>
            </w:r>
          </w:p>
        </w:tc>
        <w:tc>
          <w:tcPr>
            <w:tcW w:w="860" w:type="dxa"/>
            <w:vAlign w:val="bottom"/>
            <w:shd w:val="clear" w:color="auto" w:fill="E9E9E9"/>
          </w:tcPr>
          <w:p>
            <w:pPr>
              <w:jc w:val="center"/>
              <w:ind w:left="16"/>
              <w:spacing w:after="0"/>
              <w:rPr>
                <w:sz w:val="20"/>
                <w:szCs w:val="20"/>
                <w:color w:val="auto"/>
              </w:rPr>
            </w:pPr>
            <w:r>
              <w:rPr>
                <w:rFonts w:ascii="Arial" w:cs="Arial" w:eastAsia="Arial" w:hAnsi="Arial"/>
                <w:sz w:val="17"/>
                <w:szCs w:val="17"/>
                <w:color w:val="auto"/>
              </w:rPr>
              <w:t>1/23/2024</w:t>
            </w:r>
          </w:p>
        </w:tc>
        <w:tc>
          <w:tcPr>
            <w:tcW w:w="120" w:type="dxa"/>
            <w:vAlign w:val="bottom"/>
            <w:shd w:val="clear" w:color="auto" w:fill="E9E9E9"/>
          </w:tcPr>
          <w:p>
            <w:pPr>
              <w:spacing w:after="0"/>
              <w:rPr>
                <w:sz w:val="19"/>
                <w:szCs w:val="19"/>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45,362</w:t>
            </w:r>
          </w:p>
        </w:tc>
        <w:tc>
          <w:tcPr>
            <w:tcW w:w="460" w:type="dxa"/>
            <w:vAlign w:val="bottom"/>
            <w:shd w:val="clear" w:color="auto" w:fill="E9E9E9"/>
          </w:tcPr>
          <w:p>
            <w:pPr>
              <w:ind w:left="20"/>
              <w:spacing w:after="0"/>
              <w:rPr>
                <w:sz w:val="20"/>
                <w:szCs w:val="20"/>
                <w:color w:val="auto"/>
              </w:rPr>
            </w:pPr>
            <w:r>
              <w:rPr>
                <w:rFonts w:ascii="Arial" w:cs="Arial" w:eastAsia="Arial" w:hAnsi="Arial"/>
                <w:sz w:val="17"/>
                <w:szCs w:val="17"/>
                <w:color w:val="auto"/>
              </w:rPr>
              <w:t>(6)</w:t>
            </w:r>
          </w:p>
        </w:tc>
        <w:tc>
          <w:tcPr>
            <w:tcW w:w="116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$ 2,425,506</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40" w:type="dxa"/>
            <w:vAlign w:val="bottom"/>
            <w:shd w:val="clear" w:color="auto" w:fill="E9E9E9"/>
          </w:tcPr>
          <w:p>
            <w:pPr>
              <w:jc w:val="right"/>
              <w:ind w:right="79"/>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150,000</w:t>
            </w:r>
          </w:p>
        </w:tc>
        <w:tc>
          <w:tcPr>
            <w:tcW w:w="360" w:type="dxa"/>
            <w:vAlign w:val="bottom"/>
            <w:shd w:val="clear" w:color="auto" w:fill="E9E9E9"/>
          </w:tcPr>
          <w:p>
            <w:pPr>
              <w:jc w:val="right"/>
              <w:ind w:right="35"/>
              <w:spacing w:after="0"/>
              <w:rPr>
                <w:sz w:val="20"/>
                <w:szCs w:val="20"/>
                <w:color w:val="auto"/>
              </w:rPr>
            </w:pPr>
            <w:r>
              <w:rPr>
                <w:rFonts w:ascii="Arial" w:cs="Arial" w:eastAsia="Arial" w:hAnsi="Arial"/>
                <w:sz w:val="17"/>
                <w:szCs w:val="17"/>
                <w:color w:val="auto"/>
              </w:rPr>
              <w:t>(3)</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$ 32.80</w:t>
            </w:r>
          </w:p>
        </w:tc>
        <w:tc>
          <w:tcPr>
            <w:tcW w:w="860" w:type="dxa"/>
            <w:vAlign w:val="bottom"/>
            <w:shd w:val="clear" w:color="auto" w:fill="E9E9E9"/>
          </w:tcPr>
          <w:p>
            <w:pPr>
              <w:jc w:val="center"/>
              <w:ind w:left="16"/>
              <w:spacing w:after="0"/>
              <w:rPr>
                <w:sz w:val="20"/>
                <w:szCs w:val="20"/>
                <w:color w:val="auto"/>
              </w:rPr>
            </w:pPr>
            <w:r>
              <w:rPr>
                <w:rFonts w:ascii="Arial" w:cs="Arial" w:eastAsia="Arial" w:hAnsi="Arial"/>
                <w:sz w:val="17"/>
                <w:szCs w:val="17"/>
                <w:color w:val="auto"/>
              </w:rPr>
              <w:t>1/25/2023</w:t>
            </w:r>
          </w:p>
        </w:tc>
        <w:tc>
          <w:tcPr>
            <w:tcW w:w="120" w:type="dxa"/>
            <w:vAlign w:val="bottom"/>
            <w:shd w:val="clear" w:color="auto" w:fill="E9E9E9"/>
          </w:tcPr>
          <w:p>
            <w:pPr>
              <w:spacing w:after="0"/>
              <w:rPr>
                <w:sz w:val="20"/>
                <w:szCs w:val="20"/>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66,667</w:t>
            </w:r>
          </w:p>
        </w:tc>
        <w:tc>
          <w:tcPr>
            <w:tcW w:w="460" w:type="dxa"/>
            <w:vAlign w:val="bottom"/>
            <w:shd w:val="clear" w:color="auto" w:fill="E9E9E9"/>
          </w:tcPr>
          <w:p>
            <w:pPr>
              <w:ind w:left="20"/>
              <w:spacing w:after="0"/>
              <w:rPr>
                <w:sz w:val="20"/>
                <w:szCs w:val="20"/>
                <w:color w:val="auto"/>
              </w:rPr>
            </w:pPr>
            <w:r>
              <w:rPr>
                <w:rFonts w:ascii="Arial" w:cs="Arial" w:eastAsia="Arial" w:hAnsi="Arial"/>
                <w:sz w:val="17"/>
                <w:szCs w:val="17"/>
                <w:color w:val="auto"/>
              </w:rPr>
              <w:t>(7)</w:t>
            </w:r>
          </w:p>
        </w:tc>
        <w:tc>
          <w:tcPr>
            <w:tcW w:w="116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$ 3,564,684</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8"/>
        </w:trPr>
        <w:tc>
          <w:tcPr>
            <w:tcW w:w="22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40" w:type="dxa"/>
            <w:vAlign w:val="bottom"/>
            <w:shd w:val="clear" w:color="auto" w:fill="E9E9E9"/>
          </w:tcPr>
          <w:p>
            <w:pPr>
              <w:jc w:val="right"/>
              <w:ind w:right="79"/>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87,500</w:t>
            </w:r>
          </w:p>
        </w:tc>
        <w:tc>
          <w:tcPr>
            <w:tcW w:w="360" w:type="dxa"/>
            <w:vAlign w:val="bottom"/>
            <w:shd w:val="clear" w:color="auto" w:fill="E9E9E9"/>
          </w:tcPr>
          <w:p>
            <w:pPr>
              <w:jc w:val="right"/>
              <w:ind w:right="35"/>
              <w:spacing w:after="0"/>
              <w:rPr>
                <w:sz w:val="20"/>
                <w:szCs w:val="20"/>
                <w:color w:val="auto"/>
              </w:rPr>
            </w:pPr>
            <w:r>
              <w:rPr>
                <w:rFonts w:ascii="Arial" w:cs="Arial" w:eastAsia="Arial" w:hAnsi="Arial"/>
                <w:sz w:val="17"/>
                <w:szCs w:val="17"/>
                <w:color w:val="auto"/>
              </w:rPr>
              <w:t>(4)</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$ 32.36</w:t>
            </w:r>
          </w:p>
        </w:tc>
        <w:tc>
          <w:tcPr>
            <w:tcW w:w="860" w:type="dxa"/>
            <w:vAlign w:val="bottom"/>
            <w:shd w:val="clear" w:color="auto" w:fill="E9E9E9"/>
          </w:tcPr>
          <w:p>
            <w:pPr>
              <w:jc w:val="center"/>
              <w:ind w:left="16"/>
              <w:spacing w:after="0"/>
              <w:rPr>
                <w:sz w:val="20"/>
                <w:szCs w:val="20"/>
                <w:color w:val="auto"/>
              </w:rPr>
            </w:pPr>
            <w:r>
              <w:rPr>
                <w:rFonts w:ascii="Arial" w:cs="Arial" w:eastAsia="Arial" w:hAnsi="Arial"/>
                <w:sz w:val="17"/>
                <w:szCs w:val="17"/>
                <w:color w:val="auto"/>
              </w:rPr>
              <w:t>1/26/2022</w:t>
            </w:r>
          </w:p>
        </w:tc>
        <w:tc>
          <w:tcPr>
            <w:tcW w:w="120" w:type="dxa"/>
            <w:vAlign w:val="bottom"/>
            <w:shd w:val="clear" w:color="auto" w:fill="E9E9E9"/>
          </w:tcPr>
          <w:p>
            <w:pPr>
              <w:spacing w:after="0"/>
              <w:rPr>
                <w:sz w:val="20"/>
                <w:szCs w:val="20"/>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58,334</w:t>
            </w:r>
          </w:p>
        </w:tc>
        <w:tc>
          <w:tcPr>
            <w:tcW w:w="460" w:type="dxa"/>
            <w:vAlign w:val="bottom"/>
            <w:shd w:val="clear" w:color="auto" w:fill="E9E9E9"/>
          </w:tcPr>
          <w:p>
            <w:pPr>
              <w:ind w:left="20"/>
              <w:spacing w:after="0"/>
              <w:rPr>
                <w:sz w:val="20"/>
                <w:szCs w:val="20"/>
                <w:color w:val="auto"/>
              </w:rPr>
            </w:pPr>
            <w:r>
              <w:rPr>
                <w:rFonts w:ascii="Arial" w:cs="Arial" w:eastAsia="Arial" w:hAnsi="Arial"/>
                <w:sz w:val="17"/>
                <w:szCs w:val="17"/>
                <w:color w:val="auto"/>
              </w:rPr>
              <w:t>(8)</w:t>
            </w:r>
          </w:p>
        </w:tc>
        <w:tc>
          <w:tcPr>
            <w:tcW w:w="116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$ 3,119,119</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54"/>
        </w:trPr>
        <w:tc>
          <w:tcPr>
            <w:tcW w:w="2240" w:type="dxa"/>
            <w:vAlign w:val="bottom"/>
            <w:shd w:val="clear" w:color="auto" w:fill="E9E9E9"/>
          </w:tcPr>
          <w:p>
            <w:pPr>
              <w:spacing w:after="0"/>
              <w:rPr>
                <w:sz w:val="22"/>
                <w:szCs w:val="22"/>
                <w:color w:val="auto"/>
              </w:rPr>
            </w:pPr>
          </w:p>
        </w:tc>
        <w:tc>
          <w:tcPr>
            <w:tcW w:w="120" w:type="dxa"/>
            <w:vAlign w:val="bottom"/>
            <w:shd w:val="clear" w:color="auto" w:fill="E9E9E9"/>
          </w:tcPr>
          <w:p>
            <w:pPr>
              <w:spacing w:after="0"/>
              <w:rPr>
                <w:sz w:val="22"/>
                <w:szCs w:val="22"/>
                <w:color w:val="auto"/>
              </w:rPr>
            </w:pPr>
          </w:p>
        </w:tc>
        <w:tc>
          <w:tcPr>
            <w:tcW w:w="940" w:type="dxa"/>
            <w:vAlign w:val="bottom"/>
            <w:shd w:val="clear" w:color="auto" w:fill="E9E9E9"/>
          </w:tcPr>
          <w:p>
            <w:pPr>
              <w:jc w:val="right"/>
              <w:ind w:right="79"/>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40,625</w:t>
            </w:r>
          </w:p>
        </w:tc>
        <w:tc>
          <w:tcPr>
            <w:tcW w:w="360" w:type="dxa"/>
            <w:vAlign w:val="bottom"/>
            <w:shd w:val="clear" w:color="auto" w:fill="E9E9E9"/>
          </w:tcPr>
          <w:p>
            <w:pPr>
              <w:jc w:val="right"/>
              <w:ind w:right="35"/>
              <w:spacing w:after="0"/>
              <w:rPr>
                <w:sz w:val="20"/>
                <w:szCs w:val="20"/>
                <w:color w:val="auto"/>
              </w:rPr>
            </w:pPr>
            <w:r>
              <w:rPr>
                <w:rFonts w:ascii="Arial" w:cs="Arial" w:eastAsia="Arial" w:hAnsi="Arial"/>
                <w:sz w:val="17"/>
                <w:szCs w:val="17"/>
                <w:color w:val="auto"/>
              </w:rPr>
              <w:t>(5)</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$ 34.63</w:t>
            </w:r>
          </w:p>
        </w:tc>
        <w:tc>
          <w:tcPr>
            <w:tcW w:w="860" w:type="dxa"/>
            <w:vAlign w:val="bottom"/>
            <w:shd w:val="clear" w:color="auto" w:fill="E9E9E9"/>
          </w:tcPr>
          <w:p>
            <w:pPr>
              <w:jc w:val="center"/>
              <w:ind w:left="16"/>
              <w:spacing w:after="0"/>
              <w:rPr>
                <w:sz w:val="20"/>
                <w:szCs w:val="20"/>
                <w:color w:val="auto"/>
              </w:rPr>
            </w:pPr>
            <w:r>
              <w:rPr>
                <w:rFonts w:ascii="Arial" w:cs="Arial" w:eastAsia="Arial" w:hAnsi="Arial"/>
                <w:sz w:val="17"/>
                <w:szCs w:val="17"/>
                <w:color w:val="auto"/>
              </w:rPr>
              <w:t>1/27/2021</w:t>
            </w:r>
          </w:p>
        </w:tc>
        <w:tc>
          <w:tcPr>
            <w:tcW w:w="120" w:type="dxa"/>
            <w:vAlign w:val="bottom"/>
            <w:shd w:val="clear" w:color="auto" w:fill="E9E9E9"/>
          </w:tcPr>
          <w:p>
            <w:pPr>
              <w:spacing w:after="0"/>
              <w:rPr>
                <w:sz w:val="22"/>
                <w:szCs w:val="22"/>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54,167</w:t>
            </w:r>
          </w:p>
        </w:tc>
        <w:tc>
          <w:tcPr>
            <w:tcW w:w="460" w:type="dxa"/>
            <w:vAlign w:val="bottom"/>
            <w:shd w:val="clear" w:color="auto" w:fill="E9E9E9"/>
          </w:tcPr>
          <w:p>
            <w:pPr>
              <w:ind w:left="20"/>
              <w:spacing w:after="0"/>
              <w:rPr>
                <w:sz w:val="20"/>
                <w:szCs w:val="20"/>
                <w:color w:val="auto"/>
              </w:rPr>
            </w:pPr>
            <w:r>
              <w:rPr>
                <w:rFonts w:ascii="Arial" w:cs="Arial" w:eastAsia="Arial" w:hAnsi="Arial"/>
                <w:sz w:val="17"/>
                <w:szCs w:val="17"/>
                <w:color w:val="auto"/>
              </w:rPr>
              <w:t>(9)</w:t>
            </w:r>
          </w:p>
        </w:tc>
        <w:tc>
          <w:tcPr>
            <w:tcW w:w="1160" w:type="dxa"/>
            <w:vAlign w:val="bottom"/>
            <w:shd w:val="clear" w:color="auto" w:fill="E9E9E9"/>
          </w:tcPr>
          <w:p>
            <w:pPr>
              <w:jc w:val="right"/>
              <w:ind w:right="18"/>
              <w:spacing w:after="0"/>
              <w:rPr>
                <w:sz w:val="20"/>
                <w:szCs w:val="20"/>
                <w:color w:val="auto"/>
              </w:rPr>
            </w:pPr>
            <w:r>
              <w:rPr>
                <w:rFonts w:ascii="Arial" w:cs="Arial" w:eastAsia="Arial" w:hAnsi="Arial"/>
                <w:sz w:val="17"/>
                <w:szCs w:val="17"/>
                <w:color w:val="auto"/>
              </w:rPr>
              <w:t>$ 2,896,309</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bl>
    <w:p>
      <w:pPr>
        <w:spacing w:after="0" w:line="241" w:lineRule="exact"/>
        <w:rPr>
          <w:sz w:val="20"/>
          <w:szCs w:val="20"/>
          <w:color w:val="auto"/>
        </w:rPr>
      </w:pPr>
    </w:p>
    <w:p>
      <w:pPr>
        <w:ind w:left="460" w:hanging="454"/>
        <w:spacing w:after="0"/>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Calculated by multiplying the number of RSUs by the closing price of TI common stock on December 31, 2014 ($53.47).</w:t>
      </w:r>
    </w:p>
    <w:p>
      <w:pPr>
        <w:spacing w:after="0" w:line="200" w:lineRule="exact"/>
        <w:rPr>
          <w:rFonts w:ascii="Arial" w:cs="Arial" w:eastAsia="Arial" w:hAnsi="Arial"/>
          <w:sz w:val="17"/>
          <w:szCs w:val="17"/>
          <w:color w:val="auto"/>
        </w:rPr>
      </w:pPr>
    </w:p>
    <w:p>
      <w:pPr>
        <w:ind w:left="460" w:right="440" w:hanging="454"/>
        <w:spacing w:after="0" w:line="255"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One-quarter of the shares became exercisable on January 23, 2015, and one-third of the remaining shares become exercisable on each of January 23, 2016, January 23, 2017, and January 23, 2018.</w:t>
      </w:r>
    </w:p>
    <w:p>
      <w:pPr>
        <w:spacing w:after="0" w:line="179" w:lineRule="exact"/>
        <w:rPr>
          <w:rFonts w:ascii="Arial" w:cs="Arial" w:eastAsia="Arial" w:hAnsi="Arial"/>
          <w:sz w:val="17"/>
          <w:szCs w:val="17"/>
          <w:color w:val="auto"/>
        </w:rPr>
      </w:pPr>
    </w:p>
    <w:p>
      <w:pPr>
        <w:ind w:left="460" w:right="40" w:hanging="454"/>
        <w:spacing w:after="0" w:line="255"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One-third of the shares became exercisable on January 25, 2015, and one-half of the remaining shares become exercisable on each of January 25, 2016, and January 25, 2017.</w:t>
      </w:r>
    </w:p>
    <w:p>
      <w:pPr>
        <w:sectPr>
          <w:pgSz w:w="11900" w:h="16838" w:orient="portrait"/>
          <w:cols w:equalWidth="0" w:num="1">
            <w:col w:w="11420"/>
          </w:cols>
          <w:pgMar w:left="240" w:top="572" w:right="239" w:bottom="1440" w:gutter="0" w:footer="0" w:header="0"/>
        </w:sectPr>
      </w:pPr>
    </w:p>
    <w:p>
      <w:pPr>
        <w:spacing w:after="0" w:line="228" w:lineRule="exact"/>
        <w:rPr>
          <w:sz w:val="20"/>
          <w:szCs w:val="20"/>
          <w:color w:val="auto"/>
        </w:rPr>
      </w:pPr>
    </w:p>
    <w:p>
      <w:pPr>
        <w:ind w:left="4080"/>
        <w:spacing w:after="0"/>
        <w:tabs>
          <w:tab w:leader="none" w:pos="11180" w:val="left"/>
        </w:tabs>
        <w:rPr>
          <w:sz w:val="20"/>
          <w:szCs w:val="20"/>
          <w:color w:val="auto"/>
        </w:rPr>
      </w:pPr>
      <w:r>
        <w:rPr>
          <w:rFonts w:ascii="Arial" w:cs="Arial" w:eastAsia="Arial" w:hAnsi="Arial"/>
          <w:sz w:val="13"/>
          <w:szCs w:val="13"/>
          <w:color w:val="838383"/>
        </w:rPr>
        <w:t>TEXAS INSTRUMENTS ● 2015 PROXY STATEMENT</w:t>
      </w:r>
      <w:r>
        <w:rPr>
          <w:sz w:val="20"/>
          <w:szCs w:val="20"/>
          <w:color w:val="auto"/>
        </w:rPr>
        <w:tab/>
      </w:r>
      <w:r>
        <w:rPr>
          <w:rFonts w:ascii="Arial" w:cs="Arial" w:eastAsia="Arial" w:hAnsi="Arial"/>
          <w:sz w:val="13"/>
          <w:szCs w:val="13"/>
          <w:color w:val="838383"/>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type w:val="continuous"/>
        </w:sectPr>
      </w:pPr>
    </w:p>
    <w:bookmarkStart w:id="32" w:name="page33"/>
    <w:bookmarkEnd w:id="32"/>
    <w:p>
      <w:pPr>
        <w:ind w:left="460" w:hanging="454"/>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One-half of the shares became exercisable on January 26, 2015, and the remaining one-half become exercisable on January 26, 2016.</w:t>
      </w:r>
    </w:p>
    <w:p>
      <w:pPr>
        <w:spacing w:after="0" w:line="200" w:lineRule="exact"/>
        <w:rPr>
          <w:rFonts w:ascii="Arial" w:cs="Arial" w:eastAsia="Arial" w:hAnsi="Arial"/>
          <w:sz w:val="17"/>
          <w:szCs w:val="17"/>
          <w:color w:val="auto"/>
        </w:rPr>
      </w:pPr>
    </w:p>
    <w:p>
      <w:pPr>
        <w:ind w:left="460" w:hanging="454"/>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Became fully exercisable on January 27, 2015.</w:t>
      </w:r>
    </w:p>
    <w:p>
      <w:pPr>
        <w:spacing w:after="0" w:line="200" w:lineRule="exact"/>
        <w:rPr>
          <w:rFonts w:ascii="Arial" w:cs="Arial" w:eastAsia="Arial" w:hAnsi="Arial"/>
          <w:sz w:val="17"/>
          <w:szCs w:val="17"/>
          <w:color w:val="auto"/>
        </w:rPr>
      </w:pPr>
    </w:p>
    <w:p>
      <w:pPr>
        <w:ind w:left="460" w:hanging="454"/>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Vesting date is January 31, 2018.</w:t>
      </w:r>
    </w:p>
    <w:p>
      <w:pPr>
        <w:spacing w:after="0" w:line="200" w:lineRule="exact"/>
        <w:rPr>
          <w:rFonts w:ascii="Arial" w:cs="Arial" w:eastAsia="Arial" w:hAnsi="Arial"/>
          <w:sz w:val="17"/>
          <w:szCs w:val="17"/>
          <w:color w:val="auto"/>
        </w:rPr>
      </w:pPr>
    </w:p>
    <w:p>
      <w:pPr>
        <w:ind w:left="460" w:hanging="454"/>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Vesting date is January 31, 2017.</w:t>
      </w:r>
    </w:p>
    <w:p>
      <w:pPr>
        <w:spacing w:after="0" w:line="200" w:lineRule="exact"/>
        <w:rPr>
          <w:rFonts w:ascii="Arial" w:cs="Arial" w:eastAsia="Arial" w:hAnsi="Arial"/>
          <w:sz w:val="17"/>
          <w:szCs w:val="17"/>
          <w:color w:val="auto"/>
        </w:rPr>
      </w:pPr>
    </w:p>
    <w:p>
      <w:pPr>
        <w:ind w:left="460" w:hanging="454"/>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Vesting date is January 29, 2016.</w:t>
      </w:r>
    </w:p>
    <w:p>
      <w:pPr>
        <w:spacing w:after="0" w:line="200" w:lineRule="exact"/>
        <w:rPr>
          <w:rFonts w:ascii="Arial" w:cs="Arial" w:eastAsia="Arial" w:hAnsi="Arial"/>
          <w:sz w:val="17"/>
          <w:szCs w:val="17"/>
          <w:color w:val="auto"/>
        </w:rPr>
      </w:pPr>
    </w:p>
    <w:p>
      <w:pPr>
        <w:ind w:left="460" w:hanging="454"/>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Vested on January 30, 2015.</w:t>
      </w:r>
    </w:p>
    <w:p>
      <w:pPr>
        <w:spacing w:after="0" w:line="200" w:lineRule="exact"/>
        <w:rPr>
          <w:rFonts w:ascii="Arial" w:cs="Arial" w:eastAsia="Arial" w:hAnsi="Arial"/>
          <w:sz w:val="17"/>
          <w:szCs w:val="17"/>
          <w:color w:val="auto"/>
        </w:rPr>
      </w:pPr>
    </w:p>
    <w:p>
      <w:pPr>
        <w:ind w:left="460" w:hanging="454"/>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Vesting date is July 29, 2016.</w:t>
      </w:r>
    </w:p>
    <w:p>
      <w:pPr>
        <w:spacing w:after="0" w:line="200" w:lineRule="exact"/>
        <w:rPr>
          <w:rFonts w:ascii="Arial" w:cs="Arial" w:eastAsia="Arial" w:hAnsi="Arial"/>
          <w:sz w:val="17"/>
          <w:szCs w:val="17"/>
          <w:color w:val="auto"/>
        </w:rPr>
      </w:pPr>
    </w:p>
    <w:p>
      <w:pPr>
        <w:ind w:left="460" w:hanging="454"/>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Vesting date is July 31, 2018.</w:t>
      </w:r>
    </w:p>
    <w:p>
      <w:pPr>
        <w:spacing w:after="0" w:line="214"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 “Option Awards” shown in the table above are non-qualified stock options, each of which represents the right to purchase shares of TI common stock at the stated exercise price. For grants before 2007, the exercise price is the average of the high and low price of TI common stock on the grant date. For grants after 2006, the exercise price is the closing price of TI common stock on the grant date. The term of each option is ten years unless the option is terminated earlier pursuant to provisions summarized in the chart below and in the paragraph following the chart. Options vest (become exercisable) in increments of 25 percent per year beginning on the first anniversary of the date of the grant. The chart below shows the termination provisions relating to stock options outstanding as of December 31, 2014. The Compensation Committee of the board of directors established these termination provisions to promote employee retention while offering competitive terms.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40" w:type="dxa"/>
            <w:vAlign w:val="bottom"/>
          </w:tcPr>
          <w:p>
            <w:pPr>
              <w:spacing w:after="0"/>
              <w:rPr>
                <w:sz w:val="15"/>
                <w:szCs w:val="15"/>
                <w:color w:val="auto"/>
              </w:rPr>
            </w:pPr>
          </w:p>
        </w:tc>
        <w:tc>
          <w:tcPr>
            <w:tcW w:w="1880" w:type="dxa"/>
            <w:vAlign w:val="bottom"/>
          </w:tcPr>
          <w:p>
            <w:pPr>
              <w:jc w:val="center"/>
              <w:ind w:left="6"/>
              <w:spacing w:after="0"/>
              <w:rPr>
                <w:sz w:val="20"/>
                <w:szCs w:val="20"/>
                <w:color w:val="auto"/>
              </w:rPr>
            </w:pPr>
            <w:r>
              <w:rPr>
                <w:rFonts w:ascii="Arial" w:cs="Arial" w:eastAsia="Arial" w:hAnsi="Arial"/>
                <w:sz w:val="13"/>
                <w:szCs w:val="13"/>
                <w:b w:val="1"/>
                <w:bCs w:val="1"/>
                <w:color w:val="auto"/>
              </w:rPr>
              <w:t>Employment</w:t>
            </w:r>
          </w:p>
        </w:tc>
        <w:tc>
          <w:tcPr>
            <w:tcW w:w="3940" w:type="dxa"/>
            <w:vAlign w:val="bottom"/>
          </w:tcPr>
          <w:p>
            <w:pPr>
              <w:jc w:val="center"/>
              <w:ind w:left="46"/>
              <w:spacing w:after="0"/>
              <w:rPr>
                <w:sz w:val="20"/>
                <w:szCs w:val="20"/>
                <w:color w:val="auto"/>
              </w:rPr>
            </w:pPr>
            <w:r>
              <w:rPr>
                <w:rFonts w:ascii="Arial" w:cs="Arial" w:eastAsia="Arial" w:hAnsi="Arial"/>
                <w:sz w:val="13"/>
                <w:szCs w:val="13"/>
                <w:b w:val="1"/>
                <w:bCs w:val="1"/>
                <w:color w:val="auto"/>
              </w:rPr>
              <w:t>Employment Termination</w:t>
            </w:r>
          </w:p>
        </w:tc>
        <w:tc>
          <w:tcPr>
            <w:tcW w:w="156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38"/>
        </w:trPr>
        <w:tc>
          <w:tcPr>
            <w:tcW w:w="2140" w:type="dxa"/>
            <w:vAlign w:val="bottom"/>
          </w:tcPr>
          <w:p>
            <w:pPr>
              <w:jc w:val="center"/>
              <w:ind w:right="25"/>
              <w:spacing w:after="0"/>
              <w:rPr>
                <w:sz w:val="20"/>
                <w:szCs w:val="20"/>
                <w:color w:val="auto"/>
              </w:rPr>
            </w:pPr>
            <w:r>
              <w:rPr>
                <w:rFonts w:ascii="Arial" w:cs="Arial" w:eastAsia="Arial" w:hAnsi="Arial"/>
                <w:sz w:val="13"/>
                <w:szCs w:val="13"/>
                <w:b w:val="1"/>
                <w:bCs w:val="1"/>
                <w:color w:val="auto"/>
              </w:rPr>
              <w:t>Employment</w:t>
            </w:r>
          </w:p>
        </w:tc>
        <w:tc>
          <w:tcPr>
            <w:tcW w:w="1880" w:type="dxa"/>
            <w:vAlign w:val="bottom"/>
          </w:tcPr>
          <w:p>
            <w:pPr>
              <w:jc w:val="center"/>
              <w:ind w:left="6"/>
              <w:spacing w:after="0"/>
              <w:rPr>
                <w:sz w:val="20"/>
                <w:szCs w:val="20"/>
                <w:color w:val="auto"/>
              </w:rPr>
            </w:pPr>
            <w:r>
              <w:rPr>
                <w:rFonts w:ascii="Arial" w:cs="Arial" w:eastAsia="Arial" w:hAnsi="Arial"/>
                <w:sz w:val="13"/>
                <w:szCs w:val="13"/>
                <w:b w:val="1"/>
                <w:bCs w:val="1"/>
                <w:color w:val="auto"/>
              </w:rPr>
              <w:t>Termination (at Least</w:t>
            </w:r>
          </w:p>
        </w:tc>
        <w:tc>
          <w:tcPr>
            <w:tcW w:w="3940" w:type="dxa"/>
            <w:vAlign w:val="bottom"/>
          </w:tcPr>
          <w:p>
            <w:pPr>
              <w:jc w:val="center"/>
              <w:ind w:left="66"/>
              <w:spacing w:after="0"/>
              <w:rPr>
                <w:sz w:val="20"/>
                <w:szCs w:val="20"/>
                <w:color w:val="auto"/>
              </w:rPr>
            </w:pPr>
            <w:r>
              <w:rPr>
                <w:rFonts w:ascii="Arial" w:cs="Arial" w:eastAsia="Arial" w:hAnsi="Arial"/>
                <w:sz w:val="13"/>
                <w:szCs w:val="13"/>
                <w:b w:val="1"/>
                <w:bCs w:val="1"/>
                <w:color w:val="auto"/>
              </w:rPr>
              <w:t>(at Least 6 Months after Grant)</w:t>
            </w:r>
          </w:p>
        </w:tc>
        <w:tc>
          <w:tcPr>
            <w:tcW w:w="156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3"/>
                <w:szCs w:val="13"/>
                <w:b w:val="1"/>
                <w:bCs w:val="1"/>
                <w:color w:val="auto"/>
                <w:w w:val="97"/>
              </w:rPr>
              <w:t>Other</w:t>
            </w:r>
          </w:p>
        </w:tc>
      </w:tr>
      <w:tr>
        <w:trPr>
          <w:trHeight w:val="238"/>
        </w:trPr>
        <w:tc>
          <w:tcPr>
            <w:tcW w:w="2140" w:type="dxa"/>
            <w:vAlign w:val="bottom"/>
          </w:tcPr>
          <w:p>
            <w:pPr>
              <w:jc w:val="center"/>
              <w:ind w:right="25"/>
              <w:spacing w:after="0"/>
              <w:rPr>
                <w:sz w:val="20"/>
                <w:szCs w:val="20"/>
                <w:color w:val="auto"/>
              </w:rPr>
            </w:pPr>
            <w:r>
              <w:rPr>
                <w:rFonts w:ascii="Arial" w:cs="Arial" w:eastAsia="Arial" w:hAnsi="Arial"/>
                <w:sz w:val="13"/>
                <w:szCs w:val="13"/>
                <w:b w:val="1"/>
                <w:bCs w:val="1"/>
                <w:color w:val="auto"/>
              </w:rPr>
              <w:t>Termination Due to</w:t>
            </w:r>
          </w:p>
        </w:tc>
        <w:tc>
          <w:tcPr>
            <w:tcW w:w="1880" w:type="dxa"/>
            <w:vAlign w:val="bottom"/>
          </w:tcPr>
          <w:p>
            <w:pPr>
              <w:ind w:left="160"/>
              <w:spacing w:after="0"/>
              <w:rPr>
                <w:sz w:val="20"/>
                <w:szCs w:val="20"/>
                <w:color w:val="auto"/>
              </w:rPr>
            </w:pPr>
            <w:r>
              <w:rPr>
                <w:rFonts w:ascii="Arial" w:cs="Arial" w:eastAsia="Arial" w:hAnsi="Arial"/>
                <w:sz w:val="13"/>
                <w:szCs w:val="13"/>
                <w:b w:val="1"/>
                <w:bCs w:val="1"/>
                <w:color w:val="auto"/>
              </w:rPr>
              <w:t>6 Months after Grant)</w:t>
            </w:r>
          </w:p>
        </w:tc>
        <w:tc>
          <w:tcPr>
            <w:tcW w:w="3940" w:type="dxa"/>
            <w:vAlign w:val="bottom"/>
          </w:tcPr>
          <w:p>
            <w:pPr>
              <w:jc w:val="center"/>
              <w:ind w:left="66"/>
              <w:spacing w:after="0"/>
              <w:rPr>
                <w:sz w:val="20"/>
                <w:szCs w:val="20"/>
                <w:color w:val="auto"/>
              </w:rPr>
            </w:pPr>
            <w:r>
              <w:rPr>
                <w:rFonts w:ascii="Arial" w:cs="Arial" w:eastAsia="Arial" w:hAnsi="Arial"/>
                <w:sz w:val="13"/>
                <w:szCs w:val="13"/>
                <w:b w:val="1"/>
                <w:bCs w:val="1"/>
                <w:color w:val="auto"/>
              </w:rPr>
              <w:t>with 20 Years of Credited</w:t>
            </w:r>
          </w:p>
        </w:tc>
        <w:tc>
          <w:tcPr>
            <w:tcW w:w="1560" w:type="dxa"/>
            <w:vAlign w:val="bottom"/>
          </w:tcPr>
          <w:p>
            <w:pPr>
              <w:jc w:val="center"/>
              <w:ind w:left="89"/>
              <w:spacing w:after="0"/>
              <w:rPr>
                <w:sz w:val="20"/>
                <w:szCs w:val="20"/>
                <w:color w:val="auto"/>
              </w:rPr>
            </w:pPr>
            <w:r>
              <w:rPr>
                <w:rFonts w:ascii="Arial" w:cs="Arial" w:eastAsia="Arial" w:hAnsi="Arial"/>
                <w:sz w:val="13"/>
                <w:szCs w:val="13"/>
                <w:b w:val="1"/>
                <w:bCs w:val="1"/>
                <w:color w:val="auto"/>
              </w:rPr>
              <w:t>Employment</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auto"/>
              </w:rPr>
              <w:t>Circumstances</w:t>
            </w:r>
          </w:p>
        </w:tc>
      </w:tr>
      <w:tr>
        <w:trPr>
          <w:trHeight w:val="238"/>
        </w:trPr>
        <w:tc>
          <w:tcPr>
            <w:tcW w:w="2140" w:type="dxa"/>
            <w:vAlign w:val="bottom"/>
          </w:tcPr>
          <w:p>
            <w:pPr>
              <w:jc w:val="center"/>
              <w:ind w:right="45"/>
              <w:spacing w:after="0"/>
              <w:rPr>
                <w:sz w:val="20"/>
                <w:szCs w:val="20"/>
                <w:color w:val="auto"/>
              </w:rPr>
            </w:pPr>
            <w:r>
              <w:rPr>
                <w:rFonts w:ascii="Arial" w:cs="Arial" w:eastAsia="Arial" w:hAnsi="Arial"/>
                <w:sz w:val="13"/>
                <w:szCs w:val="13"/>
                <w:b w:val="1"/>
                <w:bCs w:val="1"/>
                <w:color w:val="auto"/>
              </w:rPr>
              <w:t>Death or Permanent</w:t>
            </w:r>
          </w:p>
        </w:tc>
        <w:tc>
          <w:tcPr>
            <w:tcW w:w="1880" w:type="dxa"/>
            <w:vAlign w:val="bottom"/>
          </w:tcPr>
          <w:p>
            <w:pPr>
              <w:jc w:val="center"/>
              <w:ind w:left="6"/>
              <w:spacing w:after="0"/>
              <w:rPr>
                <w:sz w:val="20"/>
                <w:szCs w:val="20"/>
                <w:color w:val="auto"/>
              </w:rPr>
            </w:pPr>
            <w:r>
              <w:rPr>
                <w:rFonts w:ascii="Arial" w:cs="Arial" w:eastAsia="Arial" w:hAnsi="Arial"/>
                <w:sz w:val="13"/>
                <w:szCs w:val="13"/>
                <w:b w:val="1"/>
                <w:bCs w:val="1"/>
                <w:color w:val="auto"/>
              </w:rPr>
              <w:t>When Retirement</w:t>
            </w:r>
          </w:p>
        </w:tc>
        <w:tc>
          <w:tcPr>
            <w:tcW w:w="3940" w:type="dxa"/>
            <w:vAlign w:val="bottom"/>
          </w:tcPr>
          <w:p>
            <w:pPr>
              <w:jc w:val="center"/>
              <w:ind w:left="66"/>
              <w:spacing w:after="0"/>
              <w:rPr>
                <w:sz w:val="20"/>
                <w:szCs w:val="20"/>
                <w:color w:val="auto"/>
              </w:rPr>
            </w:pPr>
            <w:r>
              <w:rPr>
                <w:rFonts w:ascii="Arial" w:cs="Arial" w:eastAsia="Arial" w:hAnsi="Arial"/>
                <w:sz w:val="13"/>
                <w:szCs w:val="13"/>
                <w:b w:val="1"/>
                <w:bCs w:val="1"/>
                <w:color w:val="auto"/>
              </w:rPr>
              <w:t>Service, but Not Retirement</w:t>
            </w:r>
          </w:p>
        </w:tc>
        <w:tc>
          <w:tcPr>
            <w:tcW w:w="1560" w:type="dxa"/>
            <w:vAlign w:val="bottom"/>
          </w:tcPr>
          <w:p>
            <w:pPr>
              <w:jc w:val="center"/>
              <w:ind w:left="89"/>
              <w:spacing w:after="0"/>
              <w:rPr>
                <w:sz w:val="20"/>
                <w:szCs w:val="20"/>
                <w:color w:val="auto"/>
              </w:rPr>
            </w:pPr>
            <w:r>
              <w:rPr>
                <w:rFonts w:ascii="Arial" w:cs="Arial" w:eastAsia="Arial" w:hAnsi="Arial"/>
                <w:sz w:val="13"/>
                <w:szCs w:val="13"/>
                <w:b w:val="1"/>
                <w:bCs w:val="1"/>
                <w:color w:val="auto"/>
              </w:rPr>
              <w:t>Termination for</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auto"/>
              </w:rPr>
              <w:t>of Employment</w:t>
            </w:r>
          </w:p>
        </w:tc>
      </w:tr>
      <w:tr>
        <w:trPr>
          <w:trHeight w:val="238"/>
        </w:trPr>
        <w:tc>
          <w:tcPr>
            <w:tcW w:w="2140" w:type="dxa"/>
            <w:vAlign w:val="bottom"/>
          </w:tcPr>
          <w:p>
            <w:pPr>
              <w:jc w:val="center"/>
              <w:ind w:right="25"/>
              <w:spacing w:after="0"/>
              <w:rPr>
                <w:sz w:val="20"/>
                <w:szCs w:val="20"/>
                <w:color w:val="auto"/>
              </w:rPr>
            </w:pPr>
            <w:r>
              <w:rPr>
                <w:rFonts w:ascii="Arial" w:cs="Arial" w:eastAsia="Arial" w:hAnsi="Arial"/>
                <w:sz w:val="13"/>
                <w:szCs w:val="13"/>
                <w:b w:val="1"/>
                <w:bCs w:val="1"/>
                <w:color w:val="auto"/>
              </w:rPr>
              <w:t>Disability</w:t>
            </w:r>
          </w:p>
        </w:tc>
        <w:tc>
          <w:tcPr>
            <w:tcW w:w="1880" w:type="dxa"/>
            <w:vAlign w:val="bottom"/>
          </w:tcPr>
          <w:p>
            <w:pPr>
              <w:jc w:val="center"/>
              <w:ind w:left="6"/>
              <w:spacing w:after="0"/>
              <w:rPr>
                <w:sz w:val="20"/>
                <w:szCs w:val="20"/>
                <w:color w:val="auto"/>
              </w:rPr>
            </w:pPr>
            <w:r>
              <w:rPr>
                <w:rFonts w:ascii="Arial" w:cs="Arial" w:eastAsia="Arial" w:hAnsi="Arial"/>
                <w:sz w:val="13"/>
                <w:szCs w:val="13"/>
                <w:b w:val="1"/>
                <w:bCs w:val="1"/>
                <w:color w:val="auto"/>
              </w:rPr>
              <w:t>Eligible *</w:t>
            </w:r>
          </w:p>
        </w:tc>
        <w:tc>
          <w:tcPr>
            <w:tcW w:w="3940" w:type="dxa"/>
            <w:vAlign w:val="bottom"/>
          </w:tcPr>
          <w:p>
            <w:pPr>
              <w:jc w:val="center"/>
              <w:ind w:left="66"/>
              <w:spacing w:after="0"/>
              <w:rPr>
                <w:sz w:val="20"/>
                <w:szCs w:val="20"/>
                <w:color w:val="auto"/>
              </w:rPr>
            </w:pPr>
            <w:r>
              <w:rPr>
                <w:rFonts w:ascii="Arial" w:cs="Arial" w:eastAsia="Arial" w:hAnsi="Arial"/>
                <w:sz w:val="13"/>
                <w:szCs w:val="13"/>
                <w:b w:val="1"/>
                <w:bCs w:val="1"/>
                <w:color w:val="auto"/>
                <w:w w:val="99"/>
              </w:rPr>
              <w:t>Eligible **</w:t>
            </w:r>
          </w:p>
        </w:tc>
        <w:tc>
          <w:tcPr>
            <w:tcW w:w="1560" w:type="dxa"/>
            <w:vAlign w:val="bottom"/>
          </w:tcPr>
          <w:p>
            <w:pPr>
              <w:jc w:val="center"/>
              <w:ind w:left="89"/>
              <w:spacing w:after="0"/>
              <w:rPr>
                <w:sz w:val="20"/>
                <w:szCs w:val="20"/>
                <w:color w:val="auto"/>
              </w:rPr>
            </w:pPr>
            <w:r>
              <w:rPr>
                <w:rFonts w:ascii="Arial" w:cs="Arial" w:eastAsia="Arial" w:hAnsi="Arial"/>
                <w:sz w:val="13"/>
                <w:szCs w:val="13"/>
                <w:b w:val="1"/>
                <w:bCs w:val="1"/>
                <w:color w:val="auto"/>
              </w:rPr>
              <w:t>Cause</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auto"/>
                <w:w w:val="99"/>
              </w:rPr>
              <w:t>Termination</w:t>
            </w:r>
          </w:p>
        </w:tc>
      </w:tr>
      <w:tr>
        <w:trPr>
          <w:trHeight w:val="41"/>
        </w:trPr>
        <w:tc>
          <w:tcPr>
            <w:tcW w:w="21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15"/>
        </w:trPr>
        <w:tc>
          <w:tcPr>
            <w:tcW w:w="2140" w:type="dxa"/>
            <w:vAlign w:val="bottom"/>
            <w:shd w:val="clear" w:color="auto" w:fill="E9E9E9"/>
          </w:tcPr>
          <w:p>
            <w:pPr>
              <w:spacing w:after="0"/>
              <w:rPr>
                <w:sz w:val="20"/>
                <w:szCs w:val="20"/>
                <w:color w:val="auto"/>
              </w:rPr>
            </w:pPr>
            <w:r>
              <w:rPr>
                <w:rFonts w:ascii="Arial" w:cs="Arial" w:eastAsia="Arial" w:hAnsi="Arial"/>
                <w:sz w:val="17"/>
                <w:szCs w:val="17"/>
                <w:color w:val="auto"/>
              </w:rPr>
              <w:t>Vesting continues; option</w:t>
            </w:r>
          </w:p>
        </w:tc>
        <w:tc>
          <w:tcPr>
            <w:tcW w:w="1880" w:type="dxa"/>
            <w:vAlign w:val="bottom"/>
            <w:shd w:val="clear" w:color="auto" w:fill="E9E9E9"/>
          </w:tcPr>
          <w:p>
            <w:pPr>
              <w:ind w:left="160"/>
              <w:spacing w:after="0"/>
              <w:rPr>
                <w:sz w:val="20"/>
                <w:szCs w:val="20"/>
                <w:color w:val="auto"/>
              </w:rPr>
            </w:pPr>
            <w:r>
              <w:rPr>
                <w:rFonts w:ascii="Arial" w:cs="Arial" w:eastAsia="Arial" w:hAnsi="Arial"/>
                <w:sz w:val="17"/>
                <w:szCs w:val="17"/>
                <w:color w:val="auto"/>
              </w:rPr>
              <w:t>Vesting continues;</w:t>
            </w:r>
          </w:p>
        </w:tc>
        <w:tc>
          <w:tcPr>
            <w:tcW w:w="3940" w:type="dxa"/>
            <w:vAlign w:val="bottom"/>
            <w:shd w:val="clear" w:color="auto" w:fill="E9E9E9"/>
          </w:tcPr>
          <w:p>
            <w:pPr>
              <w:ind w:left="180"/>
              <w:spacing w:after="0"/>
              <w:rPr>
                <w:sz w:val="20"/>
                <w:szCs w:val="20"/>
                <w:color w:val="auto"/>
              </w:rPr>
            </w:pPr>
            <w:r>
              <w:rPr>
                <w:rFonts w:ascii="Arial" w:cs="Arial" w:eastAsia="Arial" w:hAnsi="Arial"/>
                <w:sz w:val="17"/>
                <w:szCs w:val="17"/>
                <w:color w:val="auto"/>
              </w:rPr>
              <w:t>Option remains in effect to the end of the term;</w:t>
            </w:r>
          </w:p>
        </w:tc>
        <w:tc>
          <w:tcPr>
            <w:tcW w:w="1560" w:type="dxa"/>
            <w:vAlign w:val="bottom"/>
            <w:shd w:val="clear" w:color="auto" w:fill="E9E9E9"/>
          </w:tcPr>
          <w:p>
            <w:pPr>
              <w:ind w:left="220"/>
              <w:spacing w:after="0"/>
              <w:rPr>
                <w:sz w:val="20"/>
                <w:szCs w:val="20"/>
                <w:color w:val="auto"/>
              </w:rPr>
            </w:pPr>
            <w:r>
              <w:rPr>
                <w:rFonts w:ascii="Arial" w:cs="Arial" w:eastAsia="Arial" w:hAnsi="Arial"/>
                <w:sz w:val="17"/>
                <w:szCs w:val="17"/>
                <w:color w:val="auto"/>
              </w:rPr>
              <w:t>Option cancels</w:t>
            </w:r>
          </w:p>
        </w:tc>
        <w:tc>
          <w:tcPr>
            <w:tcW w:w="1900" w:type="dxa"/>
            <w:vAlign w:val="bottom"/>
            <w:shd w:val="clear" w:color="auto" w:fill="E9E9E9"/>
          </w:tcPr>
          <w:p>
            <w:pPr>
              <w:ind w:left="220"/>
              <w:spacing w:after="0"/>
              <w:rPr>
                <w:sz w:val="20"/>
                <w:szCs w:val="20"/>
                <w:color w:val="auto"/>
              </w:rPr>
            </w:pPr>
            <w:r>
              <w:rPr>
                <w:rFonts w:ascii="Arial" w:cs="Arial" w:eastAsia="Arial" w:hAnsi="Arial"/>
                <w:sz w:val="17"/>
                <w:szCs w:val="17"/>
                <w:color w:val="auto"/>
              </w:rPr>
              <w:t>Option remains</w:t>
            </w:r>
          </w:p>
        </w:tc>
      </w:tr>
      <w:tr>
        <w:trPr>
          <w:trHeight w:val="238"/>
        </w:trPr>
        <w:tc>
          <w:tcPr>
            <w:tcW w:w="2140" w:type="dxa"/>
            <w:vAlign w:val="bottom"/>
            <w:shd w:val="clear" w:color="auto" w:fill="E9E9E9"/>
          </w:tcPr>
          <w:p>
            <w:pPr>
              <w:spacing w:after="0"/>
              <w:rPr>
                <w:sz w:val="20"/>
                <w:szCs w:val="20"/>
                <w:color w:val="auto"/>
              </w:rPr>
            </w:pPr>
            <w:r>
              <w:rPr>
                <w:rFonts w:ascii="Arial" w:cs="Arial" w:eastAsia="Arial" w:hAnsi="Arial"/>
                <w:sz w:val="17"/>
                <w:szCs w:val="17"/>
                <w:color w:val="auto"/>
              </w:rPr>
              <w:t>remains in effect to end of</w:t>
            </w:r>
          </w:p>
        </w:tc>
        <w:tc>
          <w:tcPr>
            <w:tcW w:w="1880" w:type="dxa"/>
            <w:vAlign w:val="bottom"/>
            <w:shd w:val="clear" w:color="auto" w:fill="E9E9E9"/>
          </w:tcPr>
          <w:p>
            <w:pPr>
              <w:ind w:left="160"/>
              <w:spacing w:after="0"/>
              <w:rPr>
                <w:sz w:val="20"/>
                <w:szCs w:val="20"/>
                <w:color w:val="auto"/>
              </w:rPr>
            </w:pPr>
            <w:r>
              <w:rPr>
                <w:rFonts w:ascii="Arial" w:cs="Arial" w:eastAsia="Arial" w:hAnsi="Arial"/>
                <w:sz w:val="17"/>
                <w:szCs w:val="17"/>
                <w:color w:val="auto"/>
              </w:rPr>
              <w:t>option remains in</w:t>
            </w:r>
          </w:p>
        </w:tc>
        <w:tc>
          <w:tcPr>
            <w:tcW w:w="3940" w:type="dxa"/>
            <w:vAlign w:val="bottom"/>
            <w:shd w:val="clear" w:color="auto" w:fill="E9E9E9"/>
          </w:tcPr>
          <w:p>
            <w:pPr>
              <w:ind w:left="180"/>
              <w:spacing w:after="0"/>
              <w:rPr>
                <w:sz w:val="20"/>
                <w:szCs w:val="20"/>
                <w:color w:val="auto"/>
              </w:rPr>
            </w:pPr>
            <w:r>
              <w:rPr>
                <w:rFonts w:ascii="Arial" w:cs="Arial" w:eastAsia="Arial" w:hAnsi="Arial"/>
                <w:sz w:val="17"/>
                <w:szCs w:val="17"/>
                <w:color w:val="auto"/>
              </w:rPr>
              <w:t>vesting does not continue after employment</w:t>
            </w:r>
          </w:p>
        </w:tc>
        <w:tc>
          <w:tcPr>
            <w:tcW w:w="1560" w:type="dxa"/>
            <w:vAlign w:val="bottom"/>
            <w:shd w:val="clear" w:color="auto" w:fill="E9E9E9"/>
          </w:tcPr>
          <w:p>
            <w:pPr>
              <w:spacing w:after="0"/>
              <w:rPr>
                <w:sz w:val="20"/>
                <w:szCs w:val="20"/>
                <w:color w:val="auto"/>
              </w:rPr>
            </w:pPr>
          </w:p>
        </w:tc>
        <w:tc>
          <w:tcPr>
            <w:tcW w:w="1900" w:type="dxa"/>
            <w:vAlign w:val="bottom"/>
            <w:shd w:val="clear" w:color="auto" w:fill="E9E9E9"/>
          </w:tcPr>
          <w:p>
            <w:pPr>
              <w:ind w:left="220"/>
              <w:spacing w:after="0"/>
              <w:rPr>
                <w:sz w:val="20"/>
                <w:szCs w:val="20"/>
                <w:color w:val="auto"/>
              </w:rPr>
            </w:pPr>
            <w:r>
              <w:rPr>
                <w:rFonts w:ascii="Arial" w:cs="Arial" w:eastAsia="Arial" w:hAnsi="Arial"/>
                <w:sz w:val="17"/>
                <w:szCs w:val="17"/>
                <w:color w:val="auto"/>
              </w:rPr>
              <w:t>exercisable for 30</w:t>
            </w:r>
          </w:p>
        </w:tc>
      </w:tr>
      <w:tr>
        <w:trPr>
          <w:trHeight w:val="254"/>
        </w:trPr>
        <w:tc>
          <w:tcPr>
            <w:tcW w:w="2140" w:type="dxa"/>
            <w:vAlign w:val="bottom"/>
            <w:shd w:val="clear" w:color="auto" w:fill="E9E9E9"/>
          </w:tcPr>
          <w:p>
            <w:pPr>
              <w:spacing w:after="0"/>
              <w:rPr>
                <w:sz w:val="20"/>
                <w:szCs w:val="20"/>
                <w:color w:val="auto"/>
              </w:rPr>
            </w:pPr>
            <w:r>
              <w:rPr>
                <w:rFonts w:ascii="Arial" w:cs="Arial" w:eastAsia="Arial" w:hAnsi="Arial"/>
                <w:sz w:val="17"/>
                <w:szCs w:val="17"/>
                <w:color w:val="auto"/>
              </w:rPr>
              <w:t>term</w:t>
            </w:r>
          </w:p>
        </w:tc>
        <w:tc>
          <w:tcPr>
            <w:tcW w:w="1880" w:type="dxa"/>
            <w:vAlign w:val="bottom"/>
            <w:shd w:val="clear" w:color="auto" w:fill="E9E9E9"/>
          </w:tcPr>
          <w:p>
            <w:pPr>
              <w:ind w:left="160"/>
              <w:spacing w:after="0"/>
              <w:rPr>
                <w:sz w:val="20"/>
                <w:szCs w:val="20"/>
                <w:color w:val="auto"/>
              </w:rPr>
            </w:pPr>
            <w:r>
              <w:rPr>
                <w:rFonts w:ascii="Arial" w:cs="Arial" w:eastAsia="Arial" w:hAnsi="Arial"/>
                <w:sz w:val="17"/>
                <w:szCs w:val="17"/>
                <w:color w:val="auto"/>
              </w:rPr>
              <w:t>effect to end of term</w:t>
            </w:r>
          </w:p>
        </w:tc>
        <w:tc>
          <w:tcPr>
            <w:tcW w:w="3940" w:type="dxa"/>
            <w:vAlign w:val="bottom"/>
            <w:shd w:val="clear" w:color="auto" w:fill="E9E9E9"/>
          </w:tcPr>
          <w:p>
            <w:pPr>
              <w:ind w:left="180"/>
              <w:spacing w:after="0"/>
              <w:rPr>
                <w:sz w:val="20"/>
                <w:szCs w:val="20"/>
                <w:color w:val="auto"/>
              </w:rPr>
            </w:pPr>
            <w:r>
              <w:rPr>
                <w:rFonts w:ascii="Arial" w:cs="Arial" w:eastAsia="Arial" w:hAnsi="Arial"/>
                <w:sz w:val="17"/>
                <w:szCs w:val="17"/>
                <w:color w:val="auto"/>
              </w:rPr>
              <w:t>termination</w:t>
            </w:r>
          </w:p>
        </w:tc>
        <w:tc>
          <w:tcPr>
            <w:tcW w:w="1560" w:type="dxa"/>
            <w:vAlign w:val="bottom"/>
            <w:shd w:val="clear" w:color="auto" w:fill="E9E9E9"/>
          </w:tcPr>
          <w:p>
            <w:pPr>
              <w:spacing w:after="0"/>
              <w:rPr>
                <w:sz w:val="22"/>
                <w:szCs w:val="22"/>
                <w:color w:val="auto"/>
              </w:rPr>
            </w:pPr>
          </w:p>
        </w:tc>
        <w:tc>
          <w:tcPr>
            <w:tcW w:w="1900" w:type="dxa"/>
            <w:vAlign w:val="bottom"/>
            <w:shd w:val="clear" w:color="auto" w:fill="E9E9E9"/>
          </w:tcPr>
          <w:p>
            <w:pPr>
              <w:ind w:left="220"/>
              <w:spacing w:after="0"/>
              <w:rPr>
                <w:sz w:val="20"/>
                <w:szCs w:val="20"/>
                <w:color w:val="auto"/>
              </w:rPr>
            </w:pPr>
            <w:r>
              <w:rPr>
                <w:rFonts w:ascii="Arial" w:cs="Arial" w:eastAsia="Arial" w:hAnsi="Arial"/>
                <w:sz w:val="17"/>
                <w:szCs w:val="17"/>
                <w:color w:val="auto"/>
              </w:rPr>
              <w:t>days</w:t>
            </w:r>
          </w:p>
        </w:tc>
      </w:tr>
    </w:tbl>
    <w:p>
      <w:pPr>
        <w:spacing w:after="0" w:line="241" w:lineRule="exact"/>
        <w:rPr>
          <w:sz w:val="20"/>
          <w:szCs w:val="20"/>
          <w:color w:val="auto"/>
        </w:rPr>
      </w:pPr>
    </w:p>
    <w:p>
      <w:pPr>
        <w:ind w:left="200" w:right="140" w:hanging="194"/>
        <w:spacing w:after="0" w:line="255" w:lineRule="auto"/>
        <w:tabs>
          <w:tab w:leader="none" w:pos="2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Defined for purposes of equity awards made after 2012 as at least age 55 with 10 or more years of TI service or at least age 65. For awards made before 2013, the definition of normal or early retirement eligibility in the relevant pension plan applies (see page 105).</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 This provision is not applicable to grants made after 2012.</w:t>
      </w:r>
    </w:p>
    <w:p>
      <w:pPr>
        <w:spacing w:after="0" w:line="200" w:lineRule="exact"/>
        <w:rPr>
          <w:sz w:val="20"/>
          <w:szCs w:val="20"/>
          <w:color w:val="auto"/>
        </w:rPr>
      </w:pPr>
    </w:p>
    <w:p>
      <w:pPr>
        <w:spacing w:after="0" w:line="252"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Options may be cancelled if, during the two years after employment termination, the grantee competes with TI or solicits TI employees to work for another company, or if the grantee discloses TI trade secrets. In addition, for options received while the grantee was an executive officer, the company may reclaim (or “claw back”) profits earned under grants if the officer engages in such conduct. These provisions are intended to strengthen retention and provide a reasonable remedy to TI in case of competition, solicitation of our employees or disclosure of our confidential information.</w:t>
      </w:r>
    </w:p>
    <w:p>
      <w:pPr>
        <w:spacing w:after="0" w:line="200"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Options granted after 2009 become fully vested if the grantee is involuntarily terminated from employment with TI (other than for cause) within 24 months after a change in control of TI. “Change in control” is defined as provided in the Texas Instruments 2009 Long-Term Incentive Plan and occurs upon (1) acquisition of more than 50 percent of the voting stock or at least 80 percent of the assets of TI or (2) change of a majority of the board of directors in a 12-month period unless a majority of the directors then in office endorsed the appointment or election of the new directors (“Plan definition”). These terms are intended to reduce employee uncertainty and distraction in the period leading up to a change in control, if such an event were to occur. For options granted before 2010, the stock option terms provide that upon a change in control of TI, the option becomes fully vested to the extent it is then outstanding; and if employment termination (except for cause) has occurred within 30 days before the change in control, the change in control is deemed to have occurred first. “Change in control” is defined in these pre-2010 options as (1) acquisition of 20 percent of TI common stock other than through a transaction approved by the board of directors, or (2) change of a majority of the board of directors in a 24-month period unless a majority of the directors then in office have elected or nominated the new directors (together, the “pre-2010 definition”).</w:t>
      </w:r>
    </w:p>
    <w:p>
      <w:pPr>
        <w:spacing w:after="0" w:line="216" w:lineRule="exact"/>
        <w:rPr>
          <w:sz w:val="20"/>
          <w:szCs w:val="20"/>
          <w:color w:val="auto"/>
        </w:rPr>
      </w:pPr>
    </w:p>
    <w:p>
      <w:pPr>
        <w:spacing w:after="0"/>
        <w:tabs>
          <w:tab w:leader="none" w:pos="4140" w:val="left"/>
        </w:tabs>
        <w:rPr>
          <w:sz w:val="20"/>
          <w:szCs w:val="20"/>
          <w:color w:val="auto"/>
        </w:rPr>
      </w:pPr>
      <w:r>
        <w:rPr>
          <w:rFonts w:ascii="Arial" w:cs="Arial" w:eastAsia="Arial" w:hAnsi="Arial"/>
          <w:sz w:val="13"/>
          <w:szCs w:val="13"/>
          <w:color w:val="838383"/>
        </w:rPr>
        <w:t>102</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33" w:name="page34"/>
    <w:bookmarkEnd w:id="33"/>
    <w:p>
      <w:pPr>
        <w:ind w:right="160"/>
        <w:spacing w:after="0" w:line="246" w:lineRule="auto"/>
        <w:rPr>
          <w:sz w:val="20"/>
          <w:szCs w:val="20"/>
          <w:color w:val="auto"/>
        </w:rPr>
      </w:pPr>
      <w:r>
        <w:rPr>
          <w:rFonts w:ascii="Arial" w:cs="Arial" w:eastAsia="Arial" w:hAnsi="Arial"/>
          <w:sz w:val="17"/>
          <w:szCs w:val="17"/>
          <w:color w:val="auto"/>
        </w:rPr>
        <w:t>The “Stock Awards” in the table of outstanding equity awards at fiscal year-end 2014 are RSU awards. Each RSU represents the right to receive one share of TI common stock on a stated date (the “vesting date”) unless the award is terminated earlier under terms summarized below. In general, the vesting date is approximately four years after the grant date. Each RSU includes the right to receive dividend equivalents, which are paid annually in cash at a rate equal to the amount paid to stockholders in dividends. The table below shows the termination provisions of RSUs outstanding as of December 31,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40" w:type="dxa"/>
            <w:vAlign w:val="bottom"/>
          </w:tcPr>
          <w:p>
            <w:pPr>
              <w:spacing w:after="0"/>
              <w:rPr>
                <w:sz w:val="15"/>
                <w:szCs w:val="15"/>
                <w:color w:val="auto"/>
              </w:rPr>
            </w:pPr>
          </w:p>
        </w:tc>
        <w:tc>
          <w:tcPr>
            <w:tcW w:w="5380" w:type="dxa"/>
            <w:vAlign w:val="bottom"/>
          </w:tcPr>
          <w:p>
            <w:pPr>
              <w:jc w:val="center"/>
              <w:ind w:left="62"/>
              <w:spacing w:after="0"/>
              <w:rPr>
                <w:sz w:val="20"/>
                <w:szCs w:val="20"/>
                <w:color w:val="auto"/>
              </w:rPr>
            </w:pPr>
            <w:r>
              <w:rPr>
                <w:rFonts w:ascii="Arial" w:cs="Arial" w:eastAsia="Arial" w:hAnsi="Arial"/>
                <w:sz w:val="13"/>
                <w:szCs w:val="13"/>
                <w:b w:val="1"/>
                <w:bCs w:val="1"/>
                <w:color w:val="auto"/>
                <w:w w:val="99"/>
              </w:rPr>
              <w:t>Employment Termination</w:t>
            </w:r>
          </w:p>
        </w:tc>
        <w:tc>
          <w:tcPr>
            <w:tcW w:w="1780" w:type="dxa"/>
            <w:vAlign w:val="bottom"/>
          </w:tcPr>
          <w:p>
            <w:pPr>
              <w:jc w:val="center"/>
              <w:ind w:left="66"/>
              <w:spacing w:after="0"/>
              <w:rPr>
                <w:sz w:val="20"/>
                <w:szCs w:val="20"/>
                <w:color w:val="auto"/>
              </w:rPr>
            </w:pPr>
            <w:r>
              <w:rPr>
                <w:rFonts w:ascii="Arial" w:cs="Arial" w:eastAsia="Arial" w:hAnsi="Arial"/>
                <w:sz w:val="13"/>
                <w:szCs w:val="13"/>
                <w:b w:val="1"/>
                <w:bCs w:val="1"/>
                <w:color w:val="auto"/>
              </w:rPr>
              <w:t>Employment</w:t>
            </w:r>
          </w:p>
        </w:tc>
        <w:tc>
          <w:tcPr>
            <w:tcW w:w="1920" w:type="dxa"/>
            <w:vAlign w:val="bottom"/>
          </w:tcPr>
          <w:p>
            <w:pPr>
              <w:jc w:val="center"/>
              <w:ind w:left="186"/>
              <w:spacing w:after="0"/>
              <w:rPr>
                <w:sz w:val="20"/>
                <w:szCs w:val="20"/>
                <w:color w:val="auto"/>
              </w:rPr>
            </w:pPr>
            <w:r>
              <w:rPr>
                <w:rFonts w:ascii="Arial" w:cs="Arial" w:eastAsia="Arial" w:hAnsi="Arial"/>
                <w:sz w:val="13"/>
                <w:szCs w:val="13"/>
                <w:b w:val="1"/>
                <w:bCs w:val="1"/>
                <w:color w:val="auto"/>
              </w:rPr>
              <w:t>Other Circumstances</w:t>
            </w:r>
          </w:p>
        </w:tc>
      </w:tr>
      <w:tr>
        <w:trPr>
          <w:trHeight w:val="238"/>
        </w:trPr>
        <w:tc>
          <w:tcPr>
            <w:tcW w:w="2340" w:type="dxa"/>
            <w:vAlign w:val="bottom"/>
          </w:tcPr>
          <w:p>
            <w:pPr>
              <w:ind w:left="380"/>
              <w:spacing w:after="0"/>
              <w:rPr>
                <w:sz w:val="20"/>
                <w:szCs w:val="20"/>
                <w:color w:val="auto"/>
              </w:rPr>
            </w:pPr>
            <w:r>
              <w:rPr>
                <w:rFonts w:ascii="Arial" w:cs="Arial" w:eastAsia="Arial" w:hAnsi="Arial"/>
                <w:sz w:val="13"/>
                <w:szCs w:val="13"/>
                <w:b w:val="1"/>
                <w:bCs w:val="1"/>
                <w:color w:val="auto"/>
              </w:rPr>
              <w:t>Employment Termination</w:t>
            </w:r>
          </w:p>
        </w:tc>
        <w:tc>
          <w:tcPr>
            <w:tcW w:w="5380" w:type="dxa"/>
            <w:vAlign w:val="bottom"/>
          </w:tcPr>
          <w:p>
            <w:pPr>
              <w:jc w:val="center"/>
              <w:ind w:left="62"/>
              <w:spacing w:after="0"/>
              <w:rPr>
                <w:sz w:val="20"/>
                <w:szCs w:val="20"/>
                <w:color w:val="auto"/>
              </w:rPr>
            </w:pPr>
            <w:r>
              <w:rPr>
                <w:rFonts w:ascii="Arial" w:cs="Arial" w:eastAsia="Arial" w:hAnsi="Arial"/>
                <w:sz w:val="13"/>
                <w:szCs w:val="13"/>
                <w:b w:val="1"/>
                <w:bCs w:val="1"/>
                <w:color w:val="auto"/>
              </w:rPr>
              <w:t>(at Least 6 Months after Grant)</w:t>
            </w:r>
          </w:p>
        </w:tc>
        <w:tc>
          <w:tcPr>
            <w:tcW w:w="1780" w:type="dxa"/>
            <w:vAlign w:val="bottom"/>
          </w:tcPr>
          <w:p>
            <w:pPr>
              <w:jc w:val="center"/>
              <w:ind w:left="66"/>
              <w:spacing w:after="0"/>
              <w:rPr>
                <w:sz w:val="20"/>
                <w:szCs w:val="20"/>
                <w:color w:val="auto"/>
              </w:rPr>
            </w:pPr>
            <w:r>
              <w:rPr>
                <w:rFonts w:ascii="Arial" w:cs="Arial" w:eastAsia="Arial" w:hAnsi="Arial"/>
                <w:sz w:val="13"/>
                <w:szCs w:val="13"/>
                <w:b w:val="1"/>
                <w:bCs w:val="1"/>
                <w:color w:val="auto"/>
              </w:rPr>
              <w:t>Termination for</w:t>
            </w:r>
          </w:p>
        </w:tc>
        <w:tc>
          <w:tcPr>
            <w:tcW w:w="1920" w:type="dxa"/>
            <w:vAlign w:val="bottom"/>
          </w:tcPr>
          <w:p>
            <w:pPr>
              <w:jc w:val="center"/>
              <w:ind w:left="206"/>
              <w:spacing w:after="0"/>
              <w:rPr>
                <w:sz w:val="20"/>
                <w:szCs w:val="20"/>
                <w:color w:val="auto"/>
              </w:rPr>
            </w:pPr>
            <w:r>
              <w:rPr>
                <w:rFonts w:ascii="Arial" w:cs="Arial" w:eastAsia="Arial" w:hAnsi="Arial"/>
                <w:sz w:val="13"/>
                <w:szCs w:val="13"/>
                <w:b w:val="1"/>
                <w:bCs w:val="1"/>
                <w:color w:val="auto"/>
              </w:rPr>
              <w:t>of Employment</w:t>
            </w:r>
          </w:p>
        </w:tc>
      </w:tr>
      <w:tr>
        <w:trPr>
          <w:trHeight w:val="238"/>
        </w:trPr>
        <w:tc>
          <w:tcPr>
            <w:tcW w:w="2340" w:type="dxa"/>
            <w:vAlign w:val="bottom"/>
          </w:tcPr>
          <w:p>
            <w:pPr>
              <w:ind w:left="20"/>
              <w:spacing w:after="0"/>
              <w:rPr>
                <w:sz w:val="20"/>
                <w:szCs w:val="20"/>
                <w:color w:val="auto"/>
              </w:rPr>
            </w:pPr>
            <w:r>
              <w:rPr>
                <w:rFonts w:ascii="Arial" w:cs="Arial" w:eastAsia="Arial" w:hAnsi="Arial"/>
                <w:sz w:val="13"/>
                <w:szCs w:val="13"/>
                <w:b w:val="1"/>
                <w:bCs w:val="1"/>
                <w:color w:val="auto"/>
              </w:rPr>
              <w:t>Due to Death or Permanent Disability</w:t>
            </w:r>
          </w:p>
        </w:tc>
        <w:tc>
          <w:tcPr>
            <w:tcW w:w="5380" w:type="dxa"/>
            <w:vAlign w:val="bottom"/>
          </w:tcPr>
          <w:p>
            <w:pPr>
              <w:jc w:val="center"/>
              <w:ind w:left="62"/>
              <w:spacing w:after="0"/>
              <w:rPr>
                <w:sz w:val="20"/>
                <w:szCs w:val="20"/>
                <w:color w:val="auto"/>
              </w:rPr>
            </w:pPr>
            <w:r>
              <w:rPr>
                <w:rFonts w:ascii="Arial" w:cs="Arial" w:eastAsia="Arial" w:hAnsi="Arial"/>
                <w:sz w:val="13"/>
                <w:szCs w:val="13"/>
                <w:b w:val="1"/>
                <w:bCs w:val="1"/>
                <w:color w:val="auto"/>
              </w:rPr>
              <w:t>When Retirement Eligible</w:t>
            </w:r>
          </w:p>
        </w:tc>
        <w:tc>
          <w:tcPr>
            <w:tcW w:w="1780" w:type="dxa"/>
            <w:vAlign w:val="bottom"/>
          </w:tcPr>
          <w:p>
            <w:pPr>
              <w:jc w:val="center"/>
              <w:ind w:left="66"/>
              <w:spacing w:after="0"/>
              <w:rPr>
                <w:sz w:val="20"/>
                <w:szCs w:val="20"/>
                <w:color w:val="auto"/>
              </w:rPr>
            </w:pPr>
            <w:r>
              <w:rPr>
                <w:rFonts w:ascii="Arial" w:cs="Arial" w:eastAsia="Arial" w:hAnsi="Arial"/>
                <w:sz w:val="13"/>
                <w:szCs w:val="13"/>
                <w:b w:val="1"/>
                <w:bCs w:val="1"/>
                <w:color w:val="auto"/>
              </w:rPr>
              <w:t>Cause</w:t>
            </w:r>
          </w:p>
        </w:tc>
        <w:tc>
          <w:tcPr>
            <w:tcW w:w="1920" w:type="dxa"/>
            <w:vAlign w:val="bottom"/>
          </w:tcPr>
          <w:p>
            <w:pPr>
              <w:jc w:val="center"/>
              <w:ind w:left="186"/>
              <w:spacing w:after="0"/>
              <w:rPr>
                <w:sz w:val="20"/>
                <w:szCs w:val="20"/>
                <w:color w:val="auto"/>
              </w:rPr>
            </w:pPr>
            <w:r>
              <w:rPr>
                <w:rFonts w:ascii="Arial" w:cs="Arial" w:eastAsia="Arial" w:hAnsi="Arial"/>
                <w:sz w:val="13"/>
                <w:szCs w:val="13"/>
                <w:b w:val="1"/>
                <w:bCs w:val="1"/>
                <w:color w:val="auto"/>
                <w:w w:val="99"/>
              </w:rPr>
              <w:t>Termination</w:t>
            </w:r>
          </w:p>
        </w:tc>
      </w:tr>
      <w:tr>
        <w:trPr>
          <w:trHeight w:val="41"/>
        </w:trPr>
        <w:tc>
          <w:tcPr>
            <w:tcW w:w="2340" w:type="dxa"/>
            <w:vAlign w:val="bottom"/>
            <w:tcBorders>
              <w:bottom w:val="single" w:sz="8" w:color="auto"/>
            </w:tcBorders>
          </w:tcPr>
          <w:p>
            <w:pPr>
              <w:spacing w:after="0"/>
              <w:rPr>
                <w:sz w:val="3"/>
                <w:szCs w:val="3"/>
                <w:color w:val="auto"/>
              </w:rPr>
            </w:pPr>
          </w:p>
        </w:tc>
        <w:tc>
          <w:tcPr>
            <w:tcW w:w="53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195"/>
        </w:trPr>
        <w:tc>
          <w:tcPr>
            <w:tcW w:w="2340" w:type="dxa"/>
            <w:vAlign w:val="bottom"/>
            <w:shd w:val="clear" w:color="auto" w:fill="E9E9E9"/>
          </w:tcPr>
          <w:p>
            <w:pPr>
              <w:spacing w:after="0"/>
              <w:rPr>
                <w:sz w:val="20"/>
                <w:szCs w:val="20"/>
                <w:color w:val="auto"/>
              </w:rPr>
            </w:pPr>
            <w:r>
              <w:rPr>
                <w:rFonts w:ascii="Arial" w:cs="Arial" w:eastAsia="Arial" w:hAnsi="Arial"/>
                <w:sz w:val="17"/>
                <w:szCs w:val="17"/>
                <w:color w:val="auto"/>
              </w:rPr>
              <w:t>Vesting continues; shares are</w:t>
            </w:r>
          </w:p>
        </w:tc>
        <w:tc>
          <w:tcPr>
            <w:tcW w:w="53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For grants made after 2012: Grant stays in effect and pays out</w:t>
            </w:r>
          </w:p>
        </w:tc>
        <w:tc>
          <w:tcPr>
            <w:tcW w:w="17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Grant cancels; no</w:t>
            </w:r>
          </w:p>
        </w:tc>
        <w:tc>
          <w:tcPr>
            <w:tcW w:w="1920" w:type="dxa"/>
            <w:vAlign w:val="bottom"/>
            <w:shd w:val="clear" w:color="auto" w:fill="E9E9E9"/>
          </w:tcPr>
          <w:p>
            <w:pPr>
              <w:ind w:left="280"/>
              <w:spacing w:after="0"/>
              <w:rPr>
                <w:sz w:val="20"/>
                <w:szCs w:val="20"/>
                <w:color w:val="auto"/>
              </w:rPr>
            </w:pPr>
            <w:r>
              <w:rPr>
                <w:rFonts w:ascii="Arial" w:cs="Arial" w:eastAsia="Arial" w:hAnsi="Arial"/>
                <w:sz w:val="17"/>
                <w:szCs w:val="17"/>
                <w:color w:val="auto"/>
              </w:rPr>
              <w:t>Grant cancels; no</w:t>
            </w:r>
          </w:p>
        </w:tc>
      </w:tr>
      <w:tr>
        <w:trPr>
          <w:trHeight w:val="198"/>
        </w:trPr>
        <w:tc>
          <w:tcPr>
            <w:tcW w:w="2340" w:type="dxa"/>
            <w:vAlign w:val="bottom"/>
            <w:shd w:val="clear" w:color="auto" w:fill="E9E9E9"/>
          </w:tcPr>
          <w:p>
            <w:pPr>
              <w:spacing w:after="0"/>
              <w:rPr>
                <w:sz w:val="20"/>
                <w:szCs w:val="20"/>
                <w:color w:val="auto"/>
              </w:rPr>
            </w:pPr>
            <w:r>
              <w:rPr>
                <w:rFonts w:ascii="Arial" w:cs="Arial" w:eastAsia="Arial" w:hAnsi="Arial"/>
                <w:sz w:val="17"/>
                <w:szCs w:val="17"/>
                <w:color w:val="auto"/>
              </w:rPr>
              <w:t>paid at the scheduled vesting</w:t>
            </w:r>
          </w:p>
        </w:tc>
        <w:tc>
          <w:tcPr>
            <w:tcW w:w="53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shares at the scheduled vesting date</w:t>
            </w:r>
          </w:p>
        </w:tc>
        <w:tc>
          <w:tcPr>
            <w:tcW w:w="17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shares are issued</w:t>
            </w:r>
          </w:p>
        </w:tc>
        <w:tc>
          <w:tcPr>
            <w:tcW w:w="1920" w:type="dxa"/>
            <w:vAlign w:val="bottom"/>
            <w:shd w:val="clear" w:color="auto" w:fill="E9E9E9"/>
          </w:tcPr>
          <w:p>
            <w:pPr>
              <w:ind w:left="280"/>
              <w:spacing w:after="0"/>
              <w:rPr>
                <w:sz w:val="20"/>
                <w:szCs w:val="20"/>
                <w:color w:val="auto"/>
              </w:rPr>
            </w:pPr>
            <w:r>
              <w:rPr>
                <w:rFonts w:ascii="Arial" w:cs="Arial" w:eastAsia="Arial" w:hAnsi="Arial"/>
                <w:sz w:val="17"/>
                <w:szCs w:val="17"/>
                <w:color w:val="auto"/>
              </w:rPr>
              <w:t>shares are issued</w:t>
            </w:r>
          </w:p>
        </w:tc>
      </w:tr>
      <w:tr>
        <w:trPr>
          <w:trHeight w:val="195"/>
        </w:trPr>
        <w:tc>
          <w:tcPr>
            <w:tcW w:w="2340" w:type="dxa"/>
            <w:vAlign w:val="bottom"/>
            <w:shd w:val="clear" w:color="auto" w:fill="E9E9E9"/>
          </w:tcPr>
          <w:p>
            <w:pPr>
              <w:spacing w:after="0"/>
              <w:rPr>
                <w:sz w:val="20"/>
                <w:szCs w:val="20"/>
                <w:color w:val="auto"/>
              </w:rPr>
            </w:pPr>
            <w:r>
              <w:rPr>
                <w:rFonts w:ascii="Arial" w:cs="Arial" w:eastAsia="Arial" w:hAnsi="Arial"/>
                <w:sz w:val="17"/>
                <w:szCs w:val="17"/>
                <w:color w:val="auto"/>
              </w:rPr>
              <w:t>date</w:t>
            </w:r>
          </w:p>
        </w:tc>
        <w:tc>
          <w:tcPr>
            <w:tcW w:w="5380" w:type="dxa"/>
            <w:vAlign w:val="bottom"/>
            <w:shd w:val="clear" w:color="auto" w:fill="E9E9E9"/>
          </w:tcPr>
          <w:p>
            <w:pPr>
              <w:spacing w:after="0"/>
              <w:rPr>
                <w:sz w:val="16"/>
                <w:szCs w:val="16"/>
                <w:color w:val="auto"/>
              </w:rPr>
            </w:pPr>
          </w:p>
        </w:tc>
        <w:tc>
          <w:tcPr>
            <w:tcW w:w="1780" w:type="dxa"/>
            <w:vAlign w:val="bottom"/>
            <w:shd w:val="clear" w:color="auto" w:fill="E9E9E9"/>
          </w:tcPr>
          <w:p>
            <w:pPr>
              <w:spacing w:after="0"/>
              <w:rPr>
                <w:sz w:val="16"/>
                <w:szCs w:val="16"/>
                <w:color w:val="auto"/>
              </w:rPr>
            </w:pPr>
          </w:p>
        </w:tc>
        <w:tc>
          <w:tcPr>
            <w:tcW w:w="1920" w:type="dxa"/>
            <w:vAlign w:val="bottom"/>
            <w:shd w:val="clear" w:color="auto" w:fill="E9E9E9"/>
          </w:tcPr>
          <w:p>
            <w:pPr>
              <w:spacing w:after="0"/>
              <w:rPr>
                <w:sz w:val="16"/>
                <w:szCs w:val="16"/>
                <w:color w:val="auto"/>
              </w:rPr>
            </w:pPr>
          </w:p>
        </w:tc>
      </w:tr>
      <w:tr>
        <w:trPr>
          <w:trHeight w:val="238"/>
        </w:trPr>
        <w:tc>
          <w:tcPr>
            <w:tcW w:w="2340" w:type="dxa"/>
            <w:vAlign w:val="bottom"/>
            <w:shd w:val="clear" w:color="auto" w:fill="E9E9E9"/>
          </w:tcPr>
          <w:p>
            <w:pPr>
              <w:spacing w:after="0"/>
              <w:rPr>
                <w:sz w:val="20"/>
                <w:szCs w:val="20"/>
                <w:color w:val="auto"/>
              </w:rPr>
            </w:pPr>
          </w:p>
        </w:tc>
        <w:tc>
          <w:tcPr>
            <w:tcW w:w="5380" w:type="dxa"/>
            <w:vAlign w:val="bottom"/>
            <w:shd w:val="clear" w:color="auto" w:fill="E9E9E9"/>
          </w:tcPr>
          <w:p>
            <w:pPr>
              <w:spacing w:after="0"/>
              <w:rPr>
                <w:sz w:val="20"/>
                <w:szCs w:val="20"/>
                <w:color w:val="auto"/>
              </w:rPr>
            </w:pPr>
          </w:p>
        </w:tc>
        <w:tc>
          <w:tcPr>
            <w:tcW w:w="1780" w:type="dxa"/>
            <w:vAlign w:val="bottom"/>
            <w:shd w:val="clear" w:color="auto" w:fill="E9E9E9"/>
          </w:tcPr>
          <w:p>
            <w:pPr>
              <w:spacing w:after="0"/>
              <w:rPr>
                <w:sz w:val="20"/>
                <w:szCs w:val="20"/>
                <w:color w:val="auto"/>
              </w:rPr>
            </w:pPr>
          </w:p>
        </w:tc>
        <w:tc>
          <w:tcPr>
            <w:tcW w:w="1920" w:type="dxa"/>
            <w:vAlign w:val="bottom"/>
            <w:shd w:val="clear" w:color="auto" w:fill="E9E9E9"/>
          </w:tcPr>
          <w:p>
            <w:pPr>
              <w:spacing w:after="0"/>
              <w:rPr>
                <w:sz w:val="20"/>
                <w:szCs w:val="20"/>
                <w:color w:val="auto"/>
              </w:rPr>
            </w:pPr>
          </w:p>
        </w:tc>
      </w:tr>
      <w:tr>
        <w:trPr>
          <w:trHeight w:val="201"/>
        </w:trPr>
        <w:tc>
          <w:tcPr>
            <w:tcW w:w="2340" w:type="dxa"/>
            <w:vAlign w:val="bottom"/>
          </w:tcPr>
          <w:p>
            <w:pPr>
              <w:spacing w:after="0"/>
              <w:rPr>
                <w:sz w:val="17"/>
                <w:szCs w:val="17"/>
                <w:color w:val="auto"/>
              </w:rPr>
            </w:pPr>
          </w:p>
        </w:tc>
        <w:tc>
          <w:tcPr>
            <w:tcW w:w="5380" w:type="dxa"/>
            <w:vAlign w:val="bottom"/>
          </w:tcPr>
          <w:p>
            <w:pPr>
              <w:ind w:left="260"/>
              <w:spacing w:after="0"/>
              <w:rPr>
                <w:sz w:val="20"/>
                <w:szCs w:val="20"/>
                <w:color w:val="auto"/>
              </w:rPr>
            </w:pPr>
            <w:r>
              <w:rPr>
                <w:rFonts w:ascii="Arial" w:cs="Arial" w:eastAsia="Arial" w:hAnsi="Arial"/>
                <w:sz w:val="17"/>
                <w:szCs w:val="17"/>
                <w:color w:val="auto"/>
              </w:rPr>
              <w:t>For grants made before 2013: Grant stays in effect and pays out</w:t>
            </w:r>
          </w:p>
        </w:tc>
        <w:tc>
          <w:tcPr>
            <w:tcW w:w="17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8"/>
        </w:trPr>
        <w:tc>
          <w:tcPr>
            <w:tcW w:w="2340" w:type="dxa"/>
            <w:vAlign w:val="bottom"/>
          </w:tcPr>
          <w:p>
            <w:pPr>
              <w:spacing w:after="0"/>
              <w:rPr>
                <w:sz w:val="17"/>
                <w:szCs w:val="17"/>
                <w:color w:val="auto"/>
              </w:rPr>
            </w:pPr>
          </w:p>
        </w:tc>
        <w:tc>
          <w:tcPr>
            <w:tcW w:w="5380" w:type="dxa"/>
            <w:vAlign w:val="bottom"/>
          </w:tcPr>
          <w:p>
            <w:pPr>
              <w:ind w:left="260"/>
              <w:spacing w:after="0"/>
              <w:rPr>
                <w:sz w:val="20"/>
                <w:szCs w:val="20"/>
                <w:color w:val="auto"/>
              </w:rPr>
            </w:pPr>
            <w:r>
              <w:rPr>
                <w:rFonts w:ascii="Arial" w:cs="Arial" w:eastAsia="Arial" w:hAnsi="Arial"/>
                <w:sz w:val="17"/>
                <w:szCs w:val="17"/>
                <w:color w:val="auto"/>
              </w:rPr>
              <w:t>shares at the scheduled vesting date. Number of shares reduced</w:t>
            </w:r>
          </w:p>
        </w:tc>
        <w:tc>
          <w:tcPr>
            <w:tcW w:w="17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5"/>
        </w:trPr>
        <w:tc>
          <w:tcPr>
            <w:tcW w:w="2340" w:type="dxa"/>
            <w:vAlign w:val="bottom"/>
          </w:tcPr>
          <w:p>
            <w:pPr>
              <w:spacing w:after="0"/>
              <w:rPr>
                <w:sz w:val="17"/>
                <w:szCs w:val="17"/>
                <w:color w:val="auto"/>
              </w:rPr>
            </w:pPr>
          </w:p>
        </w:tc>
        <w:tc>
          <w:tcPr>
            <w:tcW w:w="5380" w:type="dxa"/>
            <w:vAlign w:val="bottom"/>
          </w:tcPr>
          <w:p>
            <w:pPr>
              <w:ind w:left="260"/>
              <w:spacing w:after="0"/>
              <w:rPr>
                <w:sz w:val="20"/>
                <w:szCs w:val="20"/>
                <w:color w:val="auto"/>
              </w:rPr>
            </w:pPr>
            <w:r>
              <w:rPr>
                <w:rFonts w:ascii="Arial" w:cs="Arial" w:eastAsia="Arial" w:hAnsi="Arial"/>
                <w:sz w:val="17"/>
                <w:szCs w:val="17"/>
                <w:color w:val="auto"/>
              </w:rPr>
              <w:t>according to the duration of employment over the vesting period *</w:t>
            </w:r>
          </w:p>
        </w:tc>
        <w:tc>
          <w:tcPr>
            <w:tcW w:w="1780" w:type="dxa"/>
            <w:vAlign w:val="bottom"/>
          </w:tcPr>
          <w:p>
            <w:pPr>
              <w:spacing w:after="0"/>
              <w:rPr>
                <w:sz w:val="17"/>
                <w:szCs w:val="17"/>
                <w:color w:val="auto"/>
              </w:rPr>
            </w:pPr>
          </w:p>
        </w:tc>
        <w:tc>
          <w:tcPr>
            <w:tcW w:w="1920" w:type="dxa"/>
            <w:vAlign w:val="bottom"/>
          </w:tcPr>
          <w:p>
            <w:pPr>
              <w:spacing w:after="0"/>
              <w:rPr>
                <w:sz w:val="17"/>
                <w:szCs w:val="17"/>
                <w:color w:val="auto"/>
              </w:rPr>
            </w:pPr>
          </w:p>
        </w:tc>
      </w:tr>
    </w:tbl>
    <w:p>
      <w:pPr>
        <w:spacing w:after="0" w:line="231" w:lineRule="exact"/>
        <w:rPr>
          <w:sz w:val="20"/>
          <w:szCs w:val="20"/>
          <w:color w:val="auto"/>
        </w:rPr>
      </w:pPr>
    </w:p>
    <w:p>
      <w:pPr>
        <w:ind w:left="340" w:right="100" w:hanging="334"/>
        <w:spacing w:after="0" w:line="255"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Calculated by multiplying the number of RSUs by a fraction equal to the number of whole 365-day periods from the grant date to the employment termination date (or first day of any bridge leave of absence leading to retirement), divided by the number of years in the vesting period.</w:t>
      </w:r>
    </w:p>
    <w:p>
      <w:pPr>
        <w:spacing w:after="0" w:line="19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These termination provisions are intended to promote retention. All RSU awards contain cancellation and clawback provisions like those described above for stock options. The terms provide that, to the extent permitted by Section 409A of the IRC, the award vests upon involuntary termination of TI employment within 24 months after a change in control. Change in control is the Plan definition. These cancellation, clawback and change-in-control terms are intended to conform RSU terms with those of stock options (to the extent permitted by the IRC) and to achieve the objectives described above in the discussion of stock options.</w:t>
      </w:r>
    </w:p>
    <w:p>
      <w:pPr>
        <w:spacing w:after="0" w:line="20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In addition to the “Stock Awards” shown in the outstanding equity awards at fiscal year-end 2014 table on pages 101 and 102, Mr. Templeton holds an award of RSUs that was granted in 1995. The award, for 120,000 shares of TI common stock, vested in 2000. Under the award terms, the shares will be issued to Mr. Templeton in March of the year after his termination of employment for any reason. These terms were designed to provide a tax benefit to the company by postponing the related compensation expense until it was likely to be fully deductible. In accordance with SEC requirements, this award is reflected in the 2014 non-qualified deferred compensation table on page 106.</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2014 option exercises and stock vested</w:t>
      </w:r>
    </w:p>
    <w:p>
      <w:pPr>
        <w:spacing w:after="0" w:line="234" w:lineRule="exact"/>
        <w:rPr>
          <w:sz w:val="20"/>
          <w:szCs w:val="20"/>
          <w:color w:val="auto"/>
        </w:rPr>
      </w:pPr>
    </w:p>
    <w:p>
      <w:pPr>
        <w:jc w:val="both"/>
        <w:ind w:right="40"/>
        <w:spacing w:after="0" w:line="247" w:lineRule="auto"/>
        <w:rPr>
          <w:sz w:val="20"/>
          <w:szCs w:val="20"/>
          <w:color w:val="auto"/>
        </w:rPr>
      </w:pPr>
      <w:r>
        <w:rPr>
          <w:rFonts w:ascii="Arial" w:cs="Arial" w:eastAsia="Arial" w:hAnsi="Arial"/>
          <w:sz w:val="17"/>
          <w:szCs w:val="17"/>
          <w:color w:val="auto"/>
        </w:rPr>
        <w:t>The following table lists the number of shares acquired and the value realized as a result of option exercises by the named executive officers in 2014 and the value of any RSUs that vested in 2014. For option exercises, the value realized is calculated by multiplying the number of shares acquired by the difference between the exercise price and the market price of TI common stock on the exercise date. For RSUs, the value realized is calculated by multiplying the number of RSUs that vested by the market price of TI common stock on the vesting date.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840" w:type="dxa"/>
            <w:vAlign w:val="bottom"/>
            <w:gridSpan w:val="3"/>
          </w:tcPr>
          <w:p>
            <w:pPr>
              <w:jc w:val="right"/>
              <w:ind w:right="917"/>
              <w:spacing w:after="0"/>
              <w:rPr>
                <w:sz w:val="20"/>
                <w:szCs w:val="20"/>
                <w:color w:val="auto"/>
              </w:rPr>
            </w:pPr>
            <w:r>
              <w:rPr>
                <w:rFonts w:ascii="Arial" w:cs="Arial" w:eastAsia="Arial" w:hAnsi="Arial"/>
                <w:sz w:val="13"/>
                <w:szCs w:val="13"/>
                <w:b w:val="1"/>
                <w:bCs w:val="1"/>
                <w:color w:val="auto"/>
              </w:rPr>
              <w:t>Option Awards</w:t>
            </w:r>
          </w:p>
        </w:tc>
        <w:tc>
          <w:tcPr>
            <w:tcW w:w="2720" w:type="dxa"/>
            <w:vAlign w:val="bottom"/>
            <w:gridSpan w:val="3"/>
          </w:tcPr>
          <w:p>
            <w:pPr>
              <w:jc w:val="right"/>
              <w:ind w:right="840"/>
              <w:spacing w:after="0"/>
              <w:rPr>
                <w:sz w:val="20"/>
                <w:szCs w:val="20"/>
                <w:color w:val="auto"/>
              </w:rPr>
            </w:pPr>
            <w:r>
              <w:rPr>
                <w:rFonts w:ascii="Arial" w:cs="Arial" w:eastAsia="Arial" w:hAnsi="Arial"/>
                <w:sz w:val="13"/>
                <w:szCs w:val="13"/>
                <w:b w:val="1"/>
                <w:bCs w:val="1"/>
                <w:color w:val="auto"/>
              </w:rPr>
              <w:t>Stock Awards</w:t>
            </w:r>
          </w:p>
        </w:tc>
      </w:tr>
      <w:tr>
        <w:trPr>
          <w:trHeight w:val="41"/>
        </w:trPr>
        <w:tc>
          <w:tcPr>
            <w:tcW w:w="266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90"/>
        </w:trPr>
        <w:tc>
          <w:tcPr>
            <w:tcW w:w="26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440" w:type="dxa"/>
            <w:vAlign w:val="bottom"/>
          </w:tcPr>
          <w:p>
            <w:pPr>
              <w:jc w:val="center"/>
              <w:ind w:right="314"/>
              <w:spacing w:after="0"/>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26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440" w:type="dxa"/>
            <w:vAlign w:val="bottom"/>
          </w:tcPr>
          <w:p>
            <w:pPr>
              <w:jc w:val="center"/>
              <w:ind w:right="314"/>
              <w:spacing w:after="0"/>
              <w:rPr>
                <w:sz w:val="20"/>
                <w:szCs w:val="20"/>
                <w:color w:val="auto"/>
              </w:rPr>
            </w:pPr>
            <w:r>
              <w:rPr>
                <w:rFonts w:ascii="Arial" w:cs="Arial" w:eastAsia="Arial" w:hAnsi="Arial"/>
                <w:sz w:val="13"/>
                <w:szCs w:val="13"/>
                <w:b w:val="1"/>
                <w:bCs w:val="1"/>
                <w:color w:val="auto"/>
              </w:rPr>
              <w:t>Shares Acquired</w:t>
            </w:r>
          </w:p>
        </w:tc>
        <w:tc>
          <w:tcPr>
            <w:tcW w:w="1400" w:type="dxa"/>
            <w:vAlign w:val="bottom"/>
            <w:gridSpan w:val="2"/>
          </w:tcPr>
          <w:p>
            <w:pPr>
              <w:jc w:val="right"/>
              <w:ind w:right="157"/>
              <w:spacing w:after="0"/>
              <w:rPr>
                <w:sz w:val="20"/>
                <w:szCs w:val="20"/>
                <w:color w:val="auto"/>
              </w:rPr>
            </w:pPr>
            <w:r>
              <w:rPr>
                <w:rFonts w:ascii="Arial" w:cs="Arial" w:eastAsia="Arial" w:hAnsi="Arial"/>
                <w:sz w:val="13"/>
                <w:szCs w:val="13"/>
                <w:b w:val="1"/>
                <w:bCs w:val="1"/>
                <w:color w:val="auto"/>
              </w:rPr>
              <w:t>Value Realized on</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rPr>
              <w:t>Shares Acquired</w:t>
            </w:r>
          </w:p>
        </w:tc>
        <w:tc>
          <w:tcPr>
            <w:tcW w:w="1220" w:type="dxa"/>
            <w:vAlign w:val="bottom"/>
            <w:gridSpan w:val="2"/>
          </w:tcPr>
          <w:p>
            <w:pPr>
              <w:jc w:val="center"/>
              <w:ind w:left="62"/>
              <w:spacing w:after="0"/>
              <w:rPr>
                <w:sz w:val="20"/>
                <w:szCs w:val="20"/>
                <w:color w:val="auto"/>
              </w:rPr>
            </w:pPr>
            <w:r>
              <w:rPr>
                <w:rFonts w:ascii="Arial" w:cs="Arial" w:eastAsia="Arial" w:hAnsi="Arial"/>
                <w:sz w:val="13"/>
                <w:szCs w:val="13"/>
                <w:b w:val="1"/>
                <w:bCs w:val="1"/>
                <w:color w:val="auto"/>
              </w:rPr>
              <w:t>Value Realized</w:t>
            </w:r>
          </w:p>
        </w:tc>
      </w:tr>
      <w:tr>
        <w:trPr>
          <w:trHeight w:val="238"/>
        </w:trPr>
        <w:tc>
          <w:tcPr>
            <w:tcW w:w="26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3220" w:type="dxa"/>
            <w:vAlign w:val="bottom"/>
          </w:tcPr>
          <w:p>
            <w:pPr>
              <w:spacing w:after="0"/>
              <w:rPr>
                <w:sz w:val="20"/>
                <w:szCs w:val="20"/>
                <w:color w:val="auto"/>
              </w:rPr>
            </w:pPr>
          </w:p>
        </w:tc>
        <w:tc>
          <w:tcPr>
            <w:tcW w:w="1440" w:type="dxa"/>
            <w:vAlign w:val="bottom"/>
          </w:tcPr>
          <w:p>
            <w:pPr>
              <w:jc w:val="center"/>
              <w:ind w:right="314"/>
              <w:spacing w:after="0"/>
              <w:rPr>
                <w:sz w:val="20"/>
                <w:szCs w:val="20"/>
                <w:color w:val="auto"/>
              </w:rPr>
            </w:pPr>
            <w:r>
              <w:rPr>
                <w:rFonts w:ascii="Arial" w:cs="Arial" w:eastAsia="Arial" w:hAnsi="Arial"/>
                <w:sz w:val="13"/>
                <w:szCs w:val="13"/>
                <w:b w:val="1"/>
                <w:bCs w:val="1"/>
                <w:color w:val="auto"/>
              </w:rPr>
              <w:t>on Exercise (#)</w:t>
            </w:r>
          </w:p>
        </w:tc>
        <w:tc>
          <w:tcPr>
            <w:tcW w:w="200" w:type="dxa"/>
            <w:vAlign w:val="bottom"/>
          </w:tcPr>
          <w:p>
            <w:pPr>
              <w:spacing w:after="0"/>
              <w:rPr>
                <w:sz w:val="20"/>
                <w:szCs w:val="20"/>
                <w:color w:val="auto"/>
              </w:rPr>
            </w:pPr>
          </w:p>
        </w:tc>
        <w:tc>
          <w:tcPr>
            <w:tcW w:w="1200" w:type="dxa"/>
            <w:vAlign w:val="bottom"/>
          </w:tcPr>
          <w:p>
            <w:pPr>
              <w:jc w:val="right"/>
              <w:ind w:right="337"/>
              <w:spacing w:after="0"/>
              <w:rPr>
                <w:sz w:val="20"/>
                <w:szCs w:val="20"/>
                <w:color w:val="auto"/>
              </w:rPr>
            </w:pPr>
            <w:r>
              <w:rPr>
                <w:rFonts w:ascii="Arial" w:cs="Arial" w:eastAsia="Arial" w:hAnsi="Arial"/>
                <w:sz w:val="13"/>
                <w:szCs w:val="13"/>
                <w:b w:val="1"/>
                <w:bCs w:val="1"/>
                <w:color w:val="auto"/>
              </w:rPr>
              <w:t>Exercise ($)</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9"/>
              </w:rPr>
              <w:t>on Vesting (#)</w:t>
            </w:r>
          </w:p>
        </w:tc>
        <w:tc>
          <w:tcPr>
            <w:tcW w:w="1220" w:type="dxa"/>
            <w:vAlign w:val="bottom"/>
            <w:gridSpan w:val="2"/>
          </w:tcPr>
          <w:p>
            <w:pPr>
              <w:jc w:val="center"/>
              <w:ind w:left="42"/>
              <w:spacing w:after="0"/>
              <w:rPr>
                <w:sz w:val="20"/>
                <w:szCs w:val="20"/>
                <w:color w:val="auto"/>
              </w:rPr>
            </w:pPr>
            <w:r>
              <w:rPr>
                <w:rFonts w:ascii="Arial" w:cs="Arial" w:eastAsia="Arial" w:hAnsi="Arial"/>
                <w:sz w:val="13"/>
                <w:szCs w:val="13"/>
                <w:b w:val="1"/>
                <w:bCs w:val="1"/>
                <w:color w:val="auto"/>
                <w:w w:val="99"/>
              </w:rPr>
              <w:t>on Vesting ($)</w:t>
            </w:r>
          </w:p>
        </w:tc>
      </w:tr>
      <w:tr>
        <w:trPr>
          <w:trHeight w:val="41"/>
        </w:trPr>
        <w:tc>
          <w:tcPr>
            <w:tcW w:w="266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31"/>
        </w:trPr>
        <w:tc>
          <w:tcPr>
            <w:tcW w:w="266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4660" w:type="dxa"/>
            <w:vAlign w:val="bottom"/>
            <w:gridSpan w:val="2"/>
            <w:shd w:val="clear" w:color="auto" w:fill="E9E9E9"/>
          </w:tcPr>
          <w:p>
            <w:pPr>
              <w:jc w:val="right"/>
              <w:ind w:right="514"/>
              <w:spacing w:after="0"/>
              <w:rPr>
                <w:sz w:val="20"/>
                <w:szCs w:val="20"/>
                <w:color w:val="auto"/>
              </w:rPr>
            </w:pPr>
            <w:r>
              <w:rPr>
                <w:rFonts w:ascii="Arial" w:cs="Arial" w:eastAsia="Arial" w:hAnsi="Arial"/>
                <w:sz w:val="17"/>
                <w:szCs w:val="17"/>
                <w:color w:val="auto"/>
              </w:rPr>
              <w:t>500,000</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E9E9E9"/>
          </w:tcPr>
          <w:p>
            <w:pPr>
              <w:jc w:val="right"/>
              <w:ind w:right="197"/>
              <w:spacing w:after="0"/>
              <w:rPr>
                <w:sz w:val="20"/>
                <w:szCs w:val="20"/>
                <w:color w:val="auto"/>
              </w:rPr>
            </w:pPr>
            <w:r>
              <w:rPr>
                <w:rFonts w:ascii="Arial" w:cs="Arial" w:eastAsia="Arial" w:hAnsi="Arial"/>
                <w:sz w:val="17"/>
                <w:szCs w:val="17"/>
                <w:color w:val="auto"/>
              </w:rPr>
              <w:t>13,460,000</w:t>
            </w:r>
          </w:p>
        </w:tc>
        <w:tc>
          <w:tcPr>
            <w:tcW w:w="1500" w:type="dxa"/>
            <w:vAlign w:val="bottom"/>
            <w:shd w:val="clear" w:color="auto" w:fill="E9E9E9"/>
          </w:tcPr>
          <w:p>
            <w:pPr>
              <w:jc w:val="right"/>
              <w:ind w:right="363"/>
              <w:spacing w:after="0"/>
              <w:rPr>
                <w:sz w:val="20"/>
                <w:szCs w:val="20"/>
                <w:color w:val="auto"/>
              </w:rPr>
            </w:pPr>
            <w:r>
              <w:rPr>
                <w:rFonts w:ascii="Arial" w:cs="Arial" w:eastAsia="Arial" w:hAnsi="Arial"/>
                <w:sz w:val="17"/>
                <w:szCs w:val="17"/>
                <w:color w:val="auto"/>
              </w:rPr>
              <w:t>180,000</w:t>
            </w:r>
          </w:p>
        </w:tc>
        <w:tc>
          <w:tcPr>
            <w:tcW w:w="1200" w:type="dxa"/>
            <w:vAlign w:val="bottom"/>
            <w:shd w:val="clear" w:color="auto" w:fill="E9E9E9"/>
          </w:tcPr>
          <w:p>
            <w:pPr>
              <w:jc w:val="center"/>
              <w:ind w:left="82"/>
              <w:spacing w:after="0"/>
              <w:rPr>
                <w:sz w:val="20"/>
                <w:szCs w:val="20"/>
                <w:color w:val="auto"/>
              </w:rPr>
            </w:pPr>
            <w:r>
              <w:rPr>
                <w:rFonts w:ascii="Arial" w:cs="Arial" w:eastAsia="Arial" w:hAnsi="Arial"/>
                <w:sz w:val="17"/>
                <w:szCs w:val="17"/>
                <w:color w:val="auto"/>
              </w:rPr>
              <w:t>$ 7,684,200</w:t>
            </w:r>
          </w:p>
        </w:tc>
        <w:tc>
          <w:tcPr>
            <w:tcW w:w="20" w:type="dxa"/>
            <w:vAlign w:val="bottom"/>
          </w:tcPr>
          <w:p>
            <w:pPr>
              <w:spacing w:after="0"/>
              <w:rPr>
                <w:sz w:val="20"/>
                <w:szCs w:val="20"/>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7"/>
                <w:szCs w:val="17"/>
                <w:color w:val="auto"/>
              </w:rPr>
              <w:t>K. P. March</w:t>
            </w:r>
          </w:p>
        </w:tc>
        <w:tc>
          <w:tcPr>
            <w:tcW w:w="4660" w:type="dxa"/>
            <w:vAlign w:val="bottom"/>
            <w:gridSpan w:val="2"/>
          </w:tcPr>
          <w:p>
            <w:pPr>
              <w:jc w:val="right"/>
              <w:ind w:right="514"/>
              <w:spacing w:after="0"/>
              <w:rPr>
                <w:sz w:val="20"/>
                <w:szCs w:val="20"/>
                <w:color w:val="auto"/>
              </w:rPr>
            </w:pPr>
            <w:r>
              <w:rPr>
                <w:rFonts w:ascii="Arial" w:cs="Arial" w:eastAsia="Arial" w:hAnsi="Arial"/>
                <w:sz w:val="17"/>
                <w:szCs w:val="17"/>
                <w:color w:val="auto"/>
              </w:rPr>
              <w:t>318,750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7"/>
              <w:spacing w:after="0"/>
              <w:rPr>
                <w:sz w:val="20"/>
                <w:szCs w:val="20"/>
                <w:color w:val="auto"/>
              </w:rPr>
            </w:pPr>
            <w:r>
              <w:rPr>
                <w:rFonts w:ascii="Arial" w:cs="Arial" w:eastAsia="Arial" w:hAnsi="Arial"/>
                <w:sz w:val="17"/>
                <w:szCs w:val="17"/>
                <w:color w:val="auto"/>
              </w:rPr>
              <w:t>7,983,971</w:t>
            </w:r>
          </w:p>
        </w:tc>
        <w:tc>
          <w:tcPr>
            <w:tcW w:w="1500" w:type="dxa"/>
            <w:vAlign w:val="bottom"/>
          </w:tcPr>
          <w:p>
            <w:pPr>
              <w:jc w:val="right"/>
              <w:ind w:right="363"/>
              <w:spacing w:after="0"/>
              <w:rPr>
                <w:sz w:val="20"/>
                <w:szCs w:val="20"/>
                <w:color w:val="auto"/>
              </w:rPr>
            </w:pPr>
            <w:r>
              <w:rPr>
                <w:rFonts w:ascii="Arial" w:cs="Arial" w:eastAsia="Arial" w:hAnsi="Arial"/>
                <w:sz w:val="17"/>
                <w:szCs w:val="17"/>
                <w:color w:val="auto"/>
              </w:rPr>
              <w:t>53,751</w:t>
            </w:r>
          </w:p>
        </w:tc>
        <w:tc>
          <w:tcPr>
            <w:tcW w:w="1200" w:type="dxa"/>
            <w:vAlign w:val="bottom"/>
          </w:tcPr>
          <w:p>
            <w:pPr>
              <w:jc w:val="center"/>
              <w:ind w:left="82"/>
              <w:spacing w:after="0"/>
              <w:rPr>
                <w:sz w:val="20"/>
                <w:szCs w:val="20"/>
                <w:color w:val="auto"/>
              </w:rPr>
            </w:pPr>
            <w:r>
              <w:rPr>
                <w:rFonts w:ascii="Arial" w:cs="Arial" w:eastAsia="Arial" w:hAnsi="Arial"/>
                <w:sz w:val="17"/>
                <w:szCs w:val="17"/>
                <w:color w:val="auto"/>
              </w:rPr>
              <w:t>$ 2,294,630</w:t>
            </w:r>
          </w:p>
        </w:tc>
        <w:tc>
          <w:tcPr>
            <w:tcW w:w="20" w:type="dxa"/>
            <w:vAlign w:val="bottom"/>
          </w:tcPr>
          <w:p>
            <w:pPr>
              <w:spacing w:after="0"/>
              <w:rPr>
                <w:sz w:val="19"/>
                <w:szCs w:val="19"/>
                <w:color w:val="auto"/>
              </w:rPr>
            </w:pPr>
          </w:p>
        </w:tc>
      </w:tr>
      <w:tr>
        <w:trPr>
          <w:trHeight w:val="246"/>
        </w:trPr>
        <w:tc>
          <w:tcPr>
            <w:tcW w:w="2660" w:type="dxa"/>
            <w:vAlign w:val="bottom"/>
            <w:shd w:val="clear" w:color="auto" w:fill="E9E9E9"/>
          </w:tcPr>
          <w:p>
            <w:pPr>
              <w:spacing w:after="0"/>
              <w:rPr>
                <w:sz w:val="20"/>
                <w:szCs w:val="20"/>
                <w:color w:val="auto"/>
              </w:rPr>
            </w:pPr>
            <w:r>
              <w:rPr>
                <w:rFonts w:ascii="Arial" w:cs="Arial" w:eastAsia="Arial" w:hAnsi="Arial"/>
                <w:sz w:val="17"/>
                <w:szCs w:val="17"/>
                <w:color w:val="auto"/>
              </w:rPr>
              <w:t>B. T. Crutcher</w:t>
            </w:r>
          </w:p>
        </w:tc>
        <w:tc>
          <w:tcPr>
            <w:tcW w:w="4660" w:type="dxa"/>
            <w:vAlign w:val="bottom"/>
            <w:gridSpan w:val="2"/>
            <w:shd w:val="clear" w:color="auto" w:fill="E9E9E9"/>
          </w:tcPr>
          <w:p>
            <w:pPr>
              <w:jc w:val="right"/>
              <w:ind w:right="514"/>
              <w:spacing w:after="0"/>
              <w:rPr>
                <w:sz w:val="20"/>
                <w:szCs w:val="20"/>
                <w:color w:val="auto"/>
              </w:rPr>
            </w:pPr>
            <w:r>
              <w:rPr>
                <w:rFonts w:ascii="Arial" w:cs="Arial" w:eastAsia="Arial" w:hAnsi="Arial"/>
                <w:sz w:val="17"/>
                <w:szCs w:val="17"/>
                <w:color w:val="auto"/>
              </w:rPr>
              <w:t>150,000</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E9E9E9"/>
          </w:tcPr>
          <w:p>
            <w:pPr>
              <w:jc w:val="right"/>
              <w:ind w:right="197"/>
              <w:spacing w:after="0"/>
              <w:rPr>
                <w:sz w:val="20"/>
                <w:szCs w:val="20"/>
                <w:color w:val="auto"/>
              </w:rPr>
            </w:pPr>
            <w:r>
              <w:rPr>
                <w:rFonts w:ascii="Arial" w:cs="Arial" w:eastAsia="Arial" w:hAnsi="Arial"/>
                <w:sz w:val="17"/>
                <w:szCs w:val="17"/>
                <w:color w:val="auto"/>
              </w:rPr>
              <w:t>2,282,377</w:t>
            </w:r>
          </w:p>
        </w:tc>
        <w:tc>
          <w:tcPr>
            <w:tcW w:w="1500" w:type="dxa"/>
            <w:vAlign w:val="bottom"/>
            <w:shd w:val="clear" w:color="auto" w:fill="E9E9E9"/>
          </w:tcPr>
          <w:p>
            <w:pPr>
              <w:jc w:val="right"/>
              <w:ind w:right="363"/>
              <w:spacing w:after="0"/>
              <w:rPr>
                <w:sz w:val="20"/>
                <w:szCs w:val="20"/>
                <w:color w:val="auto"/>
              </w:rPr>
            </w:pPr>
            <w:r>
              <w:rPr>
                <w:rFonts w:ascii="Arial" w:cs="Arial" w:eastAsia="Arial" w:hAnsi="Arial"/>
                <w:sz w:val="17"/>
                <w:szCs w:val="17"/>
                <w:color w:val="auto"/>
              </w:rPr>
              <w:t>150,000</w:t>
            </w:r>
          </w:p>
        </w:tc>
        <w:tc>
          <w:tcPr>
            <w:tcW w:w="1200" w:type="dxa"/>
            <w:vAlign w:val="bottom"/>
            <w:shd w:val="clear" w:color="auto" w:fill="E9E9E9"/>
          </w:tcPr>
          <w:p>
            <w:pPr>
              <w:jc w:val="center"/>
              <w:ind w:left="82"/>
              <w:spacing w:after="0"/>
              <w:rPr>
                <w:sz w:val="20"/>
                <w:szCs w:val="20"/>
                <w:color w:val="auto"/>
              </w:rPr>
            </w:pPr>
            <w:r>
              <w:rPr>
                <w:rFonts w:ascii="Arial" w:cs="Arial" w:eastAsia="Arial" w:hAnsi="Arial"/>
                <w:sz w:val="17"/>
                <w:szCs w:val="17"/>
                <w:color w:val="auto"/>
              </w:rPr>
              <w:t>$ 6,887,500</w:t>
            </w:r>
          </w:p>
        </w:tc>
        <w:tc>
          <w:tcPr>
            <w:tcW w:w="20" w:type="dxa"/>
            <w:vAlign w:val="bottom"/>
          </w:tcPr>
          <w:p>
            <w:pPr>
              <w:spacing w:after="0"/>
              <w:rPr>
                <w:sz w:val="21"/>
                <w:szCs w:val="2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7"/>
                <w:szCs w:val="17"/>
                <w:color w:val="auto"/>
              </w:rPr>
              <w:t>S. A. Anderson</w:t>
            </w:r>
          </w:p>
        </w:tc>
        <w:tc>
          <w:tcPr>
            <w:tcW w:w="4660" w:type="dxa"/>
            <w:vAlign w:val="bottom"/>
            <w:gridSpan w:val="2"/>
          </w:tcPr>
          <w:p>
            <w:pPr>
              <w:jc w:val="right"/>
              <w:ind w:right="514"/>
              <w:spacing w:after="0"/>
              <w:rPr>
                <w:sz w:val="20"/>
                <w:szCs w:val="20"/>
                <w:color w:val="auto"/>
              </w:rPr>
            </w:pPr>
            <w:r>
              <w:rPr>
                <w:rFonts w:ascii="Arial" w:cs="Arial" w:eastAsia="Arial" w:hAnsi="Arial"/>
                <w:sz w:val="17"/>
                <w:szCs w:val="17"/>
                <w:color w:val="auto"/>
              </w:rPr>
              <w:t>70,000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7"/>
              <w:spacing w:after="0"/>
              <w:rPr>
                <w:sz w:val="20"/>
                <w:szCs w:val="20"/>
                <w:color w:val="auto"/>
              </w:rPr>
            </w:pPr>
            <w:r>
              <w:rPr>
                <w:rFonts w:ascii="Arial" w:cs="Arial" w:eastAsia="Arial" w:hAnsi="Arial"/>
                <w:sz w:val="17"/>
                <w:szCs w:val="17"/>
                <w:color w:val="auto"/>
              </w:rPr>
              <w:t>1,354,542</w:t>
            </w:r>
          </w:p>
        </w:tc>
        <w:tc>
          <w:tcPr>
            <w:tcW w:w="1500" w:type="dxa"/>
            <w:vAlign w:val="bottom"/>
          </w:tcPr>
          <w:p>
            <w:pPr>
              <w:jc w:val="right"/>
              <w:ind w:right="363"/>
              <w:spacing w:after="0"/>
              <w:rPr>
                <w:sz w:val="20"/>
                <w:szCs w:val="20"/>
                <w:color w:val="auto"/>
              </w:rPr>
            </w:pPr>
            <w:r>
              <w:rPr>
                <w:rFonts w:ascii="Arial" w:cs="Arial" w:eastAsia="Arial" w:hAnsi="Arial"/>
                <w:sz w:val="17"/>
                <w:szCs w:val="17"/>
                <w:color w:val="auto"/>
              </w:rPr>
              <w:t>46,668</w:t>
            </w:r>
          </w:p>
        </w:tc>
        <w:tc>
          <w:tcPr>
            <w:tcW w:w="1200" w:type="dxa"/>
            <w:vAlign w:val="bottom"/>
          </w:tcPr>
          <w:p>
            <w:pPr>
              <w:jc w:val="center"/>
              <w:ind w:left="82"/>
              <w:spacing w:after="0"/>
              <w:rPr>
                <w:sz w:val="20"/>
                <w:szCs w:val="20"/>
                <w:color w:val="auto"/>
              </w:rPr>
            </w:pPr>
            <w:r>
              <w:rPr>
                <w:rFonts w:ascii="Arial" w:cs="Arial" w:eastAsia="Arial" w:hAnsi="Arial"/>
                <w:sz w:val="17"/>
                <w:szCs w:val="17"/>
                <w:color w:val="auto"/>
              </w:rPr>
              <w:t>$ 1,992,257</w:t>
            </w:r>
          </w:p>
        </w:tc>
        <w:tc>
          <w:tcPr>
            <w:tcW w:w="20" w:type="dxa"/>
            <w:vAlign w:val="bottom"/>
          </w:tcPr>
          <w:p>
            <w:pPr>
              <w:spacing w:after="0"/>
              <w:rPr>
                <w:sz w:val="19"/>
                <w:szCs w:val="19"/>
                <w:color w:val="auto"/>
              </w:rPr>
            </w:pPr>
          </w:p>
        </w:tc>
      </w:tr>
      <w:tr>
        <w:trPr>
          <w:trHeight w:val="246"/>
        </w:trPr>
        <w:tc>
          <w:tcPr>
            <w:tcW w:w="266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4660" w:type="dxa"/>
            <w:vAlign w:val="bottom"/>
            <w:gridSpan w:val="2"/>
            <w:shd w:val="clear" w:color="auto" w:fill="E9E9E9"/>
          </w:tcPr>
          <w:p>
            <w:pPr>
              <w:jc w:val="right"/>
              <w:ind w:right="514"/>
              <w:spacing w:after="0"/>
              <w:rPr>
                <w:sz w:val="20"/>
                <w:szCs w:val="20"/>
                <w:color w:val="auto"/>
              </w:rPr>
            </w:pPr>
            <w:r>
              <w:rPr>
                <w:rFonts w:ascii="Arial" w:cs="Arial" w:eastAsia="Arial" w:hAnsi="Arial"/>
                <w:sz w:val="17"/>
                <w:szCs w:val="17"/>
                <w:color w:val="auto"/>
              </w:rPr>
              <w:t>606,250</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E9E9E9"/>
          </w:tcPr>
          <w:p>
            <w:pPr>
              <w:jc w:val="right"/>
              <w:ind w:right="197"/>
              <w:spacing w:after="0"/>
              <w:rPr>
                <w:sz w:val="20"/>
                <w:szCs w:val="20"/>
                <w:color w:val="auto"/>
              </w:rPr>
            </w:pPr>
            <w:r>
              <w:rPr>
                <w:rFonts w:ascii="Arial" w:cs="Arial" w:eastAsia="Arial" w:hAnsi="Arial"/>
                <w:sz w:val="17"/>
                <w:szCs w:val="17"/>
                <w:color w:val="auto"/>
              </w:rPr>
              <w:t>10,747,804</w:t>
            </w:r>
          </w:p>
        </w:tc>
        <w:tc>
          <w:tcPr>
            <w:tcW w:w="1500" w:type="dxa"/>
            <w:vAlign w:val="bottom"/>
            <w:shd w:val="clear" w:color="auto" w:fill="E9E9E9"/>
          </w:tcPr>
          <w:p>
            <w:pPr>
              <w:jc w:val="right"/>
              <w:ind w:right="363"/>
              <w:spacing w:after="0"/>
              <w:rPr>
                <w:sz w:val="20"/>
                <w:szCs w:val="20"/>
                <w:color w:val="auto"/>
              </w:rPr>
            </w:pPr>
            <w:r>
              <w:rPr>
                <w:rFonts w:ascii="Arial" w:cs="Arial" w:eastAsia="Arial" w:hAnsi="Arial"/>
                <w:sz w:val="17"/>
                <w:szCs w:val="17"/>
                <w:color w:val="auto"/>
              </w:rPr>
              <w:t>62,501</w:t>
            </w:r>
          </w:p>
        </w:tc>
        <w:tc>
          <w:tcPr>
            <w:tcW w:w="1200" w:type="dxa"/>
            <w:vAlign w:val="bottom"/>
            <w:shd w:val="clear" w:color="auto" w:fill="E9E9E9"/>
          </w:tcPr>
          <w:p>
            <w:pPr>
              <w:jc w:val="center"/>
              <w:ind w:left="82"/>
              <w:spacing w:after="0"/>
              <w:rPr>
                <w:sz w:val="20"/>
                <w:szCs w:val="20"/>
                <w:color w:val="auto"/>
              </w:rPr>
            </w:pPr>
            <w:r>
              <w:rPr>
                <w:rFonts w:ascii="Arial" w:cs="Arial" w:eastAsia="Arial" w:hAnsi="Arial"/>
                <w:sz w:val="17"/>
                <w:szCs w:val="17"/>
                <w:color w:val="auto"/>
              </w:rPr>
              <w:t>$ 2,668,168</w:t>
            </w:r>
          </w:p>
        </w:tc>
        <w:tc>
          <w:tcPr>
            <w:tcW w:w="20" w:type="dxa"/>
            <w:vAlign w:val="bottom"/>
          </w:tcPr>
          <w:p>
            <w:pPr>
              <w:spacing w:after="0"/>
              <w:rPr>
                <w:sz w:val="21"/>
                <w:szCs w:val="21"/>
                <w:color w:val="auto"/>
              </w:rPr>
            </w:pPr>
          </w:p>
        </w:tc>
      </w:tr>
      <w:tr>
        <w:trPr>
          <w:trHeight w:val="408"/>
        </w:trPr>
        <w:tc>
          <w:tcPr>
            <w:tcW w:w="2660" w:type="dxa"/>
            <w:vAlign w:val="bottom"/>
          </w:tcPr>
          <w:p>
            <w:pPr>
              <w:spacing w:after="0"/>
              <w:rPr>
                <w:sz w:val="24"/>
                <w:szCs w:val="24"/>
                <w:color w:val="auto"/>
              </w:rPr>
            </w:pPr>
          </w:p>
        </w:tc>
        <w:tc>
          <w:tcPr>
            <w:tcW w:w="4660" w:type="dxa"/>
            <w:vAlign w:val="bottom"/>
            <w:gridSpan w:val="2"/>
          </w:tcPr>
          <w:p>
            <w:pPr>
              <w:jc w:val="right"/>
              <w:spacing w:after="0"/>
              <w:rPr>
                <w:sz w:val="20"/>
                <w:szCs w:val="20"/>
                <w:color w:val="auto"/>
              </w:rPr>
            </w:pPr>
            <w:r>
              <w:rPr>
                <w:rFonts w:ascii="Arial" w:cs="Arial" w:eastAsia="Arial" w:hAnsi="Arial"/>
                <w:sz w:val="13"/>
                <w:szCs w:val="13"/>
                <w:color w:val="838383"/>
              </w:rPr>
              <w:t>TEXAS INSTRUMENTS ● 2015 PROXY STATEMENT</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3"/>
                <w:szCs w:val="13"/>
                <w:color w:val="838383"/>
              </w:rPr>
              <w:t>103</w:t>
            </w:r>
          </w:p>
        </w:tc>
      </w:tr>
      <w:tr>
        <w:trPr>
          <w:trHeight w:val="355"/>
        </w:trPr>
        <w:tc>
          <w:tcPr>
            <w:tcW w:w="266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92" w:right="21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2014 pension benefits</w:t>
      </w:r>
    </w:p>
    <w:p>
      <w:pPr>
        <w:spacing w:after="0" w:line="234"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following table shows the present value as of December 31, 2014, of the benefit of the named executive officers under our qualified defined benefit pension plan (TI Employees Pension Plan) and non-qualified defined benefit pension plans (TI Employees Non-Qualified Pension Plan (which governs amounts earned before 2005) and TI Employees Non-Qualified Pension Plan II (which governs amounts earned after 2004)). In accordance with SEC requirements, the amounts shown in the table do not reflect any named executive officer’s retirement eligibility or any increase in benefits that may result from the named executive officer’s continued employment after December 31,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tcPr>
          <w:p>
            <w:pPr>
              <w:jc w:val="center"/>
              <w:ind w:left="141"/>
              <w:spacing w:after="0"/>
              <w:rPr>
                <w:sz w:val="20"/>
                <w:szCs w:val="20"/>
                <w:color w:val="auto"/>
              </w:rPr>
            </w:pPr>
            <w:r>
              <w:rPr>
                <w:rFonts w:ascii="Arial" w:cs="Arial" w:eastAsia="Arial" w:hAnsi="Arial"/>
                <w:sz w:val="13"/>
                <w:szCs w:val="13"/>
                <w:b w:val="1"/>
                <w:bCs w:val="1"/>
                <w:color w:val="auto"/>
              </w:rPr>
              <w:t>Payments</w:t>
            </w:r>
          </w:p>
        </w:tc>
      </w:tr>
      <w:tr>
        <w:trPr>
          <w:trHeight w:val="238"/>
        </w:trPr>
        <w:tc>
          <w:tcPr>
            <w:tcW w:w="38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center"/>
              <w:ind w:right="217"/>
              <w:spacing w:after="0"/>
              <w:rPr>
                <w:sz w:val="20"/>
                <w:szCs w:val="20"/>
                <w:color w:val="auto"/>
              </w:rPr>
            </w:pPr>
            <w:r>
              <w:rPr>
                <w:rFonts w:ascii="Arial" w:cs="Arial" w:eastAsia="Arial" w:hAnsi="Arial"/>
                <w:sz w:val="13"/>
                <w:szCs w:val="13"/>
                <w:b w:val="1"/>
                <w:bCs w:val="1"/>
                <w:color w:val="auto"/>
              </w:rPr>
              <w:t>Present</w:t>
            </w:r>
          </w:p>
        </w:tc>
        <w:tc>
          <w:tcPr>
            <w:tcW w:w="840" w:type="dxa"/>
            <w:vAlign w:val="bottom"/>
          </w:tcPr>
          <w:p>
            <w:pPr>
              <w:jc w:val="center"/>
              <w:ind w:left="141"/>
              <w:spacing w:after="0"/>
              <w:rPr>
                <w:sz w:val="20"/>
                <w:szCs w:val="20"/>
                <w:color w:val="auto"/>
              </w:rPr>
            </w:pPr>
            <w:r>
              <w:rPr>
                <w:rFonts w:ascii="Arial" w:cs="Arial" w:eastAsia="Arial" w:hAnsi="Arial"/>
                <w:sz w:val="13"/>
                <w:szCs w:val="13"/>
                <w:b w:val="1"/>
                <w:bCs w:val="1"/>
                <w:color w:val="auto"/>
              </w:rPr>
              <w:t>During</w:t>
            </w:r>
          </w:p>
        </w:tc>
      </w:tr>
      <w:tr>
        <w:trPr>
          <w:trHeight w:val="238"/>
        </w:trPr>
        <w:tc>
          <w:tcPr>
            <w:tcW w:w="38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520" w:type="dxa"/>
            <w:vAlign w:val="bottom"/>
            <w:gridSpan w:val="2"/>
          </w:tcPr>
          <w:p>
            <w:pPr>
              <w:jc w:val="center"/>
              <w:ind w:right="14"/>
              <w:spacing w:after="0"/>
              <w:rPr>
                <w:sz w:val="20"/>
                <w:szCs w:val="20"/>
                <w:color w:val="auto"/>
              </w:rPr>
            </w:pPr>
            <w:r>
              <w:rPr>
                <w:rFonts w:ascii="Arial" w:cs="Arial" w:eastAsia="Arial" w:hAnsi="Arial"/>
                <w:sz w:val="13"/>
                <w:szCs w:val="13"/>
                <w:b w:val="1"/>
                <w:bCs w:val="1"/>
                <w:color w:val="auto"/>
              </w:rPr>
              <w:t>Number of</w:t>
            </w:r>
          </w:p>
        </w:tc>
        <w:tc>
          <w:tcPr>
            <w:tcW w:w="500" w:type="dxa"/>
            <w:vAlign w:val="bottom"/>
          </w:tcPr>
          <w:p>
            <w:pPr>
              <w:spacing w:after="0"/>
              <w:rPr>
                <w:sz w:val="20"/>
                <w:szCs w:val="20"/>
                <w:color w:val="auto"/>
              </w:rPr>
            </w:pPr>
          </w:p>
        </w:tc>
        <w:tc>
          <w:tcPr>
            <w:tcW w:w="1020" w:type="dxa"/>
            <w:vAlign w:val="bottom"/>
          </w:tcPr>
          <w:p>
            <w:pPr>
              <w:jc w:val="center"/>
              <w:ind w:right="237"/>
              <w:spacing w:after="0"/>
              <w:rPr>
                <w:sz w:val="20"/>
                <w:szCs w:val="20"/>
                <w:color w:val="auto"/>
              </w:rPr>
            </w:pPr>
            <w:r>
              <w:rPr>
                <w:rFonts w:ascii="Arial" w:cs="Arial" w:eastAsia="Arial" w:hAnsi="Arial"/>
                <w:sz w:val="13"/>
                <w:szCs w:val="13"/>
                <w:b w:val="1"/>
                <w:bCs w:val="1"/>
                <w:color w:val="auto"/>
                <w:w w:val="98"/>
              </w:rPr>
              <w:t>Value of</w:t>
            </w:r>
          </w:p>
        </w:tc>
        <w:tc>
          <w:tcPr>
            <w:tcW w:w="840" w:type="dxa"/>
            <w:vAlign w:val="bottom"/>
          </w:tcPr>
          <w:p>
            <w:pPr>
              <w:jc w:val="center"/>
              <w:ind w:left="121"/>
              <w:spacing w:after="0"/>
              <w:rPr>
                <w:sz w:val="20"/>
                <w:szCs w:val="20"/>
                <w:color w:val="auto"/>
              </w:rPr>
            </w:pPr>
            <w:r>
              <w:rPr>
                <w:rFonts w:ascii="Arial" w:cs="Arial" w:eastAsia="Arial" w:hAnsi="Arial"/>
                <w:sz w:val="13"/>
                <w:szCs w:val="13"/>
                <w:b w:val="1"/>
                <w:bCs w:val="1"/>
                <w:color w:val="auto"/>
              </w:rPr>
              <w:t>Last</w:t>
            </w:r>
          </w:p>
        </w:tc>
      </w:tr>
      <w:tr>
        <w:trPr>
          <w:trHeight w:val="238"/>
        </w:trPr>
        <w:tc>
          <w:tcPr>
            <w:tcW w:w="38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520" w:type="dxa"/>
            <w:vAlign w:val="bottom"/>
            <w:gridSpan w:val="2"/>
          </w:tcPr>
          <w:p>
            <w:pPr>
              <w:jc w:val="center"/>
              <w:ind w:right="34"/>
              <w:spacing w:after="0"/>
              <w:rPr>
                <w:sz w:val="20"/>
                <w:szCs w:val="20"/>
                <w:color w:val="auto"/>
              </w:rPr>
            </w:pPr>
            <w:r>
              <w:rPr>
                <w:rFonts w:ascii="Arial" w:cs="Arial" w:eastAsia="Arial" w:hAnsi="Arial"/>
                <w:sz w:val="13"/>
                <w:szCs w:val="13"/>
                <w:b w:val="1"/>
                <w:bCs w:val="1"/>
                <w:color w:val="auto"/>
              </w:rPr>
              <w:t>Years Credited</w:t>
            </w:r>
          </w:p>
        </w:tc>
        <w:tc>
          <w:tcPr>
            <w:tcW w:w="1520" w:type="dxa"/>
            <w:vAlign w:val="bottom"/>
            <w:gridSpan w:val="2"/>
          </w:tcPr>
          <w:p>
            <w:pPr>
              <w:jc w:val="center"/>
              <w:ind w:left="117"/>
              <w:spacing w:after="0"/>
              <w:rPr>
                <w:sz w:val="20"/>
                <w:szCs w:val="20"/>
                <w:color w:val="auto"/>
              </w:rPr>
            </w:pPr>
            <w:r>
              <w:rPr>
                <w:rFonts w:ascii="Arial" w:cs="Arial" w:eastAsia="Arial" w:hAnsi="Arial"/>
                <w:sz w:val="13"/>
                <w:szCs w:val="13"/>
                <w:b w:val="1"/>
                <w:bCs w:val="1"/>
                <w:color w:val="auto"/>
              </w:rPr>
              <w:t>Accumulated</w:t>
            </w:r>
          </w:p>
        </w:tc>
        <w:tc>
          <w:tcPr>
            <w:tcW w:w="840" w:type="dxa"/>
            <w:vAlign w:val="bottom"/>
          </w:tcPr>
          <w:p>
            <w:pPr>
              <w:jc w:val="center"/>
              <w:ind w:left="141"/>
              <w:spacing w:after="0"/>
              <w:rPr>
                <w:sz w:val="20"/>
                <w:szCs w:val="20"/>
                <w:color w:val="auto"/>
              </w:rPr>
            </w:pPr>
            <w:r>
              <w:rPr>
                <w:rFonts w:ascii="Arial" w:cs="Arial" w:eastAsia="Arial" w:hAnsi="Arial"/>
                <w:sz w:val="13"/>
                <w:szCs w:val="13"/>
                <w:b w:val="1"/>
                <w:bCs w:val="1"/>
                <w:color w:val="auto"/>
              </w:rPr>
              <w:t>Fiscal</w:t>
            </w:r>
          </w:p>
        </w:tc>
      </w:tr>
      <w:tr>
        <w:trPr>
          <w:trHeight w:val="238"/>
        </w:trPr>
        <w:tc>
          <w:tcPr>
            <w:tcW w:w="3860" w:type="dxa"/>
            <w:vAlign w:val="bottom"/>
          </w:tcPr>
          <w:p>
            <w:pPr>
              <w:spacing w:after="0"/>
              <w:rPr>
                <w:sz w:val="20"/>
                <w:szCs w:val="20"/>
                <w:color w:val="auto"/>
              </w:rPr>
            </w:pPr>
            <w:r>
              <w:rPr>
                <w:rFonts w:ascii="Arial" w:cs="Arial" w:eastAsia="Arial" w:hAnsi="Arial"/>
                <w:sz w:val="13"/>
                <w:szCs w:val="13"/>
                <w:b w:val="1"/>
                <w:bCs w:val="1"/>
                <w:color w:val="auto"/>
              </w:rPr>
              <w:t>Name (1)</w:t>
            </w:r>
          </w:p>
        </w:tc>
        <w:tc>
          <w:tcPr>
            <w:tcW w:w="3680" w:type="dxa"/>
            <w:vAlign w:val="bottom"/>
          </w:tcPr>
          <w:p>
            <w:pPr>
              <w:ind w:left="1420"/>
              <w:spacing w:after="0"/>
              <w:rPr>
                <w:sz w:val="20"/>
                <w:szCs w:val="20"/>
                <w:color w:val="auto"/>
              </w:rPr>
            </w:pPr>
            <w:r>
              <w:rPr>
                <w:rFonts w:ascii="Arial" w:cs="Arial" w:eastAsia="Arial" w:hAnsi="Arial"/>
                <w:sz w:val="13"/>
                <w:szCs w:val="13"/>
                <w:b w:val="1"/>
                <w:bCs w:val="1"/>
                <w:color w:val="auto"/>
              </w:rPr>
              <w:t>Plan Name</w:t>
            </w:r>
          </w:p>
        </w:tc>
        <w:tc>
          <w:tcPr>
            <w:tcW w:w="1520" w:type="dxa"/>
            <w:vAlign w:val="bottom"/>
            <w:gridSpan w:val="2"/>
          </w:tcPr>
          <w:p>
            <w:pPr>
              <w:jc w:val="center"/>
              <w:ind w:right="14"/>
              <w:spacing w:after="0"/>
              <w:rPr>
                <w:sz w:val="20"/>
                <w:szCs w:val="20"/>
                <w:color w:val="auto"/>
              </w:rPr>
            </w:pPr>
            <w:r>
              <w:rPr>
                <w:rFonts w:ascii="Arial" w:cs="Arial" w:eastAsia="Arial" w:hAnsi="Arial"/>
                <w:sz w:val="13"/>
                <w:szCs w:val="13"/>
                <w:b w:val="1"/>
                <w:bCs w:val="1"/>
                <w:color w:val="auto"/>
              </w:rPr>
              <w:t>Service (#)</w:t>
            </w:r>
          </w:p>
        </w:tc>
        <w:tc>
          <w:tcPr>
            <w:tcW w:w="1520" w:type="dxa"/>
            <w:vAlign w:val="bottom"/>
            <w:gridSpan w:val="2"/>
          </w:tcPr>
          <w:p>
            <w:pPr>
              <w:jc w:val="center"/>
              <w:ind w:left="117"/>
              <w:spacing w:after="0"/>
              <w:rPr>
                <w:sz w:val="20"/>
                <w:szCs w:val="20"/>
                <w:color w:val="auto"/>
              </w:rPr>
            </w:pPr>
            <w:r>
              <w:rPr>
                <w:rFonts w:ascii="Arial" w:cs="Arial" w:eastAsia="Arial" w:hAnsi="Arial"/>
                <w:sz w:val="13"/>
                <w:szCs w:val="13"/>
                <w:b w:val="1"/>
                <w:bCs w:val="1"/>
                <w:color w:val="auto"/>
              </w:rPr>
              <w:t>Benefit ($) (6)</w:t>
            </w:r>
          </w:p>
        </w:tc>
        <w:tc>
          <w:tcPr>
            <w:tcW w:w="840" w:type="dxa"/>
            <w:vAlign w:val="bottom"/>
          </w:tcPr>
          <w:p>
            <w:pPr>
              <w:jc w:val="center"/>
              <w:ind w:left="121"/>
              <w:spacing w:after="0"/>
              <w:rPr>
                <w:sz w:val="20"/>
                <w:szCs w:val="20"/>
                <w:color w:val="auto"/>
              </w:rPr>
            </w:pPr>
            <w:r>
              <w:rPr>
                <w:rFonts w:ascii="Arial" w:cs="Arial" w:eastAsia="Arial" w:hAnsi="Arial"/>
                <w:sz w:val="13"/>
                <w:szCs w:val="13"/>
                <w:b w:val="1"/>
                <w:bCs w:val="1"/>
                <w:color w:val="auto"/>
              </w:rPr>
              <w:t>Year ($)</w:t>
            </w:r>
          </w:p>
        </w:tc>
      </w:tr>
      <w:tr>
        <w:trPr>
          <w:trHeight w:val="41"/>
        </w:trPr>
        <w:tc>
          <w:tcPr>
            <w:tcW w:w="386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15"/>
        </w:trPr>
        <w:tc>
          <w:tcPr>
            <w:tcW w:w="3860" w:type="dxa"/>
            <w:vAlign w:val="bottom"/>
            <w:shd w:val="clear" w:color="auto" w:fill="E9E9E9"/>
          </w:tcPr>
          <w:p>
            <w:pPr>
              <w:spacing w:after="0"/>
              <w:rPr>
                <w:sz w:val="20"/>
                <w:szCs w:val="20"/>
                <w:color w:val="auto"/>
              </w:rPr>
            </w:pPr>
            <w:r>
              <w:rPr>
                <w:rFonts w:ascii="Arial" w:cs="Arial" w:eastAsia="Arial" w:hAnsi="Arial"/>
                <w:sz w:val="17"/>
                <w:szCs w:val="17"/>
                <w:color w:val="auto"/>
              </w:rPr>
              <w:t>R. K. Templeton (2)</w:t>
            </w:r>
          </w:p>
        </w:tc>
        <w:tc>
          <w:tcPr>
            <w:tcW w:w="3680" w:type="dxa"/>
            <w:vAlign w:val="bottom"/>
            <w:shd w:val="clear" w:color="auto" w:fill="E9E9E9"/>
          </w:tcPr>
          <w:p>
            <w:pPr>
              <w:ind w:left="80"/>
              <w:spacing w:after="0"/>
              <w:rPr>
                <w:sz w:val="20"/>
                <w:szCs w:val="20"/>
                <w:color w:val="auto"/>
              </w:rPr>
            </w:pPr>
            <w:r>
              <w:rPr>
                <w:rFonts w:ascii="Arial" w:cs="Arial" w:eastAsia="Arial" w:hAnsi="Arial"/>
                <w:sz w:val="17"/>
                <w:szCs w:val="17"/>
                <w:color w:val="auto"/>
              </w:rPr>
              <w:t>TI Employees Pension Plan</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16</w:t>
            </w:r>
          </w:p>
        </w:tc>
        <w:tc>
          <w:tcPr>
            <w:tcW w:w="780" w:type="dxa"/>
            <w:vAlign w:val="bottom"/>
            <w:shd w:val="clear" w:color="auto" w:fill="E9E9E9"/>
          </w:tcPr>
          <w:p>
            <w:pPr>
              <w:jc w:val="right"/>
              <w:ind w:right="454"/>
              <w:spacing w:after="0"/>
              <w:rPr>
                <w:sz w:val="20"/>
                <w:szCs w:val="20"/>
                <w:color w:val="auto"/>
              </w:rPr>
            </w:pPr>
            <w:r>
              <w:rPr>
                <w:rFonts w:ascii="Arial" w:cs="Arial" w:eastAsia="Arial" w:hAnsi="Arial"/>
                <w:sz w:val="17"/>
                <w:szCs w:val="17"/>
                <w:color w:val="auto"/>
              </w:rPr>
              <w:t>(3)</w:t>
            </w:r>
          </w:p>
        </w:tc>
        <w:tc>
          <w:tcPr>
            <w:tcW w:w="5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654,426</w:t>
            </w:r>
          </w:p>
        </w:tc>
        <w:tc>
          <w:tcPr>
            <w:tcW w:w="840" w:type="dxa"/>
            <w:vAlign w:val="bottom"/>
            <w:shd w:val="clear" w:color="auto" w:fill="E9E9E9"/>
          </w:tcPr>
          <w:p>
            <w:pPr>
              <w:jc w:val="center"/>
              <w:ind w:left="141"/>
              <w:spacing w:after="0"/>
              <w:rPr>
                <w:sz w:val="20"/>
                <w:szCs w:val="20"/>
                <w:color w:val="auto"/>
              </w:rPr>
            </w:pPr>
            <w:r>
              <w:rPr>
                <w:rFonts w:ascii="Arial" w:cs="Arial" w:eastAsia="Arial" w:hAnsi="Arial"/>
                <w:sz w:val="17"/>
                <w:szCs w:val="17"/>
                <w:color w:val="auto"/>
              </w:rPr>
              <w:t>—</w:t>
            </w:r>
          </w:p>
        </w:tc>
      </w:tr>
      <w:tr>
        <w:trPr>
          <w:trHeight w:val="238"/>
        </w:trPr>
        <w:tc>
          <w:tcPr>
            <w:tcW w:w="3860" w:type="dxa"/>
            <w:vAlign w:val="bottom"/>
            <w:shd w:val="clear" w:color="auto" w:fill="E9E9E9"/>
          </w:tcPr>
          <w:p>
            <w:pPr>
              <w:spacing w:after="0"/>
              <w:rPr>
                <w:sz w:val="20"/>
                <w:szCs w:val="20"/>
                <w:color w:val="auto"/>
              </w:rPr>
            </w:pPr>
          </w:p>
        </w:tc>
        <w:tc>
          <w:tcPr>
            <w:tcW w:w="3680" w:type="dxa"/>
            <w:vAlign w:val="bottom"/>
            <w:shd w:val="clear" w:color="auto" w:fill="E9E9E9"/>
          </w:tcPr>
          <w:p>
            <w:pPr>
              <w:ind w:left="80"/>
              <w:spacing w:after="0"/>
              <w:rPr>
                <w:sz w:val="20"/>
                <w:szCs w:val="20"/>
                <w:color w:val="auto"/>
              </w:rPr>
            </w:pPr>
            <w:r>
              <w:rPr>
                <w:rFonts w:ascii="Arial" w:cs="Arial" w:eastAsia="Arial" w:hAnsi="Arial"/>
                <w:sz w:val="17"/>
                <w:szCs w:val="17"/>
                <w:color w:val="auto"/>
              </w:rPr>
              <w:t>TI Employees Non-Qualified Pension Plan</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16</w:t>
            </w:r>
          </w:p>
        </w:tc>
        <w:tc>
          <w:tcPr>
            <w:tcW w:w="780" w:type="dxa"/>
            <w:vAlign w:val="bottom"/>
            <w:shd w:val="clear" w:color="auto" w:fill="E9E9E9"/>
          </w:tcPr>
          <w:p>
            <w:pPr>
              <w:jc w:val="right"/>
              <w:ind w:right="454"/>
              <w:spacing w:after="0"/>
              <w:rPr>
                <w:sz w:val="20"/>
                <w:szCs w:val="20"/>
                <w:color w:val="auto"/>
              </w:rPr>
            </w:pPr>
            <w:r>
              <w:rPr>
                <w:rFonts w:ascii="Arial" w:cs="Arial" w:eastAsia="Arial" w:hAnsi="Arial"/>
                <w:sz w:val="17"/>
                <w:szCs w:val="17"/>
                <w:color w:val="auto"/>
              </w:rPr>
              <w:t>(3)</w:t>
            </w:r>
          </w:p>
        </w:tc>
        <w:tc>
          <w:tcPr>
            <w:tcW w:w="5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277,131</w:t>
            </w:r>
          </w:p>
        </w:tc>
        <w:tc>
          <w:tcPr>
            <w:tcW w:w="840" w:type="dxa"/>
            <w:vAlign w:val="bottom"/>
            <w:shd w:val="clear" w:color="auto" w:fill="E9E9E9"/>
          </w:tcPr>
          <w:p>
            <w:pPr>
              <w:jc w:val="center"/>
              <w:ind w:left="141"/>
              <w:spacing w:after="0"/>
              <w:rPr>
                <w:sz w:val="20"/>
                <w:szCs w:val="20"/>
                <w:color w:val="auto"/>
              </w:rPr>
            </w:pPr>
            <w:r>
              <w:rPr>
                <w:rFonts w:ascii="Arial" w:cs="Arial" w:eastAsia="Arial" w:hAnsi="Arial"/>
                <w:sz w:val="17"/>
                <w:szCs w:val="17"/>
                <w:color w:val="auto"/>
              </w:rPr>
              <w:t>—</w:t>
            </w:r>
          </w:p>
        </w:tc>
      </w:tr>
      <w:tr>
        <w:trPr>
          <w:trHeight w:val="238"/>
        </w:trPr>
        <w:tc>
          <w:tcPr>
            <w:tcW w:w="3860" w:type="dxa"/>
            <w:vAlign w:val="bottom"/>
            <w:shd w:val="clear" w:color="auto" w:fill="E9E9E9"/>
          </w:tcPr>
          <w:p>
            <w:pPr>
              <w:spacing w:after="0"/>
              <w:rPr>
                <w:sz w:val="20"/>
                <w:szCs w:val="20"/>
                <w:color w:val="auto"/>
              </w:rPr>
            </w:pPr>
          </w:p>
        </w:tc>
        <w:tc>
          <w:tcPr>
            <w:tcW w:w="3680" w:type="dxa"/>
            <w:vAlign w:val="bottom"/>
            <w:shd w:val="clear" w:color="auto" w:fill="E9E9E9"/>
          </w:tcPr>
          <w:p>
            <w:pPr>
              <w:ind w:left="80"/>
              <w:spacing w:after="0"/>
              <w:rPr>
                <w:sz w:val="20"/>
                <w:szCs w:val="20"/>
                <w:color w:val="auto"/>
              </w:rPr>
            </w:pPr>
            <w:r>
              <w:rPr>
                <w:rFonts w:ascii="Arial" w:cs="Arial" w:eastAsia="Arial" w:hAnsi="Arial"/>
                <w:sz w:val="17"/>
                <w:szCs w:val="17"/>
                <w:color w:val="auto"/>
              </w:rPr>
              <w:t>TI Employees Non-Qualified Pension Plan II</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16</w:t>
            </w:r>
          </w:p>
        </w:tc>
        <w:tc>
          <w:tcPr>
            <w:tcW w:w="780" w:type="dxa"/>
            <w:vAlign w:val="bottom"/>
            <w:shd w:val="clear" w:color="auto" w:fill="E9E9E9"/>
          </w:tcPr>
          <w:p>
            <w:pPr>
              <w:jc w:val="right"/>
              <w:ind w:right="454"/>
              <w:spacing w:after="0"/>
              <w:rPr>
                <w:sz w:val="20"/>
                <w:szCs w:val="20"/>
                <w:color w:val="auto"/>
              </w:rPr>
            </w:pPr>
            <w:r>
              <w:rPr>
                <w:rFonts w:ascii="Arial" w:cs="Arial" w:eastAsia="Arial" w:hAnsi="Arial"/>
                <w:sz w:val="17"/>
                <w:szCs w:val="17"/>
                <w:color w:val="auto"/>
              </w:rPr>
              <w:t>(5)</w:t>
            </w:r>
          </w:p>
        </w:tc>
        <w:tc>
          <w:tcPr>
            <w:tcW w:w="5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205,199</w:t>
            </w:r>
          </w:p>
        </w:tc>
        <w:tc>
          <w:tcPr>
            <w:tcW w:w="840" w:type="dxa"/>
            <w:vAlign w:val="bottom"/>
            <w:shd w:val="clear" w:color="auto" w:fill="E9E9E9"/>
          </w:tcPr>
          <w:p>
            <w:pPr>
              <w:jc w:val="center"/>
              <w:ind w:left="141"/>
              <w:spacing w:after="0"/>
              <w:rPr>
                <w:sz w:val="20"/>
                <w:szCs w:val="20"/>
                <w:color w:val="auto"/>
              </w:rPr>
            </w:pPr>
            <w:r>
              <w:rPr>
                <w:rFonts w:ascii="Arial" w:cs="Arial" w:eastAsia="Arial" w:hAnsi="Arial"/>
                <w:sz w:val="17"/>
                <w:szCs w:val="17"/>
                <w:color w:val="auto"/>
              </w:rPr>
              <w:t>—</w:t>
            </w:r>
          </w:p>
        </w:tc>
      </w:tr>
      <w:tr>
        <w:trPr>
          <w:trHeight w:val="254"/>
        </w:trPr>
        <w:tc>
          <w:tcPr>
            <w:tcW w:w="3860" w:type="dxa"/>
            <w:vAlign w:val="bottom"/>
            <w:shd w:val="clear" w:color="auto" w:fill="E9E9E9"/>
          </w:tcPr>
          <w:p>
            <w:pPr>
              <w:spacing w:after="0"/>
              <w:rPr>
                <w:sz w:val="22"/>
                <w:szCs w:val="22"/>
                <w:color w:val="auto"/>
              </w:rPr>
            </w:pPr>
          </w:p>
        </w:tc>
        <w:tc>
          <w:tcPr>
            <w:tcW w:w="3680" w:type="dxa"/>
            <w:vAlign w:val="bottom"/>
            <w:shd w:val="clear" w:color="auto" w:fill="E9E9E9"/>
          </w:tcPr>
          <w:p>
            <w:pPr>
              <w:spacing w:after="0"/>
              <w:rPr>
                <w:sz w:val="22"/>
                <w:szCs w:val="22"/>
                <w:color w:val="auto"/>
              </w:rPr>
            </w:pPr>
          </w:p>
        </w:tc>
        <w:tc>
          <w:tcPr>
            <w:tcW w:w="740" w:type="dxa"/>
            <w:vAlign w:val="bottom"/>
            <w:shd w:val="clear" w:color="auto" w:fill="E9E9E9"/>
          </w:tcPr>
          <w:p>
            <w:pPr>
              <w:spacing w:after="0"/>
              <w:rPr>
                <w:sz w:val="22"/>
                <w:szCs w:val="22"/>
                <w:color w:val="auto"/>
              </w:rPr>
            </w:pPr>
          </w:p>
        </w:tc>
        <w:tc>
          <w:tcPr>
            <w:tcW w:w="780" w:type="dxa"/>
            <w:vAlign w:val="bottom"/>
            <w:shd w:val="clear" w:color="auto" w:fill="E9E9E9"/>
          </w:tcPr>
          <w:p>
            <w:pPr>
              <w:spacing w:after="0"/>
              <w:rPr>
                <w:sz w:val="22"/>
                <w:szCs w:val="22"/>
                <w:color w:val="auto"/>
              </w:rPr>
            </w:pPr>
          </w:p>
        </w:tc>
        <w:tc>
          <w:tcPr>
            <w:tcW w:w="500" w:type="dxa"/>
            <w:vAlign w:val="bottom"/>
            <w:shd w:val="clear" w:color="auto" w:fill="E9E9E9"/>
          </w:tcPr>
          <w:p>
            <w:pPr>
              <w:spacing w:after="0"/>
              <w:rPr>
                <w:sz w:val="22"/>
                <w:szCs w:val="22"/>
                <w:color w:val="auto"/>
              </w:rPr>
            </w:pPr>
          </w:p>
        </w:tc>
        <w:tc>
          <w:tcPr>
            <w:tcW w:w="1020" w:type="dxa"/>
            <w:vAlign w:val="bottom"/>
            <w:shd w:val="clear" w:color="auto" w:fill="E9E9E9"/>
          </w:tcPr>
          <w:p>
            <w:pPr>
              <w:spacing w:after="0"/>
              <w:rPr>
                <w:sz w:val="22"/>
                <w:szCs w:val="22"/>
                <w:color w:val="auto"/>
              </w:rPr>
            </w:pPr>
          </w:p>
        </w:tc>
        <w:tc>
          <w:tcPr>
            <w:tcW w:w="840" w:type="dxa"/>
            <w:vAlign w:val="bottom"/>
            <w:shd w:val="clear" w:color="auto" w:fill="E9E9E9"/>
          </w:tcPr>
          <w:p>
            <w:pPr>
              <w:spacing w:after="0"/>
              <w:rPr>
                <w:sz w:val="22"/>
                <w:szCs w:val="22"/>
                <w:color w:val="auto"/>
              </w:rPr>
            </w:pPr>
          </w:p>
        </w:tc>
      </w:tr>
      <w:tr>
        <w:trPr>
          <w:trHeight w:val="222"/>
        </w:trPr>
        <w:tc>
          <w:tcPr>
            <w:tcW w:w="3860" w:type="dxa"/>
            <w:vAlign w:val="bottom"/>
          </w:tcPr>
          <w:p>
            <w:pPr>
              <w:spacing w:after="0"/>
              <w:rPr>
                <w:sz w:val="20"/>
                <w:szCs w:val="20"/>
                <w:color w:val="auto"/>
              </w:rPr>
            </w:pPr>
            <w:r>
              <w:rPr>
                <w:rFonts w:ascii="Arial" w:cs="Arial" w:eastAsia="Arial" w:hAnsi="Arial"/>
                <w:sz w:val="17"/>
                <w:szCs w:val="17"/>
                <w:color w:val="auto"/>
              </w:rPr>
              <w:t>K. P. March</w:t>
            </w:r>
          </w:p>
        </w:tc>
        <w:tc>
          <w:tcPr>
            <w:tcW w:w="3680" w:type="dxa"/>
            <w:vAlign w:val="bottom"/>
          </w:tcPr>
          <w:p>
            <w:pPr>
              <w:ind w:left="80"/>
              <w:spacing w:after="0"/>
              <w:rPr>
                <w:sz w:val="20"/>
                <w:szCs w:val="20"/>
                <w:color w:val="auto"/>
              </w:rPr>
            </w:pPr>
            <w:r>
              <w:rPr>
                <w:rFonts w:ascii="Arial" w:cs="Arial" w:eastAsia="Arial" w:hAnsi="Arial"/>
                <w:sz w:val="17"/>
                <w:szCs w:val="17"/>
                <w:color w:val="auto"/>
              </w:rPr>
              <w:t>TI Employees Pension Plan</w:t>
            </w:r>
          </w:p>
        </w:tc>
        <w:tc>
          <w:tcPr>
            <w:tcW w:w="740" w:type="dxa"/>
            <w:vAlign w:val="bottom"/>
          </w:tcPr>
          <w:p>
            <w:pPr>
              <w:jc w:val="right"/>
              <w:spacing w:after="0"/>
              <w:rPr>
                <w:sz w:val="20"/>
                <w:szCs w:val="20"/>
                <w:color w:val="auto"/>
              </w:rPr>
            </w:pPr>
            <w:r>
              <w:rPr>
                <w:rFonts w:ascii="Arial" w:cs="Arial" w:eastAsia="Arial" w:hAnsi="Arial"/>
                <w:sz w:val="17"/>
                <w:szCs w:val="17"/>
                <w:color w:val="auto"/>
              </w:rPr>
              <w:t>29</w:t>
            </w:r>
          </w:p>
        </w:tc>
        <w:tc>
          <w:tcPr>
            <w:tcW w:w="780" w:type="dxa"/>
            <w:vAlign w:val="bottom"/>
          </w:tcPr>
          <w:p>
            <w:pPr>
              <w:jc w:val="right"/>
              <w:ind w:right="454"/>
              <w:spacing w:after="0"/>
              <w:rPr>
                <w:sz w:val="20"/>
                <w:szCs w:val="20"/>
                <w:color w:val="auto"/>
              </w:rPr>
            </w:pPr>
            <w:r>
              <w:rPr>
                <w:rFonts w:ascii="Arial" w:cs="Arial" w:eastAsia="Arial" w:hAnsi="Arial"/>
                <w:sz w:val="17"/>
                <w:szCs w:val="17"/>
                <w:color w:val="auto"/>
              </w:rPr>
              <w:t>(3)</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17"/>
              <w:spacing w:after="0"/>
              <w:rPr>
                <w:sz w:val="20"/>
                <w:szCs w:val="20"/>
                <w:color w:val="auto"/>
              </w:rPr>
            </w:pPr>
            <w:r>
              <w:rPr>
                <w:rFonts w:ascii="Arial" w:cs="Arial" w:eastAsia="Arial" w:hAnsi="Arial"/>
                <w:sz w:val="17"/>
                <w:szCs w:val="17"/>
                <w:color w:val="auto"/>
              </w:rPr>
              <w:t>885,211</w:t>
            </w:r>
          </w:p>
        </w:tc>
        <w:tc>
          <w:tcPr>
            <w:tcW w:w="840" w:type="dxa"/>
            <w:vAlign w:val="bottom"/>
          </w:tcPr>
          <w:p>
            <w:pPr>
              <w:jc w:val="center"/>
              <w:ind w:left="141"/>
              <w:spacing w:after="0"/>
              <w:rPr>
                <w:sz w:val="20"/>
                <w:szCs w:val="20"/>
                <w:color w:val="auto"/>
              </w:rPr>
            </w:pPr>
            <w:r>
              <w:rPr>
                <w:rFonts w:ascii="Arial" w:cs="Arial" w:eastAsia="Arial" w:hAnsi="Arial"/>
                <w:sz w:val="17"/>
                <w:szCs w:val="17"/>
                <w:color w:val="auto"/>
              </w:rPr>
              <w:t>—</w:t>
            </w:r>
          </w:p>
        </w:tc>
      </w:tr>
      <w:tr>
        <w:trPr>
          <w:trHeight w:val="238"/>
        </w:trPr>
        <w:tc>
          <w:tcPr>
            <w:tcW w:w="3860" w:type="dxa"/>
            <w:vAlign w:val="bottom"/>
          </w:tcPr>
          <w:p>
            <w:pPr>
              <w:spacing w:after="0"/>
              <w:rPr>
                <w:sz w:val="20"/>
                <w:szCs w:val="20"/>
                <w:color w:val="auto"/>
              </w:rPr>
            </w:pPr>
          </w:p>
        </w:tc>
        <w:tc>
          <w:tcPr>
            <w:tcW w:w="3680" w:type="dxa"/>
            <w:vAlign w:val="bottom"/>
          </w:tcPr>
          <w:p>
            <w:pPr>
              <w:ind w:left="80"/>
              <w:spacing w:after="0"/>
              <w:rPr>
                <w:sz w:val="20"/>
                <w:szCs w:val="20"/>
                <w:color w:val="auto"/>
              </w:rPr>
            </w:pPr>
            <w:r>
              <w:rPr>
                <w:rFonts w:ascii="Arial" w:cs="Arial" w:eastAsia="Arial" w:hAnsi="Arial"/>
                <w:sz w:val="17"/>
                <w:szCs w:val="17"/>
                <w:color w:val="auto"/>
              </w:rPr>
              <w:t>TI Employees Non-Qualified Pension Plan</w:t>
            </w:r>
          </w:p>
        </w:tc>
        <w:tc>
          <w:tcPr>
            <w:tcW w:w="740" w:type="dxa"/>
            <w:vAlign w:val="bottom"/>
          </w:tcPr>
          <w:p>
            <w:pPr>
              <w:jc w:val="right"/>
              <w:spacing w:after="0"/>
              <w:rPr>
                <w:sz w:val="20"/>
                <w:szCs w:val="20"/>
                <w:color w:val="auto"/>
              </w:rPr>
            </w:pPr>
            <w:r>
              <w:rPr>
                <w:rFonts w:ascii="Arial" w:cs="Arial" w:eastAsia="Arial" w:hAnsi="Arial"/>
                <w:sz w:val="17"/>
                <w:szCs w:val="17"/>
                <w:color w:val="auto"/>
              </w:rPr>
              <w:t>19</w:t>
            </w:r>
          </w:p>
        </w:tc>
        <w:tc>
          <w:tcPr>
            <w:tcW w:w="780" w:type="dxa"/>
            <w:vAlign w:val="bottom"/>
          </w:tcPr>
          <w:p>
            <w:pPr>
              <w:jc w:val="right"/>
              <w:ind w:right="454"/>
              <w:spacing w:after="0"/>
              <w:rPr>
                <w:sz w:val="20"/>
                <w:szCs w:val="20"/>
                <w:color w:val="auto"/>
              </w:rPr>
            </w:pPr>
            <w:r>
              <w:rPr>
                <w:rFonts w:ascii="Arial" w:cs="Arial" w:eastAsia="Arial" w:hAnsi="Arial"/>
                <w:sz w:val="17"/>
                <w:szCs w:val="17"/>
                <w:color w:val="auto"/>
              </w:rPr>
              <w:t>(4)</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17"/>
              <w:spacing w:after="0"/>
              <w:rPr>
                <w:sz w:val="20"/>
                <w:szCs w:val="20"/>
                <w:color w:val="auto"/>
              </w:rPr>
            </w:pPr>
            <w:r>
              <w:rPr>
                <w:rFonts w:ascii="Arial" w:cs="Arial" w:eastAsia="Arial" w:hAnsi="Arial"/>
                <w:sz w:val="17"/>
                <w:szCs w:val="17"/>
                <w:color w:val="auto"/>
              </w:rPr>
              <w:t>169,888</w:t>
            </w:r>
          </w:p>
        </w:tc>
        <w:tc>
          <w:tcPr>
            <w:tcW w:w="840" w:type="dxa"/>
            <w:vAlign w:val="bottom"/>
          </w:tcPr>
          <w:p>
            <w:pPr>
              <w:jc w:val="center"/>
              <w:ind w:left="141"/>
              <w:spacing w:after="0"/>
              <w:rPr>
                <w:sz w:val="20"/>
                <w:szCs w:val="20"/>
                <w:color w:val="auto"/>
              </w:rPr>
            </w:pPr>
            <w:r>
              <w:rPr>
                <w:rFonts w:ascii="Arial" w:cs="Arial" w:eastAsia="Arial" w:hAnsi="Arial"/>
                <w:sz w:val="17"/>
                <w:szCs w:val="17"/>
                <w:color w:val="auto"/>
              </w:rPr>
              <w:t>—</w:t>
            </w:r>
          </w:p>
        </w:tc>
      </w:tr>
      <w:tr>
        <w:trPr>
          <w:trHeight w:val="238"/>
        </w:trPr>
        <w:tc>
          <w:tcPr>
            <w:tcW w:w="3860" w:type="dxa"/>
            <w:vAlign w:val="bottom"/>
          </w:tcPr>
          <w:p>
            <w:pPr>
              <w:spacing w:after="0"/>
              <w:rPr>
                <w:sz w:val="20"/>
                <w:szCs w:val="20"/>
                <w:color w:val="auto"/>
              </w:rPr>
            </w:pPr>
          </w:p>
        </w:tc>
        <w:tc>
          <w:tcPr>
            <w:tcW w:w="3680" w:type="dxa"/>
            <w:vAlign w:val="bottom"/>
          </w:tcPr>
          <w:p>
            <w:pPr>
              <w:ind w:left="80"/>
              <w:spacing w:after="0"/>
              <w:rPr>
                <w:sz w:val="20"/>
                <w:szCs w:val="20"/>
                <w:color w:val="auto"/>
              </w:rPr>
            </w:pPr>
            <w:r>
              <w:rPr>
                <w:rFonts w:ascii="Arial" w:cs="Arial" w:eastAsia="Arial" w:hAnsi="Arial"/>
                <w:sz w:val="17"/>
                <w:szCs w:val="17"/>
                <w:color w:val="auto"/>
              </w:rPr>
              <w:t>TI Employees Non-Qualified Pension Plan II</w:t>
            </w:r>
          </w:p>
        </w:tc>
        <w:tc>
          <w:tcPr>
            <w:tcW w:w="740" w:type="dxa"/>
            <w:vAlign w:val="bottom"/>
          </w:tcPr>
          <w:p>
            <w:pPr>
              <w:jc w:val="right"/>
              <w:spacing w:after="0"/>
              <w:rPr>
                <w:sz w:val="20"/>
                <w:szCs w:val="20"/>
                <w:color w:val="auto"/>
              </w:rPr>
            </w:pPr>
            <w:r>
              <w:rPr>
                <w:rFonts w:ascii="Arial" w:cs="Arial" w:eastAsia="Arial" w:hAnsi="Arial"/>
                <w:sz w:val="17"/>
                <w:szCs w:val="17"/>
                <w:color w:val="auto"/>
              </w:rPr>
              <w:t>29</w:t>
            </w:r>
          </w:p>
        </w:tc>
        <w:tc>
          <w:tcPr>
            <w:tcW w:w="780" w:type="dxa"/>
            <w:vAlign w:val="bottom"/>
          </w:tcPr>
          <w:p>
            <w:pPr>
              <w:jc w:val="right"/>
              <w:ind w:right="454"/>
              <w:spacing w:after="0"/>
              <w:rPr>
                <w:sz w:val="20"/>
                <w:szCs w:val="20"/>
                <w:color w:val="auto"/>
              </w:rPr>
            </w:pPr>
            <w:r>
              <w:rPr>
                <w:rFonts w:ascii="Arial" w:cs="Arial" w:eastAsia="Arial" w:hAnsi="Arial"/>
                <w:sz w:val="17"/>
                <w:szCs w:val="17"/>
                <w:color w:val="auto"/>
              </w:rPr>
              <w:t>(5)</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17"/>
              <w:spacing w:after="0"/>
              <w:rPr>
                <w:sz w:val="20"/>
                <w:szCs w:val="20"/>
                <w:color w:val="auto"/>
              </w:rPr>
            </w:pPr>
            <w:r>
              <w:rPr>
                <w:rFonts w:ascii="Arial" w:cs="Arial" w:eastAsia="Arial" w:hAnsi="Arial"/>
                <w:sz w:val="17"/>
                <w:szCs w:val="17"/>
                <w:color w:val="auto"/>
              </w:rPr>
              <w:t>4,754,776</w:t>
            </w:r>
          </w:p>
        </w:tc>
        <w:tc>
          <w:tcPr>
            <w:tcW w:w="840" w:type="dxa"/>
            <w:vAlign w:val="bottom"/>
          </w:tcPr>
          <w:p>
            <w:pPr>
              <w:jc w:val="center"/>
              <w:ind w:left="141"/>
              <w:spacing w:after="0"/>
              <w:rPr>
                <w:sz w:val="20"/>
                <w:szCs w:val="20"/>
                <w:color w:val="auto"/>
              </w:rPr>
            </w:pPr>
            <w:r>
              <w:rPr>
                <w:rFonts w:ascii="Arial" w:cs="Arial" w:eastAsia="Arial" w:hAnsi="Arial"/>
                <w:sz w:val="17"/>
                <w:szCs w:val="17"/>
                <w:color w:val="auto"/>
              </w:rPr>
              <w:t>—</w:t>
            </w:r>
          </w:p>
        </w:tc>
      </w:tr>
      <w:tr>
        <w:trPr>
          <w:trHeight w:val="254"/>
        </w:trPr>
        <w:tc>
          <w:tcPr>
            <w:tcW w:w="386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22"/>
        </w:trPr>
        <w:tc>
          <w:tcPr>
            <w:tcW w:w="3860" w:type="dxa"/>
            <w:vAlign w:val="bottom"/>
            <w:shd w:val="clear" w:color="auto" w:fill="E9E9E9"/>
          </w:tcPr>
          <w:p>
            <w:pPr>
              <w:spacing w:after="0"/>
              <w:rPr>
                <w:sz w:val="20"/>
                <w:szCs w:val="20"/>
                <w:color w:val="auto"/>
              </w:rPr>
            </w:pPr>
            <w:r>
              <w:rPr>
                <w:rFonts w:ascii="Arial" w:cs="Arial" w:eastAsia="Arial" w:hAnsi="Arial"/>
                <w:sz w:val="17"/>
                <w:szCs w:val="17"/>
                <w:color w:val="auto"/>
              </w:rPr>
              <w:t>B. T. Crutcher (2)</w:t>
            </w:r>
          </w:p>
        </w:tc>
        <w:tc>
          <w:tcPr>
            <w:tcW w:w="3680" w:type="dxa"/>
            <w:vAlign w:val="bottom"/>
            <w:shd w:val="clear" w:color="auto" w:fill="E9E9E9"/>
          </w:tcPr>
          <w:p>
            <w:pPr>
              <w:ind w:left="80"/>
              <w:spacing w:after="0"/>
              <w:rPr>
                <w:sz w:val="20"/>
                <w:szCs w:val="20"/>
                <w:color w:val="auto"/>
              </w:rPr>
            </w:pPr>
            <w:r>
              <w:rPr>
                <w:rFonts w:ascii="Arial" w:cs="Arial" w:eastAsia="Arial" w:hAnsi="Arial"/>
                <w:sz w:val="17"/>
                <w:szCs w:val="17"/>
                <w:color w:val="auto"/>
              </w:rPr>
              <w:t>TI Employees Pension Plan</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0.9</w:t>
            </w:r>
          </w:p>
        </w:tc>
        <w:tc>
          <w:tcPr>
            <w:tcW w:w="780" w:type="dxa"/>
            <w:vAlign w:val="bottom"/>
            <w:shd w:val="clear" w:color="auto" w:fill="E9E9E9"/>
          </w:tcPr>
          <w:p>
            <w:pPr>
              <w:jc w:val="right"/>
              <w:ind w:right="454"/>
              <w:spacing w:after="0"/>
              <w:rPr>
                <w:sz w:val="20"/>
                <w:szCs w:val="20"/>
                <w:color w:val="auto"/>
              </w:rPr>
            </w:pPr>
            <w:r>
              <w:rPr>
                <w:rFonts w:ascii="Arial" w:cs="Arial" w:eastAsia="Arial" w:hAnsi="Arial"/>
                <w:sz w:val="17"/>
                <w:szCs w:val="17"/>
                <w:color w:val="auto"/>
              </w:rPr>
              <w:t>(3)</w:t>
            </w:r>
          </w:p>
        </w:tc>
        <w:tc>
          <w:tcPr>
            <w:tcW w:w="5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4,221</w:t>
            </w:r>
          </w:p>
        </w:tc>
        <w:tc>
          <w:tcPr>
            <w:tcW w:w="840" w:type="dxa"/>
            <w:vAlign w:val="bottom"/>
            <w:shd w:val="clear" w:color="auto" w:fill="E9E9E9"/>
          </w:tcPr>
          <w:p>
            <w:pPr>
              <w:jc w:val="center"/>
              <w:ind w:left="141"/>
              <w:spacing w:after="0"/>
              <w:rPr>
                <w:sz w:val="20"/>
                <w:szCs w:val="20"/>
                <w:color w:val="auto"/>
              </w:rPr>
            </w:pPr>
            <w:r>
              <w:rPr>
                <w:rFonts w:ascii="Arial" w:cs="Arial" w:eastAsia="Arial" w:hAnsi="Arial"/>
                <w:sz w:val="17"/>
                <w:szCs w:val="17"/>
                <w:color w:val="auto"/>
              </w:rPr>
              <w:t>—</w:t>
            </w:r>
          </w:p>
        </w:tc>
      </w:tr>
      <w:tr>
        <w:trPr>
          <w:trHeight w:val="254"/>
        </w:trPr>
        <w:tc>
          <w:tcPr>
            <w:tcW w:w="3860" w:type="dxa"/>
            <w:vAlign w:val="bottom"/>
            <w:shd w:val="clear" w:color="auto" w:fill="E9E9E9"/>
          </w:tcPr>
          <w:p>
            <w:pPr>
              <w:spacing w:after="0"/>
              <w:rPr>
                <w:sz w:val="22"/>
                <w:szCs w:val="22"/>
                <w:color w:val="auto"/>
              </w:rPr>
            </w:pPr>
          </w:p>
        </w:tc>
        <w:tc>
          <w:tcPr>
            <w:tcW w:w="3680" w:type="dxa"/>
            <w:vAlign w:val="bottom"/>
            <w:shd w:val="clear" w:color="auto" w:fill="E9E9E9"/>
          </w:tcPr>
          <w:p>
            <w:pPr>
              <w:spacing w:after="0"/>
              <w:rPr>
                <w:sz w:val="22"/>
                <w:szCs w:val="22"/>
                <w:color w:val="auto"/>
              </w:rPr>
            </w:pPr>
          </w:p>
        </w:tc>
        <w:tc>
          <w:tcPr>
            <w:tcW w:w="740" w:type="dxa"/>
            <w:vAlign w:val="bottom"/>
            <w:shd w:val="clear" w:color="auto" w:fill="E9E9E9"/>
          </w:tcPr>
          <w:p>
            <w:pPr>
              <w:spacing w:after="0"/>
              <w:rPr>
                <w:sz w:val="22"/>
                <w:szCs w:val="22"/>
                <w:color w:val="auto"/>
              </w:rPr>
            </w:pPr>
          </w:p>
        </w:tc>
        <w:tc>
          <w:tcPr>
            <w:tcW w:w="780" w:type="dxa"/>
            <w:vAlign w:val="bottom"/>
            <w:shd w:val="clear" w:color="auto" w:fill="E9E9E9"/>
          </w:tcPr>
          <w:p>
            <w:pPr>
              <w:spacing w:after="0"/>
              <w:rPr>
                <w:sz w:val="22"/>
                <w:szCs w:val="22"/>
                <w:color w:val="auto"/>
              </w:rPr>
            </w:pPr>
          </w:p>
        </w:tc>
        <w:tc>
          <w:tcPr>
            <w:tcW w:w="500" w:type="dxa"/>
            <w:vAlign w:val="bottom"/>
            <w:shd w:val="clear" w:color="auto" w:fill="E9E9E9"/>
          </w:tcPr>
          <w:p>
            <w:pPr>
              <w:spacing w:after="0"/>
              <w:rPr>
                <w:sz w:val="22"/>
                <w:szCs w:val="22"/>
                <w:color w:val="auto"/>
              </w:rPr>
            </w:pPr>
          </w:p>
        </w:tc>
        <w:tc>
          <w:tcPr>
            <w:tcW w:w="1020" w:type="dxa"/>
            <w:vAlign w:val="bottom"/>
            <w:shd w:val="clear" w:color="auto" w:fill="E9E9E9"/>
          </w:tcPr>
          <w:p>
            <w:pPr>
              <w:spacing w:after="0"/>
              <w:rPr>
                <w:sz w:val="22"/>
                <w:szCs w:val="22"/>
                <w:color w:val="auto"/>
              </w:rPr>
            </w:pPr>
          </w:p>
        </w:tc>
        <w:tc>
          <w:tcPr>
            <w:tcW w:w="840" w:type="dxa"/>
            <w:vAlign w:val="bottom"/>
            <w:shd w:val="clear" w:color="auto" w:fill="E9E9E9"/>
          </w:tcPr>
          <w:p>
            <w:pPr>
              <w:spacing w:after="0"/>
              <w:rPr>
                <w:sz w:val="22"/>
                <w:szCs w:val="22"/>
                <w:color w:val="auto"/>
              </w:rPr>
            </w:pPr>
          </w:p>
        </w:tc>
      </w:tr>
      <w:tr>
        <w:trPr>
          <w:trHeight w:val="222"/>
        </w:trPr>
        <w:tc>
          <w:tcPr>
            <w:tcW w:w="3860" w:type="dxa"/>
            <w:vAlign w:val="bottom"/>
          </w:tcPr>
          <w:p>
            <w:pPr>
              <w:spacing w:after="0"/>
              <w:rPr>
                <w:sz w:val="20"/>
                <w:szCs w:val="20"/>
                <w:color w:val="auto"/>
              </w:rPr>
            </w:pPr>
            <w:r>
              <w:rPr>
                <w:rFonts w:ascii="Arial" w:cs="Arial" w:eastAsia="Arial" w:hAnsi="Arial"/>
                <w:sz w:val="17"/>
                <w:szCs w:val="17"/>
                <w:color w:val="auto"/>
              </w:rPr>
              <w:t>K. J. Ritchie</w:t>
            </w:r>
          </w:p>
        </w:tc>
        <w:tc>
          <w:tcPr>
            <w:tcW w:w="3680" w:type="dxa"/>
            <w:vAlign w:val="bottom"/>
          </w:tcPr>
          <w:p>
            <w:pPr>
              <w:ind w:left="80"/>
              <w:spacing w:after="0"/>
              <w:rPr>
                <w:sz w:val="20"/>
                <w:szCs w:val="20"/>
                <w:color w:val="auto"/>
              </w:rPr>
            </w:pPr>
            <w:r>
              <w:rPr>
                <w:rFonts w:ascii="Arial" w:cs="Arial" w:eastAsia="Arial" w:hAnsi="Arial"/>
                <w:sz w:val="17"/>
                <w:szCs w:val="17"/>
                <w:color w:val="auto"/>
              </w:rPr>
              <w:t>TI Employees Pension Plan</w:t>
            </w:r>
          </w:p>
        </w:tc>
        <w:tc>
          <w:tcPr>
            <w:tcW w:w="740" w:type="dxa"/>
            <w:vAlign w:val="bottom"/>
          </w:tcPr>
          <w:p>
            <w:pPr>
              <w:jc w:val="right"/>
              <w:spacing w:after="0"/>
              <w:rPr>
                <w:sz w:val="20"/>
                <w:szCs w:val="20"/>
                <w:color w:val="auto"/>
              </w:rPr>
            </w:pPr>
            <w:r>
              <w:rPr>
                <w:rFonts w:ascii="Arial" w:cs="Arial" w:eastAsia="Arial" w:hAnsi="Arial"/>
                <w:sz w:val="17"/>
                <w:szCs w:val="17"/>
                <w:color w:val="auto"/>
              </w:rPr>
              <w:t>35</w:t>
            </w:r>
          </w:p>
        </w:tc>
        <w:tc>
          <w:tcPr>
            <w:tcW w:w="780" w:type="dxa"/>
            <w:vAlign w:val="bottom"/>
          </w:tcPr>
          <w:p>
            <w:pPr>
              <w:jc w:val="right"/>
              <w:ind w:right="454"/>
              <w:spacing w:after="0"/>
              <w:rPr>
                <w:sz w:val="20"/>
                <w:szCs w:val="20"/>
                <w:color w:val="auto"/>
              </w:rPr>
            </w:pPr>
            <w:r>
              <w:rPr>
                <w:rFonts w:ascii="Arial" w:cs="Arial" w:eastAsia="Arial" w:hAnsi="Arial"/>
                <w:sz w:val="17"/>
                <w:szCs w:val="17"/>
                <w:color w:val="auto"/>
              </w:rPr>
              <w:t>(3)</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17"/>
              <w:spacing w:after="0"/>
              <w:rPr>
                <w:sz w:val="20"/>
                <w:szCs w:val="20"/>
                <w:color w:val="auto"/>
              </w:rPr>
            </w:pPr>
            <w:r>
              <w:rPr>
                <w:rFonts w:ascii="Arial" w:cs="Arial" w:eastAsia="Arial" w:hAnsi="Arial"/>
                <w:sz w:val="17"/>
                <w:szCs w:val="17"/>
                <w:color w:val="auto"/>
              </w:rPr>
              <w:t>1,322,463</w:t>
            </w:r>
          </w:p>
        </w:tc>
        <w:tc>
          <w:tcPr>
            <w:tcW w:w="840" w:type="dxa"/>
            <w:vAlign w:val="bottom"/>
          </w:tcPr>
          <w:p>
            <w:pPr>
              <w:jc w:val="center"/>
              <w:ind w:left="141"/>
              <w:spacing w:after="0"/>
              <w:rPr>
                <w:sz w:val="20"/>
                <w:szCs w:val="20"/>
                <w:color w:val="auto"/>
              </w:rPr>
            </w:pPr>
            <w:r>
              <w:rPr>
                <w:rFonts w:ascii="Arial" w:cs="Arial" w:eastAsia="Arial" w:hAnsi="Arial"/>
                <w:sz w:val="17"/>
                <w:szCs w:val="17"/>
                <w:color w:val="auto"/>
              </w:rPr>
              <w:t>—</w:t>
            </w:r>
          </w:p>
        </w:tc>
      </w:tr>
      <w:tr>
        <w:trPr>
          <w:trHeight w:val="238"/>
        </w:trPr>
        <w:tc>
          <w:tcPr>
            <w:tcW w:w="3860" w:type="dxa"/>
            <w:vAlign w:val="bottom"/>
          </w:tcPr>
          <w:p>
            <w:pPr>
              <w:spacing w:after="0"/>
              <w:rPr>
                <w:sz w:val="20"/>
                <w:szCs w:val="20"/>
                <w:color w:val="auto"/>
              </w:rPr>
            </w:pPr>
          </w:p>
        </w:tc>
        <w:tc>
          <w:tcPr>
            <w:tcW w:w="3680" w:type="dxa"/>
            <w:vAlign w:val="bottom"/>
          </w:tcPr>
          <w:p>
            <w:pPr>
              <w:ind w:left="80"/>
              <w:spacing w:after="0"/>
              <w:rPr>
                <w:sz w:val="20"/>
                <w:szCs w:val="20"/>
                <w:color w:val="auto"/>
              </w:rPr>
            </w:pPr>
            <w:r>
              <w:rPr>
                <w:rFonts w:ascii="Arial" w:cs="Arial" w:eastAsia="Arial" w:hAnsi="Arial"/>
                <w:sz w:val="17"/>
                <w:szCs w:val="17"/>
                <w:color w:val="auto"/>
              </w:rPr>
              <w:t>TI Employees Non-Qualified Pension Plan</w:t>
            </w:r>
          </w:p>
        </w:tc>
        <w:tc>
          <w:tcPr>
            <w:tcW w:w="740" w:type="dxa"/>
            <w:vAlign w:val="bottom"/>
          </w:tcPr>
          <w:p>
            <w:pPr>
              <w:jc w:val="right"/>
              <w:spacing w:after="0"/>
              <w:rPr>
                <w:sz w:val="20"/>
                <w:szCs w:val="20"/>
                <w:color w:val="auto"/>
              </w:rPr>
            </w:pPr>
            <w:r>
              <w:rPr>
                <w:rFonts w:ascii="Arial" w:cs="Arial" w:eastAsia="Arial" w:hAnsi="Arial"/>
                <w:sz w:val="17"/>
                <w:szCs w:val="17"/>
                <w:color w:val="auto"/>
              </w:rPr>
              <w:t>25</w:t>
            </w:r>
          </w:p>
        </w:tc>
        <w:tc>
          <w:tcPr>
            <w:tcW w:w="780" w:type="dxa"/>
            <w:vAlign w:val="bottom"/>
          </w:tcPr>
          <w:p>
            <w:pPr>
              <w:jc w:val="right"/>
              <w:ind w:right="454"/>
              <w:spacing w:after="0"/>
              <w:rPr>
                <w:sz w:val="20"/>
                <w:szCs w:val="20"/>
                <w:color w:val="auto"/>
              </w:rPr>
            </w:pPr>
            <w:r>
              <w:rPr>
                <w:rFonts w:ascii="Arial" w:cs="Arial" w:eastAsia="Arial" w:hAnsi="Arial"/>
                <w:sz w:val="17"/>
                <w:szCs w:val="17"/>
                <w:color w:val="auto"/>
              </w:rPr>
              <w:t>(4)</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17"/>
              <w:spacing w:after="0"/>
              <w:rPr>
                <w:sz w:val="20"/>
                <w:szCs w:val="20"/>
                <w:color w:val="auto"/>
              </w:rPr>
            </w:pPr>
            <w:r>
              <w:rPr>
                <w:rFonts w:ascii="Arial" w:cs="Arial" w:eastAsia="Arial" w:hAnsi="Arial"/>
                <w:sz w:val="17"/>
                <w:szCs w:val="17"/>
                <w:color w:val="auto"/>
              </w:rPr>
              <w:t>501,132</w:t>
            </w:r>
          </w:p>
        </w:tc>
        <w:tc>
          <w:tcPr>
            <w:tcW w:w="840" w:type="dxa"/>
            <w:vAlign w:val="bottom"/>
          </w:tcPr>
          <w:p>
            <w:pPr>
              <w:jc w:val="center"/>
              <w:ind w:left="141"/>
              <w:spacing w:after="0"/>
              <w:rPr>
                <w:sz w:val="20"/>
                <w:szCs w:val="20"/>
                <w:color w:val="auto"/>
              </w:rPr>
            </w:pPr>
            <w:r>
              <w:rPr>
                <w:rFonts w:ascii="Arial" w:cs="Arial" w:eastAsia="Arial" w:hAnsi="Arial"/>
                <w:sz w:val="17"/>
                <w:szCs w:val="17"/>
                <w:color w:val="auto"/>
              </w:rPr>
              <w:t>—</w:t>
            </w:r>
          </w:p>
        </w:tc>
      </w:tr>
      <w:tr>
        <w:trPr>
          <w:trHeight w:val="238"/>
        </w:trPr>
        <w:tc>
          <w:tcPr>
            <w:tcW w:w="3860" w:type="dxa"/>
            <w:vAlign w:val="bottom"/>
          </w:tcPr>
          <w:p>
            <w:pPr>
              <w:spacing w:after="0"/>
              <w:rPr>
                <w:sz w:val="20"/>
                <w:szCs w:val="20"/>
                <w:color w:val="auto"/>
              </w:rPr>
            </w:pPr>
          </w:p>
        </w:tc>
        <w:tc>
          <w:tcPr>
            <w:tcW w:w="3680" w:type="dxa"/>
            <w:vAlign w:val="bottom"/>
          </w:tcPr>
          <w:p>
            <w:pPr>
              <w:ind w:left="80"/>
              <w:spacing w:after="0"/>
              <w:rPr>
                <w:sz w:val="20"/>
                <w:szCs w:val="20"/>
                <w:color w:val="auto"/>
              </w:rPr>
            </w:pPr>
            <w:r>
              <w:rPr>
                <w:rFonts w:ascii="Arial" w:cs="Arial" w:eastAsia="Arial" w:hAnsi="Arial"/>
                <w:sz w:val="17"/>
                <w:szCs w:val="17"/>
                <w:color w:val="auto"/>
              </w:rPr>
              <w:t>TI Employees Non-Qualified Pension Plan II</w:t>
            </w:r>
          </w:p>
        </w:tc>
        <w:tc>
          <w:tcPr>
            <w:tcW w:w="740" w:type="dxa"/>
            <w:vAlign w:val="bottom"/>
          </w:tcPr>
          <w:p>
            <w:pPr>
              <w:jc w:val="right"/>
              <w:spacing w:after="0"/>
              <w:rPr>
                <w:sz w:val="20"/>
                <w:szCs w:val="20"/>
                <w:color w:val="auto"/>
              </w:rPr>
            </w:pPr>
            <w:r>
              <w:rPr>
                <w:rFonts w:ascii="Arial" w:cs="Arial" w:eastAsia="Arial" w:hAnsi="Arial"/>
                <w:sz w:val="17"/>
                <w:szCs w:val="17"/>
                <w:color w:val="auto"/>
              </w:rPr>
              <w:t>35</w:t>
            </w:r>
          </w:p>
        </w:tc>
        <w:tc>
          <w:tcPr>
            <w:tcW w:w="780" w:type="dxa"/>
            <w:vAlign w:val="bottom"/>
          </w:tcPr>
          <w:p>
            <w:pPr>
              <w:jc w:val="right"/>
              <w:ind w:right="454"/>
              <w:spacing w:after="0"/>
              <w:rPr>
                <w:sz w:val="20"/>
                <w:szCs w:val="20"/>
                <w:color w:val="auto"/>
              </w:rPr>
            </w:pPr>
            <w:r>
              <w:rPr>
                <w:rFonts w:ascii="Arial" w:cs="Arial" w:eastAsia="Arial" w:hAnsi="Arial"/>
                <w:sz w:val="17"/>
                <w:szCs w:val="17"/>
                <w:color w:val="auto"/>
              </w:rPr>
              <w:t>(5)</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17"/>
              <w:spacing w:after="0"/>
              <w:rPr>
                <w:sz w:val="20"/>
                <w:szCs w:val="20"/>
                <w:color w:val="auto"/>
              </w:rPr>
            </w:pPr>
            <w:r>
              <w:rPr>
                <w:rFonts w:ascii="Arial" w:cs="Arial" w:eastAsia="Arial" w:hAnsi="Arial"/>
                <w:sz w:val="17"/>
                <w:szCs w:val="17"/>
                <w:color w:val="auto"/>
              </w:rPr>
              <w:t>6,174,526</w:t>
            </w:r>
          </w:p>
        </w:tc>
        <w:tc>
          <w:tcPr>
            <w:tcW w:w="840" w:type="dxa"/>
            <w:vAlign w:val="bottom"/>
          </w:tcPr>
          <w:p>
            <w:pPr>
              <w:jc w:val="center"/>
              <w:ind w:left="141"/>
              <w:spacing w:after="0"/>
              <w:rPr>
                <w:sz w:val="20"/>
                <w:szCs w:val="20"/>
                <w:color w:val="auto"/>
              </w:rPr>
            </w:pPr>
            <w:r>
              <w:rPr>
                <w:rFonts w:ascii="Arial" w:cs="Arial" w:eastAsia="Arial" w:hAnsi="Arial"/>
                <w:sz w:val="17"/>
                <w:szCs w:val="17"/>
                <w:color w:val="auto"/>
              </w:rPr>
              <w:t>—</w:t>
            </w:r>
          </w:p>
        </w:tc>
      </w:tr>
    </w:tbl>
    <w:p>
      <w:pPr>
        <w:spacing w:after="0" w:line="257" w:lineRule="exact"/>
        <w:rPr>
          <w:sz w:val="20"/>
          <w:szCs w:val="20"/>
          <w:color w:val="auto"/>
        </w:rPr>
      </w:pPr>
    </w:p>
    <w:p>
      <w:pPr>
        <w:ind w:left="480" w:right="120" w:hanging="474"/>
        <w:spacing w:after="0" w:line="255" w:lineRule="auto"/>
        <w:tabs>
          <w:tab w:leader="none" w:pos="4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Mr. Anderson does not participate in any of the company’s defined benefit pension plans because he joined TI after these plans were closed to new participants.</w:t>
      </w:r>
    </w:p>
    <w:p>
      <w:pPr>
        <w:spacing w:after="0" w:line="218" w:lineRule="exact"/>
        <w:rPr>
          <w:rFonts w:ascii="Arial" w:cs="Arial" w:eastAsia="Arial" w:hAnsi="Arial"/>
          <w:sz w:val="17"/>
          <w:szCs w:val="17"/>
          <w:color w:val="auto"/>
        </w:rPr>
      </w:pPr>
    </w:p>
    <w:p>
      <w:pPr>
        <w:ind w:left="480" w:right="220" w:hanging="474"/>
        <w:spacing w:after="0" w:line="246" w:lineRule="auto"/>
        <w:tabs>
          <w:tab w:leader="none" w:pos="4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1997, TI’s U.S. employees were given the choice between continuing to participate in the defined benefit pension plans or participating in a new enhanced defined contribution retirement plan. Messrs. Templeton and Crutcher chose to participate in the defined contribution plan. Accordingly, their accrued pension benefits under the qualified and non-qualified plans were frozen (i.e., they will experience no increase attributable to years of service or change in eligible earnings) as of December 31, 1997. Contributions to the defined contribution plan for Mr. Templeton’s and Mr. Crutcher’s benefits are included in the 2014 summary compensation table.</w:t>
      </w:r>
    </w:p>
    <w:p>
      <w:pPr>
        <w:spacing w:after="0" w:line="227" w:lineRule="exact"/>
        <w:rPr>
          <w:rFonts w:ascii="Arial" w:cs="Arial" w:eastAsia="Arial" w:hAnsi="Arial"/>
          <w:sz w:val="17"/>
          <w:szCs w:val="17"/>
          <w:color w:val="auto"/>
        </w:rPr>
      </w:pPr>
    </w:p>
    <w:p>
      <w:pPr>
        <w:ind w:left="480" w:right="20" w:hanging="474"/>
        <w:spacing w:after="0" w:line="246" w:lineRule="auto"/>
        <w:tabs>
          <w:tab w:leader="none" w:pos="4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For each of the named executive officers, credited service began on the date the officer became eligible to participate in the plan. For Mr. Crutcher, eligibility to participate began on the first day of the month following completion of one year of employment. For each of the other named executive officers, eligibility to participate began on the earlier of 18 months of employment, or January 1 following the completion of one year of employment. Accordingly, each of the named executive officers has been employed by TI for longer than the years of credited service shown above.</w:t>
      </w:r>
    </w:p>
    <w:p>
      <w:pPr>
        <w:spacing w:after="0" w:line="227" w:lineRule="exact"/>
        <w:rPr>
          <w:rFonts w:ascii="Arial" w:cs="Arial" w:eastAsia="Arial" w:hAnsi="Arial"/>
          <w:sz w:val="17"/>
          <w:szCs w:val="17"/>
          <w:color w:val="auto"/>
        </w:rPr>
      </w:pPr>
    </w:p>
    <w:p>
      <w:pPr>
        <w:ind w:left="480" w:right="20" w:hanging="474"/>
        <w:spacing w:after="0" w:line="255" w:lineRule="auto"/>
        <w:tabs>
          <w:tab w:leader="none" w:pos="4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Credited service began on the date the named executive officer became eligible to participate in the TI Employees Pension Plan as described in note 3 above and ceased at December 31, 2004.</w:t>
      </w:r>
    </w:p>
    <w:p>
      <w:pPr>
        <w:spacing w:after="0" w:line="218" w:lineRule="exact"/>
        <w:rPr>
          <w:rFonts w:ascii="Arial" w:cs="Arial" w:eastAsia="Arial" w:hAnsi="Arial"/>
          <w:sz w:val="17"/>
          <w:szCs w:val="17"/>
          <w:color w:val="auto"/>
        </w:rPr>
      </w:pPr>
    </w:p>
    <w:p>
      <w:pPr>
        <w:ind w:left="480" w:right="20" w:hanging="474"/>
        <w:spacing w:after="0" w:line="255" w:lineRule="auto"/>
        <w:tabs>
          <w:tab w:leader="none" w:pos="4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Credited service began on the date the named executive officer became eligible to participate in the TI Employees Pension Plan as described in note 3 above.</w:t>
      </w:r>
    </w:p>
    <w:p>
      <w:pPr>
        <w:spacing w:after="0" w:line="218" w:lineRule="exact"/>
        <w:rPr>
          <w:rFonts w:ascii="Arial" w:cs="Arial" w:eastAsia="Arial" w:hAnsi="Arial"/>
          <w:sz w:val="17"/>
          <w:szCs w:val="17"/>
          <w:color w:val="auto"/>
        </w:rPr>
      </w:pPr>
    </w:p>
    <w:p>
      <w:pPr>
        <w:ind w:left="480" w:right="60" w:hanging="474"/>
        <w:spacing w:after="0" w:line="244" w:lineRule="auto"/>
        <w:tabs>
          <w:tab w:leader="none" w:pos="4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assumptions and valuation methods used to calculate the present value of the accumulated pension benefits shown are the same as those used by TI for financial reporting purposes and are described in Note 11 to the financial statements contained in Item 8 in TI’s annual report on Form 10-K for the year ended December 31, 2014, except that a named executive officer’s retirement is assumed (in accordance with SEC rules) for purposes of this table to occur at age 65 and no assumption for termination prior to that date is used. The amount of the lump-sum benefit earned as of December 31, 2014, is determined using either (i) the Pension Benefit Guaranty Corporation (PBGC) interest assumption of 1.50 percent or (ii) the Pension Protection Act of 2006 (PPA) corporate bond yield interest assumption of 4.23 percent for the TI Employees Pension Plan and 4.26 percent for the TI Employees Non- Qualified Pension Plans, whichever rate produces the higher lump sum amount. A discount rate assumption of 4.23 percent for the TI Employees Pension Plan and 4.26 percent for the non-qualified pension plans was used to determine the present value of each lump sum.</w:t>
      </w:r>
    </w:p>
    <w:p>
      <w:pPr>
        <w:spacing w:after="0" w:line="243" w:lineRule="exact"/>
        <w:rPr>
          <w:sz w:val="20"/>
          <w:szCs w:val="20"/>
          <w:color w:val="auto"/>
        </w:rPr>
      </w:pPr>
    </w:p>
    <w:p>
      <w:pPr>
        <w:spacing w:after="0"/>
        <w:tabs>
          <w:tab w:leader="none" w:pos="4140" w:val="left"/>
        </w:tabs>
        <w:rPr>
          <w:sz w:val="20"/>
          <w:szCs w:val="20"/>
          <w:color w:val="auto"/>
        </w:rPr>
      </w:pPr>
      <w:r>
        <w:rPr>
          <w:rFonts w:ascii="Arial" w:cs="Arial" w:eastAsia="Arial" w:hAnsi="Arial"/>
          <w:sz w:val="13"/>
          <w:szCs w:val="13"/>
          <w:color w:val="838383"/>
        </w:rPr>
        <w:t>104</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auto"/>
        </w:rPr>
        <w:t>TI Employees Pension Plan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TI Employees Pension Plan is a qualified defined benefit pension plan. Please see page 95 for a discussion of the origin and purpose of the plan.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Employees who joined the U.S. payroll after November 30, 1997, are not eligible to participate in this plan.</w:t>
      </w:r>
    </w:p>
    <w:p>
      <w:pPr>
        <w:spacing w:after="0" w:line="214" w:lineRule="exact"/>
        <w:rPr>
          <w:sz w:val="20"/>
          <w:szCs w:val="20"/>
          <w:color w:val="auto"/>
        </w:rPr>
      </w:pPr>
    </w:p>
    <w:p>
      <w:pPr>
        <w:ind w:right="520"/>
        <w:spacing w:after="0" w:line="249" w:lineRule="auto"/>
        <w:rPr>
          <w:sz w:val="20"/>
          <w:szCs w:val="20"/>
          <w:color w:val="auto"/>
        </w:rPr>
      </w:pPr>
      <w:r>
        <w:rPr>
          <w:rFonts w:ascii="Arial" w:cs="Arial" w:eastAsia="Arial" w:hAnsi="Arial"/>
          <w:sz w:val="17"/>
          <w:szCs w:val="17"/>
          <w:color w:val="auto"/>
        </w:rPr>
        <w:t>A plan participant is eligible for normal retirement under the terms of the plan if he is at least 65 years of age with one year of credited service. A participant is eligible for early retirement if he is at least 55 years of age with 20 years of employment or 60 years of age with five years of employment. As of December 31, 2014, Mr. Templeton, Mr. March and Mr. Ritchie were eligible for early or normal retirement.</w:t>
      </w:r>
    </w:p>
    <w:p>
      <w:pPr>
        <w:spacing w:after="0" w:line="198"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A participant may request payment of his accrued benefit at termination or any time thereafter. Participants may choose a lump sum payment or one of six forms of annuity. In order of largest to smallest periodic payment, the forms of annuity are: (i) single life annuity, (ii) 5-year certain and life annuity, (iii) 10-year certain and life annuity, (iv) qualified joint and 50 percent survivor annuity, (v) qualified joint and 75 percent survivor annuity, and</w:t>
      </w:r>
    </w:p>
    <w:p>
      <w:pPr>
        <w:spacing w:after="0" w:line="1" w:lineRule="exact"/>
        <w:rPr>
          <w:sz w:val="20"/>
          <w:szCs w:val="20"/>
          <w:color w:val="auto"/>
        </w:rPr>
      </w:pPr>
    </w:p>
    <w:p>
      <w:pPr>
        <w:ind w:right="180" w:firstLine="6"/>
        <w:spacing w:after="0" w:line="255" w:lineRule="auto"/>
        <w:tabs>
          <w:tab w:leader="none" w:pos="286" w:val="left"/>
        </w:tabs>
        <w:numPr>
          <w:ilvl w:val="0"/>
          <w:numId w:val="59"/>
        </w:numPr>
        <w:rPr>
          <w:rFonts w:ascii="Arial" w:cs="Arial" w:eastAsia="Arial" w:hAnsi="Arial"/>
          <w:sz w:val="17"/>
          <w:szCs w:val="17"/>
          <w:color w:val="auto"/>
        </w:rPr>
      </w:pPr>
      <w:r>
        <w:rPr>
          <w:rFonts w:ascii="Arial" w:cs="Arial" w:eastAsia="Arial" w:hAnsi="Arial"/>
          <w:sz w:val="17"/>
          <w:szCs w:val="17"/>
          <w:color w:val="auto"/>
        </w:rPr>
        <w:t>qualified joint and 100 percent survivor annuity. If the participant does not request payment, he will begin to receive his benefit in April of the year after he reaches the age of 70½ in the form of annuity required under the IRC.</w:t>
      </w:r>
    </w:p>
    <w:p>
      <w:pPr>
        <w:spacing w:after="0" w:line="192"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The pension formula for the qualified plan is intended to provide a participant with an annual retirement benefit equal to 1.5 percent multiplied by the product of (i) years of credited service and (ii) the average of the five highest consecutive years of his base salary plus bonus up to a limit imposed by the IRS, less a percentage (based on his year of birth, when he elects to retire and his years of service with TI) of the amount of compensation on which his Social Security benefit is based.</w:t>
      </w:r>
    </w:p>
    <w:p>
      <w:pPr>
        <w:spacing w:after="0" w:line="200" w:lineRule="exact"/>
        <w:rPr>
          <w:sz w:val="20"/>
          <w:szCs w:val="20"/>
          <w:color w:val="auto"/>
        </w:rPr>
      </w:pPr>
    </w:p>
    <w:p>
      <w:pPr>
        <w:ind w:right="360"/>
        <w:spacing w:after="0" w:line="255" w:lineRule="auto"/>
        <w:rPr>
          <w:sz w:val="20"/>
          <w:szCs w:val="20"/>
          <w:color w:val="auto"/>
        </w:rPr>
      </w:pPr>
      <w:r>
        <w:rPr>
          <w:rFonts w:ascii="Arial" w:cs="Arial" w:eastAsia="Arial" w:hAnsi="Arial"/>
          <w:sz w:val="17"/>
          <w:szCs w:val="17"/>
          <w:color w:val="auto"/>
        </w:rPr>
        <w:t>If an individual takes early retirement and chooses to begin receiving his annual retirement benefit at that time, such benefit is reduced by an early retirement factor. As a result, the annual benefit is lower than the one he would have received at age 65.</w:t>
      </w:r>
    </w:p>
    <w:p>
      <w:pPr>
        <w:spacing w:after="0" w:line="192"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color w:val="auto"/>
        </w:rPr>
        <w:t>If the participant’s employment terminates due to disability, the participant may choose to receive his accrued benefit at any time prior to age 65. Alternatively, the participant may choose to defer receipt of the accrued benefit until reaching age 65 and then take a disability benefit. The disability benefit paid at age 65 is based on salary and bonus, years of credited service the participant would have accrued to age 65 had he not become disabled and disabled status.</w:t>
      </w:r>
    </w:p>
    <w:p>
      <w:pPr>
        <w:spacing w:after="0" w:line="200"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benefit payable in the event of death is based on salary and bonus, years of credited service and age at the time of death, and may be in the form of a lump sum or annuity at the election of the beneficiary. The earliest date of payment is the first day of the second calendar month following the month of death.</w:t>
      </w:r>
    </w:p>
    <w:p>
      <w:pPr>
        <w:spacing w:after="0" w:line="198" w:lineRule="exact"/>
        <w:rPr>
          <w:sz w:val="20"/>
          <w:szCs w:val="20"/>
          <w:color w:val="auto"/>
        </w:rPr>
      </w:pPr>
    </w:p>
    <w:p>
      <w:pPr>
        <w:ind w:right="340"/>
        <w:spacing w:after="0" w:line="255" w:lineRule="auto"/>
        <w:rPr>
          <w:sz w:val="20"/>
          <w:szCs w:val="20"/>
          <w:color w:val="auto"/>
        </w:rPr>
      </w:pPr>
      <w:r>
        <w:rPr>
          <w:rFonts w:ascii="Arial" w:cs="Arial" w:eastAsia="Arial" w:hAnsi="Arial"/>
          <w:sz w:val="17"/>
          <w:szCs w:val="17"/>
          <w:color w:val="auto"/>
        </w:rPr>
        <w:t>Leaves of absence, including a bridge to retirement, are credited to years of service under the qualified pension plan. Please see the discussion of leaves of absence on page 108.</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TI employees non-qualified pension plans</w:t>
      </w:r>
    </w:p>
    <w:p>
      <w:pPr>
        <w:spacing w:after="0" w:line="214"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TI has two non-qualified pension plans: the TI Employees Non-Qualified Pension Plan (Plan I), which governs amounts earned before 2005; and the TI Employees Non-Qualified Pension Plan II (Plan II), which governs amounts earned after 2004. Each is a non-qualified defined benefit pension plan. Please see pages 95-96 for a discussion of the purpose of the plans. As with the qualified defined benefit pension plan, employees who joined the U.S. payroll after November 30, 1997, are not eligible to participate in Plan I or Plan II. Eligibility for normal and early retirement under these plans is the same as under the qualified plan (please see above). Benefits are paid in a lump sum.</w:t>
      </w:r>
    </w:p>
    <w:p>
      <w:pPr>
        <w:spacing w:after="0" w:line="201"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A participant’s benefits under Plan I and Plan II are calculated using the same formula as described above for the TI Employees Pension Plan. However, the IRS limit on the amount of compensation on which a qualified pension benefit may be calculated does not apply. Additionally, the IRS limit on the amount of qualified benefit the participant may receive does not apply to these plans. Once this non-qualified benefit amount has been determined using the formula described above, the individual’s qualified benefit is subtracted from it. The resulting difference is multiplied by an age-based factor to obtain the amount of the lump-sum benefit payable to an individual under the non-qualified plans.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Amounts under Plan I will be distributed when payment of the participant’s benefit under the qualified pension plan commences. Amounts under Plan</w:t>
      </w:r>
    </w:p>
    <w:p>
      <w:pPr>
        <w:spacing w:after="0" w:line="3" w:lineRule="exact"/>
        <w:rPr>
          <w:sz w:val="20"/>
          <w:szCs w:val="20"/>
          <w:color w:val="auto"/>
        </w:rPr>
      </w:pPr>
    </w:p>
    <w:p>
      <w:pPr>
        <w:ind w:right="140" w:firstLine="6"/>
        <w:spacing w:after="0" w:line="249" w:lineRule="auto"/>
        <w:tabs>
          <w:tab w:leader="none" w:pos="143" w:val="left"/>
        </w:tabs>
        <w:numPr>
          <w:ilvl w:val="0"/>
          <w:numId w:val="60"/>
        </w:numPr>
        <w:rPr>
          <w:rFonts w:ascii="Arial" w:cs="Arial" w:eastAsia="Arial" w:hAnsi="Arial"/>
          <w:sz w:val="17"/>
          <w:szCs w:val="17"/>
          <w:color w:val="auto"/>
        </w:rPr>
      </w:pPr>
      <w:r>
        <w:rPr>
          <w:rFonts w:ascii="Arial" w:cs="Arial" w:eastAsia="Arial" w:hAnsi="Arial"/>
          <w:sz w:val="17"/>
          <w:szCs w:val="17"/>
          <w:color w:val="auto"/>
        </w:rPr>
        <w:t>will be distributed subject to the requirements of Section 409A of the IRC. Because the named executive officers are among the 50 most highly compensated officers of the company, Section 409A of the IRC requires that they not receive any lump sum distribution payment under Plan II before the first day of the seventh month following termination of employment.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240" w:type="dxa"/>
            <w:vAlign w:val="bottom"/>
          </w:tcPr>
          <w:p>
            <w:pPr>
              <w:ind w:left="4080"/>
              <w:spacing w:after="0"/>
              <w:rPr>
                <w:sz w:val="20"/>
                <w:szCs w:val="20"/>
                <w:color w:val="auto"/>
              </w:rPr>
            </w:pPr>
            <w:r>
              <w:rPr>
                <w:rFonts w:ascii="Arial" w:cs="Arial" w:eastAsia="Arial" w:hAnsi="Arial"/>
                <w:sz w:val="13"/>
                <w:szCs w:val="13"/>
                <w:color w:val="838383"/>
              </w:rPr>
              <w:t>TEXAS INSTRUMENTS ● 2015 PROXY STATEMENT</w:t>
            </w:r>
          </w:p>
        </w:tc>
        <w:tc>
          <w:tcPr>
            <w:tcW w:w="2200" w:type="dxa"/>
            <w:vAlign w:val="bottom"/>
          </w:tcPr>
          <w:p>
            <w:pPr>
              <w:jc w:val="right"/>
              <w:spacing w:after="0"/>
              <w:rPr>
                <w:sz w:val="20"/>
                <w:szCs w:val="20"/>
                <w:color w:val="auto"/>
              </w:rPr>
            </w:pPr>
            <w:r>
              <w:rPr>
                <w:rFonts w:ascii="Arial" w:cs="Arial" w:eastAsia="Arial" w:hAnsi="Arial"/>
                <w:sz w:val="13"/>
                <w:szCs w:val="13"/>
                <w:color w:val="838383"/>
              </w:rPr>
              <w:t>105</w:t>
            </w:r>
          </w:p>
        </w:tc>
      </w:tr>
      <w:tr>
        <w:trPr>
          <w:trHeight w:val="355"/>
        </w:trPr>
        <w:tc>
          <w:tcPr>
            <w:tcW w:w="924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92" w:right="219" w:bottom="1440" w:gutter="0" w:footer="0" w:header="0"/>
        </w:sectPr>
      </w:pPr>
    </w:p>
    <w:bookmarkStart w:id="36" w:name="page37"/>
    <w:bookmarkEnd w:id="36"/>
    <w:p>
      <w:pPr>
        <w:ind w:right="180"/>
        <w:spacing w:after="0" w:line="249" w:lineRule="auto"/>
        <w:rPr>
          <w:sz w:val="20"/>
          <w:szCs w:val="20"/>
          <w:color w:val="auto"/>
        </w:rPr>
      </w:pPr>
      <w:r>
        <w:rPr>
          <w:rFonts w:ascii="Arial" w:cs="Arial" w:eastAsia="Arial" w:hAnsi="Arial"/>
          <w:sz w:val="17"/>
          <w:szCs w:val="17"/>
          <w:color w:val="auto"/>
        </w:rPr>
        <w:t>If a participant terminates due to disability, amounts under Plan I will be distributed when payment of the participant’s benefit under the qualified plan commences. For amounts under Plan II, distribution is governed by Section 409A of the IRC, and the disability benefit is reduced to reflect the payment of the benefit prior to age 65.</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In the event of death, payment under both plans is based on salary and bonus, years of credited service and age at the time of death and will be in the form of a lump sum. The earliest date of payment is the first day of the second calendar month following the month of death.</w:t>
      </w:r>
    </w:p>
    <w:p>
      <w:pPr>
        <w:spacing w:after="0" w:line="19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Balances in the plans are unsecured obligations of the company. For amounts under Plan I, in the event of a change in control, the present value of the individual’s benefit would be paid not later than the month following the month in which the change in control occurred. For such amounts, the pre-2010 definition of a change in control (please see page 102) applies. For all amounts accrued under this plan, if a sale of substantially all of the assets of the company occurred, the present value of the individual’s benefit would be distributed in a lump sum as soon as reasonably practicable following the sale of assets. For amounts under Plan II, no distribution of benefits is triggered by a change in control.</w:t>
      </w:r>
    </w:p>
    <w:p>
      <w:pPr>
        <w:spacing w:after="0" w:line="201"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Leaves of absence, including a bridge to retirement, are credited to years of service under the non-qualified pension plans. For a discussion of leaves of absence, please see page 108.</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TI Employees Survivor Benefit Plan</w:t>
      </w:r>
    </w:p>
    <w:p>
      <w:pPr>
        <w:spacing w:after="0" w:line="214"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TI’s qualified and non-qualified pension plans provide that upon the death of a retirement-eligible employee, the employee’s beneficiary receives a payment equal to half of the benefit to which the employee would have been entitled under the pension plans had he retired instead of died. We have a survivor benefit plan that pays the beneficiary a lump sum that, when added to the reduced amounts the beneficiary receives under the pension plans, equals the benefit the employee would have been entitled to receive had he retired instead of died. Because Messers. Templeton, March and Ritchie were eligible for early retirement in 2014, their beneficiaries would be eligible for benefits under the survivor benefit plan if they were to die.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2014 non-qualified deferred compensation</w:t>
      </w:r>
    </w:p>
    <w:p>
      <w:pPr>
        <w:spacing w:after="0" w:line="234" w:lineRule="exact"/>
        <w:rPr>
          <w:sz w:val="20"/>
          <w:szCs w:val="20"/>
          <w:color w:val="auto"/>
        </w:rPr>
      </w:pPr>
    </w:p>
    <w:p>
      <w:pPr>
        <w:ind w:right="380"/>
        <w:spacing w:after="0" w:line="255" w:lineRule="auto"/>
        <w:rPr>
          <w:sz w:val="20"/>
          <w:szCs w:val="20"/>
          <w:color w:val="auto"/>
        </w:rPr>
      </w:pPr>
      <w:r>
        <w:rPr>
          <w:rFonts w:ascii="Arial" w:cs="Arial" w:eastAsia="Arial" w:hAnsi="Arial"/>
          <w:sz w:val="17"/>
          <w:szCs w:val="17"/>
          <w:color w:val="auto"/>
        </w:rPr>
        <w:t>The following table shows contributions to the named executive officer’s deferred compensation account in 2014 and the aggregate amount of his deferred compensation as of December 31, 2014.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rPr>
              <w:t>Registrant</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38"/>
        </w:trPr>
        <w:tc>
          <w:tcPr>
            <w:tcW w:w="28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40" w:type="dxa"/>
            <w:vAlign w:val="bottom"/>
          </w:tcPr>
          <w:p>
            <w:pPr>
              <w:jc w:val="center"/>
              <w:ind w:right="317"/>
              <w:spacing w:after="0"/>
              <w:rPr>
                <w:sz w:val="20"/>
                <w:szCs w:val="20"/>
                <w:color w:val="auto"/>
              </w:rPr>
            </w:pPr>
            <w:r>
              <w:rPr>
                <w:rFonts w:ascii="Arial" w:cs="Arial" w:eastAsia="Arial" w:hAnsi="Arial"/>
                <w:sz w:val="13"/>
                <w:szCs w:val="13"/>
                <w:b w:val="1"/>
                <w:bCs w:val="1"/>
                <w:color w:val="auto"/>
                <w:w w:val="98"/>
              </w:rPr>
              <w:t>Executive</w:t>
            </w: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rPr>
              <w:t>Contributions</w:t>
            </w: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center"/>
              <w:ind w:left="20"/>
              <w:spacing w:after="0"/>
              <w:rPr>
                <w:sz w:val="20"/>
                <w:szCs w:val="20"/>
                <w:color w:val="auto"/>
              </w:rPr>
            </w:pPr>
            <w:r>
              <w:rPr>
                <w:rFonts w:ascii="Arial" w:cs="Arial" w:eastAsia="Arial" w:hAnsi="Arial"/>
                <w:sz w:val="13"/>
                <w:szCs w:val="13"/>
                <w:b w:val="1"/>
                <w:bCs w:val="1"/>
                <w:color w:val="auto"/>
              </w:rPr>
              <w:t>Aggregate</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center"/>
              <w:ind w:left="62"/>
              <w:spacing w:after="0"/>
              <w:rPr>
                <w:sz w:val="20"/>
                <w:szCs w:val="20"/>
                <w:color w:val="auto"/>
              </w:rPr>
            </w:pPr>
            <w:r>
              <w:rPr>
                <w:rFonts w:ascii="Arial" w:cs="Arial" w:eastAsia="Arial" w:hAnsi="Arial"/>
                <w:sz w:val="13"/>
                <w:szCs w:val="13"/>
                <w:b w:val="1"/>
                <w:bCs w:val="1"/>
                <w:color w:val="auto"/>
              </w:rPr>
              <w:t>Aggregate</w:t>
            </w:r>
          </w:p>
        </w:tc>
        <w:tc>
          <w:tcPr>
            <w:tcW w:w="240" w:type="dxa"/>
            <w:vAlign w:val="bottom"/>
          </w:tcPr>
          <w:p>
            <w:pPr>
              <w:spacing w:after="0"/>
              <w:rPr>
                <w:sz w:val="20"/>
                <w:szCs w:val="20"/>
                <w:color w:val="auto"/>
              </w:rPr>
            </w:pPr>
          </w:p>
        </w:tc>
      </w:tr>
      <w:tr>
        <w:trPr>
          <w:trHeight w:val="238"/>
        </w:trPr>
        <w:tc>
          <w:tcPr>
            <w:tcW w:w="2840" w:type="dxa"/>
            <w:vAlign w:val="bottom"/>
          </w:tcPr>
          <w:p>
            <w:pPr>
              <w:spacing w:after="0"/>
              <w:rPr>
                <w:sz w:val="20"/>
                <w:szCs w:val="20"/>
                <w:color w:val="auto"/>
              </w:rPr>
            </w:pPr>
          </w:p>
        </w:tc>
        <w:tc>
          <w:tcPr>
            <w:tcW w:w="2840" w:type="dxa"/>
            <w:vAlign w:val="bottom"/>
            <w:gridSpan w:val="2"/>
          </w:tcPr>
          <w:p>
            <w:pPr>
              <w:jc w:val="center"/>
              <w:ind w:left="1322"/>
              <w:spacing w:after="0"/>
              <w:rPr>
                <w:sz w:val="20"/>
                <w:szCs w:val="20"/>
                <w:color w:val="auto"/>
              </w:rPr>
            </w:pPr>
            <w:r>
              <w:rPr>
                <w:rFonts w:ascii="Arial" w:cs="Arial" w:eastAsia="Arial" w:hAnsi="Arial"/>
                <w:sz w:val="13"/>
                <w:szCs w:val="13"/>
                <w:b w:val="1"/>
                <w:bCs w:val="1"/>
                <w:color w:val="auto"/>
              </w:rPr>
              <w:t>Contributions</w:t>
            </w:r>
          </w:p>
        </w:tc>
        <w:tc>
          <w:tcPr>
            <w:tcW w:w="320" w:type="dxa"/>
            <w:vAlign w:val="bottom"/>
          </w:tcPr>
          <w:p>
            <w:pPr>
              <w:spacing w:after="0"/>
              <w:rPr>
                <w:sz w:val="20"/>
                <w:szCs w:val="20"/>
                <w:color w:val="auto"/>
              </w:rPr>
            </w:pPr>
          </w:p>
        </w:tc>
        <w:tc>
          <w:tcPr>
            <w:tcW w:w="980" w:type="dxa"/>
            <w:vAlign w:val="bottom"/>
          </w:tcPr>
          <w:p>
            <w:pPr>
              <w:jc w:val="center"/>
              <w:ind w:right="280"/>
              <w:spacing w:after="0"/>
              <w:rPr>
                <w:sz w:val="20"/>
                <w:szCs w:val="20"/>
                <w:color w:val="auto"/>
              </w:rPr>
            </w:pPr>
            <w:r>
              <w:rPr>
                <w:rFonts w:ascii="Arial" w:cs="Arial" w:eastAsia="Arial" w:hAnsi="Arial"/>
                <w:sz w:val="13"/>
                <w:szCs w:val="13"/>
                <w:b w:val="1"/>
                <w:bCs w:val="1"/>
                <w:color w:val="auto"/>
                <w:w w:val="99"/>
              </w:rPr>
              <w:t>in Last FY</w:t>
            </w:r>
          </w:p>
        </w:tc>
        <w:tc>
          <w:tcPr>
            <w:tcW w:w="1760" w:type="dxa"/>
            <w:vAlign w:val="bottom"/>
            <w:gridSpan w:val="3"/>
          </w:tcPr>
          <w:p>
            <w:pPr>
              <w:jc w:val="right"/>
              <w:ind w:right="34"/>
              <w:spacing w:after="0"/>
              <w:rPr>
                <w:sz w:val="20"/>
                <w:szCs w:val="20"/>
                <w:color w:val="auto"/>
              </w:rPr>
            </w:pPr>
            <w:r>
              <w:rPr>
                <w:rFonts w:ascii="Arial" w:cs="Arial" w:eastAsia="Arial" w:hAnsi="Arial"/>
                <w:sz w:val="13"/>
                <w:szCs w:val="13"/>
                <w:b w:val="1"/>
                <w:bCs w:val="1"/>
                <w:color w:val="auto"/>
              </w:rPr>
              <w:t>Aggregate Earnings in</w:t>
            </w:r>
          </w:p>
        </w:tc>
        <w:tc>
          <w:tcPr>
            <w:tcW w:w="220" w:type="dxa"/>
            <w:vAlign w:val="bottom"/>
          </w:tcPr>
          <w:p>
            <w:pPr>
              <w:spacing w:after="0"/>
              <w:rPr>
                <w:sz w:val="20"/>
                <w:szCs w:val="20"/>
                <w:color w:val="auto"/>
              </w:rPr>
            </w:pPr>
          </w:p>
        </w:tc>
        <w:tc>
          <w:tcPr>
            <w:tcW w:w="1100" w:type="dxa"/>
            <w:vAlign w:val="bottom"/>
            <w:gridSpan w:val="2"/>
          </w:tcPr>
          <w:p>
            <w:pPr>
              <w:jc w:val="center"/>
              <w:ind w:right="154"/>
              <w:spacing w:after="0"/>
              <w:rPr>
                <w:sz w:val="20"/>
                <w:szCs w:val="20"/>
                <w:color w:val="auto"/>
              </w:rPr>
            </w:pPr>
            <w:r>
              <w:rPr>
                <w:rFonts w:ascii="Arial" w:cs="Arial" w:eastAsia="Arial" w:hAnsi="Arial"/>
                <w:sz w:val="13"/>
                <w:szCs w:val="13"/>
                <w:b w:val="1"/>
                <w:bCs w:val="1"/>
                <w:color w:val="auto"/>
              </w:rPr>
              <w:t>Withdrawals/</w:t>
            </w:r>
          </w:p>
        </w:tc>
        <w:tc>
          <w:tcPr>
            <w:tcW w:w="240" w:type="dxa"/>
            <w:vAlign w:val="bottom"/>
          </w:tcPr>
          <w:p>
            <w:pPr>
              <w:spacing w:after="0"/>
              <w:rPr>
                <w:sz w:val="20"/>
                <w:szCs w:val="20"/>
                <w:color w:val="auto"/>
              </w:rPr>
            </w:pPr>
          </w:p>
        </w:tc>
        <w:tc>
          <w:tcPr>
            <w:tcW w:w="1120" w:type="dxa"/>
            <w:vAlign w:val="bottom"/>
            <w:gridSpan w:val="2"/>
          </w:tcPr>
          <w:p>
            <w:pPr>
              <w:jc w:val="center"/>
              <w:ind w:right="14"/>
              <w:spacing w:after="0"/>
              <w:rPr>
                <w:sz w:val="20"/>
                <w:szCs w:val="20"/>
                <w:color w:val="auto"/>
              </w:rPr>
            </w:pPr>
            <w:r>
              <w:rPr>
                <w:rFonts w:ascii="Arial" w:cs="Arial" w:eastAsia="Arial" w:hAnsi="Arial"/>
                <w:sz w:val="13"/>
                <w:szCs w:val="13"/>
                <w:b w:val="1"/>
                <w:bCs w:val="1"/>
                <w:color w:val="auto"/>
              </w:rPr>
              <w:t>Balance at Last</w:t>
            </w:r>
          </w:p>
        </w:tc>
      </w:tr>
      <w:tr>
        <w:trPr>
          <w:trHeight w:val="238"/>
        </w:trPr>
        <w:tc>
          <w:tcPr>
            <w:tcW w:w="28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2840" w:type="dxa"/>
            <w:vAlign w:val="bottom"/>
            <w:gridSpan w:val="2"/>
          </w:tcPr>
          <w:p>
            <w:pPr>
              <w:jc w:val="center"/>
              <w:ind w:left="1322"/>
              <w:spacing w:after="0"/>
              <w:rPr>
                <w:sz w:val="20"/>
                <w:szCs w:val="20"/>
                <w:color w:val="auto"/>
              </w:rPr>
            </w:pPr>
            <w:r>
              <w:rPr>
                <w:rFonts w:ascii="Arial" w:cs="Arial" w:eastAsia="Arial" w:hAnsi="Arial"/>
                <w:sz w:val="13"/>
                <w:szCs w:val="13"/>
                <w:b w:val="1"/>
                <w:bCs w:val="1"/>
                <w:color w:val="auto"/>
              </w:rPr>
              <w:t>in Last FY ($) (1)</w:t>
            </w:r>
          </w:p>
        </w:tc>
        <w:tc>
          <w:tcPr>
            <w:tcW w:w="320" w:type="dxa"/>
            <w:vAlign w:val="bottom"/>
          </w:tcPr>
          <w:p>
            <w:pPr>
              <w:spacing w:after="0"/>
              <w:rPr>
                <w:sz w:val="20"/>
                <w:szCs w:val="20"/>
                <w:color w:val="auto"/>
              </w:rPr>
            </w:pPr>
          </w:p>
        </w:tc>
        <w:tc>
          <w:tcPr>
            <w:tcW w:w="980" w:type="dxa"/>
            <w:vAlign w:val="bottom"/>
          </w:tcPr>
          <w:p>
            <w:pPr>
              <w:jc w:val="center"/>
              <w:ind w:right="300"/>
              <w:spacing w:after="0"/>
              <w:rPr>
                <w:sz w:val="20"/>
                <w:szCs w:val="20"/>
                <w:color w:val="auto"/>
              </w:rPr>
            </w:pPr>
            <w:r>
              <w:rPr>
                <w:rFonts w:ascii="Arial" w:cs="Arial" w:eastAsia="Arial" w:hAnsi="Arial"/>
                <w:sz w:val="13"/>
                <w:szCs w:val="13"/>
                <w:b w:val="1"/>
                <w:bCs w:val="1"/>
                <w:color w:val="auto"/>
              </w:rPr>
              <w:t>($) (2)</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Last FY ($)</w:t>
            </w:r>
          </w:p>
        </w:tc>
        <w:tc>
          <w:tcPr>
            <w:tcW w:w="460" w:type="dxa"/>
            <w:vAlign w:val="bottom"/>
          </w:tcPr>
          <w:p>
            <w:pPr>
              <w:spacing w:after="0"/>
              <w:rPr>
                <w:sz w:val="20"/>
                <w:szCs w:val="20"/>
                <w:color w:val="auto"/>
              </w:rPr>
            </w:pPr>
          </w:p>
        </w:tc>
        <w:tc>
          <w:tcPr>
            <w:tcW w:w="1320" w:type="dxa"/>
            <w:vAlign w:val="bottom"/>
            <w:gridSpan w:val="3"/>
          </w:tcPr>
          <w:p>
            <w:pPr>
              <w:jc w:val="center"/>
              <w:spacing w:after="0"/>
              <w:rPr>
                <w:sz w:val="20"/>
                <w:szCs w:val="20"/>
                <w:color w:val="auto"/>
              </w:rPr>
            </w:pPr>
            <w:r>
              <w:rPr>
                <w:rFonts w:ascii="Arial" w:cs="Arial" w:eastAsia="Arial" w:hAnsi="Arial"/>
                <w:sz w:val="13"/>
                <w:szCs w:val="13"/>
                <w:b w:val="1"/>
                <w:bCs w:val="1"/>
                <w:color w:val="auto"/>
              </w:rPr>
              <w:t>Distributions ($)</w:t>
            </w:r>
          </w:p>
        </w:tc>
        <w:tc>
          <w:tcPr>
            <w:tcW w:w="240" w:type="dxa"/>
            <w:vAlign w:val="bottom"/>
          </w:tcPr>
          <w:p>
            <w:pPr>
              <w:spacing w:after="0"/>
              <w:rPr>
                <w:sz w:val="20"/>
                <w:szCs w:val="20"/>
                <w:color w:val="auto"/>
              </w:rPr>
            </w:pPr>
          </w:p>
        </w:tc>
        <w:tc>
          <w:tcPr>
            <w:tcW w:w="880" w:type="dxa"/>
            <w:vAlign w:val="bottom"/>
          </w:tcPr>
          <w:p>
            <w:pPr>
              <w:jc w:val="center"/>
              <w:ind w:left="62"/>
              <w:spacing w:after="0"/>
              <w:rPr>
                <w:sz w:val="20"/>
                <w:szCs w:val="20"/>
                <w:color w:val="auto"/>
              </w:rPr>
            </w:pPr>
            <w:r>
              <w:rPr>
                <w:rFonts w:ascii="Arial" w:cs="Arial" w:eastAsia="Arial" w:hAnsi="Arial"/>
                <w:sz w:val="13"/>
                <w:szCs w:val="13"/>
                <w:b w:val="1"/>
                <w:bCs w:val="1"/>
                <w:color w:val="auto"/>
              </w:rPr>
              <w:t>FYE ($) (5)</w:t>
            </w:r>
          </w:p>
        </w:tc>
        <w:tc>
          <w:tcPr>
            <w:tcW w:w="240" w:type="dxa"/>
            <w:vAlign w:val="bottom"/>
          </w:tcPr>
          <w:p>
            <w:pPr>
              <w:spacing w:after="0"/>
              <w:rPr>
                <w:sz w:val="20"/>
                <w:szCs w:val="20"/>
                <w:color w:val="auto"/>
              </w:rPr>
            </w:pPr>
          </w:p>
        </w:tc>
      </w:tr>
      <w:tr>
        <w:trPr>
          <w:trHeight w:val="41"/>
        </w:trPr>
        <w:tc>
          <w:tcPr>
            <w:tcW w:w="284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r>
      <w:tr>
        <w:trPr>
          <w:trHeight w:val="231"/>
        </w:trPr>
        <w:tc>
          <w:tcPr>
            <w:tcW w:w="284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1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E9E9E9"/>
          </w:tcPr>
          <w:p>
            <w:pPr>
              <w:jc w:val="right"/>
              <w:ind w:right="217"/>
              <w:spacing w:after="0"/>
              <w:rPr>
                <w:sz w:val="20"/>
                <w:szCs w:val="20"/>
                <w:color w:val="auto"/>
              </w:rPr>
            </w:pPr>
            <w:r>
              <w:rPr>
                <w:rFonts w:ascii="Arial" w:cs="Arial" w:eastAsia="Arial" w:hAnsi="Arial"/>
                <w:sz w:val="17"/>
                <w:szCs w:val="17"/>
                <w:color w:val="auto"/>
              </w:rPr>
              <w:t>153,169</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right"/>
              <w:ind w:right="180"/>
              <w:spacing w:after="0"/>
              <w:rPr>
                <w:sz w:val="20"/>
                <w:szCs w:val="20"/>
                <w:color w:val="auto"/>
              </w:rPr>
            </w:pPr>
            <w:r>
              <w:rPr>
                <w:rFonts w:ascii="Arial" w:cs="Arial" w:eastAsia="Arial" w:hAnsi="Arial"/>
                <w:sz w:val="17"/>
                <w:szCs w:val="17"/>
                <w:color w:val="auto"/>
              </w:rPr>
              <w:t>218,116</w:t>
            </w:r>
          </w:p>
        </w:tc>
        <w:tc>
          <w:tcPr>
            <w:tcW w:w="4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1,333,056</w:t>
            </w:r>
          </w:p>
        </w:tc>
        <w:tc>
          <w:tcPr>
            <w:tcW w:w="460" w:type="dxa"/>
            <w:vAlign w:val="bottom"/>
            <w:shd w:val="clear" w:color="auto" w:fill="E9E9E9"/>
          </w:tcPr>
          <w:p>
            <w:pPr>
              <w:jc w:val="right"/>
              <w:ind w:right="134"/>
              <w:spacing w:after="0"/>
              <w:rPr>
                <w:sz w:val="20"/>
                <w:szCs w:val="20"/>
                <w:color w:val="auto"/>
              </w:rPr>
            </w:pPr>
            <w:r>
              <w:rPr>
                <w:rFonts w:ascii="Arial" w:cs="Arial" w:eastAsia="Arial" w:hAnsi="Arial"/>
                <w:sz w:val="17"/>
                <w:szCs w:val="17"/>
                <w:color w:val="auto"/>
              </w:rPr>
              <w:t>(3)</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245,169</w:t>
            </w:r>
          </w:p>
        </w:tc>
        <w:tc>
          <w:tcPr>
            <w:tcW w:w="340" w:type="dxa"/>
            <w:vAlign w:val="bottom"/>
            <w:shd w:val="clear" w:color="auto" w:fill="E9E9E9"/>
          </w:tcPr>
          <w:p>
            <w:pPr>
              <w:jc w:val="right"/>
              <w:ind w:right="54"/>
              <w:spacing w:after="0"/>
              <w:rPr>
                <w:sz w:val="20"/>
                <w:szCs w:val="20"/>
                <w:color w:val="auto"/>
              </w:rPr>
            </w:pPr>
            <w:r>
              <w:rPr>
                <w:rFonts w:ascii="Arial" w:cs="Arial" w:eastAsia="Arial" w:hAnsi="Arial"/>
                <w:sz w:val="17"/>
                <w:szCs w:val="17"/>
                <w:color w:val="auto"/>
                <w:w w:val="86"/>
              </w:rPr>
              <w:t>(4)</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7,221,662</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w:t>
            </w:r>
          </w:p>
        </w:tc>
      </w:tr>
      <w:tr>
        <w:trPr>
          <w:trHeight w:val="230"/>
        </w:trPr>
        <w:tc>
          <w:tcPr>
            <w:tcW w:w="2840" w:type="dxa"/>
            <w:vAlign w:val="bottom"/>
          </w:tcPr>
          <w:p>
            <w:pPr>
              <w:spacing w:after="0"/>
              <w:rPr>
                <w:sz w:val="20"/>
                <w:szCs w:val="20"/>
                <w:color w:val="auto"/>
              </w:rPr>
            </w:pPr>
            <w:r>
              <w:rPr>
                <w:rFonts w:ascii="Arial" w:cs="Arial" w:eastAsia="Arial" w:hAnsi="Arial"/>
                <w:sz w:val="17"/>
                <w:szCs w:val="17"/>
                <w:color w:val="auto"/>
              </w:rPr>
              <w:t>K. P. March</w:t>
            </w:r>
          </w:p>
        </w:tc>
        <w:tc>
          <w:tcPr>
            <w:tcW w:w="1800" w:type="dxa"/>
            <w:vAlign w:val="bottom"/>
          </w:tcPr>
          <w:p>
            <w:pPr>
              <w:spacing w:after="0"/>
              <w:rPr>
                <w:sz w:val="19"/>
                <w:szCs w:val="19"/>
                <w:color w:val="auto"/>
              </w:rPr>
            </w:pPr>
          </w:p>
        </w:tc>
        <w:tc>
          <w:tcPr>
            <w:tcW w:w="104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980" w:type="dxa"/>
            <w:vAlign w:val="bottom"/>
          </w:tcPr>
          <w:p>
            <w:pPr>
              <w:jc w:val="right"/>
              <w:ind w:right="18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r>
      <w:tr>
        <w:trPr>
          <w:trHeight w:val="246"/>
        </w:trPr>
        <w:tc>
          <w:tcPr>
            <w:tcW w:w="2840" w:type="dxa"/>
            <w:vAlign w:val="bottom"/>
            <w:shd w:val="clear" w:color="auto" w:fill="E9E9E9"/>
          </w:tcPr>
          <w:p>
            <w:pPr>
              <w:spacing w:after="0"/>
              <w:rPr>
                <w:sz w:val="20"/>
                <w:szCs w:val="20"/>
                <w:color w:val="auto"/>
              </w:rPr>
            </w:pPr>
            <w:r>
              <w:rPr>
                <w:rFonts w:ascii="Arial" w:cs="Arial" w:eastAsia="Arial" w:hAnsi="Arial"/>
                <w:sz w:val="17"/>
                <w:szCs w:val="17"/>
                <w:color w:val="auto"/>
              </w:rPr>
              <w:t>B. T. Crutcher</w:t>
            </w:r>
          </w:p>
        </w:tc>
        <w:tc>
          <w:tcPr>
            <w:tcW w:w="1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E9E9E9"/>
          </w:tcPr>
          <w:p>
            <w:pPr>
              <w:jc w:val="right"/>
              <w:ind w:right="217"/>
              <w:spacing w:after="0"/>
              <w:rPr>
                <w:sz w:val="20"/>
                <w:szCs w:val="20"/>
                <w:color w:val="auto"/>
              </w:rPr>
            </w:pPr>
            <w:r>
              <w:rPr>
                <w:rFonts w:ascii="Arial" w:cs="Arial" w:eastAsia="Arial" w:hAnsi="Arial"/>
                <w:sz w:val="17"/>
                <w:szCs w:val="17"/>
                <w:color w:val="auto"/>
              </w:rPr>
              <w:t>79,954</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E9E9E9"/>
          </w:tcPr>
          <w:p>
            <w:pPr>
              <w:jc w:val="right"/>
              <w:ind w:right="180"/>
              <w:spacing w:after="0"/>
              <w:rPr>
                <w:sz w:val="20"/>
                <w:szCs w:val="20"/>
                <w:color w:val="auto"/>
              </w:rPr>
            </w:pPr>
            <w:r>
              <w:rPr>
                <w:rFonts w:ascii="Arial" w:cs="Arial" w:eastAsia="Arial" w:hAnsi="Arial"/>
                <w:sz w:val="17"/>
                <w:szCs w:val="17"/>
                <w:color w:val="auto"/>
              </w:rPr>
              <w:t>95,088</w:t>
            </w:r>
          </w:p>
        </w:tc>
        <w:tc>
          <w:tcPr>
            <w:tcW w:w="4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43,939</w:t>
            </w:r>
          </w:p>
        </w:tc>
        <w:tc>
          <w:tcPr>
            <w:tcW w:w="4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1"/>
                <w:szCs w:val="21"/>
                <w:color w:val="auto"/>
              </w:rPr>
            </w:pP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820,284</w:t>
            </w:r>
          </w:p>
        </w:tc>
        <w:tc>
          <w:tcPr>
            <w:tcW w:w="240" w:type="dxa"/>
            <w:vAlign w:val="bottom"/>
            <w:shd w:val="clear" w:color="auto" w:fill="E9E9E9"/>
          </w:tcPr>
          <w:p>
            <w:pPr>
              <w:spacing w:after="0"/>
              <w:rPr>
                <w:sz w:val="21"/>
                <w:szCs w:val="2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7"/>
                <w:szCs w:val="17"/>
                <w:color w:val="auto"/>
              </w:rPr>
              <w:t>S. A. Anderson</w:t>
            </w:r>
          </w:p>
        </w:tc>
        <w:tc>
          <w:tcPr>
            <w:tcW w:w="18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217"/>
              <w:spacing w:after="0"/>
              <w:rPr>
                <w:sz w:val="20"/>
                <w:szCs w:val="20"/>
                <w:color w:val="auto"/>
              </w:rPr>
            </w:pPr>
            <w:r>
              <w:rPr>
                <w:rFonts w:ascii="Arial" w:cs="Arial" w:eastAsia="Arial" w:hAnsi="Arial"/>
                <w:sz w:val="17"/>
                <w:szCs w:val="17"/>
                <w:color w:val="auto"/>
              </w:rPr>
              <w:t>31,846</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80"/>
              <w:spacing w:after="0"/>
              <w:rPr>
                <w:sz w:val="20"/>
                <w:szCs w:val="20"/>
                <w:color w:val="auto"/>
              </w:rPr>
            </w:pPr>
            <w:r>
              <w:rPr>
                <w:rFonts w:ascii="Arial" w:cs="Arial" w:eastAsia="Arial" w:hAnsi="Arial"/>
                <w:sz w:val="17"/>
                <w:szCs w:val="17"/>
                <w:color w:val="auto"/>
              </w:rPr>
              <w:t>53,089</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24,458</w:t>
            </w:r>
          </w:p>
        </w:tc>
        <w:tc>
          <w:tcPr>
            <w:tcW w:w="4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20,097</w:t>
            </w:r>
          </w:p>
        </w:tc>
        <w:tc>
          <w:tcPr>
            <w:tcW w:w="3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435,908</w:t>
            </w:r>
          </w:p>
        </w:tc>
        <w:tc>
          <w:tcPr>
            <w:tcW w:w="240" w:type="dxa"/>
            <w:vAlign w:val="bottom"/>
          </w:tcPr>
          <w:p>
            <w:pPr>
              <w:spacing w:after="0"/>
              <w:rPr>
                <w:sz w:val="19"/>
                <w:szCs w:val="19"/>
                <w:color w:val="auto"/>
              </w:rPr>
            </w:pPr>
          </w:p>
        </w:tc>
      </w:tr>
      <w:tr>
        <w:trPr>
          <w:trHeight w:val="246"/>
        </w:trPr>
        <w:tc>
          <w:tcPr>
            <w:tcW w:w="284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1800" w:type="dxa"/>
            <w:vAlign w:val="bottom"/>
            <w:shd w:val="clear" w:color="auto" w:fill="E9E9E9"/>
          </w:tcPr>
          <w:p>
            <w:pPr>
              <w:spacing w:after="0"/>
              <w:rPr>
                <w:sz w:val="21"/>
                <w:szCs w:val="21"/>
                <w:color w:val="auto"/>
              </w:rPr>
            </w:pPr>
          </w:p>
        </w:tc>
        <w:tc>
          <w:tcPr>
            <w:tcW w:w="1040" w:type="dxa"/>
            <w:vAlign w:val="bottom"/>
            <w:shd w:val="clear" w:color="auto" w:fill="E9E9E9"/>
          </w:tcPr>
          <w:p>
            <w:pPr>
              <w:jc w:val="right"/>
              <w:ind w:right="217"/>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spacing w:after="0"/>
              <w:rPr>
                <w:sz w:val="21"/>
                <w:szCs w:val="21"/>
                <w:color w:val="auto"/>
              </w:rPr>
            </w:pPr>
          </w:p>
        </w:tc>
        <w:tc>
          <w:tcPr>
            <w:tcW w:w="980" w:type="dxa"/>
            <w:vAlign w:val="bottom"/>
            <w:shd w:val="clear" w:color="auto" w:fill="E9E9E9"/>
          </w:tcPr>
          <w:p>
            <w:pPr>
              <w:jc w:val="right"/>
              <w:ind w:right="180"/>
              <w:spacing w:after="0"/>
              <w:rPr>
                <w:sz w:val="20"/>
                <w:szCs w:val="20"/>
                <w:color w:val="auto"/>
              </w:rPr>
            </w:pPr>
            <w:r>
              <w:rPr>
                <w:rFonts w:ascii="Arial" w:cs="Arial" w:eastAsia="Arial" w:hAnsi="Arial"/>
                <w:sz w:val="17"/>
                <w:szCs w:val="17"/>
                <w:color w:val="auto"/>
              </w:rPr>
              <w:t>—</w:t>
            </w:r>
          </w:p>
        </w:tc>
        <w:tc>
          <w:tcPr>
            <w:tcW w:w="460" w:type="dxa"/>
            <w:vAlign w:val="bottom"/>
            <w:shd w:val="clear" w:color="auto" w:fill="E9E9E9"/>
          </w:tcPr>
          <w:p>
            <w:pPr>
              <w:spacing w:after="0"/>
              <w:rPr>
                <w:sz w:val="21"/>
                <w:szCs w:val="21"/>
                <w:color w:val="auto"/>
              </w:rPr>
            </w:pP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E9E9E9"/>
          </w:tcPr>
          <w:p>
            <w:pPr>
              <w:spacing w:after="0"/>
              <w:rPr>
                <w:sz w:val="21"/>
                <w:szCs w:val="21"/>
                <w:color w:val="auto"/>
              </w:rPr>
            </w:pPr>
          </w:p>
        </w:tc>
      </w:tr>
    </w:tbl>
    <w:p>
      <w:pPr>
        <w:spacing w:after="0" w:line="241" w:lineRule="exact"/>
        <w:rPr>
          <w:sz w:val="20"/>
          <w:szCs w:val="20"/>
          <w:color w:val="auto"/>
        </w:rPr>
      </w:pPr>
    </w:p>
    <w:p>
      <w:pPr>
        <w:ind w:left="480" w:hanging="474"/>
        <w:spacing w:after="0"/>
        <w:tabs>
          <w:tab w:leader="none" w:pos="4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Amounts shown consist of portions of 2014 salary and portions of their bonus for 2013 performance, which was paid in 2014.</w:t>
      </w:r>
    </w:p>
    <w:p>
      <w:pPr>
        <w:spacing w:after="0" w:line="240" w:lineRule="exact"/>
        <w:rPr>
          <w:rFonts w:ascii="Arial" w:cs="Arial" w:eastAsia="Arial" w:hAnsi="Arial"/>
          <w:sz w:val="17"/>
          <w:szCs w:val="17"/>
          <w:color w:val="auto"/>
        </w:rPr>
      </w:pPr>
    </w:p>
    <w:p>
      <w:pPr>
        <w:ind w:left="480" w:right="120" w:hanging="474"/>
        <w:spacing w:after="0" w:line="255" w:lineRule="auto"/>
        <w:tabs>
          <w:tab w:leader="none" w:pos="4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Company matching contributions pursuant to the defined contribution plan. These amounts are included in the All Other Compensation column of the 2014 summary compensation table on page 98.</w:t>
      </w:r>
    </w:p>
    <w:p>
      <w:pPr>
        <w:spacing w:after="0" w:line="218" w:lineRule="exact"/>
        <w:rPr>
          <w:rFonts w:ascii="Arial" w:cs="Arial" w:eastAsia="Arial" w:hAnsi="Arial"/>
          <w:sz w:val="17"/>
          <w:szCs w:val="17"/>
          <w:color w:val="auto"/>
        </w:rPr>
      </w:pPr>
    </w:p>
    <w:p>
      <w:pPr>
        <w:ind w:left="480" w:right="60" w:hanging="474"/>
        <w:spacing w:after="0" w:line="246" w:lineRule="auto"/>
        <w:tabs>
          <w:tab w:leader="none" w:pos="4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Consists of: (a) $148,800 in dividend equivalents paid under the 120,000-share 1995 RSU award discussed on page 103, settlement of which has been deferred until after termination of employment; (b) a $1,147,200 increase in the value of the RSU award (calculated by subtracting the value of the award at year-end 2013 from the value of the award at year-end 2014 (in both cases, the number of RSUs is multiplied by the closing price of TI common stock on the last trading date of the year)); and (c) a $37,056 gain in Mr. Templeton’s deferred compensation account in 2014. Dividend equivalents are paid at the same rate as dividends on TI common stock.</w:t>
      </w:r>
    </w:p>
    <w:p>
      <w:pPr>
        <w:spacing w:after="0" w:line="227" w:lineRule="exact"/>
        <w:rPr>
          <w:rFonts w:ascii="Arial" w:cs="Arial" w:eastAsia="Arial" w:hAnsi="Arial"/>
          <w:sz w:val="17"/>
          <w:szCs w:val="17"/>
          <w:color w:val="auto"/>
        </w:rPr>
      </w:pPr>
    </w:p>
    <w:p>
      <w:pPr>
        <w:ind w:left="480" w:right="600" w:hanging="474"/>
        <w:spacing w:after="0" w:line="255" w:lineRule="auto"/>
        <w:tabs>
          <w:tab w:leader="none" w:pos="4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Consists of dividend equivalents paid on the RSU award discussed in note 3 and a scheduled distribution of a portion of Mr. Templeton’s deferred compensation balance.</w:t>
      </w:r>
    </w:p>
    <w:p>
      <w:pPr>
        <w:spacing w:after="0" w:line="218" w:lineRule="exact"/>
        <w:rPr>
          <w:rFonts w:ascii="Arial" w:cs="Arial" w:eastAsia="Arial" w:hAnsi="Arial"/>
          <w:sz w:val="17"/>
          <w:szCs w:val="17"/>
          <w:color w:val="auto"/>
        </w:rPr>
      </w:pPr>
    </w:p>
    <w:p>
      <w:pPr>
        <w:ind w:left="480" w:hanging="474"/>
        <w:spacing w:after="0"/>
        <w:tabs>
          <w:tab w:leader="none" w:pos="4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Includes amounts reported in the summary compensation table in the current or prior-year proxy statements as follows: Mr. Templeton,</w:t>
      </w:r>
    </w:p>
    <w:p>
      <w:pPr>
        <w:spacing w:after="0" w:line="2" w:lineRule="exact"/>
        <w:rPr>
          <w:rFonts w:ascii="Arial" w:cs="Arial" w:eastAsia="Arial" w:hAnsi="Arial"/>
          <w:sz w:val="17"/>
          <w:szCs w:val="17"/>
          <w:color w:val="auto"/>
        </w:rPr>
      </w:pPr>
    </w:p>
    <w:p>
      <w:pPr>
        <w:ind w:left="480" w:right="140"/>
        <w:spacing w:after="0" w:line="255" w:lineRule="auto"/>
        <w:rPr>
          <w:rFonts w:ascii="Arial" w:cs="Arial" w:eastAsia="Arial" w:hAnsi="Arial"/>
          <w:sz w:val="17"/>
          <w:szCs w:val="17"/>
          <w:color w:val="auto"/>
        </w:rPr>
      </w:pPr>
      <w:r>
        <w:rPr>
          <w:rFonts w:ascii="Arial" w:cs="Arial" w:eastAsia="Arial" w:hAnsi="Arial"/>
          <w:sz w:val="17"/>
          <w:szCs w:val="17"/>
          <w:color w:val="auto"/>
        </w:rPr>
        <w:t>$805,262; Mr. Crutcher, $820,284; and Mr. Anderson $10,096. The remainder of the amount for Mr. Anderson was the deferral of his bonus for 2013, for which year he was not a named executive officer.</w:t>
      </w:r>
    </w:p>
    <w:p>
      <w:pPr>
        <w:spacing w:after="0" w:line="218" w:lineRule="exact"/>
        <w:rPr>
          <w:rFonts w:ascii="Arial" w:cs="Arial" w:eastAsia="Arial" w:hAnsi="Arial"/>
          <w:sz w:val="17"/>
          <w:szCs w:val="17"/>
          <w:color w:val="auto"/>
        </w:rPr>
      </w:pPr>
    </w:p>
    <w:p>
      <w:pPr>
        <w:ind w:left="480" w:right="80" w:hanging="474"/>
        <w:spacing w:after="0" w:line="255" w:lineRule="auto"/>
        <w:tabs>
          <w:tab w:leader="none" w:pos="4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Of this amount, $6,416,400 is attributable to Mr. Templeton’s 1995 RSU award, calculated as described in note 3. The remainder is the balance of his deferred compensation account.</w:t>
      </w:r>
    </w:p>
    <w:p>
      <w:pPr>
        <w:spacing w:after="0" w:line="228" w:lineRule="exact"/>
        <w:rPr>
          <w:sz w:val="20"/>
          <w:szCs w:val="20"/>
          <w:color w:val="auto"/>
        </w:rPr>
      </w:pPr>
    </w:p>
    <w:p>
      <w:pPr>
        <w:spacing w:after="0"/>
        <w:tabs>
          <w:tab w:leader="none" w:pos="4140" w:val="left"/>
        </w:tabs>
        <w:rPr>
          <w:sz w:val="20"/>
          <w:szCs w:val="20"/>
          <w:color w:val="auto"/>
        </w:rPr>
      </w:pPr>
      <w:r>
        <w:rPr>
          <w:rFonts w:ascii="Arial" w:cs="Arial" w:eastAsia="Arial" w:hAnsi="Arial"/>
          <w:sz w:val="13"/>
          <w:szCs w:val="13"/>
          <w:color w:val="838383"/>
        </w:rPr>
        <w:t>106</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sectPr>
      </w:pPr>
    </w:p>
    <w:bookmarkStart w:id="37" w:name="page38"/>
    <w:bookmarkEnd w:id="37"/>
    <w:p>
      <w:pPr>
        <w:ind w:right="60"/>
        <w:spacing w:after="0" w:line="247" w:lineRule="auto"/>
        <w:rPr>
          <w:sz w:val="20"/>
          <w:szCs w:val="20"/>
          <w:color w:val="auto"/>
        </w:rPr>
      </w:pPr>
      <w:r>
        <w:rPr>
          <w:rFonts w:ascii="Arial" w:cs="Arial" w:eastAsia="Arial" w:hAnsi="Arial"/>
          <w:sz w:val="17"/>
          <w:szCs w:val="17"/>
          <w:color w:val="auto"/>
        </w:rPr>
        <w:t>Please see page 96 for a discussion of the purpose of the plan. An employee’s deferred compensation account contains eligible compensation the employee has elected to defer and contributions by the company that are in excess of the IRS limits on (i) contributions the company may make to the enhanced defined contribution plan and (ii) matching contributions the company may make related to compensation the executive officer deferred into his deferred compensation account.</w:t>
      </w:r>
    </w:p>
    <w:p>
      <w:pPr>
        <w:spacing w:after="0" w:line="20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Participants in the deferred compensation plan may choose to defer up to (i) 25 percent of their base salary, (ii) 90 percent of their performance bonus, and (iii) 90 percent of profit sharing. Elections to defer compensation must be made in the calendar year prior to the year in which the compensation will be earned.</w:t>
      </w:r>
    </w:p>
    <w:p>
      <w:pPr>
        <w:spacing w:after="0" w:line="198"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During 2014, participants could choose to have their deferred compensation mirror the performance of one or more of the following mutual funds, each of which is managed by a third party (these alternatives, which may be changed at any time, are a subset of those offered to participants in the defined contribution plans): Northern Trust Short Term Investment Fund, Northern Trust Aggregate Bond Index Fund-Lending, Northern Trust Russell 1000 Value Index Fund-Lending, Northern Trust Russell 1000 Growth Index Fund-Lending, Northern Trust Russell 2000 Index Fund-Lending, Northern Trust MidCap 400 Index Fund-Lending, Fidelity Puritan Fund, BlackRock Equity Index Fund F, BlackRock (EAFE) (Europe, Australia, Far East) Equity Index Fund F, BlackRock Lifepath Index 2020 Fund F, BlackRock Lifepath Index 2030 Fund F, BlackRock Lifepath Index 2040 Fund F, BlackRock Lifepath Index 2050 Fund F and BlackRock Lifepath Index Retirement Fund F. From among the available investment alternatives, participants may change their instructions relating to their deferred compensation daily. Earnings on a participant’s balance are determined solely by the performance of the investments that the participant has chosen for his plan balance. The company does not guarantee any minimum return on investments. A third party administers the company’s deferred compensation program.</w:t>
      </w:r>
    </w:p>
    <w:p>
      <w:pPr>
        <w:spacing w:after="0" w:line="206" w:lineRule="exact"/>
        <w:rPr>
          <w:sz w:val="20"/>
          <w:szCs w:val="20"/>
          <w:color w:val="auto"/>
        </w:rPr>
      </w:pPr>
    </w:p>
    <w:p>
      <w:pPr>
        <w:jc w:val="both"/>
        <w:ind w:right="120"/>
        <w:spacing w:after="0" w:line="249" w:lineRule="auto"/>
        <w:rPr>
          <w:sz w:val="20"/>
          <w:szCs w:val="20"/>
          <w:color w:val="auto"/>
        </w:rPr>
      </w:pPr>
      <w:r>
        <w:rPr>
          <w:rFonts w:ascii="Arial" w:cs="Arial" w:eastAsia="Arial" w:hAnsi="Arial"/>
          <w:sz w:val="17"/>
          <w:szCs w:val="17"/>
          <w:color w:val="auto"/>
        </w:rPr>
        <w:t>A participant may request distribution from the plan in the case of an unforeseeable emergency. To obtain an unforeseeable emergency withdrawal, a participant must meet the requirements of Section 409A of the IRC. Otherwise, a participant’s balance is paid pursuant to his distribution election and is subject to applicable IRC limitations.</w:t>
      </w:r>
    </w:p>
    <w:p>
      <w:pPr>
        <w:spacing w:after="0" w:line="198"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Amounts contributed by the company, and amounts earned and deferred by the participant for which there is a valid distribution election on file, will be distributed in accordance with the participant’s election. Annually participants may elect separate distribution dates for deferred compensation attributable to a participant’s (i) bonus and profit sharing and (ii) salary. Participants may elect that these distributions be in the form of a lump sum or annual installments to be paid out over a period of five or ten consecutive years. Amounts for which no valid distribution election is on file will be distributed three years from the date of deferral.</w:t>
      </w:r>
    </w:p>
    <w:p>
      <w:pPr>
        <w:spacing w:after="0" w:line="201" w:lineRule="exact"/>
        <w:rPr>
          <w:sz w:val="20"/>
          <w:szCs w:val="20"/>
          <w:color w:val="auto"/>
        </w:rPr>
      </w:pPr>
    </w:p>
    <w:p>
      <w:pPr>
        <w:ind w:right="660"/>
        <w:spacing w:after="0" w:line="255" w:lineRule="auto"/>
        <w:rPr>
          <w:sz w:val="20"/>
          <w:szCs w:val="20"/>
          <w:color w:val="auto"/>
        </w:rPr>
      </w:pPr>
      <w:r>
        <w:rPr>
          <w:rFonts w:ascii="Arial" w:cs="Arial" w:eastAsia="Arial" w:hAnsi="Arial"/>
          <w:sz w:val="17"/>
          <w:szCs w:val="17"/>
          <w:color w:val="auto"/>
        </w:rPr>
        <w:t>In the event of the participant’s death, payment will be in the form of a lump sum and the earliest date of payment is the first day of the second calendar month following the month of death.</w:t>
      </w:r>
    </w:p>
    <w:p>
      <w:pPr>
        <w:spacing w:after="0" w:line="192"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Like the balances under the non-qualified defined benefit pension plans, deferred compensation balances are unsecured obligations of the company. For amounts earned and deferred prior to 2010, a change in control does not trigger a distribution under the plan. For amounts earned and deferred after 2009, distribution occurs, to the extent permitted by Section 409A of the IRC, if the participant is involuntarily terminated within 24 months after a change in control. Change in control is the Plan definition.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234"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Termination</w:t>
      </w:r>
    </w:p>
    <w:p>
      <w:pPr>
        <w:spacing w:after="0" w:line="214" w:lineRule="exact"/>
        <w:rPr>
          <w:sz w:val="20"/>
          <w:szCs w:val="20"/>
          <w:color w:val="auto"/>
        </w:rPr>
      </w:pPr>
    </w:p>
    <w:p>
      <w:pPr>
        <w:ind w:right="520"/>
        <w:spacing w:after="0" w:line="255" w:lineRule="auto"/>
        <w:rPr>
          <w:sz w:val="20"/>
          <w:szCs w:val="20"/>
          <w:color w:val="auto"/>
        </w:rPr>
      </w:pPr>
      <w:r>
        <w:rPr>
          <w:rFonts w:ascii="Arial" w:cs="Arial" w:eastAsia="Arial" w:hAnsi="Arial"/>
          <w:sz w:val="17"/>
          <w:szCs w:val="17"/>
          <w:color w:val="auto"/>
        </w:rPr>
        <w:t>The following programs may result in payments to a named executive officer whose employment terminates. Most of these programs have been discussed above. For a discussion of the impact of these programs on the compensation decisions for 2014, please see page 96.</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Bonus</w:t>
      </w:r>
    </w:p>
    <w:p>
      <w:pPr>
        <w:spacing w:after="0" w:line="21"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Our policies concerning bonus and the timing of payments are described on page 88. Whether a bonus would be awarded under other circumstances and in what amount would depend on the facts and circumstances of termination and is subject to the Compensation Committee’s discretion. If awarded, bonuses are paid by the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240" w:type="dxa"/>
            <w:vAlign w:val="bottom"/>
          </w:tcPr>
          <w:p>
            <w:pPr>
              <w:ind w:left="4080"/>
              <w:spacing w:after="0"/>
              <w:rPr>
                <w:sz w:val="20"/>
                <w:szCs w:val="20"/>
                <w:color w:val="auto"/>
              </w:rPr>
            </w:pPr>
            <w:r>
              <w:rPr>
                <w:rFonts w:ascii="Arial" w:cs="Arial" w:eastAsia="Arial" w:hAnsi="Arial"/>
                <w:sz w:val="13"/>
                <w:szCs w:val="13"/>
                <w:color w:val="838383"/>
              </w:rPr>
              <w:t>TEXAS INSTRUMENTS ● 2015 PROXY STATEMENT</w:t>
            </w:r>
          </w:p>
        </w:tc>
        <w:tc>
          <w:tcPr>
            <w:tcW w:w="2200" w:type="dxa"/>
            <w:vAlign w:val="bottom"/>
          </w:tcPr>
          <w:p>
            <w:pPr>
              <w:jc w:val="right"/>
              <w:spacing w:after="0"/>
              <w:rPr>
                <w:sz w:val="20"/>
                <w:szCs w:val="20"/>
                <w:color w:val="auto"/>
              </w:rPr>
            </w:pPr>
            <w:r>
              <w:rPr>
                <w:rFonts w:ascii="Arial" w:cs="Arial" w:eastAsia="Arial" w:hAnsi="Arial"/>
                <w:sz w:val="13"/>
                <w:szCs w:val="13"/>
                <w:color w:val="838383"/>
              </w:rPr>
              <w:t>107</w:t>
            </w:r>
          </w:p>
        </w:tc>
      </w:tr>
      <w:tr>
        <w:trPr>
          <w:trHeight w:val="355"/>
        </w:trPr>
        <w:tc>
          <w:tcPr>
            <w:tcW w:w="924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92" w:right="219" w:bottom="1440" w:gutter="0" w:footer="0" w:header="0"/>
        </w:sectPr>
      </w:pPr>
    </w:p>
    <w:bookmarkStart w:id="38" w:name="page39"/>
    <w:bookmarkEnd w:id="38"/>
    <w:p>
      <w:pPr>
        <w:spacing w:after="0"/>
        <w:rPr>
          <w:sz w:val="20"/>
          <w:szCs w:val="20"/>
          <w:color w:val="auto"/>
        </w:rPr>
      </w:pPr>
      <w:r>
        <w:rPr>
          <w:rFonts w:ascii="Arial" w:cs="Arial" w:eastAsia="Arial" w:hAnsi="Arial"/>
          <w:sz w:val="17"/>
          <w:szCs w:val="17"/>
          <w:i w:val="1"/>
          <w:iCs w:val="1"/>
          <w:color w:val="auto"/>
        </w:rPr>
        <w:t>Qualified and non-qualified defined benefit pension plans</w:t>
      </w:r>
    </w:p>
    <w:p>
      <w:pPr>
        <w:spacing w:after="0" w:line="21" w:lineRule="exact"/>
        <w:rPr>
          <w:sz w:val="20"/>
          <w:szCs w:val="20"/>
          <w:color w:val="auto"/>
        </w:rPr>
      </w:pPr>
    </w:p>
    <w:p>
      <w:pPr>
        <w:jc w:val="both"/>
        <w:ind w:right="80"/>
        <w:spacing w:after="0" w:line="249" w:lineRule="auto"/>
        <w:rPr>
          <w:sz w:val="20"/>
          <w:szCs w:val="20"/>
          <w:color w:val="auto"/>
        </w:rPr>
      </w:pPr>
      <w:r>
        <w:rPr>
          <w:rFonts w:ascii="Arial" w:cs="Arial" w:eastAsia="Arial" w:hAnsi="Arial"/>
          <w:sz w:val="17"/>
          <w:szCs w:val="17"/>
          <w:color w:val="auto"/>
        </w:rPr>
        <w:t>The purposes of these plans are described on pages 95-96. The formula for determining benefits, the forms of benefit and the timing of payments are described on pages 105-106. The amounts disbursed under the qualified and non-qualified plans are paid, respectively, by the TI Employees Pension Trust and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Survivor benefit plan</w:t>
      </w:r>
    </w:p>
    <w:p>
      <w:pPr>
        <w:spacing w:after="0" w:line="21"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The purpose of this plan is described on page 106. The formula for determining the amount of benefit, the form of benefit and the timing of payments are described on page 106. Amounts distributed are paid by the TI Employees Health Benefit Trust.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compensation plan</w:t>
      </w:r>
    </w:p>
    <w:p>
      <w:pPr>
        <w:spacing w:after="0" w:line="21"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purpose of this plan is described on page 96. The amounts payable under this program depend solely on the performance of investments that the participant has chosen for his plan balance. The timing of payments is discussed on page 107. Amounts distributed are paid by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compensation</w:t>
      </w:r>
    </w:p>
    <w:p>
      <w:pPr>
        <w:spacing w:after="0" w:line="21"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Depending on the circumstances of termination, grantees whose employment terminates may retain the right to exercise previously granted stock options and receive shares under outstanding RSU awards. Please see pages 102-103. RSU awards include a right to receive dividend equivalents. The dividend equivalents are paid annually by the company in a single cash payment after the last dividend payment of the year.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Perquisites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Financial counseling is available to executive officers in the year after retirement. Otherwise, no perquisites continue after termination of employment.</w:t>
      </w:r>
    </w:p>
    <w:p>
      <w:pPr>
        <w:spacing w:after="0" w:line="214" w:lineRule="exact"/>
        <w:rPr>
          <w:sz w:val="20"/>
          <w:szCs w:val="20"/>
          <w:color w:val="auto"/>
        </w:rPr>
      </w:pPr>
    </w:p>
    <w:p>
      <w:pPr>
        <w:jc w:val="both"/>
        <w:ind w:right="420"/>
        <w:spacing w:after="0" w:line="246" w:lineRule="auto"/>
        <w:rPr>
          <w:sz w:val="20"/>
          <w:szCs w:val="20"/>
          <w:color w:val="auto"/>
        </w:rPr>
      </w:pPr>
      <w:r>
        <w:rPr>
          <w:rFonts w:ascii="Arial" w:cs="Arial" w:eastAsia="Arial" w:hAnsi="Arial"/>
          <w:sz w:val="17"/>
          <w:szCs w:val="17"/>
          <w:color w:val="auto"/>
        </w:rPr>
        <w:t>In the case of a resignation pursuant to a separation arrangement, an executive officer (like other employees above a certain job grade level) will typically be offered a 12-month paid leave of absence before termination, in exchange for a non-compete and non-solicitation commitment and a release of claims against the company. The leave period will be credited to years of service under the pension plans described above. During the leave, the executive officer’s stock options will continue to become exercisable and his RSUs will continue to vest. Amounts paid to an individual during a paid leave of absence are not counted when calculating benefits under the qualified and non-qualified pension plans.</w:t>
      </w:r>
    </w:p>
    <w:p>
      <w:pPr>
        <w:spacing w:after="0" w:line="20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the case of a separation arrangement in which the paid leave of absence expires when the executive officer will be at least 50 years old and have at least 15 years of employment with the company, the separation arrangement will typically include an unpaid leave of absence, to commence at the end of the paid leave and end when the executive officer has reached the earlier of age 55 with at least 20 years of employment or age 60 (bridge to retirement). The bridge to retirement will be credited to years of service under the qualified and non-qualified pension plans described above. Stock options will continue to become exercisable and RSUs will remain in effect, but for grants made before 2014, the number of RSUs will be reduced as described in note * on page 103.</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Change in control</w:t>
      </w:r>
    </w:p>
    <w:p>
      <w:pPr>
        <w:spacing w:after="0" w:line="214"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Our only program, plan or arrangement providing benefits triggered by a change in control is the TI Employees Non-Qualified Pension Plan. A change in control at December 31, 2014, would have accelerated payment of the balance under that plan. Please see page 106 for a discussion of the purpose of change in control provisions of that plan as well as the circumstances and the timing of payment.</w:t>
      </w:r>
    </w:p>
    <w:p>
      <w:pPr>
        <w:spacing w:after="0" w:line="198" w:lineRule="exact"/>
        <w:rPr>
          <w:sz w:val="20"/>
          <w:szCs w:val="20"/>
          <w:color w:val="auto"/>
        </w:rPr>
      </w:pPr>
    </w:p>
    <w:p>
      <w:pPr>
        <w:jc w:val="both"/>
        <w:ind w:right="120"/>
        <w:spacing w:after="0" w:line="249" w:lineRule="auto"/>
        <w:rPr>
          <w:sz w:val="20"/>
          <w:szCs w:val="20"/>
          <w:color w:val="auto"/>
        </w:rPr>
      </w:pPr>
      <w:r>
        <w:rPr>
          <w:rFonts w:ascii="Arial" w:cs="Arial" w:eastAsia="Arial" w:hAnsi="Arial"/>
          <w:sz w:val="17"/>
          <w:szCs w:val="17"/>
          <w:color w:val="auto"/>
        </w:rPr>
        <w:t>Upon a change in control there is no acceleration of vesting of stock options and RSUs granted after 2009. Only upon an involuntary termination (not for cause) within 24 months after a change in control of TI will the vesting of such stock options and RSUs accelerate. Please see pages 97 and 102-103 for further information concerning change in control provisions relating to stock options and RSUs.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For a discussion of the impact of these programs on the compensation decisions for 2014, please see page 96.</w:t>
      </w:r>
    </w:p>
    <w:p>
      <w:pPr>
        <w:spacing w:after="0" w:line="224" w:lineRule="exact"/>
        <w:rPr>
          <w:sz w:val="20"/>
          <w:szCs w:val="20"/>
          <w:color w:val="auto"/>
        </w:rPr>
      </w:pPr>
    </w:p>
    <w:p>
      <w:pPr>
        <w:spacing w:after="0"/>
        <w:tabs>
          <w:tab w:leader="none" w:pos="4140" w:val="left"/>
        </w:tabs>
        <w:rPr>
          <w:sz w:val="20"/>
          <w:szCs w:val="20"/>
          <w:color w:val="auto"/>
        </w:rPr>
      </w:pPr>
      <w:r>
        <w:rPr>
          <w:rFonts w:ascii="Arial" w:cs="Arial" w:eastAsia="Arial" w:hAnsi="Arial"/>
          <w:sz w:val="13"/>
          <w:szCs w:val="13"/>
          <w:color w:val="838383"/>
        </w:rPr>
        <w:t>108</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420"/>
          </w:cols>
          <w:pgMar w:left="240" w:top="574"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t>The table below shows the potential payments upon termination or change in control for each of the named executive officers.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center"/>
              <w:ind w:right="114"/>
              <w:spacing w:after="0"/>
              <w:rPr>
                <w:sz w:val="20"/>
                <w:szCs w:val="20"/>
                <w:color w:val="auto"/>
              </w:rPr>
            </w:pPr>
            <w:r>
              <w:rPr>
                <w:rFonts w:ascii="Arial" w:cs="Arial" w:eastAsia="Arial" w:hAnsi="Arial"/>
                <w:sz w:val="13"/>
                <w:szCs w:val="13"/>
                <w:b w:val="1"/>
                <w:bCs w:val="1"/>
                <w:color w:val="auto"/>
              </w:rPr>
              <w:t>Non-</w:t>
            </w:r>
          </w:p>
        </w:tc>
        <w:tc>
          <w:tcPr>
            <w:tcW w:w="1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Non-</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38"/>
        </w:trPr>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center"/>
              <w:ind w:right="94"/>
              <w:spacing w:after="0"/>
              <w:rPr>
                <w:sz w:val="20"/>
                <w:szCs w:val="20"/>
                <w:color w:val="auto"/>
              </w:rPr>
            </w:pPr>
            <w:r>
              <w:rPr>
                <w:rFonts w:ascii="Arial" w:cs="Arial" w:eastAsia="Arial" w:hAnsi="Arial"/>
                <w:sz w:val="13"/>
                <w:szCs w:val="13"/>
                <w:b w:val="1"/>
                <w:bCs w:val="1"/>
                <w:color w:val="auto"/>
              </w:rPr>
              <w:t>Qualified</w:t>
            </w:r>
          </w:p>
        </w:tc>
        <w:tc>
          <w:tcPr>
            <w:tcW w:w="180" w:type="dxa"/>
            <w:vAlign w:val="bottom"/>
          </w:tcPr>
          <w:p>
            <w:pPr>
              <w:spacing w:after="0"/>
              <w:rPr>
                <w:sz w:val="20"/>
                <w:szCs w:val="20"/>
                <w:color w:val="auto"/>
              </w:rPr>
            </w:pPr>
          </w:p>
        </w:tc>
        <w:tc>
          <w:tcPr>
            <w:tcW w:w="760" w:type="dxa"/>
            <w:vAlign w:val="bottom"/>
            <w:gridSpan w:val="2"/>
          </w:tcPr>
          <w:p>
            <w:pPr>
              <w:jc w:val="center"/>
              <w:ind w:right="114"/>
              <w:spacing w:after="0"/>
              <w:rPr>
                <w:sz w:val="20"/>
                <w:szCs w:val="20"/>
                <w:color w:val="auto"/>
              </w:rPr>
            </w:pPr>
            <w:r>
              <w:rPr>
                <w:rFonts w:ascii="Arial" w:cs="Arial" w:eastAsia="Arial" w:hAnsi="Arial"/>
                <w:sz w:val="13"/>
                <w:szCs w:val="13"/>
                <w:b w:val="1"/>
                <w:bCs w:val="1"/>
                <w:color w:val="auto"/>
              </w:rPr>
              <w:t>Qualified</w:t>
            </w:r>
          </w:p>
        </w:tc>
        <w:tc>
          <w:tcPr>
            <w:tcW w:w="1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Qualified</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8"/>
        </w:trPr>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center"/>
              <w:ind w:right="94"/>
              <w:spacing w:after="0"/>
              <w:rPr>
                <w:sz w:val="20"/>
                <w:szCs w:val="20"/>
                <w:color w:val="auto"/>
              </w:rPr>
            </w:pPr>
            <w:r>
              <w:rPr>
                <w:rFonts w:ascii="Arial" w:cs="Arial" w:eastAsia="Arial" w:hAnsi="Arial"/>
                <w:sz w:val="13"/>
                <w:szCs w:val="13"/>
                <w:b w:val="1"/>
                <w:bCs w:val="1"/>
                <w:color w:val="auto"/>
              </w:rPr>
              <w:t>Defined</w:t>
            </w:r>
          </w:p>
        </w:tc>
        <w:tc>
          <w:tcPr>
            <w:tcW w:w="180" w:type="dxa"/>
            <w:vAlign w:val="bottom"/>
          </w:tcPr>
          <w:p>
            <w:pPr>
              <w:spacing w:after="0"/>
              <w:rPr>
                <w:sz w:val="20"/>
                <w:szCs w:val="20"/>
                <w:color w:val="auto"/>
              </w:rPr>
            </w:pPr>
          </w:p>
        </w:tc>
        <w:tc>
          <w:tcPr>
            <w:tcW w:w="760" w:type="dxa"/>
            <w:vAlign w:val="bottom"/>
            <w:gridSpan w:val="2"/>
          </w:tcPr>
          <w:p>
            <w:pPr>
              <w:jc w:val="center"/>
              <w:ind w:right="114"/>
              <w:spacing w:after="0"/>
              <w:rPr>
                <w:sz w:val="20"/>
                <w:szCs w:val="20"/>
                <w:color w:val="auto"/>
              </w:rPr>
            </w:pPr>
            <w:r>
              <w:rPr>
                <w:rFonts w:ascii="Arial" w:cs="Arial" w:eastAsia="Arial" w:hAnsi="Arial"/>
                <w:sz w:val="13"/>
                <w:szCs w:val="13"/>
                <w:b w:val="1"/>
                <w:bCs w:val="1"/>
                <w:color w:val="auto"/>
              </w:rPr>
              <w:t>Defined</w:t>
            </w:r>
          </w:p>
        </w:tc>
        <w:tc>
          <w:tcPr>
            <w:tcW w:w="1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8"/>
        </w:trPr>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center"/>
              <w:ind w:right="94"/>
              <w:spacing w:after="0"/>
              <w:rPr>
                <w:sz w:val="20"/>
                <w:szCs w:val="20"/>
                <w:color w:val="auto"/>
              </w:rPr>
            </w:pPr>
            <w:r>
              <w:rPr>
                <w:rFonts w:ascii="Arial" w:cs="Arial" w:eastAsia="Arial" w:hAnsi="Arial"/>
                <w:sz w:val="13"/>
                <w:szCs w:val="13"/>
                <w:b w:val="1"/>
                <w:bCs w:val="1"/>
                <w:color w:val="auto"/>
                <w:w w:val="99"/>
              </w:rPr>
              <w:t>Benefit</w:t>
            </w:r>
          </w:p>
        </w:tc>
        <w:tc>
          <w:tcPr>
            <w:tcW w:w="180" w:type="dxa"/>
            <w:vAlign w:val="bottom"/>
          </w:tcPr>
          <w:p>
            <w:pPr>
              <w:spacing w:after="0"/>
              <w:rPr>
                <w:sz w:val="20"/>
                <w:szCs w:val="20"/>
                <w:color w:val="auto"/>
              </w:rPr>
            </w:pPr>
          </w:p>
        </w:tc>
        <w:tc>
          <w:tcPr>
            <w:tcW w:w="760" w:type="dxa"/>
            <w:vAlign w:val="bottom"/>
            <w:gridSpan w:val="2"/>
          </w:tcPr>
          <w:p>
            <w:pPr>
              <w:jc w:val="center"/>
              <w:ind w:right="114"/>
              <w:spacing w:after="0"/>
              <w:rPr>
                <w:sz w:val="20"/>
                <w:szCs w:val="20"/>
                <w:color w:val="auto"/>
              </w:rPr>
            </w:pPr>
            <w:r>
              <w:rPr>
                <w:rFonts w:ascii="Arial" w:cs="Arial" w:eastAsia="Arial" w:hAnsi="Arial"/>
                <w:sz w:val="13"/>
                <w:szCs w:val="13"/>
                <w:b w:val="1"/>
                <w:bCs w:val="1"/>
                <w:color w:val="auto"/>
              </w:rPr>
              <w:t>Benefit</w:t>
            </w:r>
          </w:p>
        </w:tc>
        <w:tc>
          <w:tcPr>
            <w:tcW w:w="1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Benefit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8"/>
        </w:trPr>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center"/>
              <w:ind w:right="94"/>
              <w:spacing w:after="0"/>
              <w:rPr>
                <w:sz w:val="20"/>
                <w:szCs w:val="20"/>
                <w:color w:val="auto"/>
              </w:rPr>
            </w:pPr>
            <w:r>
              <w:rPr>
                <w:rFonts w:ascii="Arial" w:cs="Arial" w:eastAsia="Arial" w:hAnsi="Arial"/>
                <w:sz w:val="13"/>
                <w:szCs w:val="13"/>
                <w:b w:val="1"/>
                <w:bCs w:val="1"/>
                <w:color w:val="auto"/>
              </w:rPr>
              <w:t>Pension</w:t>
            </w:r>
          </w:p>
        </w:tc>
        <w:tc>
          <w:tcPr>
            <w:tcW w:w="180" w:type="dxa"/>
            <w:vAlign w:val="bottom"/>
          </w:tcPr>
          <w:p>
            <w:pPr>
              <w:spacing w:after="0"/>
              <w:rPr>
                <w:sz w:val="20"/>
                <w:szCs w:val="20"/>
                <w:color w:val="auto"/>
              </w:rPr>
            </w:pPr>
          </w:p>
        </w:tc>
        <w:tc>
          <w:tcPr>
            <w:tcW w:w="760" w:type="dxa"/>
            <w:vAlign w:val="bottom"/>
            <w:gridSpan w:val="2"/>
          </w:tcPr>
          <w:p>
            <w:pPr>
              <w:jc w:val="center"/>
              <w:ind w:right="114"/>
              <w:spacing w:after="0"/>
              <w:rPr>
                <w:sz w:val="20"/>
                <w:szCs w:val="20"/>
                <w:color w:val="auto"/>
              </w:rPr>
            </w:pPr>
            <w:r>
              <w:rPr>
                <w:rFonts w:ascii="Arial" w:cs="Arial" w:eastAsia="Arial" w:hAnsi="Arial"/>
                <w:sz w:val="13"/>
                <w:szCs w:val="13"/>
                <w:b w:val="1"/>
                <w:bCs w:val="1"/>
                <w:color w:val="auto"/>
                <w:w w:val="98"/>
              </w:rPr>
              <w:t>Pension</w:t>
            </w:r>
          </w:p>
        </w:tc>
        <w:tc>
          <w:tcPr>
            <w:tcW w:w="1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8"/>
              </w:rPr>
              <w:t>Pension</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194"/>
              <w:spacing w:after="0"/>
              <w:rPr>
                <w:sz w:val="20"/>
                <w:szCs w:val="20"/>
                <w:color w:val="auto"/>
              </w:rPr>
            </w:pPr>
            <w:r>
              <w:rPr>
                <w:rFonts w:ascii="Arial" w:cs="Arial" w:eastAsia="Arial" w:hAnsi="Arial"/>
                <w:sz w:val="13"/>
                <w:szCs w:val="13"/>
                <w:b w:val="1"/>
                <w:bCs w:val="1"/>
                <w:color w:val="auto"/>
              </w:rPr>
              <w:t>Deferred</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4"/>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8"/>
        </w:trPr>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center"/>
              <w:ind w:right="94"/>
              <w:spacing w:after="0"/>
              <w:rPr>
                <w:sz w:val="20"/>
                <w:szCs w:val="20"/>
                <w:color w:val="auto"/>
              </w:rPr>
            </w:pPr>
            <w:r>
              <w:rPr>
                <w:rFonts w:ascii="Arial" w:cs="Arial" w:eastAsia="Arial" w:hAnsi="Arial"/>
                <w:sz w:val="13"/>
                <w:szCs w:val="13"/>
                <w:b w:val="1"/>
                <w:bCs w:val="1"/>
                <w:color w:val="auto"/>
              </w:rPr>
              <w:t>Plan</w:t>
            </w:r>
          </w:p>
        </w:tc>
        <w:tc>
          <w:tcPr>
            <w:tcW w:w="180" w:type="dxa"/>
            <w:vAlign w:val="bottom"/>
          </w:tcPr>
          <w:p>
            <w:pPr>
              <w:spacing w:after="0"/>
              <w:rPr>
                <w:sz w:val="20"/>
                <w:szCs w:val="20"/>
                <w:color w:val="auto"/>
              </w:rPr>
            </w:pPr>
          </w:p>
        </w:tc>
        <w:tc>
          <w:tcPr>
            <w:tcW w:w="760" w:type="dxa"/>
            <w:vAlign w:val="bottom"/>
            <w:gridSpan w:val="2"/>
          </w:tcPr>
          <w:p>
            <w:pPr>
              <w:jc w:val="center"/>
              <w:ind w:right="94"/>
              <w:spacing w:after="0"/>
              <w:rPr>
                <w:sz w:val="20"/>
                <w:szCs w:val="20"/>
                <w:color w:val="auto"/>
              </w:rPr>
            </w:pPr>
            <w:r>
              <w:rPr>
                <w:rFonts w:ascii="Arial" w:cs="Arial" w:eastAsia="Arial" w:hAnsi="Arial"/>
                <w:sz w:val="13"/>
                <w:szCs w:val="13"/>
                <w:b w:val="1"/>
                <w:bCs w:val="1"/>
                <w:color w:val="auto"/>
              </w:rPr>
              <w:t>Plan</w:t>
            </w:r>
          </w:p>
        </w:tc>
        <w:tc>
          <w:tcPr>
            <w:tcW w:w="1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9"/>
              </w:rPr>
              <w:t>Plan II</w:t>
            </w: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Compensation</w:t>
            </w:r>
          </w:p>
        </w:tc>
        <w:tc>
          <w:tcPr>
            <w:tcW w:w="200" w:type="dxa"/>
            <w:vAlign w:val="bottom"/>
          </w:tcPr>
          <w:p>
            <w:pPr>
              <w:spacing w:after="0"/>
              <w:rPr>
                <w:sz w:val="20"/>
                <w:szCs w:val="20"/>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b w:val="1"/>
                <w:bCs w:val="1"/>
                <w:color w:val="auto"/>
              </w:rPr>
              <w:t>RSUs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54"/>
              <w:spacing w:after="0"/>
              <w:rPr>
                <w:sz w:val="20"/>
                <w:szCs w:val="20"/>
                <w:color w:val="auto"/>
              </w:rPr>
            </w:pPr>
            <w:r>
              <w:rPr>
                <w:rFonts w:ascii="Arial" w:cs="Arial" w:eastAsia="Arial" w:hAnsi="Arial"/>
                <w:sz w:val="13"/>
                <w:szCs w:val="13"/>
                <w:b w:val="1"/>
                <w:bCs w:val="1"/>
                <w:color w:val="auto"/>
              </w:rPr>
              <w:t>Options</w:t>
            </w:r>
          </w:p>
        </w:tc>
        <w:tc>
          <w:tcPr>
            <w:tcW w:w="160" w:type="dxa"/>
            <w:vAlign w:val="bottom"/>
          </w:tcPr>
          <w:p>
            <w:pPr>
              <w:spacing w:after="0"/>
              <w:rPr>
                <w:sz w:val="20"/>
                <w:szCs w:val="20"/>
                <w:color w:val="auto"/>
              </w:rPr>
            </w:pPr>
          </w:p>
        </w:tc>
        <w:tc>
          <w:tcPr>
            <w:tcW w:w="800" w:type="dxa"/>
            <w:vAlign w:val="bottom"/>
          </w:tcPr>
          <w:p>
            <w:pPr>
              <w:jc w:val="right"/>
              <w:ind w:right="114"/>
              <w:spacing w:after="0"/>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20"/>
                <w:szCs w:val="20"/>
                <w:color w:val="auto"/>
              </w:rPr>
            </w:pPr>
          </w:p>
        </w:tc>
      </w:tr>
      <w:tr>
        <w:trPr>
          <w:trHeight w:val="41"/>
        </w:trPr>
        <w:tc>
          <w:tcPr>
            <w:tcW w:w="36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r>
      <w:tr>
        <w:trPr>
          <w:trHeight w:val="190"/>
        </w:trPr>
        <w:tc>
          <w:tcPr>
            <w:tcW w:w="3660" w:type="dxa"/>
            <w:vAlign w:val="bottom"/>
            <w:shd w:val="clear" w:color="auto" w:fill="E9E9E9"/>
          </w:tcPr>
          <w:p>
            <w:pPr>
              <w:spacing w:after="0"/>
              <w:rPr>
                <w:sz w:val="20"/>
                <w:szCs w:val="20"/>
                <w:color w:val="auto"/>
              </w:rPr>
            </w:pPr>
            <w:r>
              <w:rPr>
                <w:rFonts w:ascii="Arial" w:cs="Arial" w:eastAsia="Arial" w:hAnsi="Arial"/>
                <w:sz w:val="13"/>
                <w:szCs w:val="13"/>
                <w:b w:val="1"/>
                <w:bCs w:val="1"/>
                <w:color w:val="auto"/>
              </w:rPr>
              <w:t>R. K. Templeton (10)</w:t>
            </w:r>
          </w:p>
        </w:tc>
        <w:tc>
          <w:tcPr>
            <w:tcW w:w="220" w:type="dxa"/>
            <w:vAlign w:val="bottom"/>
            <w:shd w:val="clear" w:color="auto" w:fill="E9E9E9"/>
          </w:tcPr>
          <w:p>
            <w:pPr>
              <w:spacing w:after="0"/>
              <w:rPr>
                <w:sz w:val="16"/>
                <w:szCs w:val="16"/>
                <w:color w:val="auto"/>
              </w:rPr>
            </w:pPr>
          </w:p>
        </w:tc>
        <w:tc>
          <w:tcPr>
            <w:tcW w:w="640" w:type="dxa"/>
            <w:vAlign w:val="bottom"/>
            <w:shd w:val="clear" w:color="auto" w:fill="E9E9E9"/>
          </w:tcPr>
          <w:p>
            <w:pPr>
              <w:spacing w:after="0"/>
              <w:rPr>
                <w:sz w:val="16"/>
                <w:szCs w:val="16"/>
                <w:color w:val="auto"/>
              </w:rPr>
            </w:pPr>
          </w:p>
        </w:tc>
        <w:tc>
          <w:tcPr>
            <w:tcW w:w="240" w:type="dxa"/>
            <w:vAlign w:val="bottom"/>
            <w:shd w:val="clear" w:color="auto" w:fill="E9E9E9"/>
          </w:tcPr>
          <w:p>
            <w:pPr>
              <w:spacing w:after="0"/>
              <w:rPr>
                <w:sz w:val="16"/>
                <w:szCs w:val="16"/>
                <w:color w:val="auto"/>
              </w:rPr>
            </w:pPr>
          </w:p>
        </w:tc>
        <w:tc>
          <w:tcPr>
            <w:tcW w:w="180" w:type="dxa"/>
            <w:vAlign w:val="bottom"/>
            <w:shd w:val="clear" w:color="auto" w:fill="E9E9E9"/>
          </w:tcPr>
          <w:p>
            <w:pPr>
              <w:spacing w:after="0"/>
              <w:rPr>
                <w:sz w:val="16"/>
                <w:szCs w:val="16"/>
                <w:color w:val="auto"/>
              </w:rPr>
            </w:pPr>
          </w:p>
        </w:tc>
        <w:tc>
          <w:tcPr>
            <w:tcW w:w="500" w:type="dxa"/>
            <w:vAlign w:val="bottom"/>
            <w:shd w:val="clear" w:color="auto" w:fill="E9E9E9"/>
          </w:tcPr>
          <w:p>
            <w:pPr>
              <w:spacing w:after="0"/>
              <w:rPr>
                <w:sz w:val="16"/>
                <w:szCs w:val="16"/>
                <w:color w:val="auto"/>
              </w:rPr>
            </w:pPr>
          </w:p>
        </w:tc>
        <w:tc>
          <w:tcPr>
            <w:tcW w:w="260" w:type="dxa"/>
            <w:vAlign w:val="bottom"/>
            <w:shd w:val="clear" w:color="auto" w:fill="E9E9E9"/>
          </w:tcPr>
          <w:p>
            <w:pPr>
              <w:spacing w:after="0"/>
              <w:rPr>
                <w:sz w:val="16"/>
                <w:szCs w:val="16"/>
                <w:color w:val="auto"/>
              </w:rPr>
            </w:pPr>
          </w:p>
        </w:tc>
        <w:tc>
          <w:tcPr>
            <w:tcW w:w="180" w:type="dxa"/>
            <w:vAlign w:val="bottom"/>
            <w:shd w:val="clear" w:color="auto" w:fill="E9E9E9"/>
          </w:tcPr>
          <w:p>
            <w:pPr>
              <w:spacing w:after="0"/>
              <w:rPr>
                <w:sz w:val="16"/>
                <w:szCs w:val="16"/>
                <w:color w:val="auto"/>
              </w:rPr>
            </w:pPr>
          </w:p>
        </w:tc>
        <w:tc>
          <w:tcPr>
            <w:tcW w:w="640" w:type="dxa"/>
            <w:vAlign w:val="bottom"/>
            <w:shd w:val="clear" w:color="auto" w:fill="E9E9E9"/>
          </w:tcPr>
          <w:p>
            <w:pPr>
              <w:spacing w:after="0"/>
              <w:rPr>
                <w:sz w:val="16"/>
                <w:szCs w:val="16"/>
                <w:color w:val="auto"/>
              </w:rPr>
            </w:pPr>
          </w:p>
        </w:tc>
        <w:tc>
          <w:tcPr>
            <w:tcW w:w="260" w:type="dxa"/>
            <w:vAlign w:val="bottom"/>
            <w:shd w:val="clear" w:color="auto" w:fill="E9E9E9"/>
          </w:tcPr>
          <w:p>
            <w:pPr>
              <w:spacing w:after="0"/>
              <w:rPr>
                <w:sz w:val="16"/>
                <w:szCs w:val="16"/>
                <w:color w:val="auto"/>
              </w:rPr>
            </w:pPr>
          </w:p>
        </w:tc>
        <w:tc>
          <w:tcPr>
            <w:tcW w:w="220" w:type="dxa"/>
            <w:vAlign w:val="bottom"/>
            <w:shd w:val="clear" w:color="auto" w:fill="E9E9E9"/>
          </w:tcPr>
          <w:p>
            <w:pPr>
              <w:spacing w:after="0"/>
              <w:rPr>
                <w:sz w:val="16"/>
                <w:szCs w:val="16"/>
                <w:color w:val="auto"/>
              </w:rPr>
            </w:pPr>
          </w:p>
        </w:tc>
        <w:tc>
          <w:tcPr>
            <w:tcW w:w="840" w:type="dxa"/>
            <w:vAlign w:val="bottom"/>
            <w:shd w:val="clear" w:color="auto" w:fill="E9E9E9"/>
          </w:tcPr>
          <w:p>
            <w:pPr>
              <w:spacing w:after="0"/>
              <w:rPr>
                <w:sz w:val="16"/>
                <w:szCs w:val="16"/>
                <w:color w:val="auto"/>
              </w:rPr>
            </w:pPr>
          </w:p>
        </w:tc>
        <w:tc>
          <w:tcPr>
            <w:tcW w:w="200" w:type="dxa"/>
            <w:vAlign w:val="bottom"/>
            <w:shd w:val="clear" w:color="auto" w:fill="E9E9E9"/>
          </w:tcPr>
          <w:p>
            <w:pPr>
              <w:spacing w:after="0"/>
              <w:rPr>
                <w:sz w:val="16"/>
                <w:szCs w:val="16"/>
                <w:color w:val="auto"/>
              </w:rPr>
            </w:pPr>
          </w:p>
        </w:tc>
        <w:tc>
          <w:tcPr>
            <w:tcW w:w="720" w:type="dxa"/>
            <w:vAlign w:val="bottom"/>
            <w:shd w:val="clear" w:color="auto" w:fill="E9E9E9"/>
          </w:tcPr>
          <w:p>
            <w:pPr>
              <w:spacing w:after="0"/>
              <w:rPr>
                <w:sz w:val="16"/>
                <w:szCs w:val="16"/>
                <w:color w:val="auto"/>
              </w:rPr>
            </w:pPr>
          </w:p>
        </w:tc>
        <w:tc>
          <w:tcPr>
            <w:tcW w:w="300" w:type="dxa"/>
            <w:vAlign w:val="bottom"/>
            <w:shd w:val="clear" w:color="auto" w:fill="E9E9E9"/>
          </w:tcPr>
          <w:p>
            <w:pPr>
              <w:spacing w:after="0"/>
              <w:rPr>
                <w:sz w:val="16"/>
                <w:szCs w:val="16"/>
                <w:color w:val="auto"/>
              </w:rPr>
            </w:pPr>
          </w:p>
        </w:tc>
        <w:tc>
          <w:tcPr>
            <w:tcW w:w="180" w:type="dxa"/>
            <w:vAlign w:val="bottom"/>
            <w:shd w:val="clear" w:color="auto" w:fill="E9E9E9"/>
          </w:tcPr>
          <w:p>
            <w:pPr>
              <w:spacing w:after="0"/>
              <w:rPr>
                <w:sz w:val="16"/>
                <w:szCs w:val="16"/>
                <w:color w:val="auto"/>
              </w:rPr>
            </w:pPr>
          </w:p>
        </w:tc>
        <w:tc>
          <w:tcPr>
            <w:tcW w:w="960" w:type="dxa"/>
            <w:vAlign w:val="bottom"/>
            <w:shd w:val="clear" w:color="auto" w:fill="E9E9E9"/>
          </w:tcPr>
          <w:p>
            <w:pPr>
              <w:spacing w:after="0"/>
              <w:rPr>
                <w:sz w:val="16"/>
                <w:szCs w:val="16"/>
                <w:color w:val="auto"/>
              </w:rPr>
            </w:pPr>
          </w:p>
        </w:tc>
        <w:tc>
          <w:tcPr>
            <w:tcW w:w="160" w:type="dxa"/>
            <w:vAlign w:val="bottom"/>
            <w:shd w:val="clear" w:color="auto" w:fill="E9E9E9"/>
          </w:tcPr>
          <w:p>
            <w:pPr>
              <w:spacing w:after="0"/>
              <w:rPr>
                <w:sz w:val="16"/>
                <w:szCs w:val="16"/>
                <w:color w:val="auto"/>
              </w:rPr>
            </w:pPr>
          </w:p>
        </w:tc>
        <w:tc>
          <w:tcPr>
            <w:tcW w:w="800" w:type="dxa"/>
            <w:vAlign w:val="bottom"/>
            <w:shd w:val="clear" w:color="auto" w:fill="E9E9E9"/>
          </w:tcPr>
          <w:p>
            <w:pPr>
              <w:spacing w:after="0"/>
              <w:rPr>
                <w:sz w:val="16"/>
                <w:szCs w:val="16"/>
                <w:color w:val="auto"/>
              </w:rPr>
            </w:pPr>
          </w:p>
        </w:tc>
        <w:tc>
          <w:tcPr>
            <w:tcW w:w="260" w:type="dxa"/>
            <w:vAlign w:val="bottom"/>
            <w:shd w:val="clear" w:color="auto" w:fill="E9E9E9"/>
          </w:tcPr>
          <w:p>
            <w:pPr>
              <w:spacing w:after="0"/>
              <w:rPr>
                <w:sz w:val="16"/>
                <w:szCs w:val="16"/>
                <w:color w:val="auto"/>
              </w:rPr>
            </w:pPr>
          </w:p>
        </w:tc>
      </w:tr>
      <w:tr>
        <w:trPr>
          <w:trHeight w:val="238"/>
        </w:trPr>
        <w:tc>
          <w:tcPr>
            <w:tcW w:w="3660" w:type="dxa"/>
            <w:vAlign w:val="bottom"/>
            <w:shd w:val="clear" w:color="auto" w:fill="E9E9E9"/>
          </w:tcPr>
          <w:p>
            <w:pPr>
              <w:ind w:left="260"/>
              <w:spacing w:after="0"/>
              <w:rPr>
                <w:sz w:val="20"/>
                <w:szCs w:val="20"/>
                <w:color w:val="auto"/>
              </w:rPr>
            </w:pPr>
            <w:r>
              <w:rPr>
                <w:rFonts w:ascii="Arial" w:cs="Arial" w:eastAsia="Arial" w:hAnsi="Arial"/>
                <w:sz w:val="13"/>
                <w:szCs w:val="13"/>
                <w:color w:val="auto"/>
              </w:rPr>
              <w:t>Disability</w:t>
            </w:r>
          </w:p>
        </w:tc>
        <w:tc>
          <w:tcPr>
            <w:tcW w:w="2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E9E9E9"/>
          </w:tcPr>
          <w:p>
            <w:pPr>
              <w:jc w:val="right"/>
              <w:spacing w:after="0"/>
              <w:rPr>
                <w:sz w:val="20"/>
                <w:szCs w:val="20"/>
                <w:color w:val="auto"/>
              </w:rPr>
            </w:pPr>
            <w:r>
              <w:rPr>
                <w:rFonts w:ascii="Arial" w:cs="Arial" w:eastAsia="Arial" w:hAnsi="Arial"/>
                <w:sz w:val="13"/>
                <w:szCs w:val="13"/>
                <w:color w:val="auto"/>
              </w:rPr>
              <w:t>948,016 (1)</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3"/>
                <w:szCs w:val="13"/>
                <w:color w:val="auto"/>
              </w:rPr>
              <w:t>609,677 (2)</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235,673</w:t>
            </w:r>
          </w:p>
        </w:tc>
        <w:tc>
          <w:tcPr>
            <w:tcW w:w="260" w:type="dxa"/>
            <w:vAlign w:val="bottom"/>
            <w:shd w:val="clear" w:color="auto" w:fill="E9E9E9"/>
          </w:tcPr>
          <w:p>
            <w:pPr>
              <w:jc w:val="right"/>
              <w:ind w:right="14"/>
              <w:spacing w:after="0"/>
              <w:rPr>
                <w:sz w:val="20"/>
                <w:szCs w:val="20"/>
                <w:color w:val="auto"/>
              </w:rPr>
            </w:pPr>
            <w:r>
              <w:rPr>
                <w:rFonts w:ascii="Arial" w:cs="Arial" w:eastAsia="Arial" w:hAnsi="Arial"/>
                <w:sz w:val="13"/>
                <w:szCs w:val="13"/>
                <w:color w:val="auto"/>
              </w:rPr>
              <w:t>(2)</w:t>
            </w: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38,202,764</w:t>
            </w:r>
          </w:p>
        </w:tc>
        <w:tc>
          <w:tcPr>
            <w:tcW w:w="300" w:type="dxa"/>
            <w:vAlign w:val="bottom"/>
            <w:shd w:val="clear" w:color="auto" w:fill="E9E9E9"/>
          </w:tcPr>
          <w:p>
            <w:pPr>
              <w:ind w:left="20"/>
              <w:spacing w:after="0"/>
              <w:rPr>
                <w:sz w:val="20"/>
                <w:szCs w:val="20"/>
                <w:color w:val="auto"/>
              </w:rPr>
            </w:pPr>
            <w:r>
              <w:rPr>
                <w:rFonts w:ascii="Arial" w:cs="Arial" w:eastAsia="Arial" w:hAnsi="Arial"/>
                <w:sz w:val="13"/>
                <w:szCs w:val="13"/>
                <w:color w:val="auto"/>
              </w:rPr>
              <w:t>(3)</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97,538,189 (4)</w:t>
            </w:r>
          </w:p>
        </w:tc>
        <w:tc>
          <w:tcPr>
            <w:tcW w:w="1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137,534,319</w:t>
            </w:r>
          </w:p>
        </w:tc>
        <w:tc>
          <w:tcPr>
            <w:tcW w:w="260" w:type="dxa"/>
            <w:vAlign w:val="bottom"/>
            <w:shd w:val="clear" w:color="auto" w:fill="E9E9E9"/>
          </w:tcPr>
          <w:p>
            <w:pPr>
              <w:spacing w:after="0"/>
              <w:rPr>
                <w:sz w:val="20"/>
                <w:szCs w:val="20"/>
                <w:color w:val="auto"/>
              </w:rPr>
            </w:pPr>
          </w:p>
        </w:tc>
      </w:tr>
      <w:tr>
        <w:trPr>
          <w:trHeight w:val="238"/>
        </w:trPr>
        <w:tc>
          <w:tcPr>
            <w:tcW w:w="3660" w:type="dxa"/>
            <w:vAlign w:val="bottom"/>
            <w:shd w:val="clear" w:color="auto" w:fill="E9E9E9"/>
          </w:tcPr>
          <w:p>
            <w:pPr>
              <w:ind w:left="260"/>
              <w:spacing w:after="0"/>
              <w:rPr>
                <w:sz w:val="20"/>
                <w:szCs w:val="20"/>
                <w:color w:val="auto"/>
              </w:rPr>
            </w:pPr>
            <w:r>
              <w:rPr>
                <w:rFonts w:ascii="Arial" w:cs="Arial" w:eastAsia="Arial" w:hAnsi="Arial"/>
                <w:sz w:val="13"/>
                <w:szCs w:val="13"/>
                <w:color w:val="auto"/>
              </w:rPr>
              <w:t>Death</w:t>
            </w:r>
          </w:p>
        </w:tc>
        <w:tc>
          <w:tcPr>
            <w:tcW w:w="220" w:type="dxa"/>
            <w:vAlign w:val="bottom"/>
            <w:shd w:val="clear" w:color="auto" w:fill="E9E9E9"/>
          </w:tcPr>
          <w:p>
            <w:pPr>
              <w:jc w:val="right"/>
              <w:spacing w:after="0"/>
              <w:rPr>
                <w:sz w:val="20"/>
                <w:szCs w:val="20"/>
                <w:color w:val="auto"/>
              </w:rPr>
            </w:pPr>
            <w:r>
              <w:rPr>
                <w:rFonts w:ascii="Arial" w:cs="Arial" w:eastAsia="Arial" w:hAnsi="Arial"/>
                <w:sz w:val="13"/>
                <w:szCs w:val="13"/>
                <w:color w:val="auto"/>
                <w:shd w:val="clear" w:color="auto" w:fill="E9E9E9"/>
              </w:rPr>
              <w:t>$</w:t>
            </w:r>
          </w:p>
        </w:tc>
        <w:tc>
          <w:tcPr>
            <w:tcW w:w="880" w:type="dxa"/>
            <w:vAlign w:val="bottom"/>
            <w:gridSpan w:val="2"/>
            <w:shd w:val="clear" w:color="auto" w:fill="E9E9E9"/>
          </w:tcPr>
          <w:p>
            <w:pPr>
              <w:jc w:val="right"/>
              <w:spacing w:after="0"/>
              <w:rPr>
                <w:sz w:val="20"/>
                <w:szCs w:val="20"/>
                <w:color w:val="auto"/>
              </w:rPr>
            </w:pPr>
            <w:r>
              <w:rPr>
                <w:rFonts w:ascii="Arial" w:cs="Arial" w:eastAsia="Arial" w:hAnsi="Arial"/>
                <w:sz w:val="13"/>
                <w:szCs w:val="13"/>
                <w:color w:val="auto"/>
                <w:shd w:val="clear" w:color="auto" w:fill="E9E9E9"/>
              </w:rPr>
              <w:t>453,426 (5)</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shd w:val="clear" w:color="auto" w:fill="E9E9E9"/>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3"/>
                <w:szCs w:val="13"/>
                <w:color w:val="auto"/>
                <w:shd w:val="clear" w:color="auto" w:fill="E9E9E9"/>
              </w:rPr>
              <w:t>189,952 (5)</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shd w:val="clear" w:color="auto" w:fill="E9E9E9"/>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shd w:val="clear" w:color="auto" w:fill="E9E9E9"/>
              </w:rPr>
              <w:t>140,399</w:t>
            </w:r>
          </w:p>
        </w:tc>
        <w:tc>
          <w:tcPr>
            <w:tcW w:w="260" w:type="dxa"/>
            <w:vAlign w:val="bottom"/>
            <w:shd w:val="clear" w:color="auto" w:fill="E9E9E9"/>
          </w:tcPr>
          <w:p>
            <w:pPr>
              <w:jc w:val="right"/>
              <w:ind w:right="14"/>
              <w:spacing w:after="0"/>
              <w:rPr>
                <w:sz w:val="20"/>
                <w:szCs w:val="20"/>
                <w:color w:val="auto"/>
              </w:rPr>
            </w:pPr>
            <w:r>
              <w:rPr>
                <w:rFonts w:ascii="Arial" w:cs="Arial" w:eastAsia="Arial" w:hAnsi="Arial"/>
                <w:sz w:val="13"/>
                <w:szCs w:val="13"/>
                <w:color w:val="auto"/>
                <w:shd w:val="clear" w:color="auto" w:fill="E9E9E9"/>
              </w:rPr>
              <w:t>(5)</w:t>
            </w:r>
          </w:p>
        </w:tc>
        <w:tc>
          <w:tcPr>
            <w:tcW w:w="220" w:type="dxa"/>
            <w:vAlign w:val="bottom"/>
            <w:shd w:val="clear" w:color="auto" w:fill="E9E9E9"/>
          </w:tcPr>
          <w:p>
            <w:pPr>
              <w:jc w:val="right"/>
              <w:spacing w:after="0"/>
              <w:rPr>
                <w:sz w:val="20"/>
                <w:szCs w:val="20"/>
                <w:color w:val="auto"/>
              </w:rPr>
            </w:pPr>
            <w:r>
              <w:rPr>
                <w:rFonts w:ascii="Arial" w:cs="Arial" w:eastAsia="Arial" w:hAnsi="Arial"/>
                <w:sz w:val="13"/>
                <w:szCs w:val="13"/>
                <w:color w:val="auto"/>
                <w:shd w:val="clear" w:color="auto" w:fill="E9E9E9"/>
              </w:rPr>
              <w:t>$</w:t>
            </w:r>
          </w:p>
        </w:tc>
        <w:tc>
          <w:tcPr>
            <w:tcW w:w="840" w:type="dxa"/>
            <w:vAlign w:val="bottom"/>
            <w:shd w:val="clear" w:color="auto" w:fill="E9E9E9"/>
          </w:tcPr>
          <w:p>
            <w:pPr>
              <w:jc w:val="right"/>
              <w:ind w:right="34"/>
              <w:spacing w:after="0"/>
              <w:rPr>
                <w:sz w:val="20"/>
                <w:szCs w:val="20"/>
                <w:color w:val="auto"/>
              </w:rPr>
            </w:pPr>
            <w:r>
              <w:rPr>
                <w:rFonts w:ascii="Arial" w:cs="Arial" w:eastAsia="Arial" w:hAnsi="Arial"/>
                <w:sz w:val="13"/>
                <w:szCs w:val="13"/>
                <w:color w:val="auto"/>
                <w:shd w:val="clear" w:color="auto" w:fill="E9E9E9"/>
              </w:rPr>
              <w:t>805,262 (6)</w:t>
            </w:r>
          </w:p>
        </w:tc>
        <w:tc>
          <w:tcPr>
            <w:tcW w:w="200" w:type="dxa"/>
            <w:vAlign w:val="bottom"/>
            <w:shd w:val="clear" w:color="auto" w:fill="E9E9E9"/>
          </w:tcPr>
          <w:p>
            <w:pPr>
              <w:jc w:val="right"/>
              <w:spacing w:after="0"/>
              <w:rPr>
                <w:sz w:val="20"/>
                <w:szCs w:val="20"/>
                <w:color w:val="auto"/>
              </w:rPr>
            </w:pPr>
            <w:r>
              <w:rPr>
                <w:rFonts w:ascii="Arial" w:cs="Arial" w:eastAsia="Arial" w:hAnsi="Arial"/>
                <w:sz w:val="13"/>
                <w:szCs w:val="13"/>
                <w:color w:val="auto"/>
                <w:shd w:val="clear" w:color="auto" w:fill="E9E9E9"/>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3"/>
                <w:szCs w:val="13"/>
                <w:color w:val="auto"/>
                <w:shd w:val="clear" w:color="auto" w:fill="E9E9E9"/>
              </w:rPr>
              <w:t>38,202,764</w:t>
            </w:r>
          </w:p>
        </w:tc>
        <w:tc>
          <w:tcPr>
            <w:tcW w:w="300" w:type="dxa"/>
            <w:vAlign w:val="bottom"/>
            <w:shd w:val="clear" w:color="auto" w:fill="E9E9E9"/>
          </w:tcPr>
          <w:p>
            <w:pPr>
              <w:ind w:left="20"/>
              <w:spacing w:after="0"/>
              <w:rPr>
                <w:sz w:val="20"/>
                <w:szCs w:val="20"/>
                <w:color w:val="auto"/>
              </w:rPr>
            </w:pPr>
            <w:r>
              <w:rPr>
                <w:rFonts w:ascii="Arial" w:cs="Arial" w:eastAsia="Arial" w:hAnsi="Arial"/>
                <w:sz w:val="13"/>
                <w:szCs w:val="13"/>
                <w:color w:val="auto"/>
                <w:shd w:val="clear" w:color="auto" w:fill="E9E9E9"/>
              </w:rPr>
              <w:t>(3)</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shd w:val="clear" w:color="auto" w:fill="E9E9E9"/>
              </w:rPr>
              <w:t>$</w:t>
            </w:r>
          </w:p>
        </w:tc>
        <w:tc>
          <w:tcPr>
            <w:tcW w:w="960" w:type="dxa"/>
            <w:vAlign w:val="bottom"/>
            <w:shd w:val="clear" w:color="auto" w:fill="E9E9E9"/>
          </w:tcPr>
          <w:p>
            <w:pPr>
              <w:jc w:val="right"/>
              <w:spacing w:after="0"/>
              <w:rPr>
                <w:sz w:val="20"/>
                <w:szCs w:val="20"/>
                <w:color w:val="auto"/>
              </w:rPr>
            </w:pPr>
            <w:r>
              <w:rPr>
                <w:rFonts w:ascii="Arial" w:cs="Arial" w:eastAsia="Arial" w:hAnsi="Arial"/>
                <w:sz w:val="13"/>
                <w:szCs w:val="13"/>
                <w:color w:val="auto"/>
                <w:shd w:val="clear" w:color="auto" w:fill="E9E9E9"/>
              </w:rPr>
              <w:t>97,538,189 (4)</w:t>
            </w:r>
          </w:p>
        </w:tc>
        <w:tc>
          <w:tcPr>
            <w:tcW w:w="160" w:type="dxa"/>
            <w:vAlign w:val="bottom"/>
            <w:shd w:val="clear" w:color="auto" w:fill="E9E9E9"/>
          </w:tcPr>
          <w:p>
            <w:pPr>
              <w:jc w:val="right"/>
              <w:spacing w:after="0"/>
              <w:rPr>
                <w:sz w:val="20"/>
                <w:szCs w:val="20"/>
                <w:color w:val="auto"/>
              </w:rPr>
            </w:pPr>
            <w:r>
              <w:rPr>
                <w:rFonts w:ascii="Arial" w:cs="Arial" w:eastAsia="Arial" w:hAnsi="Arial"/>
                <w:sz w:val="13"/>
                <w:szCs w:val="13"/>
                <w:color w:val="auto"/>
                <w:shd w:val="clear" w:color="auto" w:fill="E9E9E9"/>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3"/>
                <w:szCs w:val="13"/>
                <w:color w:val="auto"/>
                <w:shd w:val="clear" w:color="auto" w:fill="E9E9E9"/>
              </w:rPr>
              <w:t>138,092,137</w:t>
            </w:r>
          </w:p>
        </w:tc>
        <w:tc>
          <w:tcPr>
            <w:tcW w:w="260" w:type="dxa"/>
            <w:vAlign w:val="bottom"/>
            <w:shd w:val="clear" w:color="auto" w:fill="E9E9E9"/>
          </w:tcPr>
          <w:p>
            <w:pPr>
              <w:jc w:val="right"/>
              <w:spacing w:after="0"/>
              <w:rPr>
                <w:sz w:val="20"/>
                <w:szCs w:val="20"/>
                <w:color w:val="auto"/>
              </w:rPr>
            </w:pPr>
            <w:r>
              <w:rPr>
                <w:rFonts w:ascii="Arial" w:cs="Arial" w:eastAsia="Arial" w:hAnsi="Arial"/>
                <w:sz w:val="13"/>
                <w:szCs w:val="13"/>
                <w:color w:val="auto"/>
                <w:shd w:val="clear" w:color="auto" w:fill="E9E9E9"/>
              </w:rPr>
              <w:t>(11)</w:t>
            </w:r>
          </w:p>
        </w:tc>
      </w:tr>
      <w:tr>
        <w:trPr>
          <w:trHeight w:val="238"/>
        </w:trPr>
        <w:tc>
          <w:tcPr>
            <w:tcW w:w="3660" w:type="dxa"/>
            <w:vAlign w:val="bottom"/>
            <w:shd w:val="clear" w:color="auto" w:fill="E9E9E9"/>
          </w:tcPr>
          <w:p>
            <w:pPr>
              <w:ind w:left="260"/>
              <w:spacing w:after="0"/>
              <w:rPr>
                <w:sz w:val="20"/>
                <w:szCs w:val="20"/>
                <w:color w:val="auto"/>
              </w:rPr>
            </w:pPr>
            <w:r>
              <w:rPr>
                <w:rFonts w:ascii="Arial" w:cs="Arial" w:eastAsia="Arial" w:hAnsi="Arial"/>
                <w:sz w:val="13"/>
                <w:szCs w:val="13"/>
                <w:color w:val="auto"/>
              </w:rPr>
              <w:t>Involuntary termination</w:t>
            </w:r>
          </w:p>
        </w:tc>
        <w:tc>
          <w:tcPr>
            <w:tcW w:w="22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50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30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960" w:type="dxa"/>
            <w:vAlign w:val="bottom"/>
            <w:shd w:val="clear" w:color="auto" w:fill="E9E9E9"/>
          </w:tcPr>
          <w:p>
            <w:pPr>
              <w:spacing w:after="0"/>
              <w:rPr>
                <w:sz w:val="20"/>
                <w:szCs w:val="20"/>
                <w:color w:val="auto"/>
              </w:rPr>
            </w:pPr>
          </w:p>
        </w:tc>
        <w:tc>
          <w:tcPr>
            <w:tcW w:w="16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r>
      <w:tr>
        <w:trPr>
          <w:trHeight w:val="238"/>
        </w:trPr>
        <w:tc>
          <w:tcPr>
            <w:tcW w:w="3660" w:type="dxa"/>
            <w:vAlign w:val="bottom"/>
            <w:shd w:val="clear" w:color="auto" w:fill="E9E9E9"/>
          </w:tcPr>
          <w:p>
            <w:pPr>
              <w:ind w:left="520"/>
              <w:spacing w:after="0"/>
              <w:rPr>
                <w:sz w:val="20"/>
                <w:szCs w:val="20"/>
                <w:color w:val="auto"/>
              </w:rPr>
            </w:pPr>
            <w:r>
              <w:rPr>
                <w:rFonts w:ascii="Arial" w:cs="Arial" w:eastAsia="Arial" w:hAnsi="Arial"/>
                <w:sz w:val="13"/>
                <w:szCs w:val="13"/>
                <w:color w:val="auto"/>
              </w:rPr>
              <w:t>for cause</w:t>
            </w:r>
          </w:p>
        </w:tc>
        <w:tc>
          <w:tcPr>
            <w:tcW w:w="2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894,339</w:t>
            </w:r>
          </w:p>
        </w:tc>
        <w:tc>
          <w:tcPr>
            <w:tcW w:w="2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3"/>
                <w:szCs w:val="13"/>
                <w:color w:val="auto"/>
              </w:rPr>
              <w:t>374,379 (7)</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277,204</w:t>
            </w:r>
          </w:p>
        </w:tc>
        <w:tc>
          <w:tcPr>
            <w:tcW w:w="260" w:type="dxa"/>
            <w:vAlign w:val="bottom"/>
            <w:shd w:val="clear" w:color="auto" w:fill="E9E9E9"/>
          </w:tcPr>
          <w:p>
            <w:pPr>
              <w:jc w:val="right"/>
              <w:ind w:right="14"/>
              <w:spacing w:after="0"/>
              <w:rPr>
                <w:sz w:val="20"/>
                <w:szCs w:val="20"/>
                <w:color w:val="auto"/>
              </w:rPr>
            </w:pPr>
            <w:r>
              <w:rPr>
                <w:rFonts w:ascii="Arial" w:cs="Arial" w:eastAsia="Arial" w:hAnsi="Arial"/>
                <w:sz w:val="13"/>
                <w:szCs w:val="13"/>
                <w:color w:val="auto"/>
              </w:rPr>
              <w:t>(7)</w:t>
            </w: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6,416,400</w:t>
            </w:r>
          </w:p>
        </w:tc>
        <w:tc>
          <w:tcPr>
            <w:tcW w:w="300" w:type="dxa"/>
            <w:vAlign w:val="bottom"/>
            <w:shd w:val="clear" w:color="auto" w:fill="E9E9E9"/>
          </w:tcPr>
          <w:p>
            <w:pPr>
              <w:ind w:left="20"/>
              <w:spacing w:after="0"/>
              <w:rPr>
                <w:sz w:val="20"/>
                <w:szCs w:val="20"/>
                <w:color w:val="auto"/>
              </w:rPr>
            </w:pPr>
            <w:r>
              <w:rPr>
                <w:rFonts w:ascii="Arial" w:cs="Arial" w:eastAsia="Arial" w:hAnsi="Arial"/>
                <w:sz w:val="13"/>
                <w:szCs w:val="13"/>
                <w:color w:val="auto"/>
              </w:rPr>
              <w:t>(8)</w:t>
            </w:r>
          </w:p>
        </w:tc>
        <w:tc>
          <w:tcPr>
            <w:tcW w:w="180" w:type="dxa"/>
            <w:vAlign w:val="bottom"/>
            <w:shd w:val="clear" w:color="auto" w:fill="E9E9E9"/>
          </w:tcPr>
          <w:p>
            <w:pPr>
              <w:spacing w:after="0"/>
              <w:rPr>
                <w:sz w:val="20"/>
                <w:szCs w:val="20"/>
                <w:color w:val="auto"/>
              </w:rPr>
            </w:pPr>
          </w:p>
        </w:tc>
        <w:tc>
          <w:tcPr>
            <w:tcW w:w="960" w:type="dxa"/>
            <w:vAlign w:val="bottom"/>
            <w:shd w:val="clear" w:color="auto" w:fill="E9E9E9"/>
          </w:tcPr>
          <w:p>
            <w:pPr>
              <w:jc w:val="right"/>
              <w:ind w:right="194"/>
              <w:spacing w:after="0"/>
              <w:rPr>
                <w:sz w:val="20"/>
                <w:szCs w:val="20"/>
                <w:color w:val="auto"/>
              </w:rPr>
            </w:pPr>
            <w:r>
              <w:rPr>
                <w:rFonts w:ascii="Arial" w:cs="Arial" w:eastAsia="Arial" w:hAnsi="Arial"/>
                <w:sz w:val="13"/>
                <w:szCs w:val="13"/>
                <w:color w:val="auto"/>
              </w:rPr>
              <w:t>—</w:t>
            </w:r>
          </w:p>
        </w:tc>
        <w:tc>
          <w:tcPr>
            <w:tcW w:w="1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7,962,322</w:t>
            </w:r>
          </w:p>
        </w:tc>
        <w:tc>
          <w:tcPr>
            <w:tcW w:w="260" w:type="dxa"/>
            <w:vAlign w:val="bottom"/>
            <w:shd w:val="clear" w:color="auto" w:fill="E9E9E9"/>
          </w:tcPr>
          <w:p>
            <w:pPr>
              <w:spacing w:after="0"/>
              <w:rPr>
                <w:sz w:val="20"/>
                <w:szCs w:val="20"/>
                <w:color w:val="auto"/>
              </w:rPr>
            </w:pPr>
          </w:p>
        </w:tc>
      </w:tr>
      <w:tr>
        <w:trPr>
          <w:trHeight w:val="238"/>
        </w:trPr>
        <w:tc>
          <w:tcPr>
            <w:tcW w:w="3660" w:type="dxa"/>
            <w:vAlign w:val="bottom"/>
            <w:shd w:val="clear" w:color="auto" w:fill="E9E9E9"/>
          </w:tcPr>
          <w:p>
            <w:pPr>
              <w:ind w:left="260"/>
              <w:spacing w:after="0"/>
              <w:rPr>
                <w:sz w:val="20"/>
                <w:szCs w:val="20"/>
                <w:color w:val="auto"/>
              </w:rPr>
            </w:pPr>
            <w:r>
              <w:rPr>
                <w:rFonts w:ascii="Arial" w:cs="Arial" w:eastAsia="Arial" w:hAnsi="Arial"/>
                <w:sz w:val="13"/>
                <w:szCs w:val="13"/>
                <w:color w:val="auto"/>
              </w:rPr>
              <w:t>Resignation; Involuntary</w:t>
            </w:r>
          </w:p>
        </w:tc>
        <w:tc>
          <w:tcPr>
            <w:tcW w:w="22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50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30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960" w:type="dxa"/>
            <w:vAlign w:val="bottom"/>
            <w:shd w:val="clear" w:color="auto" w:fill="E9E9E9"/>
          </w:tcPr>
          <w:p>
            <w:pPr>
              <w:spacing w:after="0"/>
              <w:rPr>
                <w:sz w:val="20"/>
                <w:szCs w:val="20"/>
                <w:color w:val="auto"/>
              </w:rPr>
            </w:pPr>
          </w:p>
        </w:tc>
        <w:tc>
          <w:tcPr>
            <w:tcW w:w="16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r>
      <w:tr>
        <w:trPr>
          <w:trHeight w:val="238"/>
        </w:trPr>
        <w:tc>
          <w:tcPr>
            <w:tcW w:w="3660" w:type="dxa"/>
            <w:vAlign w:val="bottom"/>
            <w:shd w:val="clear" w:color="auto" w:fill="E9E9E9"/>
          </w:tcPr>
          <w:p>
            <w:pPr>
              <w:ind w:left="520"/>
              <w:spacing w:after="0"/>
              <w:rPr>
                <w:sz w:val="20"/>
                <w:szCs w:val="20"/>
                <w:color w:val="auto"/>
              </w:rPr>
            </w:pPr>
            <w:r>
              <w:rPr>
                <w:rFonts w:ascii="Arial" w:cs="Arial" w:eastAsia="Arial" w:hAnsi="Arial"/>
                <w:sz w:val="13"/>
                <w:szCs w:val="13"/>
                <w:color w:val="auto"/>
              </w:rPr>
              <w:t>termination</w:t>
            </w:r>
          </w:p>
        </w:tc>
        <w:tc>
          <w:tcPr>
            <w:tcW w:w="22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50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30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960" w:type="dxa"/>
            <w:vAlign w:val="bottom"/>
            <w:shd w:val="clear" w:color="auto" w:fill="E9E9E9"/>
          </w:tcPr>
          <w:p>
            <w:pPr>
              <w:spacing w:after="0"/>
              <w:rPr>
                <w:sz w:val="20"/>
                <w:szCs w:val="20"/>
                <w:color w:val="auto"/>
              </w:rPr>
            </w:pPr>
          </w:p>
        </w:tc>
        <w:tc>
          <w:tcPr>
            <w:tcW w:w="16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r>
      <w:tr>
        <w:trPr>
          <w:trHeight w:val="238"/>
        </w:trPr>
        <w:tc>
          <w:tcPr>
            <w:tcW w:w="3660" w:type="dxa"/>
            <w:vAlign w:val="bottom"/>
            <w:shd w:val="clear" w:color="auto" w:fill="E9E9E9"/>
          </w:tcPr>
          <w:p>
            <w:pPr>
              <w:ind w:left="520"/>
              <w:spacing w:after="0"/>
              <w:rPr>
                <w:sz w:val="20"/>
                <w:szCs w:val="20"/>
                <w:color w:val="auto"/>
              </w:rPr>
            </w:pPr>
            <w:r>
              <w:rPr>
                <w:rFonts w:ascii="Arial" w:cs="Arial" w:eastAsia="Arial" w:hAnsi="Arial"/>
                <w:sz w:val="13"/>
                <w:szCs w:val="13"/>
                <w:color w:val="auto"/>
              </w:rPr>
              <w:t>(not for cause)</w:t>
            </w:r>
          </w:p>
        </w:tc>
        <w:tc>
          <w:tcPr>
            <w:tcW w:w="2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894,339</w:t>
            </w:r>
          </w:p>
        </w:tc>
        <w:tc>
          <w:tcPr>
            <w:tcW w:w="2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374,379</w:t>
            </w:r>
          </w:p>
        </w:tc>
        <w:tc>
          <w:tcPr>
            <w:tcW w:w="2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277,204</w:t>
            </w:r>
          </w:p>
        </w:tc>
        <w:tc>
          <w:tcPr>
            <w:tcW w:w="260" w:type="dxa"/>
            <w:vAlign w:val="bottom"/>
            <w:shd w:val="clear" w:color="auto" w:fill="E9E9E9"/>
          </w:tcPr>
          <w:p>
            <w:pPr>
              <w:jc w:val="right"/>
              <w:ind w:right="14"/>
              <w:spacing w:after="0"/>
              <w:rPr>
                <w:sz w:val="20"/>
                <w:szCs w:val="20"/>
                <w:color w:val="auto"/>
              </w:rPr>
            </w:pPr>
            <w:r>
              <w:rPr>
                <w:rFonts w:ascii="Arial" w:cs="Arial" w:eastAsia="Arial" w:hAnsi="Arial"/>
                <w:sz w:val="13"/>
                <w:szCs w:val="13"/>
                <w:color w:val="auto"/>
              </w:rPr>
              <w:t>(7)</w:t>
            </w: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31,964,580</w:t>
            </w:r>
          </w:p>
        </w:tc>
        <w:tc>
          <w:tcPr>
            <w:tcW w:w="300" w:type="dxa"/>
            <w:vAlign w:val="bottom"/>
            <w:shd w:val="clear" w:color="auto" w:fill="E9E9E9"/>
          </w:tcPr>
          <w:p>
            <w:pPr>
              <w:ind w:left="20"/>
              <w:spacing w:after="0"/>
              <w:rPr>
                <w:sz w:val="20"/>
                <w:szCs w:val="20"/>
                <w:color w:val="auto"/>
              </w:rPr>
            </w:pPr>
            <w:r>
              <w:rPr>
                <w:rFonts w:ascii="Arial" w:cs="Arial" w:eastAsia="Arial" w:hAnsi="Arial"/>
                <w:sz w:val="13"/>
                <w:szCs w:val="13"/>
                <w:color w:val="auto"/>
              </w:rPr>
              <w:t>(12)</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97,538,189 (4)</w:t>
            </w:r>
          </w:p>
        </w:tc>
        <w:tc>
          <w:tcPr>
            <w:tcW w:w="1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131,048,691</w:t>
            </w:r>
          </w:p>
        </w:tc>
        <w:tc>
          <w:tcPr>
            <w:tcW w:w="260" w:type="dxa"/>
            <w:vAlign w:val="bottom"/>
            <w:shd w:val="clear" w:color="auto" w:fill="E9E9E9"/>
          </w:tcPr>
          <w:p>
            <w:pPr>
              <w:spacing w:after="0"/>
              <w:rPr>
                <w:sz w:val="20"/>
                <w:szCs w:val="20"/>
                <w:color w:val="auto"/>
              </w:rPr>
            </w:pPr>
          </w:p>
        </w:tc>
      </w:tr>
      <w:tr>
        <w:trPr>
          <w:trHeight w:val="238"/>
        </w:trPr>
        <w:tc>
          <w:tcPr>
            <w:tcW w:w="3660" w:type="dxa"/>
            <w:vAlign w:val="bottom"/>
            <w:shd w:val="clear" w:color="auto" w:fill="E9E9E9"/>
          </w:tcPr>
          <w:p>
            <w:pPr>
              <w:ind w:left="260"/>
              <w:spacing w:after="0"/>
              <w:rPr>
                <w:sz w:val="20"/>
                <w:szCs w:val="20"/>
                <w:color w:val="auto"/>
              </w:rPr>
            </w:pPr>
            <w:r>
              <w:rPr>
                <w:rFonts w:ascii="Arial" w:cs="Arial" w:eastAsia="Arial" w:hAnsi="Arial"/>
                <w:sz w:val="13"/>
                <w:szCs w:val="13"/>
                <w:color w:val="auto"/>
              </w:rPr>
              <w:t>Retirement</w:t>
            </w:r>
          </w:p>
        </w:tc>
        <w:tc>
          <w:tcPr>
            <w:tcW w:w="2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894,339</w:t>
            </w:r>
          </w:p>
        </w:tc>
        <w:tc>
          <w:tcPr>
            <w:tcW w:w="2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374,379</w:t>
            </w:r>
          </w:p>
        </w:tc>
        <w:tc>
          <w:tcPr>
            <w:tcW w:w="2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277,204</w:t>
            </w:r>
          </w:p>
        </w:tc>
        <w:tc>
          <w:tcPr>
            <w:tcW w:w="260" w:type="dxa"/>
            <w:vAlign w:val="bottom"/>
            <w:shd w:val="clear" w:color="auto" w:fill="E9E9E9"/>
          </w:tcPr>
          <w:p>
            <w:pPr>
              <w:jc w:val="right"/>
              <w:ind w:right="14"/>
              <w:spacing w:after="0"/>
              <w:rPr>
                <w:sz w:val="20"/>
                <w:szCs w:val="20"/>
                <w:color w:val="auto"/>
              </w:rPr>
            </w:pPr>
            <w:r>
              <w:rPr>
                <w:rFonts w:ascii="Arial" w:cs="Arial" w:eastAsia="Arial" w:hAnsi="Arial"/>
                <w:sz w:val="13"/>
                <w:szCs w:val="13"/>
                <w:color w:val="auto"/>
              </w:rPr>
              <w:t>(7)</w:t>
            </w: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31,964,580</w:t>
            </w:r>
          </w:p>
        </w:tc>
        <w:tc>
          <w:tcPr>
            <w:tcW w:w="300" w:type="dxa"/>
            <w:vAlign w:val="bottom"/>
            <w:shd w:val="clear" w:color="auto" w:fill="E9E9E9"/>
          </w:tcPr>
          <w:p>
            <w:pPr>
              <w:ind w:left="20"/>
              <w:spacing w:after="0"/>
              <w:rPr>
                <w:sz w:val="20"/>
                <w:szCs w:val="20"/>
                <w:color w:val="auto"/>
              </w:rPr>
            </w:pPr>
            <w:r>
              <w:rPr>
                <w:rFonts w:ascii="Arial" w:cs="Arial" w:eastAsia="Arial" w:hAnsi="Arial"/>
                <w:sz w:val="13"/>
                <w:szCs w:val="13"/>
                <w:color w:val="auto"/>
              </w:rPr>
              <w:t>(12)</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97,538,189 (4)</w:t>
            </w:r>
          </w:p>
        </w:tc>
        <w:tc>
          <w:tcPr>
            <w:tcW w:w="1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131,048,691</w:t>
            </w:r>
          </w:p>
        </w:tc>
        <w:tc>
          <w:tcPr>
            <w:tcW w:w="260" w:type="dxa"/>
            <w:vAlign w:val="bottom"/>
            <w:shd w:val="clear" w:color="auto" w:fill="E9E9E9"/>
          </w:tcPr>
          <w:p>
            <w:pPr>
              <w:spacing w:after="0"/>
              <w:rPr>
                <w:sz w:val="20"/>
                <w:szCs w:val="20"/>
                <w:color w:val="auto"/>
              </w:rPr>
            </w:pPr>
          </w:p>
        </w:tc>
      </w:tr>
      <w:tr>
        <w:trPr>
          <w:trHeight w:val="238"/>
        </w:trPr>
        <w:tc>
          <w:tcPr>
            <w:tcW w:w="3660" w:type="dxa"/>
            <w:vAlign w:val="bottom"/>
            <w:shd w:val="clear" w:color="auto" w:fill="E9E9E9"/>
          </w:tcPr>
          <w:p>
            <w:pPr>
              <w:ind w:left="260"/>
              <w:spacing w:after="0"/>
              <w:rPr>
                <w:sz w:val="20"/>
                <w:szCs w:val="20"/>
                <w:color w:val="auto"/>
              </w:rPr>
            </w:pPr>
            <w:r>
              <w:rPr>
                <w:rFonts w:ascii="Arial" w:cs="Arial" w:eastAsia="Arial" w:hAnsi="Arial"/>
                <w:sz w:val="13"/>
                <w:szCs w:val="13"/>
                <w:color w:val="auto"/>
              </w:rPr>
              <w:t>Change in control</w:t>
            </w:r>
          </w:p>
        </w:tc>
        <w:tc>
          <w:tcPr>
            <w:tcW w:w="220" w:type="dxa"/>
            <w:vAlign w:val="bottom"/>
            <w:shd w:val="clear" w:color="auto" w:fill="E9E9E9"/>
          </w:tcPr>
          <w:p>
            <w:pPr>
              <w:spacing w:after="0"/>
              <w:rPr>
                <w:sz w:val="20"/>
                <w:szCs w:val="20"/>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E9E9E9"/>
          </w:tcPr>
          <w:p>
            <w:pPr>
              <w:spacing w:after="0"/>
              <w:rPr>
                <w:sz w:val="20"/>
                <w:szCs w:val="20"/>
                <w:color w:val="auto"/>
              </w:rPr>
            </w:pP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374,379</w:t>
            </w:r>
          </w:p>
        </w:tc>
        <w:tc>
          <w:tcPr>
            <w:tcW w:w="2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E9E9E9"/>
          </w:tcPr>
          <w:p>
            <w:pPr>
              <w:spacing w:after="0"/>
              <w:rPr>
                <w:sz w:val="20"/>
                <w:szCs w:val="20"/>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6,416,400</w:t>
            </w:r>
          </w:p>
        </w:tc>
        <w:tc>
          <w:tcPr>
            <w:tcW w:w="300" w:type="dxa"/>
            <w:vAlign w:val="bottom"/>
            <w:shd w:val="clear" w:color="auto" w:fill="E9E9E9"/>
          </w:tcPr>
          <w:p>
            <w:pPr>
              <w:ind w:left="20"/>
              <w:spacing w:after="0"/>
              <w:rPr>
                <w:sz w:val="20"/>
                <w:szCs w:val="20"/>
                <w:color w:val="auto"/>
              </w:rPr>
            </w:pPr>
            <w:r>
              <w:rPr>
                <w:rFonts w:ascii="Arial" w:cs="Arial" w:eastAsia="Arial" w:hAnsi="Arial"/>
                <w:sz w:val="13"/>
                <w:szCs w:val="13"/>
                <w:color w:val="auto"/>
              </w:rPr>
              <w:t>(8)</w:t>
            </w:r>
          </w:p>
        </w:tc>
        <w:tc>
          <w:tcPr>
            <w:tcW w:w="180" w:type="dxa"/>
            <w:vAlign w:val="bottom"/>
            <w:shd w:val="clear" w:color="auto" w:fill="E9E9E9"/>
          </w:tcPr>
          <w:p>
            <w:pPr>
              <w:spacing w:after="0"/>
              <w:rPr>
                <w:sz w:val="20"/>
                <w:szCs w:val="20"/>
                <w:color w:val="auto"/>
              </w:rPr>
            </w:pPr>
          </w:p>
        </w:tc>
        <w:tc>
          <w:tcPr>
            <w:tcW w:w="960" w:type="dxa"/>
            <w:vAlign w:val="bottom"/>
            <w:shd w:val="clear" w:color="auto" w:fill="E9E9E9"/>
          </w:tcPr>
          <w:p>
            <w:pPr>
              <w:jc w:val="right"/>
              <w:ind w:right="194"/>
              <w:spacing w:after="0"/>
              <w:rPr>
                <w:sz w:val="20"/>
                <w:szCs w:val="20"/>
                <w:color w:val="auto"/>
              </w:rPr>
            </w:pPr>
            <w:r>
              <w:rPr>
                <w:rFonts w:ascii="Arial" w:cs="Arial" w:eastAsia="Arial" w:hAnsi="Arial"/>
                <w:sz w:val="13"/>
                <w:szCs w:val="13"/>
                <w:color w:val="auto"/>
              </w:rPr>
              <w:t>—</w:t>
            </w:r>
          </w:p>
        </w:tc>
        <w:tc>
          <w:tcPr>
            <w:tcW w:w="1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6,790,779</w:t>
            </w:r>
          </w:p>
        </w:tc>
        <w:tc>
          <w:tcPr>
            <w:tcW w:w="260" w:type="dxa"/>
            <w:vAlign w:val="bottom"/>
            <w:shd w:val="clear" w:color="auto" w:fill="E9E9E9"/>
          </w:tcPr>
          <w:p>
            <w:pPr>
              <w:spacing w:after="0"/>
              <w:rPr>
                <w:sz w:val="20"/>
                <w:szCs w:val="20"/>
                <w:color w:val="auto"/>
              </w:rPr>
            </w:pPr>
          </w:p>
        </w:tc>
      </w:tr>
      <w:tr>
        <w:trPr>
          <w:trHeight w:val="279"/>
        </w:trPr>
        <w:tc>
          <w:tcPr>
            <w:tcW w:w="3660" w:type="dxa"/>
            <w:vAlign w:val="bottom"/>
            <w:shd w:val="clear" w:color="auto" w:fill="E9E9E9"/>
          </w:tcPr>
          <w:p>
            <w:pPr>
              <w:spacing w:after="0"/>
              <w:rPr>
                <w:sz w:val="24"/>
                <w:szCs w:val="24"/>
                <w:color w:val="auto"/>
              </w:rPr>
            </w:pPr>
          </w:p>
        </w:tc>
        <w:tc>
          <w:tcPr>
            <w:tcW w:w="220" w:type="dxa"/>
            <w:vAlign w:val="bottom"/>
            <w:shd w:val="clear" w:color="auto" w:fill="E9E9E9"/>
          </w:tcPr>
          <w:p>
            <w:pPr>
              <w:spacing w:after="0"/>
              <w:rPr>
                <w:sz w:val="24"/>
                <w:szCs w:val="24"/>
                <w:color w:val="auto"/>
              </w:rPr>
            </w:pPr>
          </w:p>
        </w:tc>
        <w:tc>
          <w:tcPr>
            <w:tcW w:w="640" w:type="dxa"/>
            <w:vAlign w:val="bottom"/>
            <w:shd w:val="clear" w:color="auto" w:fill="E9E9E9"/>
          </w:tcPr>
          <w:p>
            <w:pPr>
              <w:spacing w:after="0"/>
              <w:rPr>
                <w:sz w:val="24"/>
                <w:szCs w:val="24"/>
                <w:color w:val="auto"/>
              </w:rPr>
            </w:pPr>
          </w:p>
        </w:tc>
        <w:tc>
          <w:tcPr>
            <w:tcW w:w="240" w:type="dxa"/>
            <w:vAlign w:val="bottom"/>
            <w:shd w:val="clear" w:color="auto" w:fill="E9E9E9"/>
          </w:tcPr>
          <w:p>
            <w:pPr>
              <w:spacing w:after="0"/>
              <w:rPr>
                <w:sz w:val="24"/>
                <w:szCs w:val="24"/>
                <w:color w:val="auto"/>
              </w:rPr>
            </w:pPr>
          </w:p>
        </w:tc>
        <w:tc>
          <w:tcPr>
            <w:tcW w:w="180" w:type="dxa"/>
            <w:vAlign w:val="bottom"/>
            <w:shd w:val="clear" w:color="auto" w:fill="E9E9E9"/>
          </w:tcPr>
          <w:p>
            <w:pPr>
              <w:spacing w:after="0"/>
              <w:rPr>
                <w:sz w:val="24"/>
                <w:szCs w:val="24"/>
                <w:color w:val="auto"/>
              </w:rPr>
            </w:pPr>
          </w:p>
        </w:tc>
        <w:tc>
          <w:tcPr>
            <w:tcW w:w="500" w:type="dxa"/>
            <w:vAlign w:val="bottom"/>
            <w:shd w:val="clear" w:color="auto" w:fill="E9E9E9"/>
          </w:tcPr>
          <w:p>
            <w:pPr>
              <w:spacing w:after="0"/>
              <w:rPr>
                <w:sz w:val="24"/>
                <w:szCs w:val="24"/>
                <w:color w:val="auto"/>
              </w:rPr>
            </w:pPr>
          </w:p>
        </w:tc>
        <w:tc>
          <w:tcPr>
            <w:tcW w:w="260" w:type="dxa"/>
            <w:vAlign w:val="bottom"/>
            <w:shd w:val="clear" w:color="auto" w:fill="E9E9E9"/>
          </w:tcPr>
          <w:p>
            <w:pPr>
              <w:spacing w:after="0"/>
              <w:rPr>
                <w:sz w:val="24"/>
                <w:szCs w:val="24"/>
                <w:color w:val="auto"/>
              </w:rPr>
            </w:pPr>
          </w:p>
        </w:tc>
        <w:tc>
          <w:tcPr>
            <w:tcW w:w="180" w:type="dxa"/>
            <w:vAlign w:val="bottom"/>
            <w:shd w:val="clear" w:color="auto" w:fill="E9E9E9"/>
          </w:tcPr>
          <w:p>
            <w:pPr>
              <w:spacing w:after="0"/>
              <w:rPr>
                <w:sz w:val="24"/>
                <w:szCs w:val="24"/>
                <w:color w:val="auto"/>
              </w:rPr>
            </w:pPr>
          </w:p>
        </w:tc>
        <w:tc>
          <w:tcPr>
            <w:tcW w:w="640" w:type="dxa"/>
            <w:vAlign w:val="bottom"/>
            <w:shd w:val="clear" w:color="auto" w:fill="E9E9E9"/>
          </w:tcPr>
          <w:p>
            <w:pPr>
              <w:spacing w:after="0"/>
              <w:rPr>
                <w:sz w:val="24"/>
                <w:szCs w:val="24"/>
                <w:color w:val="auto"/>
              </w:rPr>
            </w:pPr>
          </w:p>
        </w:tc>
        <w:tc>
          <w:tcPr>
            <w:tcW w:w="260" w:type="dxa"/>
            <w:vAlign w:val="bottom"/>
            <w:shd w:val="clear" w:color="auto" w:fill="E9E9E9"/>
          </w:tcPr>
          <w:p>
            <w:pPr>
              <w:spacing w:after="0"/>
              <w:rPr>
                <w:sz w:val="24"/>
                <w:szCs w:val="24"/>
                <w:color w:val="auto"/>
              </w:rPr>
            </w:pPr>
          </w:p>
        </w:tc>
        <w:tc>
          <w:tcPr>
            <w:tcW w:w="220" w:type="dxa"/>
            <w:vAlign w:val="bottom"/>
            <w:shd w:val="clear" w:color="auto" w:fill="E9E9E9"/>
          </w:tcPr>
          <w:p>
            <w:pPr>
              <w:spacing w:after="0"/>
              <w:rPr>
                <w:sz w:val="24"/>
                <w:szCs w:val="24"/>
                <w:color w:val="auto"/>
              </w:rPr>
            </w:pPr>
          </w:p>
        </w:tc>
        <w:tc>
          <w:tcPr>
            <w:tcW w:w="840" w:type="dxa"/>
            <w:vAlign w:val="bottom"/>
            <w:shd w:val="clear" w:color="auto" w:fill="E9E9E9"/>
          </w:tcPr>
          <w:p>
            <w:pPr>
              <w:spacing w:after="0"/>
              <w:rPr>
                <w:sz w:val="24"/>
                <w:szCs w:val="24"/>
                <w:color w:val="auto"/>
              </w:rPr>
            </w:pPr>
          </w:p>
        </w:tc>
        <w:tc>
          <w:tcPr>
            <w:tcW w:w="200" w:type="dxa"/>
            <w:vAlign w:val="bottom"/>
            <w:shd w:val="clear" w:color="auto" w:fill="E9E9E9"/>
          </w:tcPr>
          <w:p>
            <w:pPr>
              <w:spacing w:after="0"/>
              <w:rPr>
                <w:sz w:val="24"/>
                <w:szCs w:val="24"/>
                <w:color w:val="auto"/>
              </w:rPr>
            </w:pPr>
          </w:p>
        </w:tc>
        <w:tc>
          <w:tcPr>
            <w:tcW w:w="720" w:type="dxa"/>
            <w:vAlign w:val="bottom"/>
            <w:shd w:val="clear" w:color="auto" w:fill="E9E9E9"/>
          </w:tcPr>
          <w:p>
            <w:pPr>
              <w:spacing w:after="0"/>
              <w:rPr>
                <w:sz w:val="24"/>
                <w:szCs w:val="24"/>
                <w:color w:val="auto"/>
              </w:rPr>
            </w:pPr>
          </w:p>
        </w:tc>
        <w:tc>
          <w:tcPr>
            <w:tcW w:w="300" w:type="dxa"/>
            <w:vAlign w:val="bottom"/>
            <w:shd w:val="clear" w:color="auto" w:fill="E9E9E9"/>
          </w:tcPr>
          <w:p>
            <w:pPr>
              <w:spacing w:after="0"/>
              <w:rPr>
                <w:sz w:val="24"/>
                <w:szCs w:val="24"/>
                <w:color w:val="auto"/>
              </w:rPr>
            </w:pPr>
          </w:p>
        </w:tc>
        <w:tc>
          <w:tcPr>
            <w:tcW w:w="180" w:type="dxa"/>
            <w:vAlign w:val="bottom"/>
            <w:shd w:val="clear" w:color="auto" w:fill="E9E9E9"/>
          </w:tcPr>
          <w:p>
            <w:pPr>
              <w:spacing w:after="0"/>
              <w:rPr>
                <w:sz w:val="24"/>
                <w:szCs w:val="24"/>
                <w:color w:val="auto"/>
              </w:rPr>
            </w:pPr>
          </w:p>
        </w:tc>
        <w:tc>
          <w:tcPr>
            <w:tcW w:w="960" w:type="dxa"/>
            <w:vAlign w:val="bottom"/>
            <w:shd w:val="clear" w:color="auto" w:fill="E9E9E9"/>
          </w:tcPr>
          <w:p>
            <w:pPr>
              <w:spacing w:after="0"/>
              <w:rPr>
                <w:sz w:val="24"/>
                <w:szCs w:val="24"/>
                <w:color w:val="auto"/>
              </w:rPr>
            </w:pPr>
          </w:p>
        </w:tc>
        <w:tc>
          <w:tcPr>
            <w:tcW w:w="160" w:type="dxa"/>
            <w:vAlign w:val="bottom"/>
            <w:shd w:val="clear" w:color="auto" w:fill="E9E9E9"/>
          </w:tcPr>
          <w:p>
            <w:pPr>
              <w:spacing w:after="0"/>
              <w:rPr>
                <w:sz w:val="24"/>
                <w:szCs w:val="24"/>
                <w:color w:val="auto"/>
              </w:rPr>
            </w:pPr>
          </w:p>
        </w:tc>
        <w:tc>
          <w:tcPr>
            <w:tcW w:w="800" w:type="dxa"/>
            <w:vAlign w:val="bottom"/>
            <w:shd w:val="clear" w:color="auto" w:fill="E9E9E9"/>
          </w:tcPr>
          <w:p>
            <w:pPr>
              <w:spacing w:after="0"/>
              <w:rPr>
                <w:sz w:val="24"/>
                <w:szCs w:val="24"/>
                <w:color w:val="auto"/>
              </w:rPr>
            </w:pPr>
          </w:p>
        </w:tc>
        <w:tc>
          <w:tcPr>
            <w:tcW w:w="260" w:type="dxa"/>
            <w:vAlign w:val="bottom"/>
            <w:shd w:val="clear" w:color="auto" w:fill="E9E9E9"/>
          </w:tcPr>
          <w:p>
            <w:pPr>
              <w:spacing w:after="0"/>
              <w:rPr>
                <w:sz w:val="24"/>
                <w:szCs w:val="24"/>
                <w:color w:val="auto"/>
              </w:rPr>
            </w:pPr>
          </w:p>
        </w:tc>
      </w:tr>
      <w:tr>
        <w:trPr>
          <w:trHeight w:val="197"/>
        </w:trPr>
        <w:tc>
          <w:tcPr>
            <w:tcW w:w="3660" w:type="dxa"/>
            <w:vAlign w:val="bottom"/>
          </w:tcPr>
          <w:p>
            <w:pPr>
              <w:spacing w:after="0"/>
              <w:rPr>
                <w:sz w:val="20"/>
                <w:szCs w:val="20"/>
                <w:color w:val="auto"/>
              </w:rPr>
            </w:pPr>
            <w:r>
              <w:rPr>
                <w:rFonts w:ascii="Arial" w:cs="Arial" w:eastAsia="Arial" w:hAnsi="Arial"/>
                <w:sz w:val="13"/>
                <w:szCs w:val="13"/>
                <w:b w:val="1"/>
                <w:bCs w:val="1"/>
                <w:color w:val="auto"/>
              </w:rPr>
              <w:t>K. P. March (10)</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8"/>
        </w:trPr>
        <w:tc>
          <w:tcPr>
            <w:tcW w:w="3660" w:type="dxa"/>
            <w:vAlign w:val="bottom"/>
          </w:tcPr>
          <w:p>
            <w:pPr>
              <w:ind w:left="260"/>
              <w:spacing w:after="0"/>
              <w:rPr>
                <w:sz w:val="20"/>
                <w:szCs w:val="20"/>
                <w:color w:val="auto"/>
              </w:rPr>
            </w:pPr>
            <w:r>
              <w:rPr>
                <w:rFonts w:ascii="Arial" w:cs="Arial" w:eastAsia="Arial" w:hAnsi="Arial"/>
                <w:sz w:val="13"/>
                <w:szCs w:val="13"/>
                <w:color w:val="auto"/>
              </w:rPr>
              <w:t>Disability</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1,643,934 (1)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349,792 (2)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6,826,893</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20"/>
                <w:szCs w:val="20"/>
                <w:color w:val="auto"/>
              </w:rPr>
            </w:pPr>
          </w:p>
        </w:tc>
        <w:tc>
          <w:tcPr>
            <w:tcW w:w="84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9,434,995</w:t>
            </w:r>
          </w:p>
        </w:tc>
        <w:tc>
          <w:tcPr>
            <w:tcW w:w="300" w:type="dxa"/>
            <w:vAlign w:val="bottom"/>
          </w:tcPr>
          <w:p>
            <w:pPr>
              <w:ind w:left="20"/>
              <w:spacing w:after="0"/>
              <w:rPr>
                <w:sz w:val="20"/>
                <w:szCs w:val="20"/>
                <w:color w:val="auto"/>
              </w:rPr>
            </w:pPr>
            <w:r>
              <w:rPr>
                <w:rFonts w:ascii="Arial" w:cs="Arial" w:eastAsia="Arial" w:hAnsi="Arial"/>
                <w:sz w:val="13"/>
                <w:szCs w:val="13"/>
                <w:color w:val="auto"/>
              </w:rPr>
              <w:t>(3)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13,685,180 (4)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31,940,794</w:t>
            </w:r>
          </w:p>
        </w:tc>
        <w:tc>
          <w:tcPr>
            <w:tcW w:w="260" w:type="dxa"/>
            <w:vAlign w:val="bottom"/>
          </w:tcPr>
          <w:p>
            <w:pPr>
              <w:spacing w:after="0"/>
              <w:rPr>
                <w:sz w:val="20"/>
                <w:szCs w:val="20"/>
                <w:color w:val="auto"/>
              </w:rPr>
            </w:pPr>
          </w:p>
        </w:tc>
      </w:tr>
      <w:tr>
        <w:trPr>
          <w:trHeight w:val="238"/>
        </w:trPr>
        <w:tc>
          <w:tcPr>
            <w:tcW w:w="3660" w:type="dxa"/>
            <w:vAlign w:val="bottom"/>
          </w:tcPr>
          <w:p>
            <w:pPr>
              <w:ind w:left="260"/>
              <w:spacing w:after="0"/>
              <w:rPr>
                <w:sz w:val="20"/>
                <w:szCs w:val="20"/>
                <w:color w:val="auto"/>
              </w:rPr>
            </w:pPr>
            <w:r>
              <w:rPr>
                <w:rFonts w:ascii="Arial" w:cs="Arial" w:eastAsia="Arial" w:hAnsi="Arial"/>
                <w:sz w:val="13"/>
                <w:szCs w:val="13"/>
                <w:color w:val="auto"/>
              </w:rPr>
              <w:t>Death</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628,772 (5)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115,729 (5)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3,288,071</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(5)</w:t>
            </w:r>
          </w:p>
        </w:tc>
        <w:tc>
          <w:tcPr>
            <w:tcW w:w="220" w:type="dxa"/>
            <w:vAlign w:val="bottom"/>
          </w:tcPr>
          <w:p>
            <w:pPr>
              <w:spacing w:after="0"/>
              <w:rPr>
                <w:sz w:val="20"/>
                <w:szCs w:val="20"/>
                <w:color w:val="auto"/>
              </w:rPr>
            </w:pPr>
          </w:p>
        </w:tc>
        <w:tc>
          <w:tcPr>
            <w:tcW w:w="84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9,434,995</w:t>
            </w:r>
          </w:p>
        </w:tc>
        <w:tc>
          <w:tcPr>
            <w:tcW w:w="300" w:type="dxa"/>
            <w:vAlign w:val="bottom"/>
          </w:tcPr>
          <w:p>
            <w:pPr>
              <w:ind w:left="20"/>
              <w:spacing w:after="0"/>
              <w:rPr>
                <w:sz w:val="20"/>
                <w:szCs w:val="20"/>
                <w:color w:val="auto"/>
              </w:rPr>
            </w:pPr>
            <w:r>
              <w:rPr>
                <w:rFonts w:ascii="Arial" w:cs="Arial" w:eastAsia="Arial" w:hAnsi="Arial"/>
                <w:sz w:val="13"/>
                <w:szCs w:val="13"/>
                <w:color w:val="auto"/>
              </w:rPr>
              <w:t>(3)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13,685,180 (4)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30,836,743</w:t>
            </w:r>
          </w:p>
        </w:tc>
        <w:tc>
          <w:tcPr>
            <w:tcW w:w="26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238"/>
        </w:trPr>
        <w:tc>
          <w:tcPr>
            <w:tcW w:w="3660" w:type="dxa"/>
            <w:vAlign w:val="bottom"/>
          </w:tcPr>
          <w:p>
            <w:pPr>
              <w:ind w:left="260"/>
              <w:spacing w:after="0"/>
              <w:rPr>
                <w:sz w:val="20"/>
                <w:szCs w:val="20"/>
                <w:color w:val="auto"/>
              </w:rPr>
            </w:pPr>
            <w:r>
              <w:rPr>
                <w:rFonts w:ascii="Arial" w:cs="Arial" w:eastAsia="Arial" w:hAnsi="Arial"/>
                <w:sz w:val="13"/>
                <w:szCs w:val="13"/>
                <w:color w:val="auto"/>
              </w:rPr>
              <w:t>Involuntary termination</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8"/>
        </w:trPr>
        <w:tc>
          <w:tcPr>
            <w:tcW w:w="3660" w:type="dxa"/>
            <w:vAlign w:val="bottom"/>
          </w:tcPr>
          <w:p>
            <w:pPr>
              <w:ind w:left="520"/>
              <w:spacing w:after="0"/>
              <w:rPr>
                <w:sz w:val="20"/>
                <w:szCs w:val="20"/>
                <w:color w:val="auto"/>
              </w:rPr>
            </w:pPr>
            <w:r>
              <w:rPr>
                <w:rFonts w:ascii="Arial" w:cs="Arial" w:eastAsia="Arial" w:hAnsi="Arial"/>
                <w:sz w:val="13"/>
                <w:szCs w:val="13"/>
                <w:color w:val="auto"/>
              </w:rPr>
              <w:t>for cause</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1,203,189 (7)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224,695 (7)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6,288,683</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(7)</w:t>
            </w:r>
          </w:p>
        </w:tc>
        <w:tc>
          <w:tcPr>
            <w:tcW w:w="220" w:type="dxa"/>
            <w:vAlign w:val="bottom"/>
          </w:tcPr>
          <w:p>
            <w:pPr>
              <w:spacing w:after="0"/>
              <w:rPr>
                <w:sz w:val="20"/>
                <w:szCs w:val="20"/>
                <w:color w:val="auto"/>
              </w:rPr>
            </w:pPr>
          </w:p>
        </w:tc>
        <w:tc>
          <w:tcPr>
            <w:tcW w:w="84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7,716,567</w:t>
            </w:r>
          </w:p>
        </w:tc>
        <w:tc>
          <w:tcPr>
            <w:tcW w:w="260" w:type="dxa"/>
            <w:vAlign w:val="bottom"/>
          </w:tcPr>
          <w:p>
            <w:pPr>
              <w:spacing w:after="0"/>
              <w:rPr>
                <w:sz w:val="20"/>
                <w:szCs w:val="20"/>
                <w:color w:val="auto"/>
              </w:rPr>
            </w:pPr>
          </w:p>
        </w:tc>
      </w:tr>
      <w:tr>
        <w:trPr>
          <w:trHeight w:val="238"/>
        </w:trPr>
        <w:tc>
          <w:tcPr>
            <w:tcW w:w="3660" w:type="dxa"/>
            <w:vAlign w:val="bottom"/>
          </w:tcPr>
          <w:p>
            <w:pPr>
              <w:ind w:left="260"/>
              <w:spacing w:after="0"/>
              <w:rPr>
                <w:sz w:val="20"/>
                <w:szCs w:val="20"/>
                <w:color w:val="auto"/>
              </w:rPr>
            </w:pPr>
            <w:r>
              <w:rPr>
                <w:rFonts w:ascii="Arial" w:cs="Arial" w:eastAsia="Arial" w:hAnsi="Arial"/>
                <w:sz w:val="13"/>
                <w:szCs w:val="13"/>
                <w:color w:val="auto"/>
              </w:rPr>
              <w:t>Resignation; Involuntary</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8"/>
        </w:trPr>
        <w:tc>
          <w:tcPr>
            <w:tcW w:w="3660" w:type="dxa"/>
            <w:vAlign w:val="bottom"/>
          </w:tcPr>
          <w:p>
            <w:pPr>
              <w:ind w:left="520"/>
              <w:spacing w:after="0"/>
              <w:rPr>
                <w:sz w:val="20"/>
                <w:szCs w:val="20"/>
                <w:color w:val="auto"/>
              </w:rPr>
            </w:pPr>
            <w:r>
              <w:rPr>
                <w:rFonts w:ascii="Arial" w:cs="Arial" w:eastAsia="Arial" w:hAnsi="Arial"/>
                <w:sz w:val="13"/>
                <w:szCs w:val="13"/>
                <w:color w:val="auto"/>
              </w:rPr>
              <w:t>termination</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8"/>
        </w:trPr>
        <w:tc>
          <w:tcPr>
            <w:tcW w:w="3660" w:type="dxa"/>
            <w:vAlign w:val="bottom"/>
          </w:tcPr>
          <w:p>
            <w:pPr>
              <w:ind w:left="520"/>
              <w:spacing w:after="0"/>
              <w:rPr>
                <w:sz w:val="20"/>
                <w:szCs w:val="20"/>
                <w:color w:val="auto"/>
              </w:rPr>
            </w:pPr>
            <w:r>
              <w:rPr>
                <w:rFonts w:ascii="Arial" w:cs="Arial" w:eastAsia="Arial" w:hAnsi="Arial"/>
                <w:sz w:val="13"/>
                <w:szCs w:val="13"/>
                <w:color w:val="auto"/>
              </w:rPr>
              <w:t>(not for cause)</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1,203,189 (7)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224,695 (7)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6,288,683</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(7)</w:t>
            </w:r>
          </w:p>
        </w:tc>
        <w:tc>
          <w:tcPr>
            <w:tcW w:w="220" w:type="dxa"/>
            <w:vAlign w:val="bottom"/>
          </w:tcPr>
          <w:p>
            <w:pPr>
              <w:spacing w:after="0"/>
              <w:rPr>
                <w:sz w:val="20"/>
                <w:szCs w:val="20"/>
                <w:color w:val="auto"/>
              </w:rPr>
            </w:pPr>
          </w:p>
        </w:tc>
        <w:tc>
          <w:tcPr>
            <w:tcW w:w="84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7,485,586</w:t>
            </w:r>
          </w:p>
        </w:tc>
        <w:tc>
          <w:tcPr>
            <w:tcW w:w="300" w:type="dxa"/>
            <w:vAlign w:val="bottom"/>
          </w:tcPr>
          <w:p>
            <w:pPr>
              <w:ind w:left="20"/>
              <w:spacing w:after="0"/>
              <w:rPr>
                <w:sz w:val="20"/>
                <w:szCs w:val="20"/>
                <w:color w:val="auto"/>
              </w:rPr>
            </w:pPr>
            <w:r>
              <w:rPr>
                <w:rFonts w:ascii="Arial" w:cs="Arial" w:eastAsia="Arial" w:hAnsi="Arial"/>
                <w:sz w:val="13"/>
                <w:szCs w:val="13"/>
                <w:color w:val="auto"/>
              </w:rPr>
              <w:t>(12)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13,685,180 (4)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28,887,333</w:t>
            </w:r>
          </w:p>
        </w:tc>
        <w:tc>
          <w:tcPr>
            <w:tcW w:w="260" w:type="dxa"/>
            <w:vAlign w:val="bottom"/>
          </w:tcPr>
          <w:p>
            <w:pPr>
              <w:spacing w:after="0"/>
              <w:rPr>
                <w:sz w:val="20"/>
                <w:szCs w:val="20"/>
                <w:color w:val="auto"/>
              </w:rPr>
            </w:pPr>
          </w:p>
        </w:tc>
      </w:tr>
      <w:tr>
        <w:trPr>
          <w:trHeight w:val="238"/>
        </w:trPr>
        <w:tc>
          <w:tcPr>
            <w:tcW w:w="3660" w:type="dxa"/>
            <w:vAlign w:val="bottom"/>
          </w:tcPr>
          <w:p>
            <w:pPr>
              <w:ind w:left="260"/>
              <w:spacing w:after="0"/>
              <w:rPr>
                <w:sz w:val="20"/>
                <w:szCs w:val="20"/>
                <w:color w:val="auto"/>
              </w:rPr>
            </w:pPr>
            <w:r>
              <w:rPr>
                <w:rFonts w:ascii="Arial" w:cs="Arial" w:eastAsia="Arial" w:hAnsi="Arial"/>
                <w:sz w:val="13"/>
                <w:szCs w:val="13"/>
                <w:color w:val="auto"/>
              </w:rPr>
              <w:t>Retirement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1,203,189 (7)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224,695 (7)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6,288,683</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(7)</w:t>
            </w:r>
          </w:p>
        </w:tc>
        <w:tc>
          <w:tcPr>
            <w:tcW w:w="220" w:type="dxa"/>
            <w:vAlign w:val="bottom"/>
          </w:tcPr>
          <w:p>
            <w:pPr>
              <w:spacing w:after="0"/>
              <w:rPr>
                <w:sz w:val="20"/>
                <w:szCs w:val="20"/>
                <w:color w:val="auto"/>
              </w:rPr>
            </w:pPr>
          </w:p>
        </w:tc>
        <w:tc>
          <w:tcPr>
            <w:tcW w:w="84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7,485,586</w:t>
            </w:r>
          </w:p>
        </w:tc>
        <w:tc>
          <w:tcPr>
            <w:tcW w:w="300" w:type="dxa"/>
            <w:vAlign w:val="bottom"/>
          </w:tcPr>
          <w:p>
            <w:pPr>
              <w:ind w:left="20"/>
              <w:spacing w:after="0"/>
              <w:rPr>
                <w:sz w:val="20"/>
                <w:szCs w:val="20"/>
                <w:color w:val="auto"/>
              </w:rPr>
            </w:pPr>
            <w:r>
              <w:rPr>
                <w:rFonts w:ascii="Arial" w:cs="Arial" w:eastAsia="Arial" w:hAnsi="Arial"/>
                <w:sz w:val="13"/>
                <w:szCs w:val="13"/>
                <w:color w:val="auto"/>
              </w:rPr>
              <w:t>(12)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13,685,180 (4)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28,887,333</w:t>
            </w:r>
          </w:p>
        </w:tc>
        <w:tc>
          <w:tcPr>
            <w:tcW w:w="260" w:type="dxa"/>
            <w:vAlign w:val="bottom"/>
          </w:tcPr>
          <w:p>
            <w:pPr>
              <w:spacing w:after="0"/>
              <w:rPr>
                <w:sz w:val="20"/>
                <w:szCs w:val="20"/>
                <w:color w:val="auto"/>
              </w:rPr>
            </w:pPr>
          </w:p>
        </w:tc>
      </w:tr>
      <w:tr>
        <w:trPr>
          <w:trHeight w:val="238"/>
        </w:trPr>
        <w:tc>
          <w:tcPr>
            <w:tcW w:w="3660" w:type="dxa"/>
            <w:vAlign w:val="bottom"/>
          </w:tcPr>
          <w:p>
            <w:pPr>
              <w:ind w:left="260"/>
              <w:spacing w:after="0"/>
              <w:rPr>
                <w:sz w:val="20"/>
                <w:szCs w:val="20"/>
                <w:color w:val="auto"/>
              </w:rPr>
            </w:pPr>
            <w:r>
              <w:rPr>
                <w:rFonts w:ascii="Arial" w:cs="Arial" w:eastAsia="Arial" w:hAnsi="Arial"/>
                <w:sz w:val="13"/>
                <w:szCs w:val="13"/>
                <w:color w:val="auto"/>
              </w:rPr>
              <w:t>Change in control</w:t>
            </w:r>
          </w:p>
        </w:tc>
        <w:tc>
          <w:tcPr>
            <w:tcW w:w="220" w:type="dxa"/>
            <w:vAlign w:val="bottom"/>
          </w:tcPr>
          <w:p>
            <w:pPr>
              <w:spacing w:after="0"/>
              <w:rPr>
                <w:sz w:val="20"/>
                <w:szCs w:val="20"/>
                <w:color w:val="auto"/>
              </w:rPr>
            </w:pPr>
          </w:p>
        </w:tc>
        <w:tc>
          <w:tcPr>
            <w:tcW w:w="880" w:type="dxa"/>
            <w:vAlign w:val="bottom"/>
            <w:gridSpan w:val="2"/>
          </w:tcPr>
          <w:p>
            <w:pPr>
              <w:jc w:val="right"/>
              <w:ind w:right="17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224,695 (7)</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224,695</w:t>
            </w:r>
          </w:p>
        </w:tc>
        <w:tc>
          <w:tcPr>
            <w:tcW w:w="260" w:type="dxa"/>
            <w:vAlign w:val="bottom"/>
          </w:tcPr>
          <w:p>
            <w:pPr>
              <w:spacing w:after="0"/>
              <w:rPr>
                <w:sz w:val="20"/>
                <w:szCs w:val="20"/>
                <w:color w:val="auto"/>
              </w:rPr>
            </w:pPr>
          </w:p>
        </w:tc>
      </w:tr>
      <w:tr>
        <w:trPr>
          <w:trHeight w:val="279"/>
        </w:trPr>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7"/>
        </w:trPr>
        <w:tc>
          <w:tcPr>
            <w:tcW w:w="3660" w:type="dxa"/>
            <w:vAlign w:val="bottom"/>
            <w:shd w:val="clear" w:color="auto" w:fill="E9E9E9"/>
          </w:tcPr>
          <w:p>
            <w:pPr>
              <w:spacing w:after="0"/>
              <w:rPr>
                <w:sz w:val="20"/>
                <w:szCs w:val="20"/>
                <w:color w:val="auto"/>
              </w:rPr>
            </w:pPr>
            <w:r>
              <w:rPr>
                <w:rFonts w:ascii="Arial" w:cs="Arial" w:eastAsia="Arial" w:hAnsi="Arial"/>
                <w:sz w:val="13"/>
                <w:szCs w:val="13"/>
                <w:b w:val="1"/>
                <w:bCs w:val="1"/>
                <w:color w:val="auto"/>
              </w:rPr>
              <w:t>B. T. Crutcher</w:t>
            </w:r>
          </w:p>
        </w:tc>
        <w:tc>
          <w:tcPr>
            <w:tcW w:w="220" w:type="dxa"/>
            <w:vAlign w:val="bottom"/>
            <w:shd w:val="clear" w:color="auto" w:fill="E9E9E9"/>
          </w:tcPr>
          <w:p>
            <w:pPr>
              <w:spacing w:after="0"/>
              <w:rPr>
                <w:sz w:val="17"/>
                <w:szCs w:val="17"/>
                <w:color w:val="auto"/>
              </w:rPr>
            </w:pPr>
          </w:p>
        </w:tc>
        <w:tc>
          <w:tcPr>
            <w:tcW w:w="640" w:type="dxa"/>
            <w:vAlign w:val="bottom"/>
            <w:shd w:val="clear" w:color="auto" w:fill="E9E9E9"/>
          </w:tcPr>
          <w:p>
            <w:pPr>
              <w:spacing w:after="0"/>
              <w:rPr>
                <w:sz w:val="17"/>
                <w:szCs w:val="17"/>
                <w:color w:val="auto"/>
              </w:rPr>
            </w:pPr>
          </w:p>
        </w:tc>
        <w:tc>
          <w:tcPr>
            <w:tcW w:w="240" w:type="dxa"/>
            <w:vAlign w:val="bottom"/>
            <w:shd w:val="clear" w:color="auto" w:fill="E9E9E9"/>
          </w:tcPr>
          <w:p>
            <w:pPr>
              <w:spacing w:after="0"/>
              <w:rPr>
                <w:sz w:val="17"/>
                <w:szCs w:val="17"/>
                <w:color w:val="auto"/>
              </w:rPr>
            </w:pPr>
          </w:p>
        </w:tc>
        <w:tc>
          <w:tcPr>
            <w:tcW w:w="180" w:type="dxa"/>
            <w:vAlign w:val="bottom"/>
            <w:shd w:val="clear" w:color="auto" w:fill="E9E9E9"/>
          </w:tcPr>
          <w:p>
            <w:pPr>
              <w:spacing w:after="0"/>
              <w:rPr>
                <w:sz w:val="17"/>
                <w:szCs w:val="17"/>
                <w:color w:val="auto"/>
              </w:rPr>
            </w:pPr>
          </w:p>
        </w:tc>
        <w:tc>
          <w:tcPr>
            <w:tcW w:w="500" w:type="dxa"/>
            <w:vAlign w:val="bottom"/>
            <w:shd w:val="clear" w:color="auto" w:fill="E9E9E9"/>
          </w:tcPr>
          <w:p>
            <w:pPr>
              <w:spacing w:after="0"/>
              <w:rPr>
                <w:sz w:val="17"/>
                <w:szCs w:val="17"/>
                <w:color w:val="auto"/>
              </w:rPr>
            </w:pPr>
          </w:p>
        </w:tc>
        <w:tc>
          <w:tcPr>
            <w:tcW w:w="260" w:type="dxa"/>
            <w:vAlign w:val="bottom"/>
            <w:shd w:val="clear" w:color="auto" w:fill="E9E9E9"/>
          </w:tcPr>
          <w:p>
            <w:pPr>
              <w:spacing w:after="0"/>
              <w:rPr>
                <w:sz w:val="17"/>
                <w:szCs w:val="17"/>
                <w:color w:val="auto"/>
              </w:rPr>
            </w:pPr>
          </w:p>
        </w:tc>
        <w:tc>
          <w:tcPr>
            <w:tcW w:w="180" w:type="dxa"/>
            <w:vAlign w:val="bottom"/>
            <w:shd w:val="clear" w:color="auto" w:fill="E9E9E9"/>
          </w:tcPr>
          <w:p>
            <w:pPr>
              <w:spacing w:after="0"/>
              <w:rPr>
                <w:sz w:val="17"/>
                <w:szCs w:val="17"/>
                <w:color w:val="auto"/>
              </w:rPr>
            </w:pPr>
          </w:p>
        </w:tc>
        <w:tc>
          <w:tcPr>
            <w:tcW w:w="640" w:type="dxa"/>
            <w:vAlign w:val="bottom"/>
            <w:shd w:val="clear" w:color="auto" w:fill="E9E9E9"/>
          </w:tcPr>
          <w:p>
            <w:pPr>
              <w:spacing w:after="0"/>
              <w:rPr>
                <w:sz w:val="17"/>
                <w:szCs w:val="17"/>
                <w:color w:val="auto"/>
              </w:rPr>
            </w:pPr>
          </w:p>
        </w:tc>
        <w:tc>
          <w:tcPr>
            <w:tcW w:w="260" w:type="dxa"/>
            <w:vAlign w:val="bottom"/>
            <w:shd w:val="clear" w:color="auto" w:fill="E9E9E9"/>
          </w:tcPr>
          <w:p>
            <w:pPr>
              <w:spacing w:after="0"/>
              <w:rPr>
                <w:sz w:val="17"/>
                <w:szCs w:val="17"/>
                <w:color w:val="auto"/>
              </w:rPr>
            </w:pPr>
          </w:p>
        </w:tc>
        <w:tc>
          <w:tcPr>
            <w:tcW w:w="22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200" w:type="dxa"/>
            <w:vAlign w:val="bottom"/>
            <w:shd w:val="clear" w:color="auto" w:fill="E9E9E9"/>
          </w:tcPr>
          <w:p>
            <w:pPr>
              <w:spacing w:after="0"/>
              <w:rPr>
                <w:sz w:val="17"/>
                <w:szCs w:val="17"/>
                <w:color w:val="auto"/>
              </w:rPr>
            </w:pPr>
          </w:p>
        </w:tc>
        <w:tc>
          <w:tcPr>
            <w:tcW w:w="720" w:type="dxa"/>
            <w:vAlign w:val="bottom"/>
            <w:shd w:val="clear" w:color="auto" w:fill="E9E9E9"/>
          </w:tcPr>
          <w:p>
            <w:pPr>
              <w:spacing w:after="0"/>
              <w:rPr>
                <w:sz w:val="17"/>
                <w:szCs w:val="17"/>
                <w:color w:val="auto"/>
              </w:rPr>
            </w:pPr>
          </w:p>
        </w:tc>
        <w:tc>
          <w:tcPr>
            <w:tcW w:w="300" w:type="dxa"/>
            <w:vAlign w:val="bottom"/>
            <w:shd w:val="clear" w:color="auto" w:fill="E9E9E9"/>
          </w:tcPr>
          <w:p>
            <w:pPr>
              <w:spacing w:after="0"/>
              <w:rPr>
                <w:sz w:val="17"/>
                <w:szCs w:val="17"/>
                <w:color w:val="auto"/>
              </w:rPr>
            </w:pPr>
          </w:p>
        </w:tc>
        <w:tc>
          <w:tcPr>
            <w:tcW w:w="180" w:type="dxa"/>
            <w:vAlign w:val="bottom"/>
            <w:shd w:val="clear" w:color="auto" w:fill="E9E9E9"/>
          </w:tcPr>
          <w:p>
            <w:pPr>
              <w:spacing w:after="0"/>
              <w:rPr>
                <w:sz w:val="17"/>
                <w:szCs w:val="17"/>
                <w:color w:val="auto"/>
              </w:rPr>
            </w:pPr>
          </w:p>
        </w:tc>
        <w:tc>
          <w:tcPr>
            <w:tcW w:w="96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800" w:type="dxa"/>
            <w:vAlign w:val="bottom"/>
            <w:shd w:val="clear" w:color="auto" w:fill="E9E9E9"/>
          </w:tcPr>
          <w:p>
            <w:pPr>
              <w:spacing w:after="0"/>
              <w:rPr>
                <w:sz w:val="17"/>
                <w:szCs w:val="17"/>
                <w:color w:val="auto"/>
              </w:rPr>
            </w:pPr>
          </w:p>
        </w:tc>
        <w:tc>
          <w:tcPr>
            <w:tcW w:w="260" w:type="dxa"/>
            <w:vAlign w:val="bottom"/>
            <w:shd w:val="clear" w:color="auto" w:fill="E9E9E9"/>
          </w:tcPr>
          <w:p>
            <w:pPr>
              <w:spacing w:after="0"/>
              <w:rPr>
                <w:sz w:val="17"/>
                <w:szCs w:val="17"/>
                <w:color w:val="auto"/>
              </w:rPr>
            </w:pPr>
          </w:p>
        </w:tc>
      </w:tr>
      <w:tr>
        <w:trPr>
          <w:trHeight w:val="238"/>
        </w:trPr>
        <w:tc>
          <w:tcPr>
            <w:tcW w:w="3660" w:type="dxa"/>
            <w:vAlign w:val="bottom"/>
            <w:shd w:val="clear" w:color="auto" w:fill="E9E9E9"/>
          </w:tcPr>
          <w:p>
            <w:pPr>
              <w:ind w:left="260"/>
              <w:spacing w:after="0"/>
              <w:rPr>
                <w:sz w:val="20"/>
                <w:szCs w:val="20"/>
                <w:color w:val="auto"/>
              </w:rPr>
            </w:pPr>
            <w:r>
              <w:rPr>
                <w:rFonts w:ascii="Arial" w:cs="Arial" w:eastAsia="Arial" w:hAnsi="Arial"/>
                <w:sz w:val="13"/>
                <w:szCs w:val="13"/>
                <w:color w:val="auto"/>
              </w:rPr>
              <w:t>Disability</w:t>
            </w:r>
          </w:p>
        </w:tc>
        <w:tc>
          <w:tcPr>
            <w:tcW w:w="2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E9E9E9"/>
          </w:tcPr>
          <w:p>
            <w:pPr>
              <w:jc w:val="right"/>
              <w:spacing w:after="0"/>
              <w:rPr>
                <w:sz w:val="20"/>
                <w:szCs w:val="20"/>
                <w:color w:val="auto"/>
              </w:rPr>
            </w:pPr>
            <w:r>
              <w:rPr>
                <w:rFonts w:ascii="Arial" w:cs="Arial" w:eastAsia="Arial" w:hAnsi="Arial"/>
                <w:sz w:val="13"/>
                <w:szCs w:val="13"/>
                <w:color w:val="auto"/>
              </w:rPr>
              <w:t>10,783 (1)</w:t>
            </w:r>
          </w:p>
        </w:tc>
        <w:tc>
          <w:tcPr>
            <w:tcW w:w="180" w:type="dxa"/>
            <w:vAlign w:val="bottom"/>
            <w:shd w:val="clear" w:color="auto" w:fill="E9E9E9"/>
          </w:tcPr>
          <w:p>
            <w:pPr>
              <w:spacing w:after="0"/>
              <w:rPr>
                <w:sz w:val="20"/>
                <w:szCs w:val="20"/>
                <w:color w:val="auto"/>
              </w:rPr>
            </w:pPr>
          </w:p>
        </w:tc>
        <w:tc>
          <w:tcPr>
            <w:tcW w:w="760" w:type="dxa"/>
            <w:vAlign w:val="bottom"/>
            <w:gridSpan w:val="2"/>
            <w:shd w:val="clear" w:color="auto" w:fill="E9E9E9"/>
          </w:tcPr>
          <w:p>
            <w:pPr>
              <w:jc w:val="right"/>
              <w:ind w:right="194"/>
              <w:spacing w:after="0"/>
              <w:rPr>
                <w:sz w:val="20"/>
                <w:szCs w:val="20"/>
                <w:color w:val="auto"/>
              </w:rPr>
            </w:pPr>
            <w:r>
              <w:rPr>
                <w:rFonts w:ascii="Arial" w:cs="Arial" w:eastAsia="Arial" w:hAnsi="Arial"/>
                <w:sz w:val="13"/>
                <w:szCs w:val="13"/>
                <w:color w:val="auto"/>
              </w:rPr>
              <w:t>—</w:t>
            </w:r>
          </w:p>
        </w:tc>
        <w:tc>
          <w:tcPr>
            <w:tcW w:w="180" w:type="dxa"/>
            <w:vAlign w:val="bottom"/>
            <w:shd w:val="clear" w:color="auto" w:fill="E9E9E9"/>
          </w:tcPr>
          <w:p>
            <w:pPr>
              <w:spacing w:after="0"/>
              <w:rPr>
                <w:sz w:val="20"/>
                <w:szCs w:val="20"/>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18,324,116</w:t>
            </w:r>
          </w:p>
        </w:tc>
        <w:tc>
          <w:tcPr>
            <w:tcW w:w="300" w:type="dxa"/>
            <w:vAlign w:val="bottom"/>
            <w:shd w:val="clear" w:color="auto" w:fill="E9E9E9"/>
          </w:tcPr>
          <w:p>
            <w:pPr>
              <w:ind w:left="20"/>
              <w:spacing w:after="0"/>
              <w:rPr>
                <w:sz w:val="20"/>
                <w:szCs w:val="20"/>
                <w:color w:val="auto"/>
              </w:rPr>
            </w:pPr>
            <w:r>
              <w:rPr>
                <w:rFonts w:ascii="Arial" w:cs="Arial" w:eastAsia="Arial" w:hAnsi="Arial"/>
                <w:sz w:val="13"/>
                <w:szCs w:val="13"/>
                <w:color w:val="auto"/>
              </w:rPr>
              <w:t>(3)</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11,376,418 (4)</w:t>
            </w:r>
          </w:p>
        </w:tc>
        <w:tc>
          <w:tcPr>
            <w:tcW w:w="1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29,711,317</w:t>
            </w:r>
          </w:p>
        </w:tc>
        <w:tc>
          <w:tcPr>
            <w:tcW w:w="260" w:type="dxa"/>
            <w:vAlign w:val="bottom"/>
            <w:shd w:val="clear" w:color="auto" w:fill="E9E9E9"/>
          </w:tcPr>
          <w:p>
            <w:pPr>
              <w:spacing w:after="0"/>
              <w:rPr>
                <w:sz w:val="20"/>
                <w:szCs w:val="20"/>
                <w:color w:val="auto"/>
              </w:rPr>
            </w:pPr>
          </w:p>
        </w:tc>
      </w:tr>
      <w:tr>
        <w:trPr>
          <w:trHeight w:val="238"/>
        </w:trPr>
        <w:tc>
          <w:tcPr>
            <w:tcW w:w="3660" w:type="dxa"/>
            <w:vAlign w:val="bottom"/>
            <w:shd w:val="clear" w:color="auto" w:fill="E9E9E9"/>
          </w:tcPr>
          <w:p>
            <w:pPr>
              <w:ind w:left="260"/>
              <w:spacing w:after="0"/>
              <w:rPr>
                <w:sz w:val="20"/>
                <w:szCs w:val="20"/>
                <w:color w:val="auto"/>
              </w:rPr>
            </w:pPr>
            <w:r>
              <w:rPr>
                <w:rFonts w:ascii="Arial" w:cs="Arial" w:eastAsia="Arial" w:hAnsi="Arial"/>
                <w:sz w:val="13"/>
                <w:szCs w:val="13"/>
                <w:color w:val="auto"/>
              </w:rPr>
              <w:t>Death</w:t>
            </w:r>
          </w:p>
        </w:tc>
        <w:tc>
          <w:tcPr>
            <w:tcW w:w="2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E9E9E9"/>
          </w:tcPr>
          <w:p>
            <w:pPr>
              <w:jc w:val="right"/>
              <w:spacing w:after="0"/>
              <w:rPr>
                <w:sz w:val="20"/>
                <w:szCs w:val="20"/>
                <w:color w:val="auto"/>
              </w:rPr>
            </w:pPr>
            <w:r>
              <w:rPr>
                <w:rFonts w:ascii="Arial" w:cs="Arial" w:eastAsia="Arial" w:hAnsi="Arial"/>
                <w:sz w:val="13"/>
                <w:szCs w:val="13"/>
                <w:color w:val="auto"/>
              </w:rPr>
              <w:t>1,881 (5)</w:t>
            </w:r>
          </w:p>
        </w:tc>
        <w:tc>
          <w:tcPr>
            <w:tcW w:w="180" w:type="dxa"/>
            <w:vAlign w:val="bottom"/>
            <w:shd w:val="clear" w:color="auto" w:fill="E9E9E9"/>
          </w:tcPr>
          <w:p>
            <w:pPr>
              <w:spacing w:after="0"/>
              <w:rPr>
                <w:sz w:val="20"/>
                <w:szCs w:val="20"/>
                <w:color w:val="auto"/>
              </w:rPr>
            </w:pPr>
          </w:p>
        </w:tc>
        <w:tc>
          <w:tcPr>
            <w:tcW w:w="760" w:type="dxa"/>
            <w:vAlign w:val="bottom"/>
            <w:gridSpan w:val="2"/>
            <w:shd w:val="clear" w:color="auto" w:fill="E9E9E9"/>
          </w:tcPr>
          <w:p>
            <w:pPr>
              <w:jc w:val="right"/>
              <w:ind w:right="194"/>
              <w:spacing w:after="0"/>
              <w:rPr>
                <w:sz w:val="20"/>
                <w:szCs w:val="20"/>
                <w:color w:val="auto"/>
              </w:rPr>
            </w:pPr>
            <w:r>
              <w:rPr>
                <w:rFonts w:ascii="Arial" w:cs="Arial" w:eastAsia="Arial" w:hAnsi="Arial"/>
                <w:sz w:val="13"/>
                <w:szCs w:val="13"/>
                <w:color w:val="auto"/>
              </w:rPr>
              <w:t>—</w:t>
            </w:r>
          </w:p>
        </w:tc>
        <w:tc>
          <w:tcPr>
            <w:tcW w:w="180" w:type="dxa"/>
            <w:vAlign w:val="bottom"/>
            <w:shd w:val="clear" w:color="auto" w:fill="E9E9E9"/>
          </w:tcPr>
          <w:p>
            <w:pPr>
              <w:spacing w:after="0"/>
              <w:rPr>
                <w:sz w:val="20"/>
                <w:szCs w:val="20"/>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E9E9E9"/>
          </w:tcPr>
          <w:p>
            <w:pPr>
              <w:spacing w:after="0"/>
              <w:rPr>
                <w:sz w:val="20"/>
                <w:szCs w:val="20"/>
                <w:color w:val="auto"/>
              </w:rPr>
            </w:pPr>
          </w:p>
        </w:tc>
        <w:tc>
          <w:tcPr>
            <w:tcW w:w="2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9E9E9"/>
          </w:tcPr>
          <w:p>
            <w:pPr>
              <w:jc w:val="right"/>
              <w:ind w:right="34"/>
              <w:spacing w:after="0"/>
              <w:rPr>
                <w:sz w:val="20"/>
                <w:szCs w:val="20"/>
                <w:color w:val="auto"/>
              </w:rPr>
            </w:pPr>
            <w:r>
              <w:rPr>
                <w:rFonts w:ascii="Arial" w:cs="Arial" w:eastAsia="Arial" w:hAnsi="Arial"/>
                <w:sz w:val="13"/>
                <w:szCs w:val="13"/>
                <w:color w:val="auto"/>
              </w:rPr>
              <w:t>820,284 (6)</w:t>
            </w:r>
          </w:p>
        </w:tc>
        <w:tc>
          <w:tcPr>
            <w:tcW w:w="2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18,324,116</w:t>
            </w:r>
          </w:p>
        </w:tc>
        <w:tc>
          <w:tcPr>
            <w:tcW w:w="300" w:type="dxa"/>
            <w:vAlign w:val="bottom"/>
            <w:shd w:val="clear" w:color="auto" w:fill="E9E9E9"/>
          </w:tcPr>
          <w:p>
            <w:pPr>
              <w:ind w:left="20"/>
              <w:spacing w:after="0"/>
              <w:rPr>
                <w:sz w:val="20"/>
                <w:szCs w:val="20"/>
                <w:color w:val="auto"/>
              </w:rPr>
            </w:pPr>
            <w:r>
              <w:rPr>
                <w:rFonts w:ascii="Arial" w:cs="Arial" w:eastAsia="Arial" w:hAnsi="Arial"/>
                <w:sz w:val="13"/>
                <w:szCs w:val="13"/>
                <w:color w:val="auto"/>
              </w:rPr>
              <w:t>(3)</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11,376,418 (4)</w:t>
            </w:r>
          </w:p>
        </w:tc>
        <w:tc>
          <w:tcPr>
            <w:tcW w:w="1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30,522,699</w:t>
            </w:r>
          </w:p>
        </w:tc>
        <w:tc>
          <w:tcPr>
            <w:tcW w:w="260" w:type="dxa"/>
            <w:vAlign w:val="bottom"/>
            <w:shd w:val="clear" w:color="auto" w:fill="E9E9E9"/>
          </w:tcPr>
          <w:p>
            <w:pPr>
              <w:spacing w:after="0"/>
              <w:rPr>
                <w:sz w:val="20"/>
                <w:szCs w:val="20"/>
                <w:color w:val="auto"/>
              </w:rPr>
            </w:pPr>
          </w:p>
        </w:tc>
      </w:tr>
      <w:tr>
        <w:trPr>
          <w:trHeight w:val="238"/>
        </w:trPr>
        <w:tc>
          <w:tcPr>
            <w:tcW w:w="3660" w:type="dxa"/>
            <w:vAlign w:val="bottom"/>
            <w:shd w:val="clear" w:color="auto" w:fill="E9E9E9"/>
          </w:tcPr>
          <w:p>
            <w:pPr>
              <w:ind w:left="260"/>
              <w:spacing w:after="0"/>
              <w:rPr>
                <w:sz w:val="20"/>
                <w:szCs w:val="20"/>
                <w:color w:val="auto"/>
              </w:rPr>
            </w:pPr>
            <w:r>
              <w:rPr>
                <w:rFonts w:ascii="Arial" w:cs="Arial" w:eastAsia="Arial" w:hAnsi="Arial"/>
                <w:sz w:val="13"/>
                <w:szCs w:val="13"/>
                <w:color w:val="auto"/>
              </w:rPr>
              <w:t>Involuntary termination</w:t>
            </w:r>
          </w:p>
        </w:tc>
        <w:tc>
          <w:tcPr>
            <w:tcW w:w="22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50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30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960" w:type="dxa"/>
            <w:vAlign w:val="bottom"/>
            <w:shd w:val="clear" w:color="auto" w:fill="E9E9E9"/>
          </w:tcPr>
          <w:p>
            <w:pPr>
              <w:spacing w:after="0"/>
              <w:rPr>
                <w:sz w:val="20"/>
                <w:szCs w:val="20"/>
                <w:color w:val="auto"/>
              </w:rPr>
            </w:pPr>
          </w:p>
        </w:tc>
        <w:tc>
          <w:tcPr>
            <w:tcW w:w="16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r>
      <w:tr>
        <w:trPr>
          <w:trHeight w:val="238"/>
        </w:trPr>
        <w:tc>
          <w:tcPr>
            <w:tcW w:w="3660" w:type="dxa"/>
            <w:vAlign w:val="bottom"/>
            <w:shd w:val="clear" w:color="auto" w:fill="E9E9E9"/>
          </w:tcPr>
          <w:p>
            <w:pPr>
              <w:ind w:left="520"/>
              <w:spacing w:after="0"/>
              <w:rPr>
                <w:sz w:val="20"/>
                <w:szCs w:val="20"/>
                <w:color w:val="auto"/>
              </w:rPr>
            </w:pPr>
            <w:r>
              <w:rPr>
                <w:rFonts w:ascii="Arial" w:cs="Arial" w:eastAsia="Arial" w:hAnsi="Arial"/>
                <w:sz w:val="13"/>
                <w:szCs w:val="13"/>
                <w:color w:val="auto"/>
              </w:rPr>
              <w:t>for cause</w:t>
            </w:r>
          </w:p>
        </w:tc>
        <w:tc>
          <w:tcPr>
            <w:tcW w:w="2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3,728</w:t>
            </w:r>
          </w:p>
        </w:tc>
        <w:tc>
          <w:tcPr>
            <w:tcW w:w="2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E9E9E9"/>
          </w:tcPr>
          <w:p>
            <w:pPr>
              <w:spacing w:after="0"/>
              <w:rPr>
                <w:sz w:val="20"/>
                <w:szCs w:val="20"/>
                <w:color w:val="auto"/>
              </w:rPr>
            </w:pPr>
          </w:p>
        </w:tc>
        <w:tc>
          <w:tcPr>
            <w:tcW w:w="760" w:type="dxa"/>
            <w:vAlign w:val="bottom"/>
            <w:gridSpan w:val="2"/>
            <w:shd w:val="clear" w:color="auto" w:fill="E9E9E9"/>
          </w:tcPr>
          <w:p>
            <w:pPr>
              <w:jc w:val="right"/>
              <w:ind w:right="194"/>
              <w:spacing w:after="0"/>
              <w:rPr>
                <w:sz w:val="20"/>
                <w:szCs w:val="20"/>
                <w:color w:val="auto"/>
              </w:rPr>
            </w:pPr>
            <w:r>
              <w:rPr>
                <w:rFonts w:ascii="Arial" w:cs="Arial" w:eastAsia="Arial" w:hAnsi="Arial"/>
                <w:sz w:val="13"/>
                <w:szCs w:val="13"/>
                <w:color w:val="auto"/>
              </w:rPr>
              <w:t>—</w:t>
            </w:r>
          </w:p>
        </w:tc>
        <w:tc>
          <w:tcPr>
            <w:tcW w:w="180" w:type="dxa"/>
            <w:vAlign w:val="bottom"/>
            <w:shd w:val="clear" w:color="auto" w:fill="E9E9E9"/>
          </w:tcPr>
          <w:p>
            <w:pPr>
              <w:spacing w:after="0"/>
              <w:rPr>
                <w:sz w:val="20"/>
                <w:szCs w:val="20"/>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960" w:type="dxa"/>
            <w:vAlign w:val="bottom"/>
            <w:shd w:val="clear" w:color="auto" w:fill="E9E9E9"/>
          </w:tcPr>
          <w:p>
            <w:pPr>
              <w:jc w:val="right"/>
              <w:ind w:right="194"/>
              <w:spacing w:after="0"/>
              <w:rPr>
                <w:sz w:val="20"/>
                <w:szCs w:val="20"/>
                <w:color w:val="auto"/>
              </w:rPr>
            </w:pPr>
            <w:r>
              <w:rPr>
                <w:rFonts w:ascii="Arial" w:cs="Arial" w:eastAsia="Arial" w:hAnsi="Arial"/>
                <w:sz w:val="13"/>
                <w:szCs w:val="13"/>
                <w:color w:val="auto"/>
              </w:rPr>
              <w:t>—</w:t>
            </w:r>
          </w:p>
        </w:tc>
        <w:tc>
          <w:tcPr>
            <w:tcW w:w="1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3,728</w:t>
            </w:r>
          </w:p>
        </w:tc>
        <w:tc>
          <w:tcPr>
            <w:tcW w:w="260" w:type="dxa"/>
            <w:vAlign w:val="bottom"/>
            <w:shd w:val="clear" w:color="auto" w:fill="E9E9E9"/>
          </w:tcPr>
          <w:p>
            <w:pPr>
              <w:spacing w:after="0"/>
              <w:rPr>
                <w:sz w:val="20"/>
                <w:szCs w:val="20"/>
                <w:color w:val="auto"/>
              </w:rPr>
            </w:pPr>
          </w:p>
        </w:tc>
      </w:tr>
      <w:tr>
        <w:trPr>
          <w:trHeight w:val="238"/>
        </w:trPr>
        <w:tc>
          <w:tcPr>
            <w:tcW w:w="3660" w:type="dxa"/>
            <w:vAlign w:val="bottom"/>
            <w:shd w:val="clear" w:color="auto" w:fill="E9E9E9"/>
          </w:tcPr>
          <w:p>
            <w:pPr>
              <w:ind w:left="260"/>
              <w:spacing w:after="0"/>
              <w:rPr>
                <w:sz w:val="20"/>
                <w:szCs w:val="20"/>
                <w:color w:val="auto"/>
              </w:rPr>
            </w:pPr>
            <w:r>
              <w:rPr>
                <w:rFonts w:ascii="Arial" w:cs="Arial" w:eastAsia="Arial" w:hAnsi="Arial"/>
                <w:sz w:val="13"/>
                <w:szCs w:val="13"/>
                <w:color w:val="auto"/>
              </w:rPr>
              <w:t>Resignation; Involuntary</w:t>
            </w:r>
          </w:p>
        </w:tc>
        <w:tc>
          <w:tcPr>
            <w:tcW w:w="22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50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30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960" w:type="dxa"/>
            <w:vAlign w:val="bottom"/>
            <w:shd w:val="clear" w:color="auto" w:fill="E9E9E9"/>
          </w:tcPr>
          <w:p>
            <w:pPr>
              <w:spacing w:after="0"/>
              <w:rPr>
                <w:sz w:val="20"/>
                <w:szCs w:val="20"/>
                <w:color w:val="auto"/>
              </w:rPr>
            </w:pPr>
          </w:p>
        </w:tc>
        <w:tc>
          <w:tcPr>
            <w:tcW w:w="16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r>
      <w:tr>
        <w:trPr>
          <w:trHeight w:val="238"/>
        </w:trPr>
        <w:tc>
          <w:tcPr>
            <w:tcW w:w="3660" w:type="dxa"/>
            <w:vAlign w:val="bottom"/>
            <w:shd w:val="clear" w:color="auto" w:fill="E9E9E9"/>
          </w:tcPr>
          <w:p>
            <w:pPr>
              <w:ind w:left="520"/>
              <w:spacing w:after="0"/>
              <w:rPr>
                <w:sz w:val="20"/>
                <w:szCs w:val="20"/>
                <w:color w:val="auto"/>
              </w:rPr>
            </w:pPr>
            <w:r>
              <w:rPr>
                <w:rFonts w:ascii="Arial" w:cs="Arial" w:eastAsia="Arial" w:hAnsi="Arial"/>
                <w:sz w:val="13"/>
                <w:szCs w:val="13"/>
                <w:color w:val="auto"/>
              </w:rPr>
              <w:t>termination</w:t>
            </w:r>
          </w:p>
        </w:tc>
        <w:tc>
          <w:tcPr>
            <w:tcW w:w="22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50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30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960" w:type="dxa"/>
            <w:vAlign w:val="bottom"/>
            <w:shd w:val="clear" w:color="auto" w:fill="E9E9E9"/>
          </w:tcPr>
          <w:p>
            <w:pPr>
              <w:spacing w:after="0"/>
              <w:rPr>
                <w:sz w:val="20"/>
                <w:szCs w:val="20"/>
                <w:color w:val="auto"/>
              </w:rPr>
            </w:pPr>
          </w:p>
        </w:tc>
        <w:tc>
          <w:tcPr>
            <w:tcW w:w="16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r>
      <w:tr>
        <w:trPr>
          <w:trHeight w:val="238"/>
        </w:trPr>
        <w:tc>
          <w:tcPr>
            <w:tcW w:w="3660" w:type="dxa"/>
            <w:vAlign w:val="bottom"/>
            <w:shd w:val="clear" w:color="auto" w:fill="E9E9E9"/>
          </w:tcPr>
          <w:p>
            <w:pPr>
              <w:ind w:left="520"/>
              <w:spacing w:after="0"/>
              <w:rPr>
                <w:sz w:val="20"/>
                <w:szCs w:val="20"/>
                <w:color w:val="auto"/>
              </w:rPr>
            </w:pPr>
            <w:r>
              <w:rPr>
                <w:rFonts w:ascii="Arial" w:cs="Arial" w:eastAsia="Arial" w:hAnsi="Arial"/>
                <w:sz w:val="13"/>
                <w:szCs w:val="13"/>
                <w:color w:val="auto"/>
              </w:rPr>
              <w:t>(not for cause)</w:t>
            </w:r>
          </w:p>
        </w:tc>
        <w:tc>
          <w:tcPr>
            <w:tcW w:w="2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3,728</w:t>
            </w:r>
          </w:p>
        </w:tc>
        <w:tc>
          <w:tcPr>
            <w:tcW w:w="2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E9E9E9"/>
          </w:tcPr>
          <w:p>
            <w:pPr>
              <w:spacing w:after="0"/>
              <w:rPr>
                <w:sz w:val="20"/>
                <w:szCs w:val="20"/>
                <w:color w:val="auto"/>
              </w:rPr>
            </w:pPr>
          </w:p>
        </w:tc>
        <w:tc>
          <w:tcPr>
            <w:tcW w:w="5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E9E9E9"/>
          </w:tcPr>
          <w:p>
            <w:pPr>
              <w:spacing w:after="0"/>
              <w:rPr>
                <w:sz w:val="20"/>
                <w:szCs w:val="20"/>
                <w:color w:val="auto"/>
              </w:rPr>
            </w:pP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2,548,031 (9)</w:t>
            </w:r>
          </w:p>
        </w:tc>
        <w:tc>
          <w:tcPr>
            <w:tcW w:w="1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2,551,759</w:t>
            </w:r>
          </w:p>
        </w:tc>
        <w:tc>
          <w:tcPr>
            <w:tcW w:w="260" w:type="dxa"/>
            <w:vAlign w:val="bottom"/>
            <w:shd w:val="clear" w:color="auto" w:fill="E9E9E9"/>
          </w:tcPr>
          <w:p>
            <w:pPr>
              <w:spacing w:after="0"/>
              <w:rPr>
                <w:sz w:val="20"/>
                <w:szCs w:val="20"/>
                <w:color w:val="auto"/>
              </w:rPr>
            </w:pPr>
          </w:p>
        </w:tc>
      </w:tr>
      <w:tr>
        <w:trPr>
          <w:trHeight w:val="238"/>
        </w:trPr>
        <w:tc>
          <w:tcPr>
            <w:tcW w:w="3660" w:type="dxa"/>
            <w:vAlign w:val="bottom"/>
            <w:shd w:val="clear" w:color="auto" w:fill="E9E9E9"/>
          </w:tcPr>
          <w:p>
            <w:pPr>
              <w:ind w:left="260"/>
              <w:spacing w:after="0"/>
              <w:rPr>
                <w:sz w:val="20"/>
                <w:szCs w:val="20"/>
                <w:color w:val="auto"/>
              </w:rPr>
            </w:pPr>
            <w:r>
              <w:rPr>
                <w:rFonts w:ascii="Arial" w:cs="Arial" w:eastAsia="Arial" w:hAnsi="Arial"/>
                <w:sz w:val="13"/>
                <w:szCs w:val="13"/>
                <w:color w:val="auto"/>
              </w:rPr>
              <w:t>Change in control</w:t>
            </w:r>
          </w:p>
        </w:tc>
        <w:tc>
          <w:tcPr>
            <w:tcW w:w="220" w:type="dxa"/>
            <w:vAlign w:val="bottom"/>
            <w:shd w:val="clear" w:color="auto" w:fill="E9E9E9"/>
          </w:tcPr>
          <w:p>
            <w:pPr>
              <w:spacing w:after="0"/>
              <w:rPr>
                <w:sz w:val="20"/>
                <w:szCs w:val="20"/>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5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960" w:type="dxa"/>
            <w:vAlign w:val="bottom"/>
            <w:shd w:val="clear" w:color="auto" w:fill="E9E9E9"/>
          </w:tcPr>
          <w:p>
            <w:pPr>
              <w:jc w:val="right"/>
              <w:ind w:right="194"/>
              <w:spacing w:after="0"/>
              <w:rPr>
                <w:sz w:val="20"/>
                <w:szCs w:val="20"/>
                <w:color w:val="auto"/>
              </w:rPr>
            </w:pPr>
            <w:r>
              <w:rPr>
                <w:rFonts w:ascii="Arial" w:cs="Arial" w:eastAsia="Arial" w:hAnsi="Arial"/>
                <w:sz w:val="13"/>
                <w:szCs w:val="13"/>
                <w:color w:val="auto"/>
              </w:rPr>
              <w:t>—</w:t>
            </w:r>
          </w:p>
        </w:tc>
        <w:tc>
          <w:tcPr>
            <w:tcW w:w="160" w:type="dxa"/>
            <w:vAlign w:val="bottom"/>
            <w:shd w:val="clear" w:color="auto" w:fill="E9E9E9"/>
          </w:tcPr>
          <w:p>
            <w:pPr>
              <w:spacing w:after="0"/>
              <w:rPr>
                <w:sz w:val="20"/>
                <w:szCs w:val="20"/>
                <w:color w:val="auto"/>
              </w:rPr>
            </w:pPr>
          </w:p>
        </w:tc>
        <w:tc>
          <w:tcPr>
            <w:tcW w:w="8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E9E9E9"/>
          </w:tcPr>
          <w:p>
            <w:pPr>
              <w:spacing w:after="0"/>
              <w:rPr>
                <w:sz w:val="20"/>
                <w:szCs w:val="20"/>
                <w:color w:val="auto"/>
              </w:rPr>
            </w:pPr>
          </w:p>
        </w:tc>
      </w:tr>
      <w:tr>
        <w:trPr>
          <w:trHeight w:val="279"/>
        </w:trPr>
        <w:tc>
          <w:tcPr>
            <w:tcW w:w="3660" w:type="dxa"/>
            <w:vAlign w:val="bottom"/>
            <w:shd w:val="clear" w:color="auto" w:fill="E9E9E9"/>
          </w:tcPr>
          <w:p>
            <w:pPr>
              <w:spacing w:after="0"/>
              <w:rPr>
                <w:sz w:val="24"/>
                <w:szCs w:val="24"/>
                <w:color w:val="auto"/>
              </w:rPr>
            </w:pPr>
          </w:p>
        </w:tc>
        <w:tc>
          <w:tcPr>
            <w:tcW w:w="220" w:type="dxa"/>
            <w:vAlign w:val="bottom"/>
            <w:shd w:val="clear" w:color="auto" w:fill="E9E9E9"/>
          </w:tcPr>
          <w:p>
            <w:pPr>
              <w:spacing w:after="0"/>
              <w:rPr>
                <w:sz w:val="24"/>
                <w:szCs w:val="24"/>
                <w:color w:val="auto"/>
              </w:rPr>
            </w:pPr>
          </w:p>
        </w:tc>
        <w:tc>
          <w:tcPr>
            <w:tcW w:w="640" w:type="dxa"/>
            <w:vAlign w:val="bottom"/>
            <w:shd w:val="clear" w:color="auto" w:fill="E9E9E9"/>
          </w:tcPr>
          <w:p>
            <w:pPr>
              <w:spacing w:after="0"/>
              <w:rPr>
                <w:sz w:val="24"/>
                <w:szCs w:val="24"/>
                <w:color w:val="auto"/>
              </w:rPr>
            </w:pPr>
          </w:p>
        </w:tc>
        <w:tc>
          <w:tcPr>
            <w:tcW w:w="240" w:type="dxa"/>
            <w:vAlign w:val="bottom"/>
            <w:shd w:val="clear" w:color="auto" w:fill="E9E9E9"/>
          </w:tcPr>
          <w:p>
            <w:pPr>
              <w:spacing w:after="0"/>
              <w:rPr>
                <w:sz w:val="24"/>
                <w:szCs w:val="24"/>
                <w:color w:val="auto"/>
              </w:rPr>
            </w:pPr>
          </w:p>
        </w:tc>
        <w:tc>
          <w:tcPr>
            <w:tcW w:w="180" w:type="dxa"/>
            <w:vAlign w:val="bottom"/>
            <w:shd w:val="clear" w:color="auto" w:fill="E9E9E9"/>
          </w:tcPr>
          <w:p>
            <w:pPr>
              <w:spacing w:after="0"/>
              <w:rPr>
                <w:sz w:val="24"/>
                <w:szCs w:val="24"/>
                <w:color w:val="auto"/>
              </w:rPr>
            </w:pPr>
          </w:p>
        </w:tc>
        <w:tc>
          <w:tcPr>
            <w:tcW w:w="500" w:type="dxa"/>
            <w:vAlign w:val="bottom"/>
            <w:shd w:val="clear" w:color="auto" w:fill="E9E9E9"/>
          </w:tcPr>
          <w:p>
            <w:pPr>
              <w:spacing w:after="0"/>
              <w:rPr>
                <w:sz w:val="24"/>
                <w:szCs w:val="24"/>
                <w:color w:val="auto"/>
              </w:rPr>
            </w:pPr>
          </w:p>
        </w:tc>
        <w:tc>
          <w:tcPr>
            <w:tcW w:w="260" w:type="dxa"/>
            <w:vAlign w:val="bottom"/>
            <w:shd w:val="clear" w:color="auto" w:fill="E9E9E9"/>
          </w:tcPr>
          <w:p>
            <w:pPr>
              <w:spacing w:after="0"/>
              <w:rPr>
                <w:sz w:val="24"/>
                <w:szCs w:val="24"/>
                <w:color w:val="auto"/>
              </w:rPr>
            </w:pPr>
          </w:p>
        </w:tc>
        <w:tc>
          <w:tcPr>
            <w:tcW w:w="180" w:type="dxa"/>
            <w:vAlign w:val="bottom"/>
            <w:shd w:val="clear" w:color="auto" w:fill="E9E9E9"/>
          </w:tcPr>
          <w:p>
            <w:pPr>
              <w:spacing w:after="0"/>
              <w:rPr>
                <w:sz w:val="24"/>
                <w:szCs w:val="24"/>
                <w:color w:val="auto"/>
              </w:rPr>
            </w:pPr>
          </w:p>
        </w:tc>
        <w:tc>
          <w:tcPr>
            <w:tcW w:w="640" w:type="dxa"/>
            <w:vAlign w:val="bottom"/>
            <w:shd w:val="clear" w:color="auto" w:fill="E9E9E9"/>
          </w:tcPr>
          <w:p>
            <w:pPr>
              <w:spacing w:after="0"/>
              <w:rPr>
                <w:sz w:val="24"/>
                <w:szCs w:val="24"/>
                <w:color w:val="auto"/>
              </w:rPr>
            </w:pPr>
          </w:p>
        </w:tc>
        <w:tc>
          <w:tcPr>
            <w:tcW w:w="260" w:type="dxa"/>
            <w:vAlign w:val="bottom"/>
            <w:shd w:val="clear" w:color="auto" w:fill="E9E9E9"/>
          </w:tcPr>
          <w:p>
            <w:pPr>
              <w:spacing w:after="0"/>
              <w:rPr>
                <w:sz w:val="24"/>
                <w:szCs w:val="24"/>
                <w:color w:val="auto"/>
              </w:rPr>
            </w:pPr>
          </w:p>
        </w:tc>
        <w:tc>
          <w:tcPr>
            <w:tcW w:w="220" w:type="dxa"/>
            <w:vAlign w:val="bottom"/>
            <w:shd w:val="clear" w:color="auto" w:fill="E9E9E9"/>
          </w:tcPr>
          <w:p>
            <w:pPr>
              <w:spacing w:after="0"/>
              <w:rPr>
                <w:sz w:val="24"/>
                <w:szCs w:val="24"/>
                <w:color w:val="auto"/>
              </w:rPr>
            </w:pPr>
          </w:p>
        </w:tc>
        <w:tc>
          <w:tcPr>
            <w:tcW w:w="840" w:type="dxa"/>
            <w:vAlign w:val="bottom"/>
            <w:shd w:val="clear" w:color="auto" w:fill="E9E9E9"/>
          </w:tcPr>
          <w:p>
            <w:pPr>
              <w:spacing w:after="0"/>
              <w:rPr>
                <w:sz w:val="24"/>
                <w:szCs w:val="24"/>
                <w:color w:val="auto"/>
              </w:rPr>
            </w:pPr>
          </w:p>
        </w:tc>
        <w:tc>
          <w:tcPr>
            <w:tcW w:w="200" w:type="dxa"/>
            <w:vAlign w:val="bottom"/>
            <w:shd w:val="clear" w:color="auto" w:fill="E9E9E9"/>
          </w:tcPr>
          <w:p>
            <w:pPr>
              <w:spacing w:after="0"/>
              <w:rPr>
                <w:sz w:val="24"/>
                <w:szCs w:val="24"/>
                <w:color w:val="auto"/>
              </w:rPr>
            </w:pPr>
          </w:p>
        </w:tc>
        <w:tc>
          <w:tcPr>
            <w:tcW w:w="720" w:type="dxa"/>
            <w:vAlign w:val="bottom"/>
            <w:shd w:val="clear" w:color="auto" w:fill="E9E9E9"/>
          </w:tcPr>
          <w:p>
            <w:pPr>
              <w:spacing w:after="0"/>
              <w:rPr>
                <w:sz w:val="24"/>
                <w:szCs w:val="24"/>
                <w:color w:val="auto"/>
              </w:rPr>
            </w:pPr>
          </w:p>
        </w:tc>
        <w:tc>
          <w:tcPr>
            <w:tcW w:w="300" w:type="dxa"/>
            <w:vAlign w:val="bottom"/>
            <w:shd w:val="clear" w:color="auto" w:fill="E9E9E9"/>
          </w:tcPr>
          <w:p>
            <w:pPr>
              <w:spacing w:after="0"/>
              <w:rPr>
                <w:sz w:val="24"/>
                <w:szCs w:val="24"/>
                <w:color w:val="auto"/>
              </w:rPr>
            </w:pPr>
          </w:p>
        </w:tc>
        <w:tc>
          <w:tcPr>
            <w:tcW w:w="180" w:type="dxa"/>
            <w:vAlign w:val="bottom"/>
            <w:shd w:val="clear" w:color="auto" w:fill="E9E9E9"/>
          </w:tcPr>
          <w:p>
            <w:pPr>
              <w:spacing w:after="0"/>
              <w:rPr>
                <w:sz w:val="24"/>
                <w:szCs w:val="24"/>
                <w:color w:val="auto"/>
              </w:rPr>
            </w:pPr>
          </w:p>
        </w:tc>
        <w:tc>
          <w:tcPr>
            <w:tcW w:w="960" w:type="dxa"/>
            <w:vAlign w:val="bottom"/>
            <w:shd w:val="clear" w:color="auto" w:fill="E9E9E9"/>
          </w:tcPr>
          <w:p>
            <w:pPr>
              <w:spacing w:after="0"/>
              <w:rPr>
                <w:sz w:val="24"/>
                <w:szCs w:val="24"/>
                <w:color w:val="auto"/>
              </w:rPr>
            </w:pPr>
          </w:p>
        </w:tc>
        <w:tc>
          <w:tcPr>
            <w:tcW w:w="160" w:type="dxa"/>
            <w:vAlign w:val="bottom"/>
            <w:shd w:val="clear" w:color="auto" w:fill="E9E9E9"/>
          </w:tcPr>
          <w:p>
            <w:pPr>
              <w:spacing w:after="0"/>
              <w:rPr>
                <w:sz w:val="24"/>
                <w:szCs w:val="24"/>
                <w:color w:val="auto"/>
              </w:rPr>
            </w:pPr>
          </w:p>
        </w:tc>
        <w:tc>
          <w:tcPr>
            <w:tcW w:w="800" w:type="dxa"/>
            <w:vAlign w:val="bottom"/>
            <w:shd w:val="clear" w:color="auto" w:fill="E9E9E9"/>
          </w:tcPr>
          <w:p>
            <w:pPr>
              <w:spacing w:after="0"/>
              <w:rPr>
                <w:sz w:val="24"/>
                <w:szCs w:val="24"/>
                <w:color w:val="auto"/>
              </w:rPr>
            </w:pPr>
          </w:p>
        </w:tc>
        <w:tc>
          <w:tcPr>
            <w:tcW w:w="260" w:type="dxa"/>
            <w:vAlign w:val="bottom"/>
            <w:shd w:val="clear" w:color="auto" w:fill="E9E9E9"/>
          </w:tcPr>
          <w:p>
            <w:pPr>
              <w:spacing w:after="0"/>
              <w:rPr>
                <w:sz w:val="24"/>
                <w:szCs w:val="24"/>
                <w:color w:val="auto"/>
              </w:rPr>
            </w:pPr>
          </w:p>
        </w:tc>
      </w:tr>
      <w:tr>
        <w:trPr>
          <w:trHeight w:val="197"/>
        </w:trPr>
        <w:tc>
          <w:tcPr>
            <w:tcW w:w="3660" w:type="dxa"/>
            <w:vAlign w:val="bottom"/>
          </w:tcPr>
          <w:p>
            <w:pPr>
              <w:spacing w:after="0"/>
              <w:rPr>
                <w:sz w:val="20"/>
                <w:szCs w:val="20"/>
                <w:color w:val="auto"/>
              </w:rPr>
            </w:pPr>
            <w:r>
              <w:rPr>
                <w:rFonts w:ascii="Arial" w:cs="Arial" w:eastAsia="Arial" w:hAnsi="Arial"/>
                <w:sz w:val="13"/>
                <w:szCs w:val="13"/>
                <w:b w:val="1"/>
                <w:bCs w:val="1"/>
                <w:color w:val="auto"/>
              </w:rPr>
              <w:t>S. A. Anderson</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8"/>
        </w:trPr>
        <w:tc>
          <w:tcPr>
            <w:tcW w:w="3660" w:type="dxa"/>
            <w:vAlign w:val="bottom"/>
          </w:tcPr>
          <w:p>
            <w:pPr>
              <w:ind w:left="260"/>
              <w:spacing w:after="0"/>
              <w:rPr>
                <w:sz w:val="20"/>
                <w:szCs w:val="20"/>
                <w:color w:val="auto"/>
              </w:rPr>
            </w:pPr>
            <w:r>
              <w:rPr>
                <w:rFonts w:ascii="Arial" w:cs="Arial" w:eastAsia="Arial" w:hAnsi="Arial"/>
                <w:sz w:val="13"/>
                <w:szCs w:val="13"/>
                <w:color w:val="auto"/>
              </w:rPr>
              <w:t>Disability</w:t>
            </w:r>
          </w:p>
        </w:tc>
        <w:tc>
          <w:tcPr>
            <w:tcW w:w="220" w:type="dxa"/>
            <w:vAlign w:val="bottom"/>
          </w:tcPr>
          <w:p>
            <w:pPr>
              <w:spacing w:after="0"/>
              <w:rPr>
                <w:sz w:val="20"/>
                <w:szCs w:val="20"/>
                <w:color w:val="auto"/>
              </w:rPr>
            </w:pPr>
          </w:p>
        </w:tc>
        <w:tc>
          <w:tcPr>
            <w:tcW w:w="880" w:type="dxa"/>
            <w:vAlign w:val="bottom"/>
            <w:gridSpan w:val="2"/>
          </w:tcPr>
          <w:p>
            <w:pPr>
              <w:jc w:val="right"/>
              <w:ind w:right="17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19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10,998,779</w:t>
            </w:r>
          </w:p>
        </w:tc>
        <w:tc>
          <w:tcPr>
            <w:tcW w:w="300" w:type="dxa"/>
            <w:vAlign w:val="bottom"/>
          </w:tcPr>
          <w:p>
            <w:pPr>
              <w:ind w:left="20"/>
              <w:spacing w:after="0"/>
              <w:rPr>
                <w:sz w:val="20"/>
                <w:szCs w:val="20"/>
                <w:color w:val="auto"/>
              </w:rPr>
            </w:pPr>
            <w:r>
              <w:rPr>
                <w:rFonts w:ascii="Arial" w:cs="Arial" w:eastAsia="Arial" w:hAnsi="Arial"/>
                <w:sz w:val="13"/>
                <w:szCs w:val="13"/>
                <w:color w:val="auto"/>
              </w:rPr>
              <w:t>(3)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9,657,280 (4)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20,656,059</w:t>
            </w:r>
          </w:p>
        </w:tc>
        <w:tc>
          <w:tcPr>
            <w:tcW w:w="260" w:type="dxa"/>
            <w:vAlign w:val="bottom"/>
          </w:tcPr>
          <w:p>
            <w:pPr>
              <w:spacing w:after="0"/>
              <w:rPr>
                <w:sz w:val="20"/>
                <w:szCs w:val="20"/>
                <w:color w:val="auto"/>
              </w:rPr>
            </w:pPr>
          </w:p>
        </w:tc>
      </w:tr>
      <w:tr>
        <w:trPr>
          <w:trHeight w:val="238"/>
        </w:trPr>
        <w:tc>
          <w:tcPr>
            <w:tcW w:w="3660" w:type="dxa"/>
            <w:vAlign w:val="bottom"/>
          </w:tcPr>
          <w:p>
            <w:pPr>
              <w:ind w:left="260"/>
              <w:spacing w:after="0"/>
              <w:rPr>
                <w:sz w:val="20"/>
                <w:szCs w:val="20"/>
                <w:color w:val="auto"/>
              </w:rPr>
            </w:pPr>
            <w:r>
              <w:rPr>
                <w:rFonts w:ascii="Arial" w:cs="Arial" w:eastAsia="Arial" w:hAnsi="Arial"/>
                <w:sz w:val="13"/>
                <w:szCs w:val="13"/>
                <w:color w:val="auto"/>
              </w:rPr>
              <w:t>Death</w:t>
            </w:r>
          </w:p>
        </w:tc>
        <w:tc>
          <w:tcPr>
            <w:tcW w:w="220" w:type="dxa"/>
            <w:vAlign w:val="bottom"/>
          </w:tcPr>
          <w:p>
            <w:pPr>
              <w:spacing w:after="0"/>
              <w:rPr>
                <w:sz w:val="20"/>
                <w:szCs w:val="20"/>
                <w:color w:val="auto"/>
              </w:rPr>
            </w:pPr>
          </w:p>
        </w:tc>
        <w:tc>
          <w:tcPr>
            <w:tcW w:w="880" w:type="dxa"/>
            <w:vAlign w:val="bottom"/>
            <w:gridSpan w:val="2"/>
          </w:tcPr>
          <w:p>
            <w:pPr>
              <w:jc w:val="right"/>
              <w:ind w:right="17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19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4"/>
              <w:spacing w:after="0"/>
              <w:rPr>
                <w:sz w:val="20"/>
                <w:szCs w:val="20"/>
                <w:color w:val="auto"/>
              </w:rPr>
            </w:pPr>
            <w:r>
              <w:rPr>
                <w:rFonts w:ascii="Arial" w:cs="Arial" w:eastAsia="Arial" w:hAnsi="Arial"/>
                <w:sz w:val="13"/>
                <w:szCs w:val="13"/>
                <w:color w:val="auto"/>
              </w:rPr>
              <w:t>435,908 (6)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10,998,779</w:t>
            </w:r>
          </w:p>
        </w:tc>
        <w:tc>
          <w:tcPr>
            <w:tcW w:w="300" w:type="dxa"/>
            <w:vAlign w:val="bottom"/>
          </w:tcPr>
          <w:p>
            <w:pPr>
              <w:ind w:left="20"/>
              <w:spacing w:after="0"/>
              <w:rPr>
                <w:sz w:val="20"/>
                <w:szCs w:val="20"/>
                <w:color w:val="auto"/>
              </w:rPr>
            </w:pPr>
            <w:r>
              <w:rPr>
                <w:rFonts w:ascii="Arial" w:cs="Arial" w:eastAsia="Arial" w:hAnsi="Arial"/>
                <w:sz w:val="13"/>
                <w:szCs w:val="13"/>
                <w:color w:val="auto"/>
              </w:rPr>
              <w:t>(3)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9,657,280 (4)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21,091,967</w:t>
            </w:r>
          </w:p>
        </w:tc>
        <w:tc>
          <w:tcPr>
            <w:tcW w:w="260" w:type="dxa"/>
            <w:vAlign w:val="bottom"/>
          </w:tcPr>
          <w:p>
            <w:pPr>
              <w:spacing w:after="0"/>
              <w:rPr>
                <w:sz w:val="20"/>
                <w:szCs w:val="20"/>
                <w:color w:val="auto"/>
              </w:rPr>
            </w:pPr>
          </w:p>
        </w:tc>
      </w:tr>
      <w:tr>
        <w:trPr>
          <w:trHeight w:val="238"/>
        </w:trPr>
        <w:tc>
          <w:tcPr>
            <w:tcW w:w="3660" w:type="dxa"/>
            <w:vAlign w:val="bottom"/>
          </w:tcPr>
          <w:p>
            <w:pPr>
              <w:ind w:left="260"/>
              <w:spacing w:after="0"/>
              <w:rPr>
                <w:sz w:val="20"/>
                <w:szCs w:val="20"/>
                <w:color w:val="auto"/>
              </w:rPr>
            </w:pPr>
            <w:r>
              <w:rPr>
                <w:rFonts w:ascii="Arial" w:cs="Arial" w:eastAsia="Arial" w:hAnsi="Arial"/>
                <w:sz w:val="13"/>
                <w:szCs w:val="13"/>
                <w:color w:val="auto"/>
              </w:rPr>
              <w:t>Involuntary termination</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8"/>
        </w:trPr>
        <w:tc>
          <w:tcPr>
            <w:tcW w:w="3660" w:type="dxa"/>
            <w:vAlign w:val="bottom"/>
          </w:tcPr>
          <w:p>
            <w:pPr>
              <w:ind w:left="520"/>
              <w:spacing w:after="0"/>
              <w:rPr>
                <w:sz w:val="20"/>
                <w:szCs w:val="20"/>
                <w:color w:val="auto"/>
              </w:rPr>
            </w:pPr>
            <w:r>
              <w:rPr>
                <w:rFonts w:ascii="Arial" w:cs="Arial" w:eastAsia="Arial" w:hAnsi="Arial"/>
                <w:sz w:val="13"/>
                <w:szCs w:val="13"/>
                <w:color w:val="auto"/>
              </w:rPr>
              <w:t>for cause</w:t>
            </w:r>
          </w:p>
        </w:tc>
        <w:tc>
          <w:tcPr>
            <w:tcW w:w="220" w:type="dxa"/>
            <w:vAlign w:val="bottom"/>
          </w:tcPr>
          <w:p>
            <w:pPr>
              <w:spacing w:after="0"/>
              <w:rPr>
                <w:sz w:val="20"/>
                <w:szCs w:val="20"/>
                <w:color w:val="auto"/>
              </w:rPr>
            </w:pPr>
          </w:p>
        </w:tc>
        <w:tc>
          <w:tcPr>
            <w:tcW w:w="880" w:type="dxa"/>
            <w:vAlign w:val="bottom"/>
            <w:gridSpan w:val="2"/>
          </w:tcPr>
          <w:p>
            <w:pPr>
              <w:jc w:val="right"/>
              <w:ind w:right="17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19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p>
        </w:tc>
      </w:tr>
      <w:tr>
        <w:trPr>
          <w:trHeight w:val="238"/>
        </w:trPr>
        <w:tc>
          <w:tcPr>
            <w:tcW w:w="3660" w:type="dxa"/>
            <w:vAlign w:val="bottom"/>
          </w:tcPr>
          <w:p>
            <w:pPr>
              <w:ind w:left="260"/>
              <w:spacing w:after="0"/>
              <w:rPr>
                <w:sz w:val="20"/>
                <w:szCs w:val="20"/>
                <w:color w:val="auto"/>
              </w:rPr>
            </w:pPr>
            <w:r>
              <w:rPr>
                <w:rFonts w:ascii="Arial" w:cs="Arial" w:eastAsia="Arial" w:hAnsi="Arial"/>
                <w:sz w:val="13"/>
                <w:szCs w:val="13"/>
                <w:color w:val="auto"/>
              </w:rPr>
              <w:t>Resignation; Involuntary</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8"/>
        </w:trPr>
        <w:tc>
          <w:tcPr>
            <w:tcW w:w="3660" w:type="dxa"/>
            <w:vAlign w:val="bottom"/>
          </w:tcPr>
          <w:p>
            <w:pPr>
              <w:ind w:left="520"/>
              <w:spacing w:after="0"/>
              <w:rPr>
                <w:sz w:val="20"/>
                <w:szCs w:val="20"/>
                <w:color w:val="auto"/>
              </w:rPr>
            </w:pPr>
            <w:r>
              <w:rPr>
                <w:rFonts w:ascii="Arial" w:cs="Arial" w:eastAsia="Arial" w:hAnsi="Arial"/>
                <w:sz w:val="13"/>
                <w:szCs w:val="13"/>
                <w:color w:val="auto"/>
              </w:rPr>
              <w:t>termination</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8"/>
        </w:trPr>
        <w:tc>
          <w:tcPr>
            <w:tcW w:w="3660" w:type="dxa"/>
            <w:vAlign w:val="bottom"/>
          </w:tcPr>
          <w:p>
            <w:pPr>
              <w:ind w:left="520"/>
              <w:spacing w:after="0"/>
              <w:rPr>
                <w:sz w:val="20"/>
                <w:szCs w:val="20"/>
                <w:color w:val="auto"/>
              </w:rPr>
            </w:pPr>
            <w:r>
              <w:rPr>
                <w:rFonts w:ascii="Arial" w:cs="Arial" w:eastAsia="Arial" w:hAnsi="Arial"/>
                <w:sz w:val="13"/>
                <w:szCs w:val="13"/>
                <w:color w:val="auto"/>
              </w:rPr>
              <w:t>(not for cause)</w:t>
            </w:r>
          </w:p>
        </w:tc>
        <w:tc>
          <w:tcPr>
            <w:tcW w:w="220" w:type="dxa"/>
            <w:vAlign w:val="bottom"/>
          </w:tcPr>
          <w:p>
            <w:pPr>
              <w:spacing w:after="0"/>
              <w:rPr>
                <w:sz w:val="20"/>
                <w:szCs w:val="20"/>
                <w:color w:val="auto"/>
              </w:rPr>
            </w:pPr>
          </w:p>
        </w:tc>
        <w:tc>
          <w:tcPr>
            <w:tcW w:w="880" w:type="dxa"/>
            <w:vAlign w:val="bottom"/>
            <w:gridSpan w:val="2"/>
          </w:tcPr>
          <w:p>
            <w:pPr>
              <w:jc w:val="right"/>
              <w:ind w:right="17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19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3,928,094 (9)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3,928,094</w:t>
            </w:r>
          </w:p>
        </w:tc>
        <w:tc>
          <w:tcPr>
            <w:tcW w:w="260" w:type="dxa"/>
            <w:vAlign w:val="bottom"/>
          </w:tcPr>
          <w:p>
            <w:pPr>
              <w:spacing w:after="0"/>
              <w:rPr>
                <w:sz w:val="20"/>
                <w:szCs w:val="20"/>
                <w:color w:val="auto"/>
              </w:rPr>
            </w:pPr>
          </w:p>
        </w:tc>
      </w:tr>
      <w:tr>
        <w:trPr>
          <w:trHeight w:val="238"/>
        </w:trPr>
        <w:tc>
          <w:tcPr>
            <w:tcW w:w="3660" w:type="dxa"/>
            <w:vAlign w:val="bottom"/>
          </w:tcPr>
          <w:p>
            <w:pPr>
              <w:ind w:left="260"/>
              <w:spacing w:after="0"/>
              <w:rPr>
                <w:sz w:val="20"/>
                <w:szCs w:val="20"/>
                <w:color w:val="auto"/>
              </w:rPr>
            </w:pPr>
            <w:r>
              <w:rPr>
                <w:rFonts w:ascii="Arial" w:cs="Arial" w:eastAsia="Arial" w:hAnsi="Arial"/>
                <w:sz w:val="13"/>
                <w:szCs w:val="13"/>
                <w:color w:val="auto"/>
              </w:rPr>
              <w:t>Change in control</w:t>
            </w:r>
          </w:p>
        </w:tc>
        <w:tc>
          <w:tcPr>
            <w:tcW w:w="220" w:type="dxa"/>
            <w:vAlign w:val="bottom"/>
          </w:tcPr>
          <w:p>
            <w:pPr>
              <w:spacing w:after="0"/>
              <w:rPr>
                <w:sz w:val="20"/>
                <w:szCs w:val="20"/>
                <w:color w:val="auto"/>
              </w:rPr>
            </w:pPr>
          </w:p>
        </w:tc>
        <w:tc>
          <w:tcPr>
            <w:tcW w:w="880" w:type="dxa"/>
            <w:vAlign w:val="bottom"/>
            <w:gridSpan w:val="2"/>
          </w:tcPr>
          <w:p>
            <w:pPr>
              <w:jc w:val="right"/>
              <w:ind w:right="17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19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p>
        </w:tc>
      </w:tr>
      <w:tr>
        <w:trPr>
          <w:trHeight w:val="279"/>
        </w:trPr>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7"/>
        </w:trPr>
        <w:tc>
          <w:tcPr>
            <w:tcW w:w="3660" w:type="dxa"/>
            <w:vAlign w:val="bottom"/>
            <w:shd w:val="clear" w:color="auto" w:fill="E9E9E9"/>
          </w:tcPr>
          <w:p>
            <w:pPr>
              <w:spacing w:after="0"/>
              <w:rPr>
                <w:sz w:val="20"/>
                <w:szCs w:val="20"/>
                <w:color w:val="auto"/>
              </w:rPr>
            </w:pPr>
            <w:r>
              <w:rPr>
                <w:rFonts w:ascii="Arial" w:cs="Arial" w:eastAsia="Arial" w:hAnsi="Arial"/>
                <w:sz w:val="13"/>
                <w:szCs w:val="13"/>
                <w:b w:val="1"/>
                <w:bCs w:val="1"/>
                <w:color w:val="auto"/>
              </w:rPr>
              <w:t>K. J. Ritchie (10)</w:t>
            </w:r>
          </w:p>
        </w:tc>
        <w:tc>
          <w:tcPr>
            <w:tcW w:w="220" w:type="dxa"/>
            <w:vAlign w:val="bottom"/>
            <w:shd w:val="clear" w:color="auto" w:fill="E9E9E9"/>
          </w:tcPr>
          <w:p>
            <w:pPr>
              <w:spacing w:after="0"/>
              <w:rPr>
                <w:sz w:val="17"/>
                <w:szCs w:val="17"/>
                <w:color w:val="auto"/>
              </w:rPr>
            </w:pPr>
          </w:p>
        </w:tc>
        <w:tc>
          <w:tcPr>
            <w:tcW w:w="640" w:type="dxa"/>
            <w:vAlign w:val="bottom"/>
            <w:shd w:val="clear" w:color="auto" w:fill="E9E9E9"/>
          </w:tcPr>
          <w:p>
            <w:pPr>
              <w:spacing w:after="0"/>
              <w:rPr>
                <w:sz w:val="17"/>
                <w:szCs w:val="17"/>
                <w:color w:val="auto"/>
              </w:rPr>
            </w:pPr>
          </w:p>
        </w:tc>
        <w:tc>
          <w:tcPr>
            <w:tcW w:w="240" w:type="dxa"/>
            <w:vAlign w:val="bottom"/>
            <w:shd w:val="clear" w:color="auto" w:fill="E9E9E9"/>
          </w:tcPr>
          <w:p>
            <w:pPr>
              <w:spacing w:after="0"/>
              <w:rPr>
                <w:sz w:val="17"/>
                <w:szCs w:val="17"/>
                <w:color w:val="auto"/>
              </w:rPr>
            </w:pPr>
          </w:p>
        </w:tc>
        <w:tc>
          <w:tcPr>
            <w:tcW w:w="180" w:type="dxa"/>
            <w:vAlign w:val="bottom"/>
            <w:shd w:val="clear" w:color="auto" w:fill="E9E9E9"/>
          </w:tcPr>
          <w:p>
            <w:pPr>
              <w:spacing w:after="0"/>
              <w:rPr>
                <w:sz w:val="17"/>
                <w:szCs w:val="17"/>
                <w:color w:val="auto"/>
              </w:rPr>
            </w:pPr>
          </w:p>
        </w:tc>
        <w:tc>
          <w:tcPr>
            <w:tcW w:w="500" w:type="dxa"/>
            <w:vAlign w:val="bottom"/>
            <w:shd w:val="clear" w:color="auto" w:fill="E9E9E9"/>
          </w:tcPr>
          <w:p>
            <w:pPr>
              <w:spacing w:after="0"/>
              <w:rPr>
                <w:sz w:val="17"/>
                <w:szCs w:val="17"/>
                <w:color w:val="auto"/>
              </w:rPr>
            </w:pPr>
          </w:p>
        </w:tc>
        <w:tc>
          <w:tcPr>
            <w:tcW w:w="260" w:type="dxa"/>
            <w:vAlign w:val="bottom"/>
            <w:shd w:val="clear" w:color="auto" w:fill="E9E9E9"/>
          </w:tcPr>
          <w:p>
            <w:pPr>
              <w:spacing w:after="0"/>
              <w:rPr>
                <w:sz w:val="17"/>
                <w:szCs w:val="17"/>
                <w:color w:val="auto"/>
              </w:rPr>
            </w:pPr>
          </w:p>
        </w:tc>
        <w:tc>
          <w:tcPr>
            <w:tcW w:w="180" w:type="dxa"/>
            <w:vAlign w:val="bottom"/>
            <w:shd w:val="clear" w:color="auto" w:fill="E9E9E9"/>
          </w:tcPr>
          <w:p>
            <w:pPr>
              <w:spacing w:after="0"/>
              <w:rPr>
                <w:sz w:val="17"/>
                <w:szCs w:val="17"/>
                <w:color w:val="auto"/>
              </w:rPr>
            </w:pPr>
          </w:p>
        </w:tc>
        <w:tc>
          <w:tcPr>
            <w:tcW w:w="640" w:type="dxa"/>
            <w:vAlign w:val="bottom"/>
            <w:shd w:val="clear" w:color="auto" w:fill="E9E9E9"/>
          </w:tcPr>
          <w:p>
            <w:pPr>
              <w:spacing w:after="0"/>
              <w:rPr>
                <w:sz w:val="17"/>
                <w:szCs w:val="17"/>
                <w:color w:val="auto"/>
              </w:rPr>
            </w:pPr>
          </w:p>
        </w:tc>
        <w:tc>
          <w:tcPr>
            <w:tcW w:w="260" w:type="dxa"/>
            <w:vAlign w:val="bottom"/>
            <w:shd w:val="clear" w:color="auto" w:fill="E9E9E9"/>
          </w:tcPr>
          <w:p>
            <w:pPr>
              <w:spacing w:after="0"/>
              <w:rPr>
                <w:sz w:val="17"/>
                <w:szCs w:val="17"/>
                <w:color w:val="auto"/>
              </w:rPr>
            </w:pPr>
          </w:p>
        </w:tc>
        <w:tc>
          <w:tcPr>
            <w:tcW w:w="22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200" w:type="dxa"/>
            <w:vAlign w:val="bottom"/>
            <w:shd w:val="clear" w:color="auto" w:fill="E9E9E9"/>
          </w:tcPr>
          <w:p>
            <w:pPr>
              <w:spacing w:after="0"/>
              <w:rPr>
                <w:sz w:val="17"/>
                <w:szCs w:val="17"/>
                <w:color w:val="auto"/>
              </w:rPr>
            </w:pPr>
          </w:p>
        </w:tc>
        <w:tc>
          <w:tcPr>
            <w:tcW w:w="720" w:type="dxa"/>
            <w:vAlign w:val="bottom"/>
            <w:shd w:val="clear" w:color="auto" w:fill="E9E9E9"/>
          </w:tcPr>
          <w:p>
            <w:pPr>
              <w:spacing w:after="0"/>
              <w:rPr>
                <w:sz w:val="17"/>
                <w:szCs w:val="17"/>
                <w:color w:val="auto"/>
              </w:rPr>
            </w:pPr>
          </w:p>
        </w:tc>
        <w:tc>
          <w:tcPr>
            <w:tcW w:w="300" w:type="dxa"/>
            <w:vAlign w:val="bottom"/>
            <w:shd w:val="clear" w:color="auto" w:fill="E9E9E9"/>
          </w:tcPr>
          <w:p>
            <w:pPr>
              <w:spacing w:after="0"/>
              <w:rPr>
                <w:sz w:val="17"/>
                <w:szCs w:val="17"/>
                <w:color w:val="auto"/>
              </w:rPr>
            </w:pPr>
          </w:p>
        </w:tc>
        <w:tc>
          <w:tcPr>
            <w:tcW w:w="180" w:type="dxa"/>
            <w:vAlign w:val="bottom"/>
            <w:shd w:val="clear" w:color="auto" w:fill="E9E9E9"/>
          </w:tcPr>
          <w:p>
            <w:pPr>
              <w:spacing w:after="0"/>
              <w:rPr>
                <w:sz w:val="17"/>
                <w:szCs w:val="17"/>
                <w:color w:val="auto"/>
              </w:rPr>
            </w:pPr>
          </w:p>
        </w:tc>
        <w:tc>
          <w:tcPr>
            <w:tcW w:w="96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800" w:type="dxa"/>
            <w:vAlign w:val="bottom"/>
            <w:shd w:val="clear" w:color="auto" w:fill="E9E9E9"/>
          </w:tcPr>
          <w:p>
            <w:pPr>
              <w:spacing w:after="0"/>
              <w:rPr>
                <w:sz w:val="17"/>
                <w:szCs w:val="17"/>
                <w:color w:val="auto"/>
              </w:rPr>
            </w:pPr>
          </w:p>
        </w:tc>
        <w:tc>
          <w:tcPr>
            <w:tcW w:w="260" w:type="dxa"/>
            <w:vAlign w:val="bottom"/>
            <w:shd w:val="clear" w:color="auto" w:fill="E9E9E9"/>
          </w:tcPr>
          <w:p>
            <w:pPr>
              <w:spacing w:after="0"/>
              <w:rPr>
                <w:sz w:val="17"/>
                <w:szCs w:val="17"/>
                <w:color w:val="auto"/>
              </w:rPr>
            </w:pPr>
          </w:p>
        </w:tc>
      </w:tr>
      <w:tr>
        <w:trPr>
          <w:trHeight w:val="238"/>
        </w:trPr>
        <w:tc>
          <w:tcPr>
            <w:tcW w:w="3660" w:type="dxa"/>
            <w:vAlign w:val="bottom"/>
            <w:shd w:val="clear" w:color="auto" w:fill="E9E9E9"/>
          </w:tcPr>
          <w:p>
            <w:pPr>
              <w:ind w:left="260"/>
              <w:spacing w:after="0"/>
              <w:rPr>
                <w:sz w:val="20"/>
                <w:szCs w:val="20"/>
                <w:color w:val="auto"/>
              </w:rPr>
            </w:pPr>
            <w:r>
              <w:rPr>
                <w:rFonts w:ascii="Arial" w:cs="Arial" w:eastAsia="Arial" w:hAnsi="Arial"/>
                <w:sz w:val="13"/>
                <w:szCs w:val="13"/>
                <w:color w:val="auto"/>
              </w:rPr>
              <w:t>Disability</w:t>
            </w:r>
          </w:p>
        </w:tc>
        <w:tc>
          <w:tcPr>
            <w:tcW w:w="2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E9E9E9"/>
          </w:tcPr>
          <w:p>
            <w:pPr>
              <w:jc w:val="right"/>
              <w:spacing w:after="0"/>
              <w:rPr>
                <w:sz w:val="20"/>
                <w:szCs w:val="20"/>
                <w:color w:val="auto"/>
              </w:rPr>
            </w:pPr>
            <w:r>
              <w:rPr>
                <w:rFonts w:ascii="Arial" w:cs="Arial" w:eastAsia="Arial" w:hAnsi="Arial"/>
                <w:sz w:val="13"/>
                <w:szCs w:val="13"/>
                <w:color w:val="auto"/>
              </w:rPr>
              <w:t>2,065,069 (1)</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3"/>
                <w:szCs w:val="13"/>
                <w:color w:val="auto"/>
              </w:rPr>
              <w:t>926,549 (2)</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8,387,202</w:t>
            </w:r>
          </w:p>
        </w:tc>
        <w:tc>
          <w:tcPr>
            <w:tcW w:w="260" w:type="dxa"/>
            <w:vAlign w:val="bottom"/>
            <w:shd w:val="clear" w:color="auto" w:fill="E9E9E9"/>
          </w:tcPr>
          <w:p>
            <w:pPr>
              <w:jc w:val="right"/>
              <w:ind w:right="14"/>
              <w:spacing w:after="0"/>
              <w:rPr>
                <w:sz w:val="20"/>
                <w:szCs w:val="20"/>
                <w:color w:val="auto"/>
              </w:rPr>
            </w:pPr>
            <w:r>
              <w:rPr>
                <w:rFonts w:ascii="Arial" w:cs="Arial" w:eastAsia="Arial" w:hAnsi="Arial"/>
                <w:sz w:val="13"/>
                <w:szCs w:val="13"/>
                <w:color w:val="auto"/>
              </w:rPr>
              <w:t>(2)</w:t>
            </w: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12,005,619</w:t>
            </w:r>
          </w:p>
        </w:tc>
        <w:tc>
          <w:tcPr>
            <w:tcW w:w="300" w:type="dxa"/>
            <w:vAlign w:val="bottom"/>
            <w:shd w:val="clear" w:color="auto" w:fill="E9E9E9"/>
          </w:tcPr>
          <w:p>
            <w:pPr>
              <w:ind w:left="20"/>
              <w:spacing w:after="0"/>
              <w:rPr>
                <w:sz w:val="20"/>
                <w:szCs w:val="20"/>
                <w:color w:val="auto"/>
              </w:rPr>
            </w:pPr>
            <w:r>
              <w:rPr>
                <w:rFonts w:ascii="Arial" w:cs="Arial" w:eastAsia="Arial" w:hAnsi="Arial"/>
                <w:sz w:val="13"/>
                <w:szCs w:val="13"/>
                <w:color w:val="auto"/>
              </w:rPr>
              <w:t>(3)</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8,020,452 (4)</w:t>
            </w:r>
          </w:p>
        </w:tc>
        <w:tc>
          <w:tcPr>
            <w:tcW w:w="1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31,404,891</w:t>
            </w:r>
          </w:p>
        </w:tc>
        <w:tc>
          <w:tcPr>
            <w:tcW w:w="260" w:type="dxa"/>
            <w:vAlign w:val="bottom"/>
            <w:shd w:val="clear" w:color="auto" w:fill="E9E9E9"/>
          </w:tcPr>
          <w:p>
            <w:pPr>
              <w:spacing w:after="0"/>
              <w:rPr>
                <w:sz w:val="20"/>
                <w:szCs w:val="20"/>
                <w:color w:val="auto"/>
              </w:rPr>
            </w:pPr>
          </w:p>
        </w:tc>
      </w:tr>
      <w:tr>
        <w:trPr>
          <w:trHeight w:val="238"/>
        </w:trPr>
        <w:tc>
          <w:tcPr>
            <w:tcW w:w="3660" w:type="dxa"/>
            <w:vAlign w:val="bottom"/>
            <w:shd w:val="clear" w:color="auto" w:fill="E9E9E9"/>
          </w:tcPr>
          <w:p>
            <w:pPr>
              <w:ind w:left="260"/>
              <w:spacing w:after="0"/>
              <w:rPr>
                <w:sz w:val="20"/>
                <w:szCs w:val="20"/>
                <w:color w:val="auto"/>
              </w:rPr>
            </w:pPr>
            <w:r>
              <w:rPr>
                <w:rFonts w:ascii="Arial" w:cs="Arial" w:eastAsia="Arial" w:hAnsi="Arial"/>
                <w:sz w:val="13"/>
                <w:szCs w:val="13"/>
                <w:color w:val="auto"/>
              </w:rPr>
              <w:t>Death</w:t>
            </w:r>
          </w:p>
        </w:tc>
        <w:tc>
          <w:tcPr>
            <w:tcW w:w="2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E9E9E9"/>
          </w:tcPr>
          <w:p>
            <w:pPr>
              <w:jc w:val="right"/>
              <w:spacing w:after="0"/>
              <w:rPr>
                <w:sz w:val="20"/>
                <w:szCs w:val="20"/>
                <w:color w:val="auto"/>
              </w:rPr>
            </w:pPr>
            <w:r>
              <w:rPr>
                <w:rFonts w:ascii="Arial" w:cs="Arial" w:eastAsia="Arial" w:hAnsi="Arial"/>
                <w:sz w:val="13"/>
                <w:szCs w:val="13"/>
                <w:color w:val="auto"/>
              </w:rPr>
              <w:t>873,590 (5)</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3"/>
                <w:szCs w:val="13"/>
                <w:color w:val="auto"/>
              </w:rPr>
              <w:t>324,982 (5)</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4,008,109</w:t>
            </w:r>
          </w:p>
        </w:tc>
        <w:tc>
          <w:tcPr>
            <w:tcW w:w="260" w:type="dxa"/>
            <w:vAlign w:val="bottom"/>
            <w:shd w:val="clear" w:color="auto" w:fill="E9E9E9"/>
          </w:tcPr>
          <w:p>
            <w:pPr>
              <w:jc w:val="right"/>
              <w:ind w:right="14"/>
              <w:spacing w:after="0"/>
              <w:rPr>
                <w:sz w:val="20"/>
                <w:szCs w:val="20"/>
                <w:color w:val="auto"/>
              </w:rPr>
            </w:pPr>
            <w:r>
              <w:rPr>
                <w:rFonts w:ascii="Arial" w:cs="Arial" w:eastAsia="Arial" w:hAnsi="Arial"/>
                <w:sz w:val="13"/>
                <w:szCs w:val="13"/>
                <w:color w:val="auto"/>
              </w:rPr>
              <w:t>(5)</w:t>
            </w: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12,005,619</w:t>
            </w:r>
          </w:p>
        </w:tc>
        <w:tc>
          <w:tcPr>
            <w:tcW w:w="300" w:type="dxa"/>
            <w:vAlign w:val="bottom"/>
            <w:shd w:val="clear" w:color="auto" w:fill="E9E9E9"/>
          </w:tcPr>
          <w:p>
            <w:pPr>
              <w:ind w:left="20"/>
              <w:spacing w:after="0"/>
              <w:rPr>
                <w:sz w:val="20"/>
                <w:szCs w:val="20"/>
                <w:color w:val="auto"/>
              </w:rPr>
            </w:pPr>
            <w:r>
              <w:rPr>
                <w:rFonts w:ascii="Arial" w:cs="Arial" w:eastAsia="Arial" w:hAnsi="Arial"/>
                <w:sz w:val="13"/>
                <w:szCs w:val="13"/>
                <w:color w:val="auto"/>
              </w:rPr>
              <w:t>(3)</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8,020,452 (4)</w:t>
            </w:r>
          </w:p>
        </w:tc>
        <w:tc>
          <w:tcPr>
            <w:tcW w:w="1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30,261,478</w:t>
            </w:r>
          </w:p>
        </w:tc>
        <w:tc>
          <w:tcPr>
            <w:tcW w:w="2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(11)</w:t>
            </w:r>
          </w:p>
        </w:tc>
      </w:tr>
      <w:tr>
        <w:trPr>
          <w:trHeight w:val="238"/>
        </w:trPr>
        <w:tc>
          <w:tcPr>
            <w:tcW w:w="3660" w:type="dxa"/>
            <w:vAlign w:val="bottom"/>
            <w:shd w:val="clear" w:color="auto" w:fill="E9E9E9"/>
          </w:tcPr>
          <w:p>
            <w:pPr>
              <w:ind w:left="260"/>
              <w:spacing w:after="0"/>
              <w:rPr>
                <w:sz w:val="20"/>
                <w:szCs w:val="20"/>
                <w:color w:val="auto"/>
              </w:rPr>
            </w:pPr>
            <w:r>
              <w:rPr>
                <w:rFonts w:ascii="Arial" w:cs="Arial" w:eastAsia="Arial" w:hAnsi="Arial"/>
                <w:sz w:val="13"/>
                <w:szCs w:val="13"/>
                <w:color w:val="auto"/>
              </w:rPr>
              <w:t>Involuntary termination</w:t>
            </w:r>
          </w:p>
        </w:tc>
        <w:tc>
          <w:tcPr>
            <w:tcW w:w="22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50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30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960" w:type="dxa"/>
            <w:vAlign w:val="bottom"/>
            <w:shd w:val="clear" w:color="auto" w:fill="E9E9E9"/>
          </w:tcPr>
          <w:p>
            <w:pPr>
              <w:spacing w:after="0"/>
              <w:rPr>
                <w:sz w:val="20"/>
                <w:szCs w:val="20"/>
                <w:color w:val="auto"/>
              </w:rPr>
            </w:pPr>
          </w:p>
        </w:tc>
        <w:tc>
          <w:tcPr>
            <w:tcW w:w="16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r>
      <w:tr>
        <w:trPr>
          <w:trHeight w:val="238"/>
        </w:trPr>
        <w:tc>
          <w:tcPr>
            <w:tcW w:w="3660" w:type="dxa"/>
            <w:vAlign w:val="bottom"/>
            <w:shd w:val="clear" w:color="auto" w:fill="E9E9E9"/>
          </w:tcPr>
          <w:p>
            <w:pPr>
              <w:ind w:left="520"/>
              <w:spacing w:after="0"/>
              <w:rPr>
                <w:sz w:val="20"/>
                <w:szCs w:val="20"/>
                <w:color w:val="auto"/>
              </w:rPr>
            </w:pPr>
            <w:r>
              <w:rPr>
                <w:rFonts w:ascii="Arial" w:cs="Arial" w:eastAsia="Arial" w:hAnsi="Arial"/>
                <w:sz w:val="13"/>
                <w:szCs w:val="13"/>
                <w:color w:val="auto"/>
              </w:rPr>
              <w:t>for cause</w:t>
            </w:r>
          </w:p>
        </w:tc>
        <w:tc>
          <w:tcPr>
            <w:tcW w:w="2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1,717,320</w:t>
            </w:r>
          </w:p>
        </w:tc>
        <w:tc>
          <w:tcPr>
            <w:tcW w:w="2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3"/>
                <w:szCs w:val="13"/>
                <w:color w:val="auto"/>
              </w:rPr>
              <w:t>639,440 (7)</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7,878,647</w:t>
            </w:r>
          </w:p>
        </w:tc>
        <w:tc>
          <w:tcPr>
            <w:tcW w:w="260" w:type="dxa"/>
            <w:vAlign w:val="bottom"/>
            <w:shd w:val="clear" w:color="auto" w:fill="E9E9E9"/>
          </w:tcPr>
          <w:p>
            <w:pPr>
              <w:jc w:val="right"/>
              <w:ind w:right="14"/>
              <w:spacing w:after="0"/>
              <w:rPr>
                <w:sz w:val="20"/>
                <w:szCs w:val="20"/>
                <w:color w:val="auto"/>
              </w:rPr>
            </w:pPr>
            <w:r>
              <w:rPr>
                <w:rFonts w:ascii="Arial" w:cs="Arial" w:eastAsia="Arial" w:hAnsi="Arial"/>
                <w:sz w:val="13"/>
                <w:szCs w:val="13"/>
                <w:color w:val="auto"/>
              </w:rPr>
              <w:t>(7)</w:t>
            </w: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960" w:type="dxa"/>
            <w:vAlign w:val="bottom"/>
            <w:shd w:val="clear" w:color="auto" w:fill="E9E9E9"/>
          </w:tcPr>
          <w:p>
            <w:pPr>
              <w:jc w:val="right"/>
              <w:ind w:right="194"/>
              <w:spacing w:after="0"/>
              <w:rPr>
                <w:sz w:val="20"/>
                <w:szCs w:val="20"/>
                <w:color w:val="auto"/>
              </w:rPr>
            </w:pPr>
            <w:r>
              <w:rPr>
                <w:rFonts w:ascii="Arial" w:cs="Arial" w:eastAsia="Arial" w:hAnsi="Arial"/>
                <w:sz w:val="13"/>
                <w:szCs w:val="13"/>
                <w:color w:val="auto"/>
              </w:rPr>
              <w:t>—</w:t>
            </w:r>
          </w:p>
        </w:tc>
        <w:tc>
          <w:tcPr>
            <w:tcW w:w="1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10,235,407</w:t>
            </w:r>
          </w:p>
        </w:tc>
        <w:tc>
          <w:tcPr>
            <w:tcW w:w="260" w:type="dxa"/>
            <w:vAlign w:val="bottom"/>
            <w:shd w:val="clear" w:color="auto" w:fill="E9E9E9"/>
          </w:tcPr>
          <w:p>
            <w:pPr>
              <w:spacing w:after="0"/>
              <w:rPr>
                <w:sz w:val="20"/>
                <w:szCs w:val="20"/>
                <w:color w:val="auto"/>
              </w:rPr>
            </w:pPr>
          </w:p>
        </w:tc>
      </w:tr>
      <w:tr>
        <w:trPr>
          <w:trHeight w:val="238"/>
        </w:trPr>
        <w:tc>
          <w:tcPr>
            <w:tcW w:w="3660" w:type="dxa"/>
            <w:vAlign w:val="bottom"/>
            <w:shd w:val="clear" w:color="auto" w:fill="E9E9E9"/>
          </w:tcPr>
          <w:p>
            <w:pPr>
              <w:ind w:left="260"/>
              <w:spacing w:after="0"/>
              <w:rPr>
                <w:sz w:val="20"/>
                <w:szCs w:val="20"/>
                <w:color w:val="auto"/>
              </w:rPr>
            </w:pPr>
            <w:r>
              <w:rPr>
                <w:rFonts w:ascii="Arial" w:cs="Arial" w:eastAsia="Arial" w:hAnsi="Arial"/>
                <w:sz w:val="13"/>
                <w:szCs w:val="13"/>
                <w:color w:val="auto"/>
              </w:rPr>
              <w:t>Resignation; Involuntary</w:t>
            </w:r>
          </w:p>
        </w:tc>
        <w:tc>
          <w:tcPr>
            <w:tcW w:w="22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50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30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960" w:type="dxa"/>
            <w:vAlign w:val="bottom"/>
            <w:shd w:val="clear" w:color="auto" w:fill="E9E9E9"/>
          </w:tcPr>
          <w:p>
            <w:pPr>
              <w:spacing w:after="0"/>
              <w:rPr>
                <w:sz w:val="20"/>
                <w:szCs w:val="20"/>
                <w:color w:val="auto"/>
              </w:rPr>
            </w:pPr>
          </w:p>
        </w:tc>
        <w:tc>
          <w:tcPr>
            <w:tcW w:w="16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r>
      <w:tr>
        <w:trPr>
          <w:trHeight w:val="238"/>
        </w:trPr>
        <w:tc>
          <w:tcPr>
            <w:tcW w:w="3660" w:type="dxa"/>
            <w:vAlign w:val="bottom"/>
            <w:shd w:val="clear" w:color="auto" w:fill="E9E9E9"/>
          </w:tcPr>
          <w:p>
            <w:pPr>
              <w:ind w:left="520"/>
              <w:spacing w:after="0"/>
              <w:rPr>
                <w:sz w:val="20"/>
                <w:szCs w:val="20"/>
                <w:color w:val="auto"/>
              </w:rPr>
            </w:pPr>
            <w:r>
              <w:rPr>
                <w:rFonts w:ascii="Arial" w:cs="Arial" w:eastAsia="Arial" w:hAnsi="Arial"/>
                <w:sz w:val="13"/>
                <w:szCs w:val="13"/>
                <w:color w:val="auto"/>
              </w:rPr>
              <w:t>termination</w:t>
            </w:r>
          </w:p>
        </w:tc>
        <w:tc>
          <w:tcPr>
            <w:tcW w:w="22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50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30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960" w:type="dxa"/>
            <w:vAlign w:val="bottom"/>
            <w:shd w:val="clear" w:color="auto" w:fill="E9E9E9"/>
          </w:tcPr>
          <w:p>
            <w:pPr>
              <w:spacing w:after="0"/>
              <w:rPr>
                <w:sz w:val="20"/>
                <w:szCs w:val="20"/>
                <w:color w:val="auto"/>
              </w:rPr>
            </w:pPr>
          </w:p>
        </w:tc>
        <w:tc>
          <w:tcPr>
            <w:tcW w:w="16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r>
      <w:tr>
        <w:trPr>
          <w:trHeight w:val="238"/>
        </w:trPr>
        <w:tc>
          <w:tcPr>
            <w:tcW w:w="3660" w:type="dxa"/>
            <w:vAlign w:val="bottom"/>
            <w:shd w:val="clear" w:color="auto" w:fill="E9E9E9"/>
          </w:tcPr>
          <w:p>
            <w:pPr>
              <w:ind w:left="520"/>
              <w:spacing w:after="0"/>
              <w:rPr>
                <w:sz w:val="20"/>
                <w:szCs w:val="20"/>
                <w:color w:val="auto"/>
              </w:rPr>
            </w:pPr>
            <w:r>
              <w:rPr>
                <w:rFonts w:ascii="Arial" w:cs="Arial" w:eastAsia="Arial" w:hAnsi="Arial"/>
                <w:sz w:val="13"/>
                <w:szCs w:val="13"/>
                <w:color w:val="auto"/>
              </w:rPr>
              <w:t>(not for cause)</w:t>
            </w:r>
          </w:p>
        </w:tc>
        <w:tc>
          <w:tcPr>
            <w:tcW w:w="2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1,717,320</w:t>
            </w:r>
          </w:p>
        </w:tc>
        <w:tc>
          <w:tcPr>
            <w:tcW w:w="2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639,440</w:t>
            </w:r>
          </w:p>
        </w:tc>
        <w:tc>
          <w:tcPr>
            <w:tcW w:w="2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7,878,647</w:t>
            </w:r>
          </w:p>
        </w:tc>
        <w:tc>
          <w:tcPr>
            <w:tcW w:w="260" w:type="dxa"/>
            <w:vAlign w:val="bottom"/>
            <w:shd w:val="clear" w:color="auto" w:fill="E9E9E9"/>
          </w:tcPr>
          <w:p>
            <w:pPr>
              <w:jc w:val="right"/>
              <w:ind w:right="14"/>
              <w:spacing w:after="0"/>
              <w:rPr>
                <w:sz w:val="20"/>
                <w:szCs w:val="20"/>
                <w:color w:val="auto"/>
              </w:rPr>
            </w:pPr>
            <w:r>
              <w:rPr>
                <w:rFonts w:ascii="Arial" w:cs="Arial" w:eastAsia="Arial" w:hAnsi="Arial"/>
                <w:sz w:val="13"/>
                <w:szCs w:val="13"/>
                <w:color w:val="auto"/>
              </w:rPr>
              <w:t>(7)</w:t>
            </w: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9,722,022</w:t>
            </w:r>
          </w:p>
        </w:tc>
        <w:tc>
          <w:tcPr>
            <w:tcW w:w="300" w:type="dxa"/>
            <w:vAlign w:val="bottom"/>
            <w:shd w:val="clear" w:color="auto" w:fill="E9E9E9"/>
          </w:tcPr>
          <w:p>
            <w:pPr>
              <w:ind w:left="20"/>
              <w:spacing w:after="0"/>
              <w:rPr>
                <w:sz w:val="20"/>
                <w:szCs w:val="20"/>
                <w:color w:val="auto"/>
              </w:rPr>
            </w:pPr>
            <w:r>
              <w:rPr>
                <w:rFonts w:ascii="Arial" w:cs="Arial" w:eastAsia="Arial" w:hAnsi="Arial"/>
                <w:sz w:val="13"/>
                <w:szCs w:val="13"/>
                <w:color w:val="auto"/>
              </w:rPr>
              <w:t>(12)</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8,020,452 (4)</w:t>
            </w:r>
          </w:p>
        </w:tc>
        <w:tc>
          <w:tcPr>
            <w:tcW w:w="1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27,977,881</w:t>
            </w:r>
          </w:p>
        </w:tc>
        <w:tc>
          <w:tcPr>
            <w:tcW w:w="260" w:type="dxa"/>
            <w:vAlign w:val="bottom"/>
            <w:shd w:val="clear" w:color="auto" w:fill="E9E9E9"/>
          </w:tcPr>
          <w:p>
            <w:pPr>
              <w:spacing w:after="0"/>
              <w:rPr>
                <w:sz w:val="20"/>
                <w:szCs w:val="20"/>
                <w:color w:val="auto"/>
              </w:rPr>
            </w:pPr>
          </w:p>
        </w:tc>
      </w:tr>
      <w:tr>
        <w:trPr>
          <w:trHeight w:val="238"/>
        </w:trPr>
        <w:tc>
          <w:tcPr>
            <w:tcW w:w="3660" w:type="dxa"/>
            <w:vAlign w:val="bottom"/>
            <w:shd w:val="clear" w:color="auto" w:fill="E9E9E9"/>
          </w:tcPr>
          <w:p>
            <w:pPr>
              <w:ind w:left="260"/>
              <w:spacing w:after="0"/>
              <w:rPr>
                <w:sz w:val="20"/>
                <w:szCs w:val="20"/>
                <w:color w:val="auto"/>
              </w:rPr>
            </w:pPr>
            <w:r>
              <w:rPr>
                <w:rFonts w:ascii="Arial" w:cs="Arial" w:eastAsia="Arial" w:hAnsi="Arial"/>
                <w:sz w:val="13"/>
                <w:szCs w:val="13"/>
                <w:color w:val="auto"/>
              </w:rPr>
              <w:t>Retirement</w:t>
            </w:r>
          </w:p>
        </w:tc>
        <w:tc>
          <w:tcPr>
            <w:tcW w:w="2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1,717,320</w:t>
            </w:r>
          </w:p>
        </w:tc>
        <w:tc>
          <w:tcPr>
            <w:tcW w:w="2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639,440</w:t>
            </w:r>
          </w:p>
        </w:tc>
        <w:tc>
          <w:tcPr>
            <w:tcW w:w="2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7,878,647</w:t>
            </w:r>
          </w:p>
        </w:tc>
        <w:tc>
          <w:tcPr>
            <w:tcW w:w="260" w:type="dxa"/>
            <w:vAlign w:val="bottom"/>
            <w:shd w:val="clear" w:color="auto" w:fill="E9E9E9"/>
          </w:tcPr>
          <w:p>
            <w:pPr>
              <w:jc w:val="right"/>
              <w:ind w:right="14"/>
              <w:spacing w:after="0"/>
              <w:rPr>
                <w:sz w:val="20"/>
                <w:szCs w:val="20"/>
                <w:color w:val="auto"/>
              </w:rPr>
            </w:pPr>
            <w:r>
              <w:rPr>
                <w:rFonts w:ascii="Arial" w:cs="Arial" w:eastAsia="Arial" w:hAnsi="Arial"/>
                <w:sz w:val="13"/>
                <w:szCs w:val="13"/>
                <w:color w:val="auto"/>
              </w:rPr>
              <w:t>(7)</w:t>
            </w: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9,722,022</w:t>
            </w:r>
          </w:p>
        </w:tc>
        <w:tc>
          <w:tcPr>
            <w:tcW w:w="300" w:type="dxa"/>
            <w:vAlign w:val="bottom"/>
            <w:shd w:val="clear" w:color="auto" w:fill="E9E9E9"/>
          </w:tcPr>
          <w:p>
            <w:pPr>
              <w:ind w:left="20"/>
              <w:spacing w:after="0"/>
              <w:rPr>
                <w:sz w:val="20"/>
                <w:szCs w:val="20"/>
                <w:color w:val="auto"/>
              </w:rPr>
            </w:pPr>
            <w:r>
              <w:rPr>
                <w:rFonts w:ascii="Arial" w:cs="Arial" w:eastAsia="Arial" w:hAnsi="Arial"/>
                <w:sz w:val="13"/>
                <w:szCs w:val="13"/>
                <w:color w:val="auto"/>
              </w:rPr>
              <w:t>(12)</w:t>
            </w: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8,020,452 (4)</w:t>
            </w:r>
          </w:p>
        </w:tc>
        <w:tc>
          <w:tcPr>
            <w:tcW w:w="1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27,977,881</w:t>
            </w:r>
          </w:p>
        </w:tc>
        <w:tc>
          <w:tcPr>
            <w:tcW w:w="260" w:type="dxa"/>
            <w:vAlign w:val="bottom"/>
            <w:shd w:val="clear" w:color="auto" w:fill="E9E9E9"/>
          </w:tcPr>
          <w:p>
            <w:pPr>
              <w:spacing w:after="0"/>
              <w:rPr>
                <w:sz w:val="20"/>
                <w:szCs w:val="20"/>
                <w:color w:val="auto"/>
              </w:rPr>
            </w:pPr>
          </w:p>
        </w:tc>
      </w:tr>
      <w:tr>
        <w:trPr>
          <w:trHeight w:val="238"/>
        </w:trPr>
        <w:tc>
          <w:tcPr>
            <w:tcW w:w="3660" w:type="dxa"/>
            <w:vAlign w:val="bottom"/>
            <w:shd w:val="clear" w:color="auto" w:fill="E9E9E9"/>
          </w:tcPr>
          <w:p>
            <w:pPr>
              <w:ind w:left="260"/>
              <w:spacing w:after="0"/>
              <w:rPr>
                <w:sz w:val="20"/>
                <w:szCs w:val="20"/>
                <w:color w:val="auto"/>
              </w:rPr>
            </w:pPr>
            <w:r>
              <w:rPr>
                <w:rFonts w:ascii="Arial" w:cs="Arial" w:eastAsia="Arial" w:hAnsi="Arial"/>
                <w:sz w:val="13"/>
                <w:szCs w:val="13"/>
                <w:color w:val="auto"/>
              </w:rPr>
              <w:t>Change in control</w:t>
            </w:r>
          </w:p>
        </w:tc>
        <w:tc>
          <w:tcPr>
            <w:tcW w:w="220" w:type="dxa"/>
            <w:vAlign w:val="bottom"/>
            <w:shd w:val="clear" w:color="auto" w:fill="E9E9E9"/>
          </w:tcPr>
          <w:p>
            <w:pPr>
              <w:spacing w:after="0"/>
              <w:rPr>
                <w:sz w:val="20"/>
                <w:szCs w:val="20"/>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E9E9E9"/>
          </w:tcPr>
          <w:p>
            <w:pPr>
              <w:spacing w:after="0"/>
              <w:rPr>
                <w:sz w:val="20"/>
                <w:szCs w:val="20"/>
                <w:color w:val="auto"/>
              </w:rPr>
            </w:pPr>
          </w:p>
        </w:tc>
        <w:tc>
          <w:tcPr>
            <w:tcW w:w="18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639,440</w:t>
            </w:r>
          </w:p>
        </w:tc>
        <w:tc>
          <w:tcPr>
            <w:tcW w:w="2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E9E9E9"/>
          </w:tcPr>
          <w:p>
            <w:pPr>
              <w:spacing w:after="0"/>
              <w:rPr>
                <w:sz w:val="20"/>
                <w:szCs w:val="20"/>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jc w:val="right"/>
              <w:ind w:right="234"/>
              <w:spacing w:after="0"/>
              <w:rPr>
                <w:sz w:val="20"/>
                <w:szCs w:val="20"/>
                <w:color w:val="auto"/>
              </w:rPr>
            </w:pPr>
            <w:r>
              <w:rPr>
                <w:rFonts w:ascii="Arial" w:cs="Arial" w:eastAsia="Arial" w:hAnsi="Arial"/>
                <w:sz w:val="13"/>
                <w:szCs w:val="13"/>
                <w:color w:val="auto"/>
              </w:rPr>
              <w:t>—</w:t>
            </w: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960" w:type="dxa"/>
            <w:vAlign w:val="bottom"/>
            <w:shd w:val="clear" w:color="auto" w:fill="E9E9E9"/>
          </w:tcPr>
          <w:p>
            <w:pPr>
              <w:jc w:val="right"/>
              <w:ind w:right="194"/>
              <w:spacing w:after="0"/>
              <w:rPr>
                <w:sz w:val="20"/>
                <w:szCs w:val="20"/>
                <w:color w:val="auto"/>
              </w:rPr>
            </w:pPr>
            <w:r>
              <w:rPr>
                <w:rFonts w:ascii="Arial" w:cs="Arial" w:eastAsia="Arial" w:hAnsi="Arial"/>
                <w:sz w:val="13"/>
                <w:szCs w:val="13"/>
                <w:color w:val="auto"/>
              </w:rPr>
              <w:t>—</w:t>
            </w:r>
          </w:p>
        </w:tc>
        <w:tc>
          <w:tcPr>
            <w:tcW w:w="160" w:type="dxa"/>
            <w:vAlign w:val="bottom"/>
            <w:shd w:val="clear" w:color="auto" w:fill="E9E9E9"/>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3"/>
                <w:szCs w:val="13"/>
                <w:color w:val="auto"/>
              </w:rPr>
              <w:t>639,440</w:t>
            </w:r>
          </w:p>
        </w:tc>
        <w:tc>
          <w:tcPr>
            <w:tcW w:w="260" w:type="dxa"/>
            <w:vAlign w:val="bottom"/>
            <w:shd w:val="clear" w:color="auto" w:fill="E9E9E9"/>
          </w:tcPr>
          <w:p>
            <w:pPr>
              <w:spacing w:after="0"/>
              <w:rPr>
                <w:sz w:val="20"/>
                <w:szCs w:val="20"/>
                <w:color w:val="auto"/>
              </w:rPr>
            </w:pPr>
          </w:p>
        </w:tc>
      </w:tr>
      <w:tr>
        <w:trPr>
          <w:trHeight w:val="41"/>
        </w:trPr>
        <w:tc>
          <w:tcPr>
            <w:tcW w:w="3660" w:type="dxa"/>
            <w:vAlign w:val="bottom"/>
            <w:shd w:val="clear" w:color="auto" w:fill="E9E9E9"/>
          </w:tcPr>
          <w:p>
            <w:pPr>
              <w:spacing w:after="0"/>
              <w:rPr>
                <w:sz w:val="3"/>
                <w:szCs w:val="3"/>
                <w:color w:val="auto"/>
              </w:rPr>
            </w:pPr>
          </w:p>
        </w:tc>
        <w:tc>
          <w:tcPr>
            <w:tcW w:w="220" w:type="dxa"/>
            <w:vAlign w:val="bottom"/>
            <w:shd w:val="clear" w:color="auto" w:fill="E9E9E9"/>
          </w:tcPr>
          <w:p>
            <w:pPr>
              <w:spacing w:after="0"/>
              <w:rPr>
                <w:sz w:val="3"/>
                <w:szCs w:val="3"/>
                <w:color w:val="auto"/>
              </w:rPr>
            </w:pPr>
          </w:p>
        </w:tc>
        <w:tc>
          <w:tcPr>
            <w:tcW w:w="640" w:type="dxa"/>
            <w:vAlign w:val="bottom"/>
            <w:shd w:val="clear" w:color="auto" w:fill="E9E9E9"/>
          </w:tcPr>
          <w:p>
            <w:pPr>
              <w:spacing w:after="0"/>
              <w:rPr>
                <w:sz w:val="3"/>
                <w:szCs w:val="3"/>
                <w:color w:val="auto"/>
              </w:rPr>
            </w:pPr>
          </w:p>
        </w:tc>
        <w:tc>
          <w:tcPr>
            <w:tcW w:w="240" w:type="dxa"/>
            <w:vAlign w:val="bottom"/>
            <w:shd w:val="clear" w:color="auto" w:fill="E9E9E9"/>
          </w:tcPr>
          <w:p>
            <w:pPr>
              <w:spacing w:after="0"/>
              <w:rPr>
                <w:sz w:val="3"/>
                <w:szCs w:val="3"/>
                <w:color w:val="auto"/>
              </w:rPr>
            </w:pPr>
          </w:p>
        </w:tc>
        <w:tc>
          <w:tcPr>
            <w:tcW w:w="180" w:type="dxa"/>
            <w:vAlign w:val="bottom"/>
            <w:shd w:val="clear" w:color="auto" w:fill="E9E9E9"/>
          </w:tcPr>
          <w:p>
            <w:pPr>
              <w:spacing w:after="0"/>
              <w:rPr>
                <w:sz w:val="3"/>
                <w:szCs w:val="3"/>
                <w:color w:val="auto"/>
              </w:rPr>
            </w:pPr>
          </w:p>
        </w:tc>
        <w:tc>
          <w:tcPr>
            <w:tcW w:w="500" w:type="dxa"/>
            <w:vAlign w:val="bottom"/>
            <w:shd w:val="clear" w:color="auto" w:fill="E9E9E9"/>
          </w:tcPr>
          <w:p>
            <w:pPr>
              <w:spacing w:after="0"/>
              <w:rPr>
                <w:sz w:val="3"/>
                <w:szCs w:val="3"/>
                <w:color w:val="auto"/>
              </w:rPr>
            </w:pPr>
          </w:p>
        </w:tc>
        <w:tc>
          <w:tcPr>
            <w:tcW w:w="260" w:type="dxa"/>
            <w:vAlign w:val="bottom"/>
            <w:shd w:val="clear" w:color="auto" w:fill="E9E9E9"/>
          </w:tcPr>
          <w:p>
            <w:pPr>
              <w:spacing w:after="0"/>
              <w:rPr>
                <w:sz w:val="3"/>
                <w:szCs w:val="3"/>
                <w:color w:val="auto"/>
              </w:rPr>
            </w:pPr>
          </w:p>
        </w:tc>
        <w:tc>
          <w:tcPr>
            <w:tcW w:w="180" w:type="dxa"/>
            <w:vAlign w:val="bottom"/>
            <w:shd w:val="clear" w:color="auto" w:fill="E9E9E9"/>
          </w:tcPr>
          <w:p>
            <w:pPr>
              <w:spacing w:after="0"/>
              <w:rPr>
                <w:sz w:val="3"/>
                <w:szCs w:val="3"/>
                <w:color w:val="auto"/>
              </w:rPr>
            </w:pPr>
          </w:p>
        </w:tc>
        <w:tc>
          <w:tcPr>
            <w:tcW w:w="640" w:type="dxa"/>
            <w:vAlign w:val="bottom"/>
            <w:shd w:val="clear" w:color="auto" w:fill="E9E9E9"/>
          </w:tcPr>
          <w:p>
            <w:pPr>
              <w:spacing w:after="0"/>
              <w:rPr>
                <w:sz w:val="3"/>
                <w:szCs w:val="3"/>
                <w:color w:val="auto"/>
              </w:rPr>
            </w:pPr>
          </w:p>
        </w:tc>
        <w:tc>
          <w:tcPr>
            <w:tcW w:w="260" w:type="dxa"/>
            <w:vAlign w:val="bottom"/>
            <w:shd w:val="clear" w:color="auto" w:fill="E9E9E9"/>
          </w:tcPr>
          <w:p>
            <w:pPr>
              <w:spacing w:after="0"/>
              <w:rPr>
                <w:sz w:val="3"/>
                <w:szCs w:val="3"/>
                <w:color w:val="auto"/>
              </w:rPr>
            </w:pPr>
          </w:p>
        </w:tc>
        <w:tc>
          <w:tcPr>
            <w:tcW w:w="220" w:type="dxa"/>
            <w:vAlign w:val="bottom"/>
            <w:shd w:val="clear" w:color="auto" w:fill="E9E9E9"/>
          </w:tcPr>
          <w:p>
            <w:pPr>
              <w:spacing w:after="0"/>
              <w:rPr>
                <w:sz w:val="3"/>
                <w:szCs w:val="3"/>
                <w:color w:val="auto"/>
              </w:rPr>
            </w:pPr>
          </w:p>
        </w:tc>
        <w:tc>
          <w:tcPr>
            <w:tcW w:w="840" w:type="dxa"/>
            <w:vAlign w:val="bottom"/>
            <w:shd w:val="clear" w:color="auto" w:fill="E9E9E9"/>
          </w:tcPr>
          <w:p>
            <w:pPr>
              <w:spacing w:after="0"/>
              <w:rPr>
                <w:sz w:val="3"/>
                <w:szCs w:val="3"/>
                <w:color w:val="auto"/>
              </w:rPr>
            </w:pPr>
          </w:p>
        </w:tc>
        <w:tc>
          <w:tcPr>
            <w:tcW w:w="200" w:type="dxa"/>
            <w:vAlign w:val="bottom"/>
            <w:shd w:val="clear" w:color="auto" w:fill="E9E9E9"/>
          </w:tcPr>
          <w:p>
            <w:pPr>
              <w:spacing w:after="0"/>
              <w:rPr>
                <w:sz w:val="3"/>
                <w:szCs w:val="3"/>
                <w:color w:val="auto"/>
              </w:rPr>
            </w:pPr>
          </w:p>
        </w:tc>
        <w:tc>
          <w:tcPr>
            <w:tcW w:w="720" w:type="dxa"/>
            <w:vAlign w:val="bottom"/>
            <w:shd w:val="clear" w:color="auto" w:fill="E9E9E9"/>
          </w:tcPr>
          <w:p>
            <w:pPr>
              <w:spacing w:after="0"/>
              <w:rPr>
                <w:sz w:val="3"/>
                <w:szCs w:val="3"/>
                <w:color w:val="auto"/>
              </w:rPr>
            </w:pPr>
          </w:p>
        </w:tc>
        <w:tc>
          <w:tcPr>
            <w:tcW w:w="300" w:type="dxa"/>
            <w:vAlign w:val="bottom"/>
            <w:shd w:val="clear" w:color="auto" w:fill="E9E9E9"/>
          </w:tcPr>
          <w:p>
            <w:pPr>
              <w:spacing w:after="0"/>
              <w:rPr>
                <w:sz w:val="3"/>
                <w:szCs w:val="3"/>
                <w:color w:val="auto"/>
              </w:rPr>
            </w:pPr>
          </w:p>
        </w:tc>
        <w:tc>
          <w:tcPr>
            <w:tcW w:w="180" w:type="dxa"/>
            <w:vAlign w:val="bottom"/>
            <w:shd w:val="clear" w:color="auto" w:fill="E9E9E9"/>
          </w:tcPr>
          <w:p>
            <w:pPr>
              <w:spacing w:after="0"/>
              <w:rPr>
                <w:sz w:val="3"/>
                <w:szCs w:val="3"/>
                <w:color w:val="auto"/>
              </w:rPr>
            </w:pPr>
          </w:p>
        </w:tc>
        <w:tc>
          <w:tcPr>
            <w:tcW w:w="960" w:type="dxa"/>
            <w:vAlign w:val="bottom"/>
            <w:shd w:val="clear" w:color="auto" w:fill="E9E9E9"/>
          </w:tcPr>
          <w:p>
            <w:pPr>
              <w:spacing w:after="0"/>
              <w:rPr>
                <w:sz w:val="3"/>
                <w:szCs w:val="3"/>
                <w:color w:val="auto"/>
              </w:rPr>
            </w:pPr>
          </w:p>
        </w:tc>
        <w:tc>
          <w:tcPr>
            <w:tcW w:w="160" w:type="dxa"/>
            <w:vAlign w:val="bottom"/>
            <w:shd w:val="clear" w:color="auto" w:fill="E9E9E9"/>
          </w:tcPr>
          <w:p>
            <w:pPr>
              <w:spacing w:after="0"/>
              <w:rPr>
                <w:sz w:val="3"/>
                <w:szCs w:val="3"/>
                <w:color w:val="auto"/>
              </w:rPr>
            </w:pPr>
          </w:p>
        </w:tc>
        <w:tc>
          <w:tcPr>
            <w:tcW w:w="800" w:type="dxa"/>
            <w:vAlign w:val="bottom"/>
            <w:shd w:val="clear" w:color="auto" w:fill="E9E9E9"/>
          </w:tcPr>
          <w:p>
            <w:pPr>
              <w:spacing w:after="0"/>
              <w:rPr>
                <w:sz w:val="3"/>
                <w:szCs w:val="3"/>
                <w:color w:val="auto"/>
              </w:rPr>
            </w:pPr>
          </w:p>
        </w:tc>
        <w:tc>
          <w:tcPr>
            <w:tcW w:w="260" w:type="dxa"/>
            <w:vAlign w:val="bottom"/>
            <w:shd w:val="clear" w:color="auto" w:fill="E9E9E9"/>
          </w:tcPr>
          <w:p>
            <w:pPr>
              <w:spacing w:after="0"/>
              <w:rPr>
                <w:sz w:val="3"/>
                <w:szCs w:val="3"/>
                <w:color w:val="auto"/>
              </w:rPr>
            </w:pPr>
          </w:p>
        </w:tc>
      </w:tr>
    </w:tbl>
    <w:p>
      <w:pPr>
        <w:spacing w:after="0" w:line="241" w:lineRule="exact"/>
        <w:rPr>
          <w:sz w:val="20"/>
          <w:szCs w:val="20"/>
          <w:color w:val="auto"/>
        </w:rPr>
      </w:pPr>
    </w:p>
    <w:p>
      <w:pPr>
        <w:ind w:left="480" w:right="160" w:hanging="474"/>
        <w:spacing w:after="0" w:line="247" w:lineRule="auto"/>
        <w:tabs>
          <w:tab w:leader="none" w:pos="4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amount shown is the lump-sum benefit payable at age 65 to the named executive officer in the event of termination as of December 31, 2014, due to disability, assuming the named executive officer does not request payment of his disability benefit until age 65. The assumptions used in calculating these amounts are the same as the age-65 lump-sum assumptions used for financial reporting purposes for the company’s audited financial statements for 2014 and are described in note 6 to the 2014 pension benefits table on page 104.</w:t>
      </w:r>
    </w:p>
    <w:p>
      <w:pPr>
        <w:sectPr>
          <w:pgSz w:w="11900" w:h="16838" w:orient="portrait"/>
          <w:cols w:equalWidth="0" w:num="1">
            <w:col w:w="11420"/>
          </w:cols>
          <w:pgMar w:left="240" w:top="592" w:right="239" w:bottom="36" w:gutter="0" w:footer="0" w:header="0"/>
        </w:sectPr>
      </w:pPr>
    </w:p>
    <w:p>
      <w:pPr>
        <w:spacing w:after="0" w:line="235" w:lineRule="exact"/>
        <w:rPr>
          <w:sz w:val="20"/>
          <w:szCs w:val="20"/>
          <w:color w:val="auto"/>
        </w:rPr>
      </w:pPr>
    </w:p>
    <w:p>
      <w:pPr>
        <w:ind w:left="4080"/>
        <w:spacing w:after="0"/>
        <w:tabs>
          <w:tab w:leader="none" w:pos="11180" w:val="left"/>
        </w:tabs>
        <w:rPr>
          <w:sz w:val="20"/>
          <w:szCs w:val="20"/>
          <w:color w:val="auto"/>
        </w:rPr>
      </w:pPr>
      <w:r>
        <w:rPr>
          <w:rFonts w:ascii="Arial" w:cs="Arial" w:eastAsia="Arial" w:hAnsi="Arial"/>
          <w:sz w:val="13"/>
          <w:szCs w:val="13"/>
          <w:color w:val="838383"/>
        </w:rPr>
        <w:t>TEXAS INSTRUMENTS ● 2015 PROXY STATEMENT</w:t>
      </w:r>
      <w:r>
        <w:rPr>
          <w:sz w:val="20"/>
          <w:szCs w:val="20"/>
          <w:color w:val="auto"/>
        </w:rPr>
        <w:tab/>
      </w:r>
      <w:r>
        <w:rPr>
          <w:rFonts w:ascii="Arial" w:cs="Arial" w:eastAsia="Arial" w:hAnsi="Arial"/>
          <w:sz w:val="13"/>
          <w:szCs w:val="13"/>
          <w:color w:val="838383"/>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420"/>
          </w:cols>
          <w:pgMar w:left="240" w:top="592" w:right="239" w:bottom="36" w:gutter="0" w:footer="0" w:header="0"/>
          <w:type w:val="continuous"/>
        </w:sectPr>
      </w:pPr>
    </w:p>
    <w:bookmarkStart w:id="40" w:name="page41"/>
    <w:bookmarkEnd w:id="40"/>
    <w:p>
      <w:pPr>
        <w:ind w:left="580" w:right="280" w:hanging="574"/>
        <w:spacing w:after="0" w:line="255" w:lineRule="auto"/>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amount shown is the lump-sum benefit payable at age 65, in the case of the Non-Qualified Defined Benefit Pension Plan, or separation from service in the case of Plan II. The assumptions used are the same as those described in note 1 above.</w:t>
      </w:r>
    </w:p>
    <w:p>
      <w:pPr>
        <w:spacing w:after="0" w:line="218" w:lineRule="exact"/>
        <w:rPr>
          <w:rFonts w:ascii="Arial" w:cs="Arial" w:eastAsia="Arial" w:hAnsi="Arial"/>
          <w:sz w:val="17"/>
          <w:szCs w:val="17"/>
          <w:color w:val="auto"/>
        </w:rPr>
      </w:pPr>
    </w:p>
    <w:p>
      <w:pPr>
        <w:ind w:left="580" w:right="80" w:hanging="574"/>
        <w:spacing w:after="0" w:line="247" w:lineRule="auto"/>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Calculated by multiplying the number of outstanding RSUs by the closing price of TI common stock as of December 31, 2014 ($53.47). In the event of termination due to disability or death, all outstanding awards will continue to vest according to their terms. Please see the outstanding equity awards at fiscal year-end 2014 table on page 101 for the number of unvested RSUs as of December 31, 2014, and page 103 for a discussion of an additional outstanding RSU award held by Mr. Templeton.</w:t>
      </w:r>
    </w:p>
    <w:p>
      <w:pPr>
        <w:spacing w:after="0" w:line="225" w:lineRule="exact"/>
        <w:rPr>
          <w:rFonts w:ascii="Arial" w:cs="Arial" w:eastAsia="Arial" w:hAnsi="Arial"/>
          <w:sz w:val="17"/>
          <w:szCs w:val="17"/>
          <w:color w:val="auto"/>
        </w:rPr>
      </w:pPr>
    </w:p>
    <w:p>
      <w:pPr>
        <w:ind w:left="580" w:right="300" w:hanging="574"/>
        <w:spacing w:after="0" w:line="255" w:lineRule="auto"/>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Calculated as the difference between the grant price of all outstanding in-the-money options and the closing price of TI common stock as of December 31, 2014 ($53.47), multiplied by the number of shares under such options as of December 31, 2014.</w:t>
      </w:r>
    </w:p>
    <w:p>
      <w:pPr>
        <w:spacing w:after="0" w:line="218" w:lineRule="exact"/>
        <w:rPr>
          <w:rFonts w:ascii="Arial" w:cs="Arial" w:eastAsia="Arial" w:hAnsi="Arial"/>
          <w:sz w:val="17"/>
          <w:szCs w:val="17"/>
          <w:color w:val="auto"/>
        </w:rPr>
      </w:pPr>
    </w:p>
    <w:p>
      <w:pPr>
        <w:ind w:left="580" w:right="200" w:hanging="574"/>
        <w:spacing w:after="0" w:line="249" w:lineRule="auto"/>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Value of the benefit payable in a lump sum to the executive officer’s beneficiary calculated as required by the terms of the plan assuming the earliest possible payment date. The plan provides that in the event of death, the beneficiary receives 50 percent of the participant’s accrued benefit, reduced by the age-applicable joint and 50 percent survivor factor.</w:t>
      </w:r>
    </w:p>
    <w:p>
      <w:pPr>
        <w:spacing w:after="0" w:line="224" w:lineRule="exact"/>
        <w:rPr>
          <w:rFonts w:ascii="Arial" w:cs="Arial" w:eastAsia="Arial" w:hAnsi="Arial"/>
          <w:sz w:val="17"/>
          <w:szCs w:val="17"/>
          <w:color w:val="auto"/>
        </w:rPr>
      </w:pPr>
    </w:p>
    <w:p>
      <w:pPr>
        <w:ind w:left="580" w:hanging="574"/>
        <w:spacing w:after="0"/>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Balance as of December 31, 2014, under the non-qualified deferred compensation plan.</w:t>
      </w:r>
    </w:p>
    <w:p>
      <w:pPr>
        <w:spacing w:after="0" w:line="240" w:lineRule="exact"/>
        <w:rPr>
          <w:rFonts w:ascii="Arial" w:cs="Arial" w:eastAsia="Arial" w:hAnsi="Arial"/>
          <w:sz w:val="17"/>
          <w:szCs w:val="17"/>
          <w:color w:val="auto"/>
        </w:rPr>
      </w:pPr>
    </w:p>
    <w:p>
      <w:pPr>
        <w:ind w:left="580" w:right="540" w:hanging="574"/>
        <w:spacing w:after="0" w:line="255" w:lineRule="auto"/>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Lump-sum value of the accrued benefit as of December 31, 2014, calculated as required by the terms of the plans assuming the earliest possible payment date.</w:t>
      </w:r>
    </w:p>
    <w:p>
      <w:pPr>
        <w:spacing w:after="0" w:line="218" w:lineRule="exact"/>
        <w:rPr>
          <w:rFonts w:ascii="Arial" w:cs="Arial" w:eastAsia="Arial" w:hAnsi="Arial"/>
          <w:sz w:val="17"/>
          <w:szCs w:val="17"/>
          <w:color w:val="auto"/>
        </w:rPr>
      </w:pPr>
    </w:p>
    <w:p>
      <w:pPr>
        <w:ind w:left="580" w:right="100" w:hanging="574"/>
        <w:spacing w:after="0" w:line="255" w:lineRule="auto"/>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Calculated by multiplying 120,000 vested RSUs by the closing price of TI common stock as of December 31, 2014 ($53.47). See page 103 for further information about this award.</w:t>
      </w:r>
    </w:p>
    <w:p>
      <w:pPr>
        <w:spacing w:after="0" w:line="218" w:lineRule="exact"/>
        <w:rPr>
          <w:rFonts w:ascii="Arial" w:cs="Arial" w:eastAsia="Arial" w:hAnsi="Arial"/>
          <w:sz w:val="17"/>
          <w:szCs w:val="17"/>
          <w:color w:val="auto"/>
        </w:rPr>
      </w:pPr>
    </w:p>
    <w:p>
      <w:pPr>
        <w:ind w:left="580" w:right="320" w:hanging="574"/>
        <w:spacing w:after="0" w:line="255" w:lineRule="auto"/>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Calculated as the difference between the grant price of all exercisable in-the-money options and the closing price of TI common stock as of December 31, 2014 ($53.47), multiplied by the number of shares under such options as of December 31, 2014.</w:t>
      </w:r>
    </w:p>
    <w:p>
      <w:pPr>
        <w:spacing w:after="0" w:line="218" w:lineRule="exact"/>
        <w:rPr>
          <w:rFonts w:ascii="Arial" w:cs="Arial" w:eastAsia="Arial" w:hAnsi="Arial"/>
          <w:sz w:val="17"/>
          <w:szCs w:val="17"/>
          <w:color w:val="auto"/>
        </w:rPr>
      </w:pPr>
    </w:p>
    <w:p>
      <w:pPr>
        <w:ind w:left="580" w:hanging="574"/>
        <w:spacing w:after="0"/>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Messrs. Templeton, March and Ritchie were eligible to retire as of December 31, 2014.</w:t>
      </w:r>
    </w:p>
    <w:p>
      <w:pPr>
        <w:spacing w:after="0" w:line="240" w:lineRule="exact"/>
        <w:rPr>
          <w:rFonts w:ascii="Arial" w:cs="Arial" w:eastAsia="Arial" w:hAnsi="Arial"/>
          <w:sz w:val="17"/>
          <w:szCs w:val="17"/>
          <w:color w:val="auto"/>
        </w:rPr>
      </w:pPr>
    </w:p>
    <w:p>
      <w:pPr>
        <w:ind w:left="580" w:right="100" w:hanging="574"/>
        <w:spacing w:after="0" w:line="249" w:lineRule="auto"/>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Due to retirement eligibility, the total includes the value of the benefit payable in a lump sum under the Survivor Benefit Plan to the officer’s beneficiary in the following amounts: Mr. Templeton $762,145, Mr. March $3,683,996 and Mr. Ritchie $5,028,726. The amount of the benefit is calculated as required by the terms of the plan assuming the earliest possible payment date.</w:t>
      </w:r>
    </w:p>
    <w:p>
      <w:pPr>
        <w:spacing w:after="0" w:line="224" w:lineRule="exact"/>
        <w:rPr>
          <w:rFonts w:ascii="Arial" w:cs="Arial" w:eastAsia="Arial" w:hAnsi="Arial"/>
          <w:sz w:val="17"/>
          <w:szCs w:val="17"/>
          <w:color w:val="auto"/>
        </w:rPr>
      </w:pPr>
    </w:p>
    <w:p>
      <w:pPr>
        <w:ind w:left="580" w:right="60" w:hanging="574"/>
        <w:spacing w:after="0" w:line="247" w:lineRule="auto"/>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Due to retirement eligibility, calculated by multiplying the number of outstanding RSUs held at such termination by the closing price of TI common stock as of December 31, 2014 ($53.47). RSU awards stay in effect and pay out shares according to the vesting schedule, although for grants made before 2014, the number of shares is reduced according to the duration of employment over the vesting period. See page 103 for additional details.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Audit Committee report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of the board of directors has furnished the following report:</w:t>
      </w:r>
    </w:p>
    <w:p>
      <w:pPr>
        <w:spacing w:after="0" w:line="214" w:lineRule="exact"/>
        <w:rPr>
          <w:sz w:val="20"/>
          <w:szCs w:val="20"/>
          <w:color w:val="auto"/>
        </w:rPr>
      </w:pPr>
    </w:p>
    <w:p>
      <w:pPr>
        <w:ind w:right="260"/>
        <w:spacing w:after="0" w:line="247" w:lineRule="auto"/>
        <w:rPr>
          <w:sz w:val="20"/>
          <w:szCs w:val="20"/>
          <w:color w:val="auto"/>
        </w:rPr>
      </w:pPr>
      <w:r>
        <w:rPr>
          <w:rFonts w:ascii="Arial" w:cs="Arial" w:eastAsia="Arial" w:hAnsi="Arial"/>
          <w:sz w:val="17"/>
          <w:szCs w:val="17"/>
          <w:color w:val="auto"/>
        </w:rPr>
        <w:t>As noted in the committee’s charter, TI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200" w:lineRule="exact"/>
        <w:rPr>
          <w:sz w:val="20"/>
          <w:szCs w:val="20"/>
          <w:color w:val="auto"/>
        </w:rPr>
      </w:pPr>
    </w:p>
    <w:p>
      <w:pPr>
        <w:ind w:right="780"/>
        <w:spacing w:after="0" w:line="255" w:lineRule="auto"/>
        <w:rPr>
          <w:sz w:val="20"/>
          <w:szCs w:val="20"/>
          <w:color w:val="auto"/>
        </w:rPr>
      </w:pPr>
      <w:r>
        <w:rPr>
          <w:rFonts w:ascii="Arial" w:cs="Arial" w:eastAsia="Arial" w:hAnsi="Arial"/>
          <w:sz w:val="17"/>
          <w:szCs w:val="17"/>
          <w:color w:val="auto"/>
        </w:rPr>
        <w:t>The committee has reviewed and discussed with management and the independent accounting firm, as appropriate, (1) the audited financial statements and (2) management’s report on internal control over financial reporting and the independent accounting firm’s related opinions.</w:t>
      </w:r>
    </w:p>
    <w:p>
      <w:pPr>
        <w:spacing w:after="0" w:line="192" w:lineRule="exact"/>
        <w:rPr>
          <w:sz w:val="20"/>
          <w:szCs w:val="20"/>
          <w:color w:val="auto"/>
        </w:rPr>
      </w:pPr>
    </w:p>
    <w:p>
      <w:pPr>
        <w:ind w:right="560"/>
        <w:spacing w:after="0" w:line="255" w:lineRule="auto"/>
        <w:rPr>
          <w:sz w:val="20"/>
          <w:szCs w:val="20"/>
          <w:color w:val="auto"/>
        </w:rPr>
      </w:pPr>
      <w:r>
        <w:rPr>
          <w:rFonts w:ascii="Arial" w:cs="Arial" w:eastAsia="Arial" w:hAnsi="Arial"/>
          <w:sz w:val="17"/>
          <w:szCs w:val="17"/>
          <w:color w:val="auto"/>
        </w:rPr>
        <w:t>The committee has discussed with the independent registered public accounting firm, Ernst &amp; Young, the required communications specified by auditing standards together with guidelines established by the SEC and the Sarbanes-Oxley Act.</w:t>
      </w:r>
    </w:p>
    <w:p>
      <w:pPr>
        <w:spacing w:after="0" w:line="19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Ernst &amp; Young the firm’s independence.</w:t>
      </w:r>
    </w:p>
    <w:p>
      <w:pPr>
        <w:spacing w:after="0" w:line="19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Based on the review and discussions referred to above, the committee recommended to the board of directors that the audited financial statements be included in the company’s annual report on Form 10-K for 2014 for filing with the SEC.</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Pr>
          <w:p>
            <w:pPr>
              <w:jc w:val="right"/>
              <w:ind w:right="564"/>
              <w:spacing w:after="0"/>
              <w:rPr>
                <w:sz w:val="20"/>
                <w:szCs w:val="20"/>
                <w:color w:val="auto"/>
              </w:rPr>
            </w:pPr>
            <w:r>
              <w:rPr>
                <w:rFonts w:ascii="Arial" w:cs="Arial" w:eastAsia="Arial" w:hAnsi="Arial"/>
                <w:sz w:val="17"/>
                <w:szCs w:val="17"/>
                <w:color w:val="auto"/>
              </w:rPr>
              <w:t>Ralph W. Babb, Jr., Chair</w:t>
            </w:r>
          </w:p>
        </w:tc>
        <w:tc>
          <w:tcPr>
            <w:tcW w:w="4580" w:type="dxa"/>
            <w:vAlign w:val="bottom"/>
          </w:tcPr>
          <w:p>
            <w:pPr>
              <w:ind w:left="1680"/>
              <w:spacing w:after="0"/>
              <w:rPr>
                <w:sz w:val="20"/>
                <w:szCs w:val="20"/>
                <w:color w:val="auto"/>
              </w:rPr>
            </w:pPr>
            <w:r>
              <w:rPr>
                <w:rFonts w:ascii="Arial" w:cs="Arial" w:eastAsia="Arial" w:hAnsi="Arial"/>
                <w:sz w:val="17"/>
                <w:szCs w:val="17"/>
                <w:color w:val="auto"/>
              </w:rPr>
              <w:t>Mark A. Blinn</w:t>
            </w:r>
          </w:p>
        </w:tc>
        <w:tc>
          <w:tcPr>
            <w:tcW w:w="3340" w:type="dxa"/>
            <w:vAlign w:val="bottom"/>
          </w:tcPr>
          <w:p>
            <w:pPr>
              <w:ind w:left="760"/>
              <w:spacing w:after="0"/>
              <w:rPr>
                <w:sz w:val="20"/>
                <w:szCs w:val="20"/>
                <w:color w:val="auto"/>
              </w:rPr>
            </w:pPr>
            <w:r>
              <w:rPr>
                <w:rFonts w:ascii="Arial" w:cs="Arial" w:eastAsia="Arial" w:hAnsi="Arial"/>
                <w:sz w:val="17"/>
                <w:szCs w:val="17"/>
                <w:color w:val="auto"/>
              </w:rPr>
              <w:t>Ruth J. Simmons</w:t>
            </w:r>
          </w:p>
        </w:tc>
      </w:tr>
      <w:tr>
        <w:trPr>
          <w:trHeight w:val="424"/>
        </w:trPr>
        <w:tc>
          <w:tcPr>
            <w:tcW w:w="3520" w:type="dxa"/>
            <w:vAlign w:val="bottom"/>
          </w:tcPr>
          <w:p>
            <w:pPr>
              <w:jc w:val="right"/>
              <w:ind w:right="3224"/>
              <w:spacing w:after="0"/>
              <w:rPr>
                <w:sz w:val="20"/>
                <w:szCs w:val="20"/>
                <w:color w:val="auto"/>
              </w:rPr>
            </w:pPr>
            <w:r>
              <w:rPr>
                <w:rFonts w:ascii="Arial" w:cs="Arial" w:eastAsia="Arial" w:hAnsi="Arial"/>
                <w:sz w:val="13"/>
                <w:szCs w:val="13"/>
                <w:color w:val="838383"/>
                <w:w w:val="92"/>
              </w:rPr>
              <w:t>110</w:t>
            </w:r>
          </w:p>
        </w:tc>
        <w:tc>
          <w:tcPr>
            <w:tcW w:w="4580" w:type="dxa"/>
            <w:vAlign w:val="bottom"/>
          </w:tcPr>
          <w:p>
            <w:pPr>
              <w:ind w:left="640"/>
              <w:spacing w:after="0"/>
              <w:rPr>
                <w:sz w:val="20"/>
                <w:szCs w:val="20"/>
                <w:color w:val="auto"/>
              </w:rPr>
            </w:pPr>
            <w:r>
              <w:rPr>
                <w:rFonts w:ascii="Arial" w:cs="Arial" w:eastAsia="Arial" w:hAnsi="Arial"/>
                <w:sz w:val="13"/>
                <w:szCs w:val="13"/>
                <w:color w:val="838383"/>
              </w:rPr>
              <w:t>TEXAS INSTRUMENTS ● 2015 PROXY STATEMENT</w:t>
            </w:r>
          </w:p>
        </w:tc>
        <w:tc>
          <w:tcPr>
            <w:tcW w:w="3340" w:type="dxa"/>
            <w:vAlign w:val="bottom"/>
          </w:tcPr>
          <w:p>
            <w:pPr>
              <w:spacing w:after="0"/>
              <w:rPr>
                <w:sz w:val="24"/>
                <w:szCs w:val="24"/>
                <w:color w:val="auto"/>
              </w:rPr>
            </w:pPr>
          </w:p>
        </w:tc>
      </w:tr>
      <w:tr>
        <w:trPr>
          <w:trHeight w:val="355"/>
        </w:trPr>
        <w:tc>
          <w:tcPr>
            <w:tcW w:w="352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381" w:right="219" w:bottom="1440" w:gutter="0" w:footer="0" w:header="0"/>
        </w:sectPr>
      </w:pPr>
    </w:p>
    <w:bookmarkStart w:id="41" w:name="page42"/>
    <w:bookmarkEnd w:id="41"/>
    <w:p>
      <w:pPr>
        <w:spacing w:after="0"/>
        <w:rPr>
          <w:sz w:val="20"/>
          <w:szCs w:val="20"/>
          <w:color w:val="auto"/>
        </w:rPr>
      </w:pPr>
      <w:r>
        <w:rPr>
          <w:rFonts w:ascii="Arial" w:cs="Arial" w:eastAsia="Arial" w:hAnsi="Arial"/>
          <w:sz w:val="21"/>
          <w:szCs w:val="21"/>
          <w:b w:val="1"/>
          <w:bCs w:val="1"/>
          <w:color w:val="auto"/>
        </w:rPr>
        <w:t>Proposal to ratify appointment of independent registered public accounting firm</w:t>
      </w:r>
    </w:p>
    <w:p>
      <w:pPr>
        <w:spacing w:after="0" w:line="243"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The Audit Committee of the board has the authority and responsibility for the appointment, compensation, retention and oversight of the work of TI’s independent registered public accounting firm. The Audit Committee has appointed Ernst &amp; Young LLP to be TI’s independent registered public accounting firm for 2015.</w:t>
      </w:r>
    </w:p>
    <w:p>
      <w:pPr>
        <w:spacing w:after="0" w:line="198"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TI has engaged Ernst &amp; Young or a predecessor firm to serve as the company’s independent registered public accounting firm for over 60 years. In order to assure continuing auditor independence, the Audit Committee periodically considers whether the annual audit of TI’s financial statements should be conducted by another firm.</w:t>
      </w:r>
    </w:p>
    <w:p>
      <w:pPr>
        <w:spacing w:after="0" w:line="198" w:lineRule="exact"/>
        <w:rPr>
          <w:sz w:val="20"/>
          <w:szCs w:val="20"/>
          <w:color w:val="auto"/>
        </w:rPr>
      </w:pPr>
    </w:p>
    <w:p>
      <w:pPr>
        <w:ind w:right="660"/>
        <w:spacing w:after="0" w:line="255" w:lineRule="auto"/>
        <w:rPr>
          <w:sz w:val="20"/>
          <w:szCs w:val="20"/>
          <w:color w:val="auto"/>
        </w:rPr>
      </w:pPr>
      <w:r>
        <w:rPr>
          <w:rFonts w:ascii="Arial" w:cs="Arial" w:eastAsia="Arial" w:hAnsi="Arial"/>
          <w:sz w:val="17"/>
          <w:szCs w:val="17"/>
          <w:color w:val="auto"/>
        </w:rPr>
        <w:t>The lead audit partner on the TI engagement serves no more than five consecutive years in that role, in accordance with SEC rules. The Audit Committee Chair and management have direct input into the selection of the lead audit partner.</w:t>
      </w:r>
    </w:p>
    <w:p>
      <w:pPr>
        <w:spacing w:after="0" w:line="192"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color w:val="auto"/>
        </w:rPr>
        <w:t>The members of the Audit Committee and the board believe that the continued retention of Ernst &amp; Young to serve as the company’s independent registered public accounting firm is in the best interest of the company and its investors. Consequently, the board asks the stockholders to ratify the appointment of Ernst &amp; Young. If the stockholders do not ratify the appointment, the Audit Committee will consider whether it should appoint another independent registered public accounting firm.</w:t>
      </w:r>
    </w:p>
    <w:p>
      <w:pPr>
        <w:spacing w:after="0" w:line="200" w:lineRule="exact"/>
        <w:rPr>
          <w:sz w:val="20"/>
          <w:szCs w:val="20"/>
          <w:color w:val="auto"/>
        </w:rPr>
      </w:pPr>
    </w:p>
    <w:p>
      <w:pPr>
        <w:ind w:right="260"/>
        <w:spacing w:after="0" w:line="255" w:lineRule="auto"/>
        <w:rPr>
          <w:sz w:val="20"/>
          <w:szCs w:val="20"/>
          <w:color w:val="auto"/>
        </w:rPr>
      </w:pPr>
      <w:r>
        <w:rPr>
          <w:rFonts w:ascii="Arial" w:cs="Arial" w:eastAsia="Arial" w:hAnsi="Arial"/>
          <w:sz w:val="17"/>
          <w:szCs w:val="17"/>
          <w:color w:val="auto"/>
        </w:rPr>
        <w:t>Representatives of Ernst &amp; Young are expected to be present, and to be available to respond to appropriate questions, at the annual meeting. They have the opportunity to make a statement if they desire to do so; they have indicated that, as of this date, they do not.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fees for services provided by Ernst &amp; Young to the company are described below:</w:t>
      </w:r>
    </w:p>
    <w:p>
      <w:pPr>
        <w:spacing w:after="0" w:line="214"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u w:val="single" w:color="auto"/>
          <w:color w:val="auto"/>
        </w:rPr>
        <w:t>Audit fees</w:t>
      </w:r>
      <w:r>
        <w:rPr>
          <w:rFonts w:ascii="Arial" w:cs="Arial" w:eastAsia="Arial" w:hAnsi="Arial"/>
          <w:sz w:val="17"/>
          <w:szCs w:val="17"/>
          <w:color w:val="auto"/>
        </w:rPr>
        <w:t>. Ernst &amp; Young’s Audit Fees were $9,134,000 in 2014 and $8,662,000 in 2013. The services provided in exchange for these fees were our annual audit, including the audit of internal control over financial reporting, reports on Form 10-Q, assistance with public debt offerings, statutory audits required internationally and accounting consultations.</w:t>
      </w:r>
    </w:p>
    <w:p>
      <w:pPr>
        <w:spacing w:after="0" w:line="198"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u w:val="single" w:color="auto"/>
          <w:color w:val="auto"/>
        </w:rPr>
        <w:t>Audit-related fees</w:t>
      </w:r>
      <w:r>
        <w:rPr>
          <w:rFonts w:ascii="Arial" w:cs="Arial" w:eastAsia="Arial" w:hAnsi="Arial"/>
          <w:sz w:val="17"/>
          <w:szCs w:val="17"/>
          <w:color w:val="auto"/>
        </w:rPr>
        <w:t>. Ernst &amp; Young’s fees for Audit-related services were $797,000 in 2014 and $685,000 in 2013. The services provided in exchange for these fees included employee benefit plan audits, certification procedures relating to compliance with local-government or other regulatory standards for various non-U.S. subsidiaries, and access to Ernst &amp; Young’s online research tool.</w:t>
      </w:r>
    </w:p>
    <w:p>
      <w:pPr>
        <w:spacing w:after="0" w:line="198" w:lineRule="exact"/>
        <w:rPr>
          <w:sz w:val="20"/>
          <w:szCs w:val="20"/>
          <w:color w:val="auto"/>
        </w:rPr>
      </w:pPr>
    </w:p>
    <w:p>
      <w:pPr>
        <w:ind w:right="420"/>
        <w:spacing w:after="0" w:line="255" w:lineRule="auto"/>
        <w:rPr>
          <w:sz w:val="20"/>
          <w:szCs w:val="20"/>
          <w:color w:val="auto"/>
        </w:rPr>
      </w:pPr>
      <w:r>
        <w:rPr>
          <w:rFonts w:ascii="Arial" w:cs="Arial" w:eastAsia="Arial" w:hAnsi="Arial"/>
          <w:sz w:val="17"/>
          <w:szCs w:val="17"/>
          <w:u w:val="single" w:color="auto"/>
          <w:color w:val="auto"/>
        </w:rPr>
        <w:t>Tax fees</w:t>
      </w:r>
      <w:r>
        <w:rPr>
          <w:rFonts w:ascii="Arial" w:cs="Arial" w:eastAsia="Arial" w:hAnsi="Arial"/>
          <w:sz w:val="17"/>
          <w:szCs w:val="17"/>
          <w:color w:val="auto"/>
        </w:rPr>
        <w:t>. Ernst &amp; Young’s fees for professional services rendered for tax compliance (preparation and review of income tax returns and other tax-related filings) and tax advice on U.S. and foreign tax matters were $1,802,000 in 2014 and $1,836,000 in 2013.</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u w:val="single" w:color="auto"/>
          <w:color w:val="auto"/>
        </w:rPr>
        <w:t>All other fees</w:t>
      </w:r>
      <w:r>
        <w:rPr>
          <w:rFonts w:ascii="Arial" w:cs="Arial" w:eastAsia="Arial" w:hAnsi="Arial"/>
          <w:sz w:val="17"/>
          <w:szCs w:val="17"/>
          <w:color w:val="auto"/>
        </w:rPr>
        <w:t>. Ernst &amp; Young’s fees for all other professional services rendered were $32,000 in 2014 and $95,000 in 2013 for the TI Foundation audit, training and assistance with insurance claims.</w:t>
      </w:r>
    </w:p>
    <w:p>
      <w:pPr>
        <w:spacing w:after="0" w:line="192"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u w:val="single" w:color="auto"/>
          <w:color w:val="auto"/>
        </w:rPr>
        <w:t>Pre-approval policy</w:t>
      </w:r>
      <w:r>
        <w:rPr>
          <w:rFonts w:ascii="Arial" w:cs="Arial" w:eastAsia="Arial" w:hAnsi="Arial"/>
          <w:sz w:val="17"/>
          <w:szCs w:val="17"/>
          <w:color w:val="auto"/>
        </w:rPr>
        <w:t>. The Audit Committee is required to pre-approve the audit and non-audit services to be performed by the independent registered public accounting firm in order to assure that the provision of such services does not impair the firm’s independence.</w:t>
      </w:r>
    </w:p>
    <w:p>
      <w:pPr>
        <w:spacing w:after="0" w:line="192"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For each service listed in those categories, the committee receives detailed documentation indicating the specific services to be provided. The term of any pre-approval is 12 months from the date of pre-approval, unless the Audit Committee specifically provides for a different period. The Audit Committee reviews on at least a quarterly basis the services provided to date by the firm and the fees incurred for those services. The Audit Committee may revise the list of pre-approved services and related fees from time to time, based on subsequent determinations.</w:t>
      </w:r>
    </w:p>
    <w:p>
      <w:pPr>
        <w:spacing w:after="0" w:line="201"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or its Chair pre-approved all services provided by Ernst &amp; Young during 2014.</w:t>
      </w:r>
    </w:p>
    <w:p>
      <w:pPr>
        <w:spacing w:after="0" w:line="194" w:lineRule="exact"/>
        <w:rPr>
          <w:sz w:val="20"/>
          <w:szCs w:val="20"/>
          <w:color w:val="auto"/>
        </w:rPr>
      </w:pPr>
    </w:p>
    <w:p>
      <w:pPr>
        <w:ind w:right="660"/>
        <w:spacing w:after="0" w:line="280" w:lineRule="auto"/>
        <w:rPr>
          <w:sz w:val="20"/>
          <w:szCs w:val="20"/>
          <w:color w:val="auto"/>
        </w:rPr>
      </w:pPr>
      <w:r>
        <w:rPr>
          <w:rFonts w:ascii="Arial" w:cs="Arial" w:eastAsia="Arial" w:hAnsi="Arial"/>
          <w:sz w:val="17"/>
          <w:szCs w:val="17"/>
          <w:b w:val="1"/>
          <w:bCs w:val="1"/>
          <w:color w:val="auto"/>
        </w:rPr>
        <w:t>The board of directors recommends a vote FOR ratification of the appointment of Ernst &amp; Young LLP as the company’s independent registered public accounting firm for 2015.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240" w:type="dxa"/>
            <w:vAlign w:val="bottom"/>
          </w:tcPr>
          <w:p>
            <w:pPr>
              <w:ind w:left="4080"/>
              <w:spacing w:after="0"/>
              <w:rPr>
                <w:sz w:val="20"/>
                <w:szCs w:val="20"/>
                <w:color w:val="auto"/>
              </w:rPr>
            </w:pPr>
            <w:r>
              <w:rPr>
                <w:rFonts w:ascii="Arial" w:cs="Arial" w:eastAsia="Arial" w:hAnsi="Arial"/>
                <w:sz w:val="13"/>
                <w:szCs w:val="13"/>
                <w:color w:val="838383"/>
              </w:rPr>
              <w:t>TEXAS INSTRUMENTS ● 2015 PROXY STATEMENT</w:t>
            </w:r>
          </w:p>
        </w:tc>
        <w:tc>
          <w:tcPr>
            <w:tcW w:w="2200" w:type="dxa"/>
            <w:vAlign w:val="bottom"/>
          </w:tcPr>
          <w:p>
            <w:pPr>
              <w:jc w:val="right"/>
              <w:spacing w:after="0"/>
              <w:rPr>
                <w:sz w:val="20"/>
                <w:szCs w:val="20"/>
                <w:color w:val="auto"/>
              </w:rPr>
            </w:pPr>
            <w:r>
              <w:rPr>
                <w:rFonts w:ascii="Arial" w:cs="Arial" w:eastAsia="Arial" w:hAnsi="Arial"/>
                <w:sz w:val="13"/>
                <w:szCs w:val="13"/>
                <w:color w:val="838383"/>
              </w:rPr>
              <w:t>111</w:t>
            </w:r>
          </w:p>
        </w:tc>
      </w:tr>
      <w:tr>
        <w:trPr>
          <w:trHeight w:val="355"/>
        </w:trPr>
        <w:tc>
          <w:tcPr>
            <w:tcW w:w="924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56" w:right="219" w:bottom="1440" w:gutter="0" w:footer="0" w:header="0"/>
        </w:sectPr>
      </w:pPr>
    </w:p>
    <w:bookmarkStart w:id="42" w:name="page43"/>
    <w:bookmarkEnd w:id="42"/>
    <w:p>
      <w:pPr>
        <w:spacing w:after="0"/>
        <w:rPr>
          <w:sz w:val="20"/>
          <w:szCs w:val="20"/>
          <w:color w:val="auto"/>
        </w:rPr>
      </w:pPr>
      <w:r>
        <w:rPr>
          <w:rFonts w:ascii="Arial" w:cs="Arial" w:eastAsia="Arial" w:hAnsi="Arial"/>
          <w:sz w:val="21"/>
          <w:szCs w:val="21"/>
          <w:b w:val="1"/>
          <w:bCs w:val="1"/>
          <w:color w:val="auto"/>
        </w:rPr>
        <w:t>Additional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securities</w:t>
      </w:r>
    </w:p>
    <w:p>
      <w:pPr>
        <w:spacing w:after="0" w:line="234"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As of February 17, 2015, 1,047,142,301 shares of TI common stock were outstanding. This is the only class of capital stock entitled to vote at the meeting. Each holder of common stock has one vote for each share held. As stated in the notice of annual meeting, holders of record of the common stock at the close of business on February 17, 2015, may vote at the meeting or any adjournment of the meeting.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234" w:lineRule="exact"/>
        <w:rPr>
          <w:sz w:val="20"/>
          <w:szCs w:val="20"/>
          <w:color w:val="auto"/>
        </w:rPr>
      </w:pPr>
    </w:p>
    <w:p>
      <w:pPr>
        <w:ind w:right="400"/>
        <w:spacing w:after="0" w:line="249" w:lineRule="auto"/>
        <w:rPr>
          <w:sz w:val="20"/>
          <w:szCs w:val="20"/>
          <w:color w:val="auto"/>
        </w:rPr>
      </w:pPr>
      <w:r>
        <w:rPr>
          <w:rFonts w:ascii="Arial" w:cs="Arial" w:eastAsia="Arial" w:hAnsi="Arial"/>
          <w:sz w:val="17"/>
          <w:szCs w:val="17"/>
          <w:color w:val="auto"/>
        </w:rPr>
        <w:t>The following table shows the only persons who have reported beneficial ownership of more than 5 percent of the common stock of the company. Persons generally “beneficially own” shares if they have the right to either vote those shares or dispose of them. More than one person may be considered to beneficially own the same shares.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00" w:type="dxa"/>
            <w:vAlign w:val="bottom"/>
          </w:tcPr>
          <w:p>
            <w:pPr>
              <w:spacing w:after="0"/>
              <w:rPr>
                <w:sz w:val="15"/>
                <w:szCs w:val="15"/>
                <w:color w:val="auto"/>
              </w:rPr>
            </w:pPr>
          </w:p>
        </w:tc>
        <w:tc>
          <w:tcPr>
            <w:tcW w:w="1940" w:type="dxa"/>
            <w:vAlign w:val="bottom"/>
            <w:gridSpan w:val="2"/>
          </w:tcPr>
          <w:p>
            <w:pPr>
              <w:jc w:val="right"/>
              <w:ind w:right="234"/>
              <w:spacing w:after="0"/>
              <w:rPr>
                <w:sz w:val="20"/>
                <w:szCs w:val="20"/>
                <w:color w:val="auto"/>
              </w:rPr>
            </w:pPr>
            <w:r>
              <w:rPr>
                <w:rFonts w:ascii="Arial" w:cs="Arial" w:eastAsia="Arial" w:hAnsi="Arial"/>
                <w:sz w:val="13"/>
                <w:szCs w:val="13"/>
                <w:b w:val="1"/>
                <w:bCs w:val="1"/>
                <w:color w:val="auto"/>
              </w:rPr>
              <w:t>Shares Owned at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Percent</w:t>
            </w:r>
          </w:p>
        </w:tc>
      </w:tr>
      <w:tr>
        <w:trPr>
          <w:trHeight w:val="238"/>
        </w:trPr>
        <w:tc>
          <w:tcPr>
            <w:tcW w:w="8700" w:type="dxa"/>
            <w:vAlign w:val="bottom"/>
          </w:tcPr>
          <w:p>
            <w:pPr>
              <w:spacing w:after="0"/>
              <w:rPr>
                <w:sz w:val="20"/>
                <w:szCs w:val="20"/>
                <w:color w:val="auto"/>
              </w:rPr>
            </w:pPr>
            <w:r>
              <w:rPr>
                <w:rFonts w:ascii="Arial" w:cs="Arial" w:eastAsia="Arial" w:hAnsi="Arial"/>
                <w:sz w:val="13"/>
                <w:szCs w:val="13"/>
                <w:b w:val="1"/>
                <w:bCs w:val="1"/>
                <w:color w:val="auto"/>
              </w:rPr>
              <w:t>Name and Address</w:t>
            </w:r>
          </w:p>
        </w:tc>
        <w:tc>
          <w:tcPr>
            <w:tcW w:w="1940" w:type="dxa"/>
            <w:vAlign w:val="bottom"/>
            <w:gridSpan w:val="2"/>
          </w:tcPr>
          <w:p>
            <w:pPr>
              <w:jc w:val="right"/>
              <w:ind w:right="174"/>
              <w:spacing w:after="0"/>
              <w:rPr>
                <w:sz w:val="20"/>
                <w:szCs w:val="20"/>
                <w:color w:val="auto"/>
              </w:rPr>
            </w:pPr>
            <w:r>
              <w:rPr>
                <w:rFonts w:ascii="Arial" w:cs="Arial" w:eastAsia="Arial" w:hAnsi="Arial"/>
                <w:sz w:val="13"/>
                <w:szCs w:val="13"/>
                <w:b w:val="1"/>
                <w:bCs w:val="1"/>
                <w:color w:val="auto"/>
              </w:rPr>
              <w:t>December 31, 2014</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of Class</w:t>
            </w:r>
          </w:p>
        </w:tc>
      </w:tr>
      <w:tr>
        <w:trPr>
          <w:trHeight w:val="41"/>
        </w:trPr>
        <w:tc>
          <w:tcPr>
            <w:tcW w:w="87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15"/>
        </w:trPr>
        <w:tc>
          <w:tcPr>
            <w:tcW w:w="8700" w:type="dxa"/>
            <w:vAlign w:val="bottom"/>
            <w:shd w:val="clear" w:color="auto" w:fill="E9E9E9"/>
          </w:tcPr>
          <w:p>
            <w:pPr>
              <w:spacing w:after="0"/>
              <w:rPr>
                <w:sz w:val="20"/>
                <w:szCs w:val="20"/>
                <w:color w:val="auto"/>
              </w:rPr>
            </w:pPr>
            <w:r>
              <w:rPr>
                <w:rFonts w:ascii="Arial" w:cs="Arial" w:eastAsia="Arial" w:hAnsi="Arial"/>
                <w:sz w:val="17"/>
                <w:szCs w:val="17"/>
                <w:color w:val="auto"/>
              </w:rPr>
              <w:t>Capital Research Global Investors (1)</w:t>
            </w:r>
          </w:p>
        </w:tc>
        <w:tc>
          <w:tcPr>
            <w:tcW w:w="1460" w:type="dxa"/>
            <w:vAlign w:val="bottom"/>
            <w:shd w:val="clear" w:color="auto" w:fill="E9E9E9"/>
          </w:tcPr>
          <w:p>
            <w:pPr>
              <w:spacing w:after="0"/>
              <w:rPr>
                <w:sz w:val="18"/>
                <w:szCs w:val="18"/>
                <w:color w:val="auto"/>
              </w:rPr>
            </w:pPr>
          </w:p>
        </w:tc>
        <w:tc>
          <w:tcPr>
            <w:tcW w:w="480" w:type="dxa"/>
            <w:vAlign w:val="bottom"/>
            <w:shd w:val="clear" w:color="auto" w:fill="E9E9E9"/>
          </w:tcPr>
          <w:p>
            <w:pPr>
              <w:spacing w:after="0"/>
              <w:rPr>
                <w:sz w:val="18"/>
                <w:szCs w:val="18"/>
                <w:color w:val="auto"/>
              </w:rPr>
            </w:pPr>
          </w:p>
        </w:tc>
        <w:tc>
          <w:tcPr>
            <w:tcW w:w="780" w:type="dxa"/>
            <w:vAlign w:val="bottom"/>
            <w:shd w:val="clear" w:color="auto" w:fill="E9E9E9"/>
          </w:tcPr>
          <w:p>
            <w:pPr>
              <w:spacing w:after="0"/>
              <w:rPr>
                <w:sz w:val="18"/>
                <w:szCs w:val="18"/>
                <w:color w:val="auto"/>
              </w:rPr>
            </w:pPr>
          </w:p>
        </w:tc>
      </w:tr>
      <w:tr>
        <w:trPr>
          <w:trHeight w:val="238"/>
        </w:trPr>
        <w:tc>
          <w:tcPr>
            <w:tcW w:w="8700" w:type="dxa"/>
            <w:vAlign w:val="bottom"/>
            <w:shd w:val="clear" w:color="auto" w:fill="E9E9E9"/>
          </w:tcPr>
          <w:p>
            <w:pPr>
              <w:spacing w:after="0"/>
              <w:rPr>
                <w:sz w:val="20"/>
                <w:szCs w:val="20"/>
                <w:color w:val="auto"/>
              </w:rPr>
            </w:pPr>
            <w:r>
              <w:rPr>
                <w:rFonts w:ascii="Arial" w:cs="Arial" w:eastAsia="Arial" w:hAnsi="Arial"/>
                <w:sz w:val="17"/>
                <w:szCs w:val="17"/>
                <w:color w:val="auto"/>
              </w:rPr>
              <w:t>333 South Hope Street</w:t>
            </w:r>
          </w:p>
        </w:tc>
        <w:tc>
          <w:tcPr>
            <w:tcW w:w="1460" w:type="dxa"/>
            <w:vAlign w:val="bottom"/>
            <w:shd w:val="clear" w:color="auto" w:fill="E9E9E9"/>
          </w:tcPr>
          <w:p>
            <w:pPr>
              <w:spacing w:after="0"/>
              <w:rPr>
                <w:sz w:val="20"/>
                <w:szCs w:val="20"/>
                <w:color w:val="auto"/>
              </w:rPr>
            </w:pPr>
          </w:p>
        </w:tc>
        <w:tc>
          <w:tcPr>
            <w:tcW w:w="480" w:type="dxa"/>
            <w:vAlign w:val="bottom"/>
            <w:shd w:val="clear" w:color="auto" w:fill="E9E9E9"/>
          </w:tcPr>
          <w:p>
            <w:pPr>
              <w:spacing w:after="0"/>
              <w:rPr>
                <w:sz w:val="20"/>
                <w:szCs w:val="20"/>
                <w:color w:val="auto"/>
              </w:rPr>
            </w:pPr>
          </w:p>
        </w:tc>
        <w:tc>
          <w:tcPr>
            <w:tcW w:w="780" w:type="dxa"/>
            <w:vAlign w:val="bottom"/>
            <w:shd w:val="clear" w:color="auto" w:fill="E9E9E9"/>
          </w:tcPr>
          <w:p>
            <w:pPr>
              <w:spacing w:after="0"/>
              <w:rPr>
                <w:sz w:val="20"/>
                <w:szCs w:val="20"/>
                <w:color w:val="auto"/>
              </w:rPr>
            </w:pPr>
          </w:p>
        </w:tc>
      </w:tr>
      <w:tr>
        <w:trPr>
          <w:trHeight w:val="238"/>
        </w:trPr>
        <w:tc>
          <w:tcPr>
            <w:tcW w:w="8700" w:type="dxa"/>
            <w:vAlign w:val="bottom"/>
            <w:shd w:val="clear" w:color="auto" w:fill="E9E9E9"/>
          </w:tcPr>
          <w:p>
            <w:pPr>
              <w:spacing w:after="0"/>
              <w:rPr>
                <w:sz w:val="20"/>
                <w:szCs w:val="20"/>
                <w:color w:val="auto"/>
              </w:rPr>
            </w:pPr>
            <w:r>
              <w:rPr>
                <w:rFonts w:ascii="Arial" w:cs="Arial" w:eastAsia="Arial" w:hAnsi="Arial"/>
                <w:sz w:val="17"/>
                <w:szCs w:val="17"/>
                <w:color w:val="auto"/>
              </w:rPr>
              <w:t>Los Angeles, CA 90071</w:t>
            </w:r>
          </w:p>
        </w:tc>
        <w:tc>
          <w:tcPr>
            <w:tcW w:w="14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106,552,592</w:t>
            </w:r>
          </w:p>
        </w:tc>
        <w:tc>
          <w:tcPr>
            <w:tcW w:w="480" w:type="dxa"/>
            <w:vAlign w:val="bottom"/>
            <w:shd w:val="clear" w:color="auto" w:fill="E9E9E9"/>
          </w:tcPr>
          <w:p>
            <w:pPr>
              <w:jc w:val="right"/>
              <w:ind w:right="154"/>
              <w:spacing w:after="0"/>
              <w:rPr>
                <w:sz w:val="20"/>
                <w:szCs w:val="20"/>
                <w:color w:val="auto"/>
              </w:rPr>
            </w:pPr>
            <w:r>
              <w:rPr>
                <w:rFonts w:ascii="Arial" w:cs="Arial" w:eastAsia="Arial" w:hAnsi="Arial"/>
                <w:sz w:val="17"/>
                <w:szCs w:val="17"/>
                <w:color w:val="auto"/>
              </w:rPr>
              <w:t>(2)</w:t>
            </w: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10.1%</w:t>
            </w:r>
          </w:p>
        </w:tc>
      </w:tr>
      <w:tr>
        <w:trPr>
          <w:trHeight w:val="254"/>
        </w:trPr>
        <w:tc>
          <w:tcPr>
            <w:tcW w:w="8700" w:type="dxa"/>
            <w:vAlign w:val="bottom"/>
            <w:shd w:val="clear" w:color="auto" w:fill="E9E9E9"/>
          </w:tcPr>
          <w:p>
            <w:pPr>
              <w:spacing w:after="0"/>
              <w:rPr>
                <w:sz w:val="22"/>
                <w:szCs w:val="22"/>
                <w:color w:val="auto"/>
              </w:rPr>
            </w:pPr>
          </w:p>
        </w:tc>
        <w:tc>
          <w:tcPr>
            <w:tcW w:w="1460" w:type="dxa"/>
            <w:vAlign w:val="bottom"/>
            <w:shd w:val="clear" w:color="auto" w:fill="E9E9E9"/>
          </w:tcPr>
          <w:p>
            <w:pPr>
              <w:spacing w:after="0"/>
              <w:rPr>
                <w:sz w:val="22"/>
                <w:szCs w:val="22"/>
                <w:color w:val="auto"/>
              </w:rPr>
            </w:pPr>
          </w:p>
        </w:tc>
        <w:tc>
          <w:tcPr>
            <w:tcW w:w="480" w:type="dxa"/>
            <w:vAlign w:val="bottom"/>
            <w:shd w:val="clear" w:color="auto" w:fill="E9E9E9"/>
          </w:tcPr>
          <w:p>
            <w:pPr>
              <w:spacing w:after="0"/>
              <w:rPr>
                <w:sz w:val="22"/>
                <w:szCs w:val="22"/>
                <w:color w:val="auto"/>
              </w:rPr>
            </w:pPr>
          </w:p>
        </w:tc>
        <w:tc>
          <w:tcPr>
            <w:tcW w:w="780" w:type="dxa"/>
            <w:vAlign w:val="bottom"/>
            <w:shd w:val="clear" w:color="auto" w:fill="E9E9E9"/>
          </w:tcPr>
          <w:p>
            <w:pPr>
              <w:spacing w:after="0"/>
              <w:rPr>
                <w:sz w:val="22"/>
                <w:szCs w:val="22"/>
                <w:color w:val="auto"/>
              </w:rPr>
            </w:pPr>
          </w:p>
        </w:tc>
      </w:tr>
      <w:tr>
        <w:trPr>
          <w:trHeight w:val="222"/>
        </w:trPr>
        <w:tc>
          <w:tcPr>
            <w:tcW w:w="8700" w:type="dxa"/>
            <w:vAlign w:val="bottom"/>
          </w:tcPr>
          <w:p>
            <w:pPr>
              <w:spacing w:after="0"/>
              <w:rPr>
                <w:sz w:val="20"/>
                <w:szCs w:val="20"/>
                <w:color w:val="auto"/>
              </w:rPr>
            </w:pPr>
            <w:r>
              <w:rPr>
                <w:rFonts w:ascii="Arial" w:cs="Arial" w:eastAsia="Arial" w:hAnsi="Arial"/>
                <w:sz w:val="17"/>
                <w:szCs w:val="17"/>
                <w:color w:val="auto"/>
              </w:rPr>
              <w:t>Capital World Investors (1)</w:t>
            </w: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8"/>
        </w:trPr>
        <w:tc>
          <w:tcPr>
            <w:tcW w:w="8700" w:type="dxa"/>
            <w:vAlign w:val="bottom"/>
          </w:tcPr>
          <w:p>
            <w:pPr>
              <w:spacing w:after="0"/>
              <w:rPr>
                <w:sz w:val="20"/>
                <w:szCs w:val="20"/>
                <w:color w:val="auto"/>
              </w:rPr>
            </w:pPr>
            <w:r>
              <w:rPr>
                <w:rFonts w:ascii="Arial" w:cs="Arial" w:eastAsia="Arial" w:hAnsi="Arial"/>
                <w:sz w:val="17"/>
                <w:szCs w:val="17"/>
                <w:color w:val="auto"/>
              </w:rPr>
              <w:t>333 South Hope Street</w:t>
            </w:r>
          </w:p>
        </w:tc>
        <w:tc>
          <w:tcPr>
            <w:tcW w:w="1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8"/>
        </w:trPr>
        <w:tc>
          <w:tcPr>
            <w:tcW w:w="8700" w:type="dxa"/>
            <w:vAlign w:val="bottom"/>
          </w:tcPr>
          <w:p>
            <w:pPr>
              <w:spacing w:after="0"/>
              <w:rPr>
                <w:sz w:val="20"/>
                <w:szCs w:val="20"/>
                <w:color w:val="auto"/>
              </w:rPr>
            </w:pPr>
            <w:r>
              <w:rPr>
                <w:rFonts w:ascii="Arial" w:cs="Arial" w:eastAsia="Arial" w:hAnsi="Arial"/>
                <w:sz w:val="17"/>
                <w:szCs w:val="17"/>
                <w:color w:val="auto"/>
              </w:rPr>
              <w:t>Los Angeles, CA 90071</w:t>
            </w:r>
          </w:p>
        </w:tc>
        <w:tc>
          <w:tcPr>
            <w:tcW w:w="1460" w:type="dxa"/>
            <w:vAlign w:val="bottom"/>
          </w:tcPr>
          <w:p>
            <w:pPr>
              <w:jc w:val="right"/>
              <w:spacing w:after="0"/>
              <w:rPr>
                <w:sz w:val="20"/>
                <w:szCs w:val="20"/>
                <w:color w:val="auto"/>
              </w:rPr>
            </w:pPr>
            <w:r>
              <w:rPr>
                <w:rFonts w:ascii="Arial" w:cs="Arial" w:eastAsia="Arial" w:hAnsi="Arial"/>
                <w:sz w:val="17"/>
                <w:szCs w:val="17"/>
                <w:color w:val="auto"/>
              </w:rPr>
              <w:t>69,752,362</w:t>
            </w:r>
          </w:p>
        </w:tc>
        <w:tc>
          <w:tcPr>
            <w:tcW w:w="480" w:type="dxa"/>
            <w:vAlign w:val="bottom"/>
          </w:tcPr>
          <w:p>
            <w:pPr>
              <w:jc w:val="right"/>
              <w:ind w:right="154"/>
              <w:spacing w:after="0"/>
              <w:rPr>
                <w:sz w:val="20"/>
                <w:szCs w:val="20"/>
                <w:color w:val="auto"/>
              </w:rPr>
            </w:pPr>
            <w:r>
              <w:rPr>
                <w:rFonts w:ascii="Arial" w:cs="Arial" w:eastAsia="Arial" w:hAnsi="Arial"/>
                <w:sz w:val="17"/>
                <w:szCs w:val="17"/>
                <w:color w:val="auto"/>
              </w:rPr>
              <w:t>(3)</w:t>
            </w:r>
          </w:p>
        </w:tc>
        <w:tc>
          <w:tcPr>
            <w:tcW w:w="78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54"/>
        </w:trPr>
        <w:tc>
          <w:tcPr>
            <w:tcW w:w="87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2"/>
        </w:trPr>
        <w:tc>
          <w:tcPr>
            <w:tcW w:w="8700" w:type="dxa"/>
            <w:vAlign w:val="bottom"/>
            <w:shd w:val="clear" w:color="auto" w:fill="E9E9E9"/>
          </w:tcPr>
          <w:p>
            <w:pPr>
              <w:spacing w:after="0"/>
              <w:rPr>
                <w:sz w:val="20"/>
                <w:szCs w:val="20"/>
                <w:color w:val="auto"/>
              </w:rPr>
            </w:pPr>
            <w:r>
              <w:rPr>
                <w:rFonts w:ascii="Arial" w:cs="Arial" w:eastAsia="Arial" w:hAnsi="Arial"/>
                <w:sz w:val="17"/>
                <w:szCs w:val="17"/>
                <w:color w:val="auto"/>
              </w:rPr>
              <w:t>The Vanguard Group</w:t>
            </w:r>
          </w:p>
        </w:tc>
        <w:tc>
          <w:tcPr>
            <w:tcW w:w="1460" w:type="dxa"/>
            <w:vAlign w:val="bottom"/>
            <w:shd w:val="clear" w:color="auto" w:fill="E9E9E9"/>
          </w:tcPr>
          <w:p>
            <w:pPr>
              <w:spacing w:after="0"/>
              <w:rPr>
                <w:sz w:val="19"/>
                <w:szCs w:val="19"/>
                <w:color w:val="auto"/>
              </w:rPr>
            </w:pPr>
          </w:p>
        </w:tc>
        <w:tc>
          <w:tcPr>
            <w:tcW w:w="480" w:type="dxa"/>
            <w:vAlign w:val="bottom"/>
            <w:shd w:val="clear" w:color="auto" w:fill="E9E9E9"/>
          </w:tcPr>
          <w:p>
            <w:pPr>
              <w:spacing w:after="0"/>
              <w:rPr>
                <w:sz w:val="19"/>
                <w:szCs w:val="19"/>
                <w:color w:val="auto"/>
              </w:rPr>
            </w:pPr>
          </w:p>
        </w:tc>
        <w:tc>
          <w:tcPr>
            <w:tcW w:w="780" w:type="dxa"/>
            <w:vAlign w:val="bottom"/>
            <w:shd w:val="clear" w:color="auto" w:fill="E9E9E9"/>
          </w:tcPr>
          <w:p>
            <w:pPr>
              <w:spacing w:after="0"/>
              <w:rPr>
                <w:sz w:val="19"/>
                <w:szCs w:val="19"/>
                <w:color w:val="auto"/>
              </w:rPr>
            </w:pPr>
          </w:p>
        </w:tc>
      </w:tr>
      <w:tr>
        <w:trPr>
          <w:trHeight w:val="238"/>
        </w:trPr>
        <w:tc>
          <w:tcPr>
            <w:tcW w:w="8700" w:type="dxa"/>
            <w:vAlign w:val="bottom"/>
            <w:shd w:val="clear" w:color="auto" w:fill="E9E9E9"/>
          </w:tcPr>
          <w:p>
            <w:pPr>
              <w:spacing w:after="0"/>
              <w:rPr>
                <w:sz w:val="20"/>
                <w:szCs w:val="20"/>
                <w:color w:val="auto"/>
              </w:rPr>
            </w:pPr>
            <w:r>
              <w:rPr>
                <w:rFonts w:ascii="Arial" w:cs="Arial" w:eastAsia="Arial" w:hAnsi="Arial"/>
                <w:sz w:val="17"/>
                <w:szCs w:val="17"/>
                <w:color w:val="auto"/>
              </w:rPr>
              <w:t>100 Vanguard Blvd.</w:t>
            </w:r>
          </w:p>
        </w:tc>
        <w:tc>
          <w:tcPr>
            <w:tcW w:w="1460" w:type="dxa"/>
            <w:vAlign w:val="bottom"/>
            <w:shd w:val="clear" w:color="auto" w:fill="E9E9E9"/>
          </w:tcPr>
          <w:p>
            <w:pPr>
              <w:spacing w:after="0"/>
              <w:rPr>
                <w:sz w:val="20"/>
                <w:szCs w:val="20"/>
                <w:color w:val="auto"/>
              </w:rPr>
            </w:pPr>
          </w:p>
        </w:tc>
        <w:tc>
          <w:tcPr>
            <w:tcW w:w="480" w:type="dxa"/>
            <w:vAlign w:val="bottom"/>
            <w:shd w:val="clear" w:color="auto" w:fill="E9E9E9"/>
          </w:tcPr>
          <w:p>
            <w:pPr>
              <w:spacing w:after="0"/>
              <w:rPr>
                <w:sz w:val="20"/>
                <w:szCs w:val="20"/>
                <w:color w:val="auto"/>
              </w:rPr>
            </w:pPr>
          </w:p>
        </w:tc>
        <w:tc>
          <w:tcPr>
            <w:tcW w:w="780" w:type="dxa"/>
            <w:vAlign w:val="bottom"/>
            <w:shd w:val="clear" w:color="auto" w:fill="E9E9E9"/>
          </w:tcPr>
          <w:p>
            <w:pPr>
              <w:spacing w:after="0"/>
              <w:rPr>
                <w:sz w:val="20"/>
                <w:szCs w:val="20"/>
                <w:color w:val="auto"/>
              </w:rPr>
            </w:pPr>
          </w:p>
        </w:tc>
      </w:tr>
      <w:tr>
        <w:trPr>
          <w:trHeight w:val="238"/>
        </w:trPr>
        <w:tc>
          <w:tcPr>
            <w:tcW w:w="8700" w:type="dxa"/>
            <w:vAlign w:val="bottom"/>
            <w:shd w:val="clear" w:color="auto" w:fill="E9E9E9"/>
          </w:tcPr>
          <w:p>
            <w:pPr>
              <w:spacing w:after="0"/>
              <w:rPr>
                <w:sz w:val="20"/>
                <w:szCs w:val="20"/>
                <w:color w:val="auto"/>
              </w:rPr>
            </w:pPr>
            <w:r>
              <w:rPr>
                <w:rFonts w:ascii="Arial" w:cs="Arial" w:eastAsia="Arial" w:hAnsi="Arial"/>
                <w:sz w:val="17"/>
                <w:szCs w:val="17"/>
                <w:color w:val="auto"/>
              </w:rPr>
              <w:t>Malvern, PA 19355</w:t>
            </w:r>
          </w:p>
        </w:tc>
        <w:tc>
          <w:tcPr>
            <w:tcW w:w="14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67,900,408</w:t>
            </w:r>
          </w:p>
        </w:tc>
        <w:tc>
          <w:tcPr>
            <w:tcW w:w="480" w:type="dxa"/>
            <w:vAlign w:val="bottom"/>
            <w:shd w:val="clear" w:color="auto" w:fill="E9E9E9"/>
          </w:tcPr>
          <w:p>
            <w:pPr>
              <w:jc w:val="right"/>
              <w:ind w:right="154"/>
              <w:spacing w:after="0"/>
              <w:rPr>
                <w:sz w:val="20"/>
                <w:szCs w:val="20"/>
                <w:color w:val="auto"/>
              </w:rPr>
            </w:pPr>
            <w:r>
              <w:rPr>
                <w:rFonts w:ascii="Arial" w:cs="Arial" w:eastAsia="Arial" w:hAnsi="Arial"/>
                <w:sz w:val="17"/>
                <w:szCs w:val="17"/>
                <w:color w:val="auto"/>
              </w:rPr>
              <w:t>(4)</w:t>
            </w: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6.42%</w:t>
            </w:r>
          </w:p>
        </w:tc>
      </w:tr>
      <w:tr>
        <w:trPr>
          <w:trHeight w:val="254"/>
        </w:trPr>
        <w:tc>
          <w:tcPr>
            <w:tcW w:w="8700" w:type="dxa"/>
            <w:vAlign w:val="bottom"/>
            <w:shd w:val="clear" w:color="auto" w:fill="E9E9E9"/>
          </w:tcPr>
          <w:p>
            <w:pPr>
              <w:spacing w:after="0"/>
              <w:rPr>
                <w:sz w:val="22"/>
                <w:szCs w:val="22"/>
                <w:color w:val="auto"/>
              </w:rPr>
            </w:pPr>
          </w:p>
        </w:tc>
        <w:tc>
          <w:tcPr>
            <w:tcW w:w="1460" w:type="dxa"/>
            <w:vAlign w:val="bottom"/>
            <w:shd w:val="clear" w:color="auto" w:fill="E9E9E9"/>
          </w:tcPr>
          <w:p>
            <w:pPr>
              <w:spacing w:after="0"/>
              <w:rPr>
                <w:sz w:val="22"/>
                <w:szCs w:val="22"/>
                <w:color w:val="auto"/>
              </w:rPr>
            </w:pPr>
          </w:p>
        </w:tc>
        <w:tc>
          <w:tcPr>
            <w:tcW w:w="480" w:type="dxa"/>
            <w:vAlign w:val="bottom"/>
            <w:shd w:val="clear" w:color="auto" w:fill="E9E9E9"/>
          </w:tcPr>
          <w:p>
            <w:pPr>
              <w:spacing w:after="0"/>
              <w:rPr>
                <w:sz w:val="22"/>
                <w:szCs w:val="22"/>
                <w:color w:val="auto"/>
              </w:rPr>
            </w:pPr>
          </w:p>
        </w:tc>
        <w:tc>
          <w:tcPr>
            <w:tcW w:w="780" w:type="dxa"/>
            <w:vAlign w:val="bottom"/>
            <w:shd w:val="clear" w:color="auto" w:fill="E9E9E9"/>
          </w:tcPr>
          <w:p>
            <w:pPr>
              <w:spacing w:after="0"/>
              <w:rPr>
                <w:sz w:val="22"/>
                <w:szCs w:val="22"/>
                <w:color w:val="auto"/>
              </w:rPr>
            </w:pPr>
          </w:p>
        </w:tc>
      </w:tr>
      <w:tr>
        <w:trPr>
          <w:trHeight w:val="222"/>
        </w:trPr>
        <w:tc>
          <w:tcPr>
            <w:tcW w:w="8700" w:type="dxa"/>
            <w:vAlign w:val="bottom"/>
          </w:tcPr>
          <w:p>
            <w:pPr>
              <w:spacing w:after="0"/>
              <w:rPr>
                <w:sz w:val="20"/>
                <w:szCs w:val="20"/>
                <w:color w:val="auto"/>
              </w:rPr>
            </w:pPr>
            <w:r>
              <w:rPr>
                <w:rFonts w:ascii="Arial" w:cs="Arial" w:eastAsia="Arial" w:hAnsi="Arial"/>
                <w:sz w:val="17"/>
                <w:szCs w:val="17"/>
                <w:color w:val="auto"/>
              </w:rPr>
              <w:t>PRIMECAP Management Company</w:t>
            </w: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8"/>
        </w:trPr>
        <w:tc>
          <w:tcPr>
            <w:tcW w:w="8700" w:type="dxa"/>
            <w:vAlign w:val="bottom"/>
          </w:tcPr>
          <w:p>
            <w:pPr>
              <w:spacing w:after="0"/>
              <w:rPr>
                <w:sz w:val="20"/>
                <w:szCs w:val="20"/>
                <w:color w:val="auto"/>
              </w:rPr>
            </w:pPr>
            <w:r>
              <w:rPr>
                <w:rFonts w:ascii="Arial" w:cs="Arial" w:eastAsia="Arial" w:hAnsi="Arial"/>
                <w:sz w:val="17"/>
                <w:szCs w:val="17"/>
                <w:color w:val="auto"/>
              </w:rPr>
              <w:t>225 South Lake Ave., #400</w:t>
            </w:r>
          </w:p>
        </w:tc>
        <w:tc>
          <w:tcPr>
            <w:tcW w:w="1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8"/>
        </w:trPr>
        <w:tc>
          <w:tcPr>
            <w:tcW w:w="8700" w:type="dxa"/>
            <w:vAlign w:val="bottom"/>
          </w:tcPr>
          <w:p>
            <w:pPr>
              <w:spacing w:after="0"/>
              <w:rPr>
                <w:sz w:val="20"/>
                <w:szCs w:val="20"/>
                <w:color w:val="auto"/>
              </w:rPr>
            </w:pPr>
            <w:r>
              <w:rPr>
                <w:rFonts w:ascii="Arial" w:cs="Arial" w:eastAsia="Arial" w:hAnsi="Arial"/>
                <w:sz w:val="17"/>
                <w:szCs w:val="17"/>
                <w:color w:val="auto"/>
              </w:rPr>
              <w:t>Pasadena, CA 91101</w:t>
            </w:r>
          </w:p>
        </w:tc>
        <w:tc>
          <w:tcPr>
            <w:tcW w:w="1460" w:type="dxa"/>
            <w:vAlign w:val="bottom"/>
          </w:tcPr>
          <w:p>
            <w:pPr>
              <w:jc w:val="right"/>
              <w:spacing w:after="0"/>
              <w:rPr>
                <w:sz w:val="20"/>
                <w:szCs w:val="20"/>
                <w:color w:val="auto"/>
              </w:rPr>
            </w:pPr>
            <w:r>
              <w:rPr>
                <w:rFonts w:ascii="Arial" w:cs="Arial" w:eastAsia="Arial" w:hAnsi="Arial"/>
                <w:sz w:val="17"/>
                <w:szCs w:val="17"/>
                <w:color w:val="auto"/>
              </w:rPr>
              <w:t>57,436,034</w:t>
            </w:r>
          </w:p>
        </w:tc>
        <w:tc>
          <w:tcPr>
            <w:tcW w:w="480" w:type="dxa"/>
            <w:vAlign w:val="bottom"/>
          </w:tcPr>
          <w:p>
            <w:pPr>
              <w:jc w:val="right"/>
              <w:ind w:right="154"/>
              <w:spacing w:after="0"/>
              <w:rPr>
                <w:sz w:val="20"/>
                <w:szCs w:val="20"/>
                <w:color w:val="auto"/>
              </w:rPr>
            </w:pPr>
            <w:r>
              <w:rPr>
                <w:rFonts w:ascii="Arial" w:cs="Arial" w:eastAsia="Arial" w:hAnsi="Arial"/>
                <w:sz w:val="17"/>
                <w:szCs w:val="17"/>
                <w:color w:val="auto"/>
              </w:rPr>
              <w:t>(5)</w:t>
            </w:r>
          </w:p>
        </w:tc>
        <w:tc>
          <w:tcPr>
            <w:tcW w:w="780" w:type="dxa"/>
            <w:vAlign w:val="bottom"/>
          </w:tcPr>
          <w:p>
            <w:pPr>
              <w:jc w:val="right"/>
              <w:spacing w:after="0"/>
              <w:rPr>
                <w:sz w:val="20"/>
                <w:szCs w:val="20"/>
                <w:color w:val="auto"/>
              </w:rPr>
            </w:pPr>
            <w:r>
              <w:rPr>
                <w:rFonts w:ascii="Arial" w:cs="Arial" w:eastAsia="Arial" w:hAnsi="Arial"/>
                <w:sz w:val="17"/>
                <w:szCs w:val="17"/>
                <w:color w:val="auto"/>
              </w:rPr>
              <w:t>5.44%</w:t>
            </w:r>
          </w:p>
        </w:tc>
      </w:tr>
      <w:tr>
        <w:trPr>
          <w:trHeight w:val="254"/>
        </w:trPr>
        <w:tc>
          <w:tcPr>
            <w:tcW w:w="87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2"/>
        </w:trPr>
        <w:tc>
          <w:tcPr>
            <w:tcW w:w="8700" w:type="dxa"/>
            <w:vAlign w:val="bottom"/>
            <w:shd w:val="clear" w:color="auto" w:fill="E9E9E9"/>
          </w:tcPr>
          <w:p>
            <w:pPr>
              <w:spacing w:after="0"/>
              <w:rPr>
                <w:sz w:val="20"/>
                <w:szCs w:val="20"/>
                <w:color w:val="auto"/>
              </w:rPr>
            </w:pPr>
            <w:r>
              <w:rPr>
                <w:rFonts w:ascii="Arial" w:cs="Arial" w:eastAsia="Arial" w:hAnsi="Arial"/>
                <w:sz w:val="17"/>
                <w:szCs w:val="17"/>
                <w:color w:val="auto"/>
              </w:rPr>
              <w:t>BlackRock, Inc.</w:t>
            </w:r>
          </w:p>
        </w:tc>
        <w:tc>
          <w:tcPr>
            <w:tcW w:w="1460" w:type="dxa"/>
            <w:vAlign w:val="bottom"/>
            <w:shd w:val="clear" w:color="auto" w:fill="E9E9E9"/>
          </w:tcPr>
          <w:p>
            <w:pPr>
              <w:spacing w:after="0"/>
              <w:rPr>
                <w:sz w:val="19"/>
                <w:szCs w:val="19"/>
                <w:color w:val="auto"/>
              </w:rPr>
            </w:pPr>
          </w:p>
        </w:tc>
        <w:tc>
          <w:tcPr>
            <w:tcW w:w="480" w:type="dxa"/>
            <w:vAlign w:val="bottom"/>
            <w:shd w:val="clear" w:color="auto" w:fill="E9E9E9"/>
          </w:tcPr>
          <w:p>
            <w:pPr>
              <w:spacing w:after="0"/>
              <w:rPr>
                <w:sz w:val="19"/>
                <w:szCs w:val="19"/>
                <w:color w:val="auto"/>
              </w:rPr>
            </w:pPr>
          </w:p>
        </w:tc>
        <w:tc>
          <w:tcPr>
            <w:tcW w:w="780" w:type="dxa"/>
            <w:vAlign w:val="bottom"/>
            <w:shd w:val="clear" w:color="auto" w:fill="E9E9E9"/>
          </w:tcPr>
          <w:p>
            <w:pPr>
              <w:spacing w:after="0"/>
              <w:rPr>
                <w:sz w:val="19"/>
                <w:szCs w:val="19"/>
                <w:color w:val="auto"/>
              </w:rPr>
            </w:pPr>
          </w:p>
        </w:tc>
      </w:tr>
      <w:tr>
        <w:trPr>
          <w:trHeight w:val="320"/>
        </w:trPr>
        <w:tc>
          <w:tcPr>
            <w:tcW w:w="8700" w:type="dxa"/>
            <w:vAlign w:val="bottom"/>
            <w:shd w:val="clear" w:color="auto" w:fill="E9E9E9"/>
          </w:tcPr>
          <w:p>
            <w:pPr>
              <w:spacing w:after="0" w:line="320" w:lineRule="exact"/>
              <w:rPr>
                <w:sz w:val="20"/>
                <w:szCs w:val="20"/>
                <w:color w:val="auto"/>
              </w:rPr>
            </w:pPr>
            <w:r>
              <w:rPr>
                <w:rFonts w:ascii="Arial" w:cs="Arial" w:eastAsia="Arial" w:hAnsi="Arial"/>
                <w:sz w:val="17"/>
                <w:szCs w:val="17"/>
                <w:color w:val="auto"/>
              </w:rPr>
              <w:t>55 East 52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Street</w:t>
            </w:r>
          </w:p>
        </w:tc>
        <w:tc>
          <w:tcPr>
            <w:tcW w:w="1460" w:type="dxa"/>
            <w:vAlign w:val="bottom"/>
            <w:shd w:val="clear" w:color="auto" w:fill="E9E9E9"/>
          </w:tcPr>
          <w:p>
            <w:pPr>
              <w:spacing w:after="0"/>
              <w:rPr>
                <w:sz w:val="24"/>
                <w:szCs w:val="24"/>
                <w:color w:val="auto"/>
              </w:rPr>
            </w:pPr>
          </w:p>
        </w:tc>
        <w:tc>
          <w:tcPr>
            <w:tcW w:w="480" w:type="dxa"/>
            <w:vAlign w:val="bottom"/>
            <w:shd w:val="clear" w:color="auto" w:fill="E9E9E9"/>
          </w:tcPr>
          <w:p>
            <w:pPr>
              <w:spacing w:after="0"/>
              <w:rPr>
                <w:sz w:val="24"/>
                <w:szCs w:val="24"/>
                <w:color w:val="auto"/>
              </w:rPr>
            </w:pPr>
          </w:p>
        </w:tc>
        <w:tc>
          <w:tcPr>
            <w:tcW w:w="780" w:type="dxa"/>
            <w:vAlign w:val="bottom"/>
            <w:shd w:val="clear" w:color="auto" w:fill="E9E9E9"/>
          </w:tcPr>
          <w:p>
            <w:pPr>
              <w:spacing w:after="0"/>
              <w:rPr>
                <w:sz w:val="24"/>
                <w:szCs w:val="24"/>
                <w:color w:val="auto"/>
              </w:rPr>
            </w:pPr>
          </w:p>
        </w:tc>
      </w:tr>
      <w:tr>
        <w:trPr>
          <w:trHeight w:val="238"/>
        </w:trPr>
        <w:tc>
          <w:tcPr>
            <w:tcW w:w="8700" w:type="dxa"/>
            <w:vAlign w:val="bottom"/>
            <w:shd w:val="clear" w:color="auto" w:fill="E9E9E9"/>
          </w:tcPr>
          <w:p>
            <w:pPr>
              <w:spacing w:after="0"/>
              <w:rPr>
                <w:sz w:val="20"/>
                <w:szCs w:val="20"/>
                <w:color w:val="auto"/>
              </w:rPr>
            </w:pPr>
            <w:r>
              <w:rPr>
                <w:rFonts w:ascii="Arial" w:cs="Arial" w:eastAsia="Arial" w:hAnsi="Arial"/>
                <w:sz w:val="17"/>
                <w:szCs w:val="17"/>
                <w:color w:val="auto"/>
              </w:rPr>
              <w:t>New York, NY 10022</w:t>
            </w:r>
          </w:p>
        </w:tc>
        <w:tc>
          <w:tcPr>
            <w:tcW w:w="14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57,462,724</w:t>
            </w:r>
          </w:p>
        </w:tc>
        <w:tc>
          <w:tcPr>
            <w:tcW w:w="480" w:type="dxa"/>
            <w:vAlign w:val="bottom"/>
            <w:shd w:val="clear" w:color="auto" w:fill="E9E9E9"/>
          </w:tcPr>
          <w:p>
            <w:pPr>
              <w:jc w:val="right"/>
              <w:ind w:right="154"/>
              <w:spacing w:after="0"/>
              <w:rPr>
                <w:sz w:val="20"/>
                <w:szCs w:val="20"/>
                <w:color w:val="auto"/>
              </w:rPr>
            </w:pPr>
            <w:r>
              <w:rPr>
                <w:rFonts w:ascii="Arial" w:cs="Arial" w:eastAsia="Arial" w:hAnsi="Arial"/>
                <w:sz w:val="17"/>
                <w:szCs w:val="17"/>
                <w:color w:val="auto"/>
              </w:rPr>
              <w:t>(6)</w:t>
            </w: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5.4%</w:t>
            </w:r>
          </w:p>
        </w:tc>
      </w:tr>
    </w:tbl>
    <w:p>
      <w:pPr>
        <w:spacing w:after="0" w:line="241" w:lineRule="exact"/>
        <w:rPr>
          <w:sz w:val="20"/>
          <w:szCs w:val="20"/>
          <w:color w:val="auto"/>
        </w:rPr>
      </w:pPr>
    </w:p>
    <w:p>
      <w:pPr>
        <w:ind w:left="480" w:hanging="474"/>
        <w:spacing w:after="0"/>
        <w:tabs>
          <w:tab w:leader="none" w:pos="4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division of Capital Research and Management Company (CRMC).</w:t>
      </w:r>
    </w:p>
    <w:p>
      <w:pPr>
        <w:spacing w:after="0" w:line="240" w:lineRule="exact"/>
        <w:rPr>
          <w:rFonts w:ascii="Arial" w:cs="Arial" w:eastAsia="Arial" w:hAnsi="Arial"/>
          <w:sz w:val="17"/>
          <w:szCs w:val="17"/>
          <w:color w:val="auto"/>
        </w:rPr>
      </w:pPr>
    </w:p>
    <w:p>
      <w:pPr>
        <w:ind w:left="480" w:right="160" w:hanging="474"/>
        <w:spacing w:after="0" w:line="249" w:lineRule="auto"/>
        <w:tabs>
          <w:tab w:leader="none" w:pos="4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TI understands that Capital Research Global Investors is deemed to be the beneficial owner of these shares as a result of CRMC acting as an investment advisor to various investment companies. Capital Research Global Investors has sole dispositive power and sole voting power for these shares.</w:t>
      </w:r>
    </w:p>
    <w:p>
      <w:pPr>
        <w:spacing w:after="0" w:line="224" w:lineRule="exact"/>
        <w:rPr>
          <w:rFonts w:ascii="Arial" w:cs="Arial" w:eastAsia="Arial" w:hAnsi="Arial"/>
          <w:sz w:val="17"/>
          <w:szCs w:val="17"/>
          <w:color w:val="auto"/>
        </w:rPr>
      </w:pPr>
    </w:p>
    <w:p>
      <w:pPr>
        <w:ind w:left="480" w:right="120" w:hanging="474"/>
        <w:spacing w:after="0" w:line="255" w:lineRule="auto"/>
        <w:tabs>
          <w:tab w:leader="none" w:pos="4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TI understands that Capital World Investors is deemed to be the beneficial owner of these shares as a result of CRMC acting as an investment advisor to various investment companies. Capital World Investors has sole voting power and sole dispositive power for these shares.</w:t>
      </w:r>
    </w:p>
    <w:p>
      <w:pPr>
        <w:spacing w:after="0" w:line="218" w:lineRule="exact"/>
        <w:rPr>
          <w:rFonts w:ascii="Arial" w:cs="Arial" w:eastAsia="Arial" w:hAnsi="Arial"/>
          <w:sz w:val="17"/>
          <w:szCs w:val="17"/>
          <w:color w:val="auto"/>
        </w:rPr>
      </w:pPr>
    </w:p>
    <w:p>
      <w:pPr>
        <w:ind w:left="480" w:right="360" w:hanging="474"/>
        <w:spacing w:after="0" w:line="255" w:lineRule="auto"/>
        <w:tabs>
          <w:tab w:leader="none" w:pos="4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TI understands that The Vanguard Group has sole voting power for 1,841,355, sole dispositive power for 66,154,118 and shared dispositive power for 1,746,290 of these shares.</w:t>
      </w:r>
    </w:p>
    <w:p>
      <w:pPr>
        <w:spacing w:after="0" w:line="218" w:lineRule="exact"/>
        <w:rPr>
          <w:rFonts w:ascii="Arial" w:cs="Arial" w:eastAsia="Arial" w:hAnsi="Arial"/>
          <w:sz w:val="17"/>
          <w:szCs w:val="17"/>
          <w:color w:val="auto"/>
        </w:rPr>
      </w:pPr>
    </w:p>
    <w:p>
      <w:pPr>
        <w:ind w:left="480" w:hanging="474"/>
        <w:spacing w:after="0"/>
        <w:tabs>
          <w:tab w:leader="none" w:pos="4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TI understands that PRIMECAP Management Company has sole voting power for 7,709,048 and sole dispositive power for all of these shares.</w:t>
      </w:r>
    </w:p>
    <w:p>
      <w:pPr>
        <w:spacing w:after="0" w:line="240" w:lineRule="exact"/>
        <w:rPr>
          <w:rFonts w:ascii="Arial" w:cs="Arial" w:eastAsia="Arial" w:hAnsi="Arial"/>
          <w:sz w:val="17"/>
          <w:szCs w:val="17"/>
          <w:color w:val="auto"/>
        </w:rPr>
      </w:pPr>
    </w:p>
    <w:p>
      <w:pPr>
        <w:ind w:left="480" w:hanging="474"/>
        <w:spacing w:after="0"/>
        <w:tabs>
          <w:tab w:leader="none" w:pos="4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TI understands that BlackRock, Inc. has sole voting power for 46,667,433 and sole dispositive power for all of these shares.</w:t>
      </w:r>
    </w:p>
    <w:p>
      <w:pPr>
        <w:spacing w:after="0" w:line="250" w:lineRule="exact"/>
        <w:rPr>
          <w:sz w:val="20"/>
          <w:szCs w:val="20"/>
          <w:color w:val="auto"/>
        </w:rPr>
      </w:pPr>
    </w:p>
    <w:p>
      <w:pPr>
        <w:spacing w:after="0"/>
        <w:tabs>
          <w:tab w:leader="none" w:pos="4140" w:val="left"/>
        </w:tabs>
        <w:rPr>
          <w:sz w:val="20"/>
          <w:szCs w:val="20"/>
          <w:color w:val="auto"/>
        </w:rPr>
      </w:pPr>
      <w:r>
        <w:rPr>
          <w:rFonts w:ascii="Arial" w:cs="Arial" w:eastAsia="Arial" w:hAnsi="Arial"/>
          <w:sz w:val="13"/>
          <w:szCs w:val="13"/>
          <w:color w:val="838383"/>
        </w:rPr>
        <w:t>112</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Security ownership of directors and management</w:t>
      </w:r>
    </w:p>
    <w:p>
      <w:pPr>
        <w:spacing w:after="0" w:line="23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following table shows the beneficial ownership of TI common stock by directors, the named executive officers and all executive officers and directors as a group. Each director and named executive officer has sole voting power (except for shares obtainable within 60 days, shares subject to RSUs and shares credited to deferred compensation accounts as detailed in the footnotes to the table) and sole investment power with respect to the shares owned. The table excludes shares held by a family member if a director or executive officer has disclaimed beneficial ownership. No director or executive officer has pledged shares of TI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80" w:type="dxa"/>
            <w:vAlign w:val="bottom"/>
          </w:tcPr>
          <w:p>
            <w:pPr>
              <w:spacing w:after="0"/>
              <w:rPr>
                <w:sz w:val="15"/>
                <w:szCs w:val="15"/>
                <w:color w:val="auto"/>
              </w:rPr>
            </w:pPr>
          </w:p>
        </w:tc>
        <w:tc>
          <w:tcPr>
            <w:tcW w:w="4180" w:type="dxa"/>
            <w:vAlign w:val="bottom"/>
          </w:tcPr>
          <w:p>
            <w:pPr>
              <w:jc w:val="right"/>
              <w:ind w:right="236"/>
              <w:spacing w:after="0"/>
              <w:rPr>
                <w:sz w:val="20"/>
                <w:szCs w:val="20"/>
                <w:color w:val="auto"/>
              </w:rPr>
            </w:pPr>
            <w:r>
              <w:rPr>
                <w:rFonts w:ascii="Arial" w:cs="Arial" w:eastAsia="Arial" w:hAnsi="Arial"/>
                <w:sz w:val="13"/>
                <w:szCs w:val="13"/>
                <w:b w:val="1"/>
                <w:bCs w:val="1"/>
                <w:color w:val="auto"/>
              </w:rPr>
              <w:t>Shares Owned at</w:t>
            </w:r>
          </w:p>
        </w:tc>
        <w:tc>
          <w:tcPr>
            <w:tcW w:w="760" w:type="dxa"/>
            <w:vAlign w:val="bottom"/>
          </w:tcPr>
          <w:p>
            <w:pPr>
              <w:jc w:val="center"/>
              <w:ind w:left="156"/>
              <w:spacing w:after="0"/>
              <w:rPr>
                <w:sz w:val="20"/>
                <w:szCs w:val="20"/>
                <w:color w:val="auto"/>
              </w:rPr>
            </w:pPr>
            <w:r>
              <w:rPr>
                <w:rFonts w:ascii="Arial" w:cs="Arial" w:eastAsia="Arial" w:hAnsi="Arial"/>
                <w:sz w:val="13"/>
                <w:szCs w:val="13"/>
                <w:b w:val="1"/>
                <w:bCs w:val="1"/>
                <w:color w:val="auto"/>
              </w:rPr>
              <w:t>Percent</w:t>
            </w:r>
          </w:p>
        </w:tc>
      </w:tr>
      <w:tr>
        <w:trPr>
          <w:trHeight w:val="238"/>
        </w:trPr>
        <w:tc>
          <w:tcPr>
            <w:tcW w:w="64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4180" w:type="dxa"/>
            <w:vAlign w:val="bottom"/>
          </w:tcPr>
          <w:p>
            <w:pPr>
              <w:jc w:val="right"/>
              <w:ind w:right="176"/>
              <w:spacing w:after="0"/>
              <w:rPr>
                <w:sz w:val="20"/>
                <w:szCs w:val="20"/>
                <w:color w:val="auto"/>
              </w:rPr>
            </w:pPr>
            <w:r>
              <w:rPr>
                <w:rFonts w:ascii="Arial" w:cs="Arial" w:eastAsia="Arial" w:hAnsi="Arial"/>
                <w:sz w:val="13"/>
                <w:szCs w:val="13"/>
                <w:b w:val="1"/>
                <w:bCs w:val="1"/>
                <w:color w:val="auto"/>
              </w:rPr>
              <w:t>December 31, 2014</w:t>
            </w:r>
          </w:p>
        </w:tc>
        <w:tc>
          <w:tcPr>
            <w:tcW w:w="760" w:type="dxa"/>
            <w:vAlign w:val="bottom"/>
          </w:tcPr>
          <w:p>
            <w:pPr>
              <w:jc w:val="center"/>
              <w:ind w:left="156"/>
              <w:spacing w:after="0"/>
              <w:rPr>
                <w:sz w:val="20"/>
                <w:szCs w:val="20"/>
                <w:color w:val="auto"/>
              </w:rPr>
            </w:pPr>
            <w:r>
              <w:rPr>
                <w:rFonts w:ascii="Arial" w:cs="Arial" w:eastAsia="Arial" w:hAnsi="Arial"/>
                <w:sz w:val="13"/>
                <w:szCs w:val="13"/>
                <w:b w:val="1"/>
                <w:bCs w:val="1"/>
                <w:color w:val="auto"/>
              </w:rPr>
              <w:t>of Class</w:t>
            </w:r>
          </w:p>
        </w:tc>
      </w:tr>
      <w:tr>
        <w:trPr>
          <w:trHeight w:val="41"/>
        </w:trPr>
        <w:tc>
          <w:tcPr>
            <w:tcW w:w="6480" w:type="dxa"/>
            <w:vAlign w:val="bottom"/>
            <w:tcBorders>
              <w:bottom w:val="single" w:sz="8" w:color="auto"/>
            </w:tcBorders>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31"/>
        </w:trPr>
        <w:tc>
          <w:tcPr>
            <w:tcW w:w="6480" w:type="dxa"/>
            <w:vAlign w:val="bottom"/>
            <w:shd w:val="clear" w:color="auto" w:fill="E9E9E9"/>
          </w:tcPr>
          <w:p>
            <w:pPr>
              <w:spacing w:after="0"/>
              <w:rPr>
                <w:sz w:val="20"/>
                <w:szCs w:val="20"/>
                <w:color w:val="auto"/>
              </w:rPr>
            </w:pPr>
            <w:r>
              <w:rPr>
                <w:rFonts w:ascii="Arial" w:cs="Arial" w:eastAsia="Arial" w:hAnsi="Arial"/>
                <w:sz w:val="17"/>
                <w:szCs w:val="17"/>
                <w:b w:val="1"/>
                <w:bCs w:val="1"/>
                <w:color w:val="auto"/>
              </w:rPr>
              <w:t>Directors (1)</w:t>
            </w:r>
          </w:p>
        </w:tc>
        <w:tc>
          <w:tcPr>
            <w:tcW w:w="4180" w:type="dxa"/>
            <w:vAlign w:val="bottom"/>
            <w:shd w:val="clear" w:color="auto" w:fill="E9E9E9"/>
          </w:tcPr>
          <w:p>
            <w:pPr>
              <w:spacing w:after="0"/>
              <w:rPr>
                <w:sz w:val="20"/>
                <w:szCs w:val="20"/>
                <w:color w:val="auto"/>
              </w:rPr>
            </w:pPr>
          </w:p>
        </w:tc>
        <w:tc>
          <w:tcPr>
            <w:tcW w:w="760" w:type="dxa"/>
            <w:vAlign w:val="bottom"/>
            <w:shd w:val="clear" w:color="auto" w:fill="E9E9E9"/>
          </w:tcPr>
          <w:p>
            <w:pPr>
              <w:spacing w:after="0"/>
              <w:rPr>
                <w:sz w:val="20"/>
                <w:szCs w:val="20"/>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7"/>
                <w:szCs w:val="17"/>
                <w:color w:val="auto"/>
              </w:rPr>
              <w:t>R. W. Babb, Jr.</w:t>
            </w:r>
          </w:p>
        </w:tc>
        <w:tc>
          <w:tcPr>
            <w:tcW w:w="4180" w:type="dxa"/>
            <w:vAlign w:val="bottom"/>
          </w:tcPr>
          <w:p>
            <w:pPr>
              <w:jc w:val="right"/>
              <w:ind w:right="336"/>
              <w:spacing w:after="0"/>
              <w:rPr>
                <w:sz w:val="20"/>
                <w:szCs w:val="20"/>
                <w:color w:val="auto"/>
              </w:rPr>
            </w:pPr>
            <w:r>
              <w:rPr>
                <w:rFonts w:ascii="Arial" w:cs="Arial" w:eastAsia="Arial" w:hAnsi="Arial"/>
                <w:sz w:val="17"/>
                <w:szCs w:val="17"/>
                <w:color w:val="auto"/>
              </w:rPr>
              <w:t>58,003</w:t>
            </w:r>
          </w:p>
        </w:tc>
        <w:tc>
          <w:tcPr>
            <w:tcW w:w="760" w:type="dxa"/>
            <w:vAlign w:val="bottom"/>
          </w:tcPr>
          <w:p>
            <w:pPr>
              <w:jc w:val="center"/>
              <w:ind w:left="176"/>
              <w:spacing w:after="0"/>
              <w:rPr>
                <w:sz w:val="20"/>
                <w:szCs w:val="20"/>
                <w:color w:val="auto"/>
              </w:rPr>
            </w:pPr>
            <w:r>
              <w:rPr>
                <w:rFonts w:ascii="Arial" w:cs="Arial" w:eastAsia="Arial" w:hAnsi="Arial"/>
                <w:sz w:val="17"/>
                <w:szCs w:val="17"/>
                <w:color w:val="auto"/>
                <w:w w:val="89"/>
              </w:rPr>
              <w:t>*</w:t>
            </w:r>
          </w:p>
        </w:tc>
      </w:tr>
      <w:tr>
        <w:trPr>
          <w:trHeight w:val="246"/>
        </w:trPr>
        <w:tc>
          <w:tcPr>
            <w:tcW w:w="6480" w:type="dxa"/>
            <w:vAlign w:val="bottom"/>
            <w:shd w:val="clear" w:color="auto" w:fill="E9E9E9"/>
          </w:tcPr>
          <w:p>
            <w:pPr>
              <w:spacing w:after="0"/>
              <w:rPr>
                <w:sz w:val="20"/>
                <w:szCs w:val="20"/>
                <w:color w:val="auto"/>
              </w:rPr>
            </w:pPr>
            <w:r>
              <w:rPr>
                <w:rFonts w:ascii="Arial" w:cs="Arial" w:eastAsia="Arial" w:hAnsi="Arial"/>
                <w:sz w:val="17"/>
                <w:szCs w:val="17"/>
                <w:color w:val="auto"/>
              </w:rPr>
              <w:t>M. A. Blinn</w:t>
            </w:r>
          </w:p>
        </w:tc>
        <w:tc>
          <w:tcPr>
            <w:tcW w:w="4180" w:type="dxa"/>
            <w:vAlign w:val="bottom"/>
            <w:shd w:val="clear" w:color="auto" w:fill="E9E9E9"/>
          </w:tcPr>
          <w:p>
            <w:pPr>
              <w:jc w:val="right"/>
              <w:ind w:right="336"/>
              <w:spacing w:after="0"/>
              <w:rPr>
                <w:sz w:val="20"/>
                <w:szCs w:val="20"/>
                <w:color w:val="auto"/>
              </w:rPr>
            </w:pPr>
            <w:r>
              <w:rPr>
                <w:rFonts w:ascii="Arial" w:cs="Arial" w:eastAsia="Arial" w:hAnsi="Arial"/>
                <w:sz w:val="17"/>
                <w:szCs w:val="17"/>
                <w:color w:val="auto"/>
              </w:rPr>
              <w:t>11,076</w:t>
            </w:r>
          </w:p>
        </w:tc>
        <w:tc>
          <w:tcPr>
            <w:tcW w:w="760" w:type="dxa"/>
            <w:vAlign w:val="bottom"/>
            <w:shd w:val="clear" w:color="auto" w:fill="E9E9E9"/>
          </w:tcPr>
          <w:p>
            <w:pPr>
              <w:jc w:val="center"/>
              <w:ind w:left="176"/>
              <w:spacing w:after="0"/>
              <w:rPr>
                <w:sz w:val="20"/>
                <w:szCs w:val="20"/>
                <w:color w:val="auto"/>
              </w:rPr>
            </w:pPr>
            <w:r>
              <w:rPr>
                <w:rFonts w:ascii="Arial" w:cs="Arial" w:eastAsia="Arial" w:hAnsi="Arial"/>
                <w:sz w:val="17"/>
                <w:szCs w:val="17"/>
                <w:color w:val="auto"/>
                <w:w w:val="89"/>
              </w:rPr>
              <w:t>*</w:t>
            </w:r>
          </w:p>
        </w:tc>
      </w:tr>
      <w:tr>
        <w:trPr>
          <w:trHeight w:val="230"/>
        </w:trPr>
        <w:tc>
          <w:tcPr>
            <w:tcW w:w="6480" w:type="dxa"/>
            <w:vAlign w:val="bottom"/>
          </w:tcPr>
          <w:p>
            <w:pPr>
              <w:spacing w:after="0"/>
              <w:rPr>
                <w:sz w:val="20"/>
                <w:szCs w:val="20"/>
                <w:color w:val="auto"/>
              </w:rPr>
            </w:pPr>
            <w:r>
              <w:rPr>
                <w:rFonts w:ascii="Arial" w:cs="Arial" w:eastAsia="Arial" w:hAnsi="Arial"/>
                <w:sz w:val="17"/>
                <w:szCs w:val="17"/>
                <w:color w:val="auto"/>
              </w:rPr>
              <w:t>D. A. Carp</w:t>
            </w:r>
          </w:p>
        </w:tc>
        <w:tc>
          <w:tcPr>
            <w:tcW w:w="4180" w:type="dxa"/>
            <w:vAlign w:val="bottom"/>
          </w:tcPr>
          <w:p>
            <w:pPr>
              <w:jc w:val="right"/>
              <w:ind w:right="336"/>
              <w:spacing w:after="0"/>
              <w:rPr>
                <w:sz w:val="20"/>
                <w:szCs w:val="20"/>
                <w:color w:val="auto"/>
              </w:rPr>
            </w:pPr>
            <w:r>
              <w:rPr>
                <w:rFonts w:ascii="Arial" w:cs="Arial" w:eastAsia="Arial" w:hAnsi="Arial"/>
                <w:sz w:val="17"/>
                <w:szCs w:val="17"/>
                <w:color w:val="auto"/>
              </w:rPr>
              <w:t>139,990</w:t>
            </w:r>
          </w:p>
        </w:tc>
        <w:tc>
          <w:tcPr>
            <w:tcW w:w="760" w:type="dxa"/>
            <w:vAlign w:val="bottom"/>
          </w:tcPr>
          <w:p>
            <w:pPr>
              <w:jc w:val="center"/>
              <w:ind w:left="176"/>
              <w:spacing w:after="0"/>
              <w:rPr>
                <w:sz w:val="20"/>
                <w:szCs w:val="20"/>
                <w:color w:val="auto"/>
              </w:rPr>
            </w:pPr>
            <w:r>
              <w:rPr>
                <w:rFonts w:ascii="Arial" w:cs="Arial" w:eastAsia="Arial" w:hAnsi="Arial"/>
                <w:sz w:val="17"/>
                <w:szCs w:val="17"/>
                <w:color w:val="auto"/>
                <w:w w:val="89"/>
              </w:rPr>
              <w:t>*</w:t>
            </w:r>
          </w:p>
        </w:tc>
      </w:tr>
      <w:tr>
        <w:trPr>
          <w:trHeight w:val="246"/>
        </w:trPr>
        <w:tc>
          <w:tcPr>
            <w:tcW w:w="6480" w:type="dxa"/>
            <w:vAlign w:val="bottom"/>
            <w:shd w:val="clear" w:color="auto" w:fill="E9E9E9"/>
          </w:tcPr>
          <w:p>
            <w:pPr>
              <w:spacing w:after="0"/>
              <w:rPr>
                <w:sz w:val="20"/>
                <w:szCs w:val="20"/>
                <w:color w:val="auto"/>
              </w:rPr>
            </w:pPr>
            <w:r>
              <w:rPr>
                <w:rFonts w:ascii="Arial" w:cs="Arial" w:eastAsia="Arial" w:hAnsi="Arial"/>
                <w:sz w:val="17"/>
                <w:szCs w:val="17"/>
                <w:color w:val="auto"/>
              </w:rPr>
              <w:t>C. S. Cox</w:t>
            </w:r>
          </w:p>
        </w:tc>
        <w:tc>
          <w:tcPr>
            <w:tcW w:w="4180" w:type="dxa"/>
            <w:vAlign w:val="bottom"/>
            <w:shd w:val="clear" w:color="auto" w:fill="E9E9E9"/>
          </w:tcPr>
          <w:p>
            <w:pPr>
              <w:jc w:val="right"/>
              <w:ind w:right="336"/>
              <w:spacing w:after="0"/>
              <w:rPr>
                <w:sz w:val="20"/>
                <w:szCs w:val="20"/>
                <w:color w:val="auto"/>
              </w:rPr>
            </w:pPr>
            <w:r>
              <w:rPr>
                <w:rFonts w:ascii="Arial" w:cs="Arial" w:eastAsia="Arial" w:hAnsi="Arial"/>
                <w:sz w:val="17"/>
                <w:szCs w:val="17"/>
                <w:color w:val="auto"/>
              </w:rPr>
              <w:t>100,162</w:t>
            </w:r>
          </w:p>
        </w:tc>
        <w:tc>
          <w:tcPr>
            <w:tcW w:w="760" w:type="dxa"/>
            <w:vAlign w:val="bottom"/>
            <w:shd w:val="clear" w:color="auto" w:fill="E9E9E9"/>
          </w:tcPr>
          <w:p>
            <w:pPr>
              <w:jc w:val="center"/>
              <w:ind w:left="176"/>
              <w:spacing w:after="0"/>
              <w:rPr>
                <w:sz w:val="20"/>
                <w:szCs w:val="20"/>
                <w:color w:val="auto"/>
              </w:rPr>
            </w:pPr>
            <w:r>
              <w:rPr>
                <w:rFonts w:ascii="Arial" w:cs="Arial" w:eastAsia="Arial" w:hAnsi="Arial"/>
                <w:sz w:val="17"/>
                <w:szCs w:val="17"/>
                <w:color w:val="auto"/>
                <w:w w:val="89"/>
              </w:rPr>
              <w:t>*</w:t>
            </w:r>
          </w:p>
        </w:tc>
      </w:tr>
      <w:tr>
        <w:trPr>
          <w:trHeight w:val="230"/>
        </w:trPr>
        <w:tc>
          <w:tcPr>
            <w:tcW w:w="6480" w:type="dxa"/>
            <w:vAlign w:val="bottom"/>
          </w:tcPr>
          <w:p>
            <w:pPr>
              <w:spacing w:after="0"/>
              <w:rPr>
                <w:sz w:val="20"/>
                <w:szCs w:val="20"/>
                <w:color w:val="auto"/>
              </w:rPr>
            </w:pPr>
            <w:r>
              <w:rPr>
                <w:rFonts w:ascii="Arial" w:cs="Arial" w:eastAsia="Arial" w:hAnsi="Arial"/>
                <w:sz w:val="17"/>
                <w:szCs w:val="17"/>
                <w:color w:val="auto"/>
              </w:rPr>
              <w:t>R. Kirk</w:t>
            </w:r>
          </w:p>
        </w:tc>
        <w:tc>
          <w:tcPr>
            <w:tcW w:w="4180" w:type="dxa"/>
            <w:vAlign w:val="bottom"/>
          </w:tcPr>
          <w:p>
            <w:pPr>
              <w:jc w:val="right"/>
              <w:ind w:right="336"/>
              <w:spacing w:after="0"/>
              <w:rPr>
                <w:sz w:val="20"/>
                <w:szCs w:val="20"/>
                <w:color w:val="auto"/>
              </w:rPr>
            </w:pPr>
            <w:r>
              <w:rPr>
                <w:rFonts w:ascii="Arial" w:cs="Arial" w:eastAsia="Arial" w:hAnsi="Arial"/>
                <w:sz w:val="17"/>
                <w:szCs w:val="17"/>
                <w:color w:val="auto"/>
              </w:rPr>
              <w:t>7,342</w:t>
            </w:r>
          </w:p>
        </w:tc>
        <w:tc>
          <w:tcPr>
            <w:tcW w:w="760" w:type="dxa"/>
            <w:vAlign w:val="bottom"/>
          </w:tcPr>
          <w:p>
            <w:pPr>
              <w:jc w:val="center"/>
              <w:ind w:left="176"/>
              <w:spacing w:after="0"/>
              <w:rPr>
                <w:sz w:val="20"/>
                <w:szCs w:val="20"/>
                <w:color w:val="auto"/>
              </w:rPr>
            </w:pPr>
            <w:r>
              <w:rPr>
                <w:rFonts w:ascii="Arial" w:cs="Arial" w:eastAsia="Arial" w:hAnsi="Arial"/>
                <w:sz w:val="17"/>
                <w:szCs w:val="17"/>
                <w:color w:val="auto"/>
                <w:w w:val="89"/>
              </w:rPr>
              <w:t>*</w:t>
            </w:r>
          </w:p>
        </w:tc>
      </w:tr>
      <w:tr>
        <w:trPr>
          <w:trHeight w:val="246"/>
        </w:trPr>
        <w:tc>
          <w:tcPr>
            <w:tcW w:w="6480" w:type="dxa"/>
            <w:vAlign w:val="bottom"/>
            <w:shd w:val="clear" w:color="auto" w:fill="E9E9E9"/>
          </w:tcPr>
          <w:p>
            <w:pPr>
              <w:spacing w:after="0"/>
              <w:rPr>
                <w:sz w:val="20"/>
                <w:szCs w:val="20"/>
                <w:color w:val="auto"/>
              </w:rPr>
            </w:pPr>
            <w:r>
              <w:rPr>
                <w:rFonts w:ascii="Arial" w:cs="Arial" w:eastAsia="Arial" w:hAnsi="Arial"/>
                <w:sz w:val="17"/>
                <w:szCs w:val="17"/>
                <w:color w:val="auto"/>
              </w:rPr>
              <w:t>P. H. Patsley</w:t>
            </w:r>
          </w:p>
        </w:tc>
        <w:tc>
          <w:tcPr>
            <w:tcW w:w="4180" w:type="dxa"/>
            <w:vAlign w:val="bottom"/>
            <w:shd w:val="clear" w:color="auto" w:fill="E9E9E9"/>
          </w:tcPr>
          <w:p>
            <w:pPr>
              <w:jc w:val="right"/>
              <w:ind w:right="336"/>
              <w:spacing w:after="0"/>
              <w:rPr>
                <w:sz w:val="20"/>
                <w:szCs w:val="20"/>
                <w:color w:val="auto"/>
              </w:rPr>
            </w:pPr>
            <w:r>
              <w:rPr>
                <w:rFonts w:ascii="Arial" w:cs="Arial" w:eastAsia="Arial" w:hAnsi="Arial"/>
                <w:sz w:val="17"/>
                <w:szCs w:val="17"/>
                <w:color w:val="auto"/>
              </w:rPr>
              <w:t>133,870</w:t>
            </w:r>
          </w:p>
        </w:tc>
        <w:tc>
          <w:tcPr>
            <w:tcW w:w="760" w:type="dxa"/>
            <w:vAlign w:val="bottom"/>
            <w:shd w:val="clear" w:color="auto" w:fill="E9E9E9"/>
          </w:tcPr>
          <w:p>
            <w:pPr>
              <w:jc w:val="center"/>
              <w:ind w:left="176"/>
              <w:spacing w:after="0"/>
              <w:rPr>
                <w:sz w:val="20"/>
                <w:szCs w:val="20"/>
                <w:color w:val="auto"/>
              </w:rPr>
            </w:pPr>
            <w:r>
              <w:rPr>
                <w:rFonts w:ascii="Arial" w:cs="Arial" w:eastAsia="Arial" w:hAnsi="Arial"/>
                <w:sz w:val="17"/>
                <w:szCs w:val="17"/>
                <w:color w:val="auto"/>
                <w:w w:val="89"/>
              </w:rPr>
              <w:t>*</w:t>
            </w:r>
          </w:p>
        </w:tc>
      </w:tr>
      <w:tr>
        <w:trPr>
          <w:trHeight w:val="230"/>
        </w:trPr>
        <w:tc>
          <w:tcPr>
            <w:tcW w:w="6480" w:type="dxa"/>
            <w:vAlign w:val="bottom"/>
          </w:tcPr>
          <w:p>
            <w:pPr>
              <w:spacing w:after="0"/>
              <w:rPr>
                <w:sz w:val="20"/>
                <w:szCs w:val="20"/>
                <w:color w:val="auto"/>
              </w:rPr>
            </w:pPr>
            <w:r>
              <w:rPr>
                <w:rFonts w:ascii="Arial" w:cs="Arial" w:eastAsia="Arial" w:hAnsi="Arial"/>
                <w:sz w:val="17"/>
                <w:szCs w:val="17"/>
                <w:color w:val="auto"/>
              </w:rPr>
              <w:t>R. E. Sanchez</w:t>
            </w:r>
          </w:p>
        </w:tc>
        <w:tc>
          <w:tcPr>
            <w:tcW w:w="4180" w:type="dxa"/>
            <w:vAlign w:val="bottom"/>
          </w:tcPr>
          <w:p>
            <w:pPr>
              <w:jc w:val="right"/>
              <w:ind w:right="336"/>
              <w:spacing w:after="0"/>
              <w:rPr>
                <w:sz w:val="20"/>
                <w:szCs w:val="20"/>
                <w:color w:val="auto"/>
              </w:rPr>
            </w:pPr>
            <w:r>
              <w:rPr>
                <w:rFonts w:ascii="Arial" w:cs="Arial" w:eastAsia="Arial" w:hAnsi="Arial"/>
                <w:sz w:val="17"/>
                <w:szCs w:val="17"/>
                <w:color w:val="auto"/>
              </w:rPr>
              <w:t>31,969</w:t>
            </w:r>
          </w:p>
        </w:tc>
        <w:tc>
          <w:tcPr>
            <w:tcW w:w="760" w:type="dxa"/>
            <w:vAlign w:val="bottom"/>
          </w:tcPr>
          <w:p>
            <w:pPr>
              <w:jc w:val="center"/>
              <w:ind w:left="176"/>
              <w:spacing w:after="0"/>
              <w:rPr>
                <w:sz w:val="20"/>
                <w:szCs w:val="20"/>
                <w:color w:val="auto"/>
              </w:rPr>
            </w:pPr>
            <w:r>
              <w:rPr>
                <w:rFonts w:ascii="Arial" w:cs="Arial" w:eastAsia="Arial" w:hAnsi="Arial"/>
                <w:sz w:val="17"/>
                <w:szCs w:val="17"/>
                <w:color w:val="auto"/>
                <w:w w:val="89"/>
              </w:rPr>
              <w:t>*</w:t>
            </w:r>
          </w:p>
        </w:tc>
      </w:tr>
      <w:tr>
        <w:trPr>
          <w:trHeight w:val="246"/>
        </w:trPr>
        <w:tc>
          <w:tcPr>
            <w:tcW w:w="6480" w:type="dxa"/>
            <w:vAlign w:val="bottom"/>
            <w:shd w:val="clear" w:color="auto" w:fill="E9E9E9"/>
          </w:tcPr>
          <w:p>
            <w:pPr>
              <w:spacing w:after="0"/>
              <w:rPr>
                <w:sz w:val="20"/>
                <w:szCs w:val="20"/>
                <w:color w:val="auto"/>
              </w:rPr>
            </w:pPr>
            <w:r>
              <w:rPr>
                <w:rFonts w:ascii="Arial" w:cs="Arial" w:eastAsia="Arial" w:hAnsi="Arial"/>
                <w:sz w:val="17"/>
                <w:szCs w:val="17"/>
                <w:color w:val="auto"/>
              </w:rPr>
              <w:t>W. R. Sanders</w:t>
            </w:r>
          </w:p>
        </w:tc>
        <w:tc>
          <w:tcPr>
            <w:tcW w:w="4180" w:type="dxa"/>
            <w:vAlign w:val="bottom"/>
            <w:shd w:val="clear" w:color="auto" w:fill="E9E9E9"/>
          </w:tcPr>
          <w:p>
            <w:pPr>
              <w:jc w:val="right"/>
              <w:ind w:right="336"/>
              <w:spacing w:after="0"/>
              <w:rPr>
                <w:sz w:val="20"/>
                <w:szCs w:val="20"/>
                <w:color w:val="auto"/>
              </w:rPr>
            </w:pPr>
            <w:r>
              <w:rPr>
                <w:rFonts w:ascii="Arial" w:cs="Arial" w:eastAsia="Arial" w:hAnsi="Arial"/>
                <w:sz w:val="17"/>
                <w:szCs w:val="17"/>
                <w:color w:val="auto"/>
              </w:rPr>
              <w:t>77,995</w:t>
            </w:r>
          </w:p>
        </w:tc>
        <w:tc>
          <w:tcPr>
            <w:tcW w:w="760" w:type="dxa"/>
            <w:vAlign w:val="bottom"/>
            <w:shd w:val="clear" w:color="auto" w:fill="E9E9E9"/>
          </w:tcPr>
          <w:p>
            <w:pPr>
              <w:jc w:val="center"/>
              <w:ind w:left="176"/>
              <w:spacing w:after="0"/>
              <w:rPr>
                <w:sz w:val="20"/>
                <w:szCs w:val="20"/>
                <w:color w:val="auto"/>
              </w:rPr>
            </w:pPr>
            <w:r>
              <w:rPr>
                <w:rFonts w:ascii="Arial" w:cs="Arial" w:eastAsia="Arial" w:hAnsi="Arial"/>
                <w:sz w:val="17"/>
                <w:szCs w:val="17"/>
                <w:color w:val="auto"/>
                <w:w w:val="89"/>
              </w:rPr>
              <w:t>*</w:t>
            </w:r>
          </w:p>
        </w:tc>
      </w:tr>
      <w:tr>
        <w:trPr>
          <w:trHeight w:val="230"/>
        </w:trPr>
        <w:tc>
          <w:tcPr>
            <w:tcW w:w="6480" w:type="dxa"/>
            <w:vAlign w:val="bottom"/>
          </w:tcPr>
          <w:p>
            <w:pPr>
              <w:spacing w:after="0"/>
              <w:rPr>
                <w:sz w:val="20"/>
                <w:szCs w:val="20"/>
                <w:color w:val="auto"/>
              </w:rPr>
            </w:pPr>
            <w:r>
              <w:rPr>
                <w:rFonts w:ascii="Arial" w:cs="Arial" w:eastAsia="Arial" w:hAnsi="Arial"/>
                <w:sz w:val="17"/>
                <w:szCs w:val="17"/>
                <w:color w:val="auto"/>
              </w:rPr>
              <w:t>R. J. Simmons</w:t>
            </w:r>
          </w:p>
        </w:tc>
        <w:tc>
          <w:tcPr>
            <w:tcW w:w="4180" w:type="dxa"/>
            <w:vAlign w:val="bottom"/>
          </w:tcPr>
          <w:p>
            <w:pPr>
              <w:jc w:val="right"/>
              <w:ind w:right="336"/>
              <w:spacing w:after="0"/>
              <w:rPr>
                <w:sz w:val="20"/>
                <w:szCs w:val="20"/>
                <w:color w:val="auto"/>
              </w:rPr>
            </w:pPr>
            <w:r>
              <w:rPr>
                <w:rFonts w:ascii="Arial" w:cs="Arial" w:eastAsia="Arial" w:hAnsi="Arial"/>
                <w:sz w:val="17"/>
                <w:szCs w:val="17"/>
                <w:color w:val="auto"/>
              </w:rPr>
              <w:t>78,198</w:t>
            </w:r>
          </w:p>
        </w:tc>
        <w:tc>
          <w:tcPr>
            <w:tcW w:w="760" w:type="dxa"/>
            <w:vAlign w:val="bottom"/>
          </w:tcPr>
          <w:p>
            <w:pPr>
              <w:jc w:val="center"/>
              <w:ind w:left="176"/>
              <w:spacing w:after="0"/>
              <w:rPr>
                <w:sz w:val="20"/>
                <w:szCs w:val="20"/>
                <w:color w:val="auto"/>
              </w:rPr>
            </w:pPr>
            <w:r>
              <w:rPr>
                <w:rFonts w:ascii="Arial" w:cs="Arial" w:eastAsia="Arial" w:hAnsi="Arial"/>
                <w:sz w:val="17"/>
                <w:szCs w:val="17"/>
                <w:color w:val="auto"/>
                <w:w w:val="89"/>
              </w:rPr>
              <w:t>*</w:t>
            </w:r>
          </w:p>
        </w:tc>
      </w:tr>
      <w:tr>
        <w:trPr>
          <w:trHeight w:val="246"/>
        </w:trPr>
        <w:tc>
          <w:tcPr>
            <w:tcW w:w="648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4180" w:type="dxa"/>
            <w:vAlign w:val="bottom"/>
            <w:shd w:val="clear" w:color="auto" w:fill="E9E9E9"/>
          </w:tcPr>
          <w:p>
            <w:pPr>
              <w:jc w:val="right"/>
              <w:ind w:right="336"/>
              <w:spacing w:after="0"/>
              <w:rPr>
                <w:sz w:val="20"/>
                <w:szCs w:val="20"/>
                <w:color w:val="auto"/>
              </w:rPr>
            </w:pPr>
            <w:r>
              <w:rPr>
                <w:rFonts w:ascii="Arial" w:cs="Arial" w:eastAsia="Arial" w:hAnsi="Arial"/>
                <w:sz w:val="17"/>
                <w:szCs w:val="17"/>
                <w:color w:val="auto"/>
              </w:rPr>
              <w:t>4,464,438</w:t>
            </w:r>
          </w:p>
        </w:tc>
        <w:tc>
          <w:tcPr>
            <w:tcW w:w="760" w:type="dxa"/>
            <w:vAlign w:val="bottom"/>
            <w:shd w:val="clear" w:color="auto" w:fill="E9E9E9"/>
          </w:tcPr>
          <w:p>
            <w:pPr>
              <w:jc w:val="center"/>
              <w:ind w:left="176"/>
              <w:spacing w:after="0"/>
              <w:rPr>
                <w:sz w:val="20"/>
                <w:szCs w:val="20"/>
                <w:color w:val="auto"/>
              </w:rPr>
            </w:pPr>
            <w:r>
              <w:rPr>
                <w:rFonts w:ascii="Arial" w:cs="Arial" w:eastAsia="Arial" w:hAnsi="Arial"/>
                <w:sz w:val="17"/>
                <w:szCs w:val="17"/>
                <w:color w:val="auto"/>
                <w:w w:val="89"/>
              </w:rPr>
              <w:t>*</w:t>
            </w:r>
          </w:p>
        </w:tc>
      </w:tr>
      <w:tr>
        <w:trPr>
          <w:trHeight w:val="222"/>
        </w:trPr>
        <w:tc>
          <w:tcPr>
            <w:tcW w:w="6480" w:type="dxa"/>
            <w:vAlign w:val="bottom"/>
          </w:tcPr>
          <w:p>
            <w:pPr>
              <w:spacing w:after="0"/>
              <w:rPr>
                <w:sz w:val="20"/>
                <w:szCs w:val="20"/>
                <w:color w:val="auto"/>
              </w:rPr>
            </w:pPr>
            <w:r>
              <w:rPr>
                <w:rFonts w:ascii="Arial" w:cs="Arial" w:eastAsia="Arial" w:hAnsi="Arial"/>
                <w:sz w:val="17"/>
                <w:szCs w:val="17"/>
                <w:color w:val="auto"/>
              </w:rPr>
              <w:t>C. T. Whitman</w:t>
            </w:r>
          </w:p>
        </w:tc>
        <w:tc>
          <w:tcPr>
            <w:tcW w:w="4180" w:type="dxa"/>
            <w:vAlign w:val="bottom"/>
          </w:tcPr>
          <w:p>
            <w:pPr>
              <w:jc w:val="right"/>
              <w:ind w:right="336"/>
              <w:spacing w:after="0"/>
              <w:rPr>
                <w:sz w:val="20"/>
                <w:szCs w:val="20"/>
                <w:color w:val="auto"/>
              </w:rPr>
            </w:pPr>
            <w:r>
              <w:rPr>
                <w:rFonts w:ascii="Arial" w:cs="Arial" w:eastAsia="Arial" w:hAnsi="Arial"/>
                <w:sz w:val="17"/>
                <w:szCs w:val="17"/>
                <w:color w:val="auto"/>
              </w:rPr>
              <w:t>110,277</w:t>
            </w:r>
          </w:p>
        </w:tc>
        <w:tc>
          <w:tcPr>
            <w:tcW w:w="760" w:type="dxa"/>
            <w:vAlign w:val="bottom"/>
          </w:tcPr>
          <w:p>
            <w:pPr>
              <w:jc w:val="center"/>
              <w:ind w:left="176"/>
              <w:spacing w:after="0"/>
              <w:rPr>
                <w:sz w:val="20"/>
                <w:szCs w:val="20"/>
                <w:color w:val="auto"/>
              </w:rPr>
            </w:pPr>
            <w:r>
              <w:rPr>
                <w:rFonts w:ascii="Arial" w:cs="Arial" w:eastAsia="Arial" w:hAnsi="Arial"/>
                <w:sz w:val="17"/>
                <w:szCs w:val="17"/>
                <w:color w:val="auto"/>
                <w:w w:val="89"/>
              </w:rPr>
              <w:t>*</w:t>
            </w:r>
          </w:p>
        </w:tc>
      </w:tr>
      <w:tr>
        <w:trPr>
          <w:trHeight w:val="254"/>
        </w:trPr>
        <w:tc>
          <w:tcPr>
            <w:tcW w:w="648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38"/>
        </w:trPr>
        <w:tc>
          <w:tcPr>
            <w:tcW w:w="6480" w:type="dxa"/>
            <w:vAlign w:val="bottom"/>
            <w:shd w:val="clear" w:color="auto" w:fill="E9E9E9"/>
          </w:tcPr>
          <w:p>
            <w:pPr>
              <w:spacing w:after="0"/>
              <w:rPr>
                <w:sz w:val="20"/>
                <w:szCs w:val="20"/>
                <w:color w:val="auto"/>
              </w:rPr>
            </w:pPr>
            <w:r>
              <w:rPr>
                <w:rFonts w:ascii="Arial" w:cs="Arial" w:eastAsia="Arial" w:hAnsi="Arial"/>
                <w:sz w:val="17"/>
                <w:szCs w:val="17"/>
                <w:b w:val="1"/>
                <w:bCs w:val="1"/>
                <w:color w:val="auto"/>
              </w:rPr>
              <w:t>Management (2)</w:t>
            </w:r>
          </w:p>
        </w:tc>
        <w:tc>
          <w:tcPr>
            <w:tcW w:w="4180" w:type="dxa"/>
            <w:vAlign w:val="bottom"/>
            <w:shd w:val="clear" w:color="auto" w:fill="E9E9E9"/>
          </w:tcPr>
          <w:p>
            <w:pPr>
              <w:spacing w:after="0"/>
              <w:rPr>
                <w:sz w:val="20"/>
                <w:szCs w:val="20"/>
                <w:color w:val="auto"/>
              </w:rPr>
            </w:pPr>
          </w:p>
        </w:tc>
        <w:tc>
          <w:tcPr>
            <w:tcW w:w="760" w:type="dxa"/>
            <w:vAlign w:val="bottom"/>
            <w:shd w:val="clear" w:color="auto" w:fill="E9E9E9"/>
          </w:tcPr>
          <w:p>
            <w:pPr>
              <w:spacing w:after="0"/>
              <w:rPr>
                <w:sz w:val="20"/>
                <w:szCs w:val="20"/>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7"/>
                <w:szCs w:val="17"/>
                <w:color w:val="auto"/>
              </w:rPr>
              <w:t>K. P. March</w:t>
            </w:r>
          </w:p>
        </w:tc>
        <w:tc>
          <w:tcPr>
            <w:tcW w:w="4180" w:type="dxa"/>
            <w:vAlign w:val="bottom"/>
          </w:tcPr>
          <w:p>
            <w:pPr>
              <w:jc w:val="right"/>
              <w:ind w:right="336"/>
              <w:spacing w:after="0"/>
              <w:rPr>
                <w:sz w:val="20"/>
                <w:szCs w:val="20"/>
                <w:color w:val="auto"/>
              </w:rPr>
            </w:pPr>
            <w:r>
              <w:rPr>
                <w:rFonts w:ascii="Arial" w:cs="Arial" w:eastAsia="Arial" w:hAnsi="Arial"/>
                <w:sz w:val="17"/>
                <w:szCs w:val="17"/>
                <w:color w:val="auto"/>
              </w:rPr>
              <w:t>828,106</w:t>
            </w:r>
          </w:p>
        </w:tc>
        <w:tc>
          <w:tcPr>
            <w:tcW w:w="760" w:type="dxa"/>
            <w:vAlign w:val="bottom"/>
          </w:tcPr>
          <w:p>
            <w:pPr>
              <w:jc w:val="center"/>
              <w:ind w:left="176"/>
              <w:spacing w:after="0"/>
              <w:rPr>
                <w:sz w:val="20"/>
                <w:szCs w:val="20"/>
                <w:color w:val="auto"/>
              </w:rPr>
            </w:pPr>
            <w:r>
              <w:rPr>
                <w:rFonts w:ascii="Arial" w:cs="Arial" w:eastAsia="Arial" w:hAnsi="Arial"/>
                <w:sz w:val="17"/>
                <w:szCs w:val="17"/>
                <w:color w:val="auto"/>
                <w:w w:val="89"/>
              </w:rPr>
              <w:t>*</w:t>
            </w:r>
          </w:p>
        </w:tc>
      </w:tr>
      <w:tr>
        <w:trPr>
          <w:trHeight w:val="246"/>
        </w:trPr>
        <w:tc>
          <w:tcPr>
            <w:tcW w:w="6480" w:type="dxa"/>
            <w:vAlign w:val="bottom"/>
            <w:shd w:val="clear" w:color="auto" w:fill="E9E9E9"/>
          </w:tcPr>
          <w:p>
            <w:pPr>
              <w:spacing w:after="0"/>
              <w:rPr>
                <w:sz w:val="20"/>
                <w:szCs w:val="20"/>
                <w:color w:val="auto"/>
              </w:rPr>
            </w:pPr>
            <w:r>
              <w:rPr>
                <w:rFonts w:ascii="Arial" w:cs="Arial" w:eastAsia="Arial" w:hAnsi="Arial"/>
                <w:sz w:val="17"/>
                <w:szCs w:val="17"/>
                <w:color w:val="auto"/>
              </w:rPr>
              <w:t>B. T. Crutcher</w:t>
            </w:r>
          </w:p>
        </w:tc>
        <w:tc>
          <w:tcPr>
            <w:tcW w:w="4180" w:type="dxa"/>
            <w:vAlign w:val="bottom"/>
            <w:shd w:val="clear" w:color="auto" w:fill="E9E9E9"/>
          </w:tcPr>
          <w:p>
            <w:pPr>
              <w:jc w:val="right"/>
              <w:ind w:right="336"/>
              <w:spacing w:after="0"/>
              <w:rPr>
                <w:sz w:val="20"/>
                <w:szCs w:val="20"/>
                <w:color w:val="auto"/>
              </w:rPr>
            </w:pPr>
            <w:r>
              <w:rPr>
                <w:rFonts w:ascii="Arial" w:cs="Arial" w:eastAsia="Arial" w:hAnsi="Arial"/>
                <w:sz w:val="17"/>
                <w:szCs w:val="17"/>
                <w:color w:val="auto"/>
              </w:rPr>
              <w:t>677,625</w:t>
            </w:r>
          </w:p>
        </w:tc>
        <w:tc>
          <w:tcPr>
            <w:tcW w:w="760" w:type="dxa"/>
            <w:vAlign w:val="bottom"/>
            <w:shd w:val="clear" w:color="auto" w:fill="E9E9E9"/>
          </w:tcPr>
          <w:p>
            <w:pPr>
              <w:jc w:val="center"/>
              <w:ind w:left="176"/>
              <w:spacing w:after="0"/>
              <w:rPr>
                <w:sz w:val="20"/>
                <w:szCs w:val="20"/>
                <w:color w:val="auto"/>
              </w:rPr>
            </w:pPr>
            <w:r>
              <w:rPr>
                <w:rFonts w:ascii="Arial" w:cs="Arial" w:eastAsia="Arial" w:hAnsi="Arial"/>
                <w:sz w:val="17"/>
                <w:szCs w:val="17"/>
                <w:color w:val="auto"/>
                <w:w w:val="89"/>
              </w:rPr>
              <w:t>*</w:t>
            </w:r>
          </w:p>
        </w:tc>
      </w:tr>
      <w:tr>
        <w:trPr>
          <w:trHeight w:val="230"/>
        </w:trPr>
        <w:tc>
          <w:tcPr>
            <w:tcW w:w="6480" w:type="dxa"/>
            <w:vAlign w:val="bottom"/>
          </w:tcPr>
          <w:p>
            <w:pPr>
              <w:spacing w:after="0"/>
              <w:rPr>
                <w:sz w:val="20"/>
                <w:szCs w:val="20"/>
                <w:color w:val="auto"/>
              </w:rPr>
            </w:pPr>
            <w:r>
              <w:rPr>
                <w:rFonts w:ascii="Arial" w:cs="Arial" w:eastAsia="Arial" w:hAnsi="Arial"/>
                <w:sz w:val="17"/>
                <w:szCs w:val="17"/>
                <w:color w:val="auto"/>
              </w:rPr>
              <w:t>S. A. Anderson</w:t>
            </w:r>
          </w:p>
        </w:tc>
        <w:tc>
          <w:tcPr>
            <w:tcW w:w="4180" w:type="dxa"/>
            <w:vAlign w:val="bottom"/>
          </w:tcPr>
          <w:p>
            <w:pPr>
              <w:jc w:val="right"/>
              <w:ind w:right="336"/>
              <w:spacing w:after="0"/>
              <w:rPr>
                <w:sz w:val="20"/>
                <w:szCs w:val="20"/>
                <w:color w:val="auto"/>
              </w:rPr>
            </w:pPr>
            <w:r>
              <w:rPr>
                <w:rFonts w:ascii="Arial" w:cs="Arial" w:eastAsia="Arial" w:hAnsi="Arial"/>
                <w:sz w:val="17"/>
                <w:szCs w:val="17"/>
                <w:color w:val="auto"/>
              </w:rPr>
              <w:t>544,087</w:t>
            </w:r>
          </w:p>
        </w:tc>
        <w:tc>
          <w:tcPr>
            <w:tcW w:w="760" w:type="dxa"/>
            <w:vAlign w:val="bottom"/>
          </w:tcPr>
          <w:p>
            <w:pPr>
              <w:jc w:val="center"/>
              <w:ind w:left="176"/>
              <w:spacing w:after="0"/>
              <w:rPr>
                <w:sz w:val="20"/>
                <w:szCs w:val="20"/>
                <w:color w:val="auto"/>
              </w:rPr>
            </w:pPr>
            <w:r>
              <w:rPr>
                <w:rFonts w:ascii="Arial" w:cs="Arial" w:eastAsia="Arial" w:hAnsi="Arial"/>
                <w:sz w:val="17"/>
                <w:szCs w:val="17"/>
                <w:color w:val="auto"/>
                <w:w w:val="89"/>
              </w:rPr>
              <w:t>*</w:t>
            </w:r>
          </w:p>
        </w:tc>
      </w:tr>
      <w:tr>
        <w:trPr>
          <w:trHeight w:val="230"/>
        </w:trPr>
        <w:tc>
          <w:tcPr>
            <w:tcW w:w="648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4180" w:type="dxa"/>
            <w:vAlign w:val="bottom"/>
            <w:shd w:val="clear" w:color="auto" w:fill="E9E9E9"/>
          </w:tcPr>
          <w:p>
            <w:pPr>
              <w:jc w:val="right"/>
              <w:ind w:right="336"/>
              <w:spacing w:after="0"/>
              <w:rPr>
                <w:sz w:val="20"/>
                <w:szCs w:val="20"/>
                <w:color w:val="auto"/>
              </w:rPr>
            </w:pPr>
            <w:r>
              <w:rPr>
                <w:rFonts w:ascii="Arial" w:cs="Arial" w:eastAsia="Arial" w:hAnsi="Arial"/>
                <w:sz w:val="17"/>
                <w:szCs w:val="17"/>
                <w:color w:val="auto"/>
              </w:rPr>
              <w:t>420,910</w:t>
            </w:r>
          </w:p>
        </w:tc>
        <w:tc>
          <w:tcPr>
            <w:tcW w:w="760" w:type="dxa"/>
            <w:vAlign w:val="bottom"/>
            <w:shd w:val="clear" w:color="auto" w:fill="E9E9E9"/>
          </w:tcPr>
          <w:p>
            <w:pPr>
              <w:jc w:val="center"/>
              <w:ind w:left="176"/>
              <w:spacing w:after="0"/>
              <w:rPr>
                <w:sz w:val="20"/>
                <w:szCs w:val="20"/>
                <w:color w:val="auto"/>
              </w:rPr>
            </w:pPr>
            <w:r>
              <w:rPr>
                <w:rFonts w:ascii="Arial" w:cs="Arial" w:eastAsia="Arial" w:hAnsi="Arial"/>
                <w:sz w:val="17"/>
                <w:szCs w:val="17"/>
                <w:color w:val="auto"/>
                <w:w w:val="89"/>
              </w:rPr>
              <w:t>*</w:t>
            </w:r>
          </w:p>
        </w:tc>
      </w:tr>
      <w:tr>
        <w:trPr>
          <w:trHeight w:val="254"/>
        </w:trPr>
        <w:tc>
          <w:tcPr>
            <w:tcW w:w="6480" w:type="dxa"/>
            <w:vAlign w:val="bottom"/>
            <w:shd w:val="clear" w:color="auto" w:fill="E9E9E9"/>
          </w:tcPr>
          <w:p>
            <w:pPr>
              <w:spacing w:after="0"/>
              <w:rPr>
                <w:sz w:val="22"/>
                <w:szCs w:val="22"/>
                <w:color w:val="auto"/>
              </w:rPr>
            </w:pPr>
          </w:p>
        </w:tc>
        <w:tc>
          <w:tcPr>
            <w:tcW w:w="4180" w:type="dxa"/>
            <w:vAlign w:val="bottom"/>
            <w:shd w:val="clear" w:color="auto" w:fill="E9E9E9"/>
          </w:tcPr>
          <w:p>
            <w:pPr>
              <w:spacing w:after="0"/>
              <w:rPr>
                <w:sz w:val="22"/>
                <w:szCs w:val="22"/>
                <w:color w:val="auto"/>
              </w:rPr>
            </w:pPr>
          </w:p>
        </w:tc>
        <w:tc>
          <w:tcPr>
            <w:tcW w:w="760" w:type="dxa"/>
            <w:vAlign w:val="bottom"/>
            <w:shd w:val="clear" w:color="auto" w:fill="E9E9E9"/>
          </w:tcPr>
          <w:p>
            <w:pPr>
              <w:spacing w:after="0"/>
              <w:rPr>
                <w:sz w:val="22"/>
                <w:szCs w:val="22"/>
                <w:color w:val="auto"/>
              </w:rPr>
            </w:pPr>
          </w:p>
        </w:tc>
      </w:tr>
      <w:tr>
        <w:trPr>
          <w:trHeight w:val="222"/>
        </w:trPr>
        <w:tc>
          <w:tcPr>
            <w:tcW w:w="6480" w:type="dxa"/>
            <w:vAlign w:val="bottom"/>
          </w:tcPr>
          <w:p>
            <w:pPr>
              <w:spacing w:after="0"/>
              <w:rPr>
                <w:sz w:val="20"/>
                <w:szCs w:val="20"/>
                <w:color w:val="auto"/>
              </w:rPr>
            </w:pPr>
            <w:r>
              <w:rPr>
                <w:rFonts w:ascii="Arial" w:cs="Arial" w:eastAsia="Arial" w:hAnsi="Arial"/>
                <w:sz w:val="17"/>
                <w:szCs w:val="17"/>
                <w:color w:val="auto"/>
              </w:rPr>
              <w:t>All executive officers and directors as a group (3)</w:t>
            </w:r>
          </w:p>
        </w:tc>
        <w:tc>
          <w:tcPr>
            <w:tcW w:w="4180" w:type="dxa"/>
            <w:vAlign w:val="bottom"/>
          </w:tcPr>
          <w:p>
            <w:pPr>
              <w:jc w:val="right"/>
              <w:ind w:right="336"/>
              <w:spacing w:after="0"/>
              <w:rPr>
                <w:sz w:val="20"/>
                <w:szCs w:val="20"/>
                <w:color w:val="auto"/>
              </w:rPr>
            </w:pPr>
            <w:r>
              <w:rPr>
                <w:rFonts w:ascii="Arial" w:cs="Arial" w:eastAsia="Arial" w:hAnsi="Arial"/>
                <w:sz w:val="17"/>
                <w:szCs w:val="17"/>
                <w:color w:val="auto"/>
              </w:rPr>
              <w:t>10,384,904</w:t>
            </w:r>
          </w:p>
        </w:tc>
        <w:tc>
          <w:tcPr>
            <w:tcW w:w="760" w:type="dxa"/>
            <w:vAlign w:val="bottom"/>
          </w:tcPr>
          <w:p>
            <w:pPr>
              <w:jc w:val="center"/>
              <w:ind w:left="176"/>
              <w:spacing w:after="0"/>
              <w:rPr>
                <w:sz w:val="20"/>
                <w:szCs w:val="20"/>
                <w:color w:val="auto"/>
              </w:rPr>
            </w:pPr>
            <w:r>
              <w:rPr>
                <w:rFonts w:ascii="Arial" w:cs="Arial" w:eastAsia="Arial" w:hAnsi="Arial"/>
                <w:sz w:val="17"/>
                <w:szCs w:val="17"/>
                <w:color w:val="auto"/>
                <w:w w:val="89"/>
              </w:rPr>
              <w:t>*</w:t>
            </w:r>
          </w:p>
        </w:tc>
      </w:tr>
    </w:tbl>
    <w:p>
      <w:pPr>
        <w:spacing w:after="0" w:line="200" w:lineRule="exact"/>
        <w:rPr>
          <w:sz w:val="20"/>
          <w:szCs w:val="20"/>
          <w:color w:val="auto"/>
        </w:rPr>
      </w:pPr>
    </w:p>
    <w:p>
      <w:pPr>
        <w:spacing w:after="0" w:line="268" w:lineRule="exact"/>
        <w:rPr>
          <w:sz w:val="20"/>
          <w:szCs w:val="20"/>
          <w:color w:val="auto"/>
        </w:rPr>
      </w:pPr>
    </w:p>
    <w:p>
      <w:pPr>
        <w:ind w:left="320" w:hanging="314"/>
        <w:spacing w:after="0"/>
        <w:tabs>
          <w:tab w:leader="none" w:pos="3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less than 1 percent</w:t>
      </w:r>
    </w:p>
    <w:p>
      <w:pPr>
        <w:spacing w:after="0" w:line="214" w:lineRule="exact"/>
        <w:rPr>
          <w:sz w:val="20"/>
          <w:szCs w:val="20"/>
          <w:color w:val="auto"/>
        </w:rPr>
      </w:pPr>
    </w:p>
    <w:p>
      <w:pPr>
        <w:ind w:left="460" w:hanging="454"/>
        <w:spacing w:after="0"/>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Included in the shares owned shown above are: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jc w:val="center"/>
              <w:ind w:left="120"/>
              <w:spacing w:after="0"/>
              <w:rPr>
                <w:sz w:val="20"/>
                <w:szCs w:val="20"/>
                <w:color w:val="auto"/>
              </w:rPr>
            </w:pPr>
            <w:r>
              <w:rPr>
                <w:rFonts w:ascii="Arial" w:cs="Arial" w:eastAsia="Arial" w:hAnsi="Arial"/>
                <w:sz w:val="13"/>
                <w:szCs w:val="13"/>
                <w:b w:val="1"/>
                <w:bCs w:val="1"/>
                <w:color w:val="auto"/>
              </w:rPr>
              <w:t>Shares</w:t>
            </w:r>
          </w:p>
        </w:tc>
      </w:tr>
      <w:tr>
        <w:trPr>
          <w:trHeight w:val="238"/>
        </w:trPr>
        <w:tc>
          <w:tcPr>
            <w:tcW w:w="39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1200" w:type="dxa"/>
            <w:vAlign w:val="bottom"/>
          </w:tcPr>
          <w:p>
            <w:pPr>
              <w:spacing w:after="0"/>
              <w:rPr>
                <w:sz w:val="20"/>
                <w:szCs w:val="20"/>
                <w:color w:val="auto"/>
              </w:rPr>
            </w:pPr>
          </w:p>
        </w:tc>
        <w:tc>
          <w:tcPr>
            <w:tcW w:w="1160" w:type="dxa"/>
            <w:vAlign w:val="bottom"/>
          </w:tcPr>
          <w:p>
            <w:pPr>
              <w:jc w:val="center"/>
              <w:ind w:left="140"/>
              <w:spacing w:after="0"/>
              <w:rPr>
                <w:sz w:val="20"/>
                <w:szCs w:val="20"/>
                <w:color w:val="auto"/>
              </w:rPr>
            </w:pPr>
            <w:r>
              <w:rPr>
                <w:rFonts w:ascii="Arial" w:cs="Arial" w:eastAsia="Arial" w:hAnsi="Arial"/>
                <w:sz w:val="13"/>
                <w:szCs w:val="13"/>
                <w:b w:val="1"/>
                <w:bCs w:val="1"/>
                <w:color w:val="auto"/>
              </w:rPr>
              <w:t>Credited</w:t>
            </w:r>
          </w:p>
        </w:tc>
      </w:tr>
      <w:tr>
        <w:trPr>
          <w:trHeight w:val="238"/>
        </w:trPr>
        <w:tc>
          <w:tcPr>
            <w:tcW w:w="3920" w:type="dxa"/>
            <w:vAlign w:val="bottom"/>
          </w:tcPr>
          <w:p>
            <w:pPr>
              <w:spacing w:after="0"/>
              <w:rPr>
                <w:sz w:val="20"/>
                <w:szCs w:val="20"/>
                <w:color w:val="auto"/>
              </w:rPr>
            </w:pPr>
          </w:p>
        </w:tc>
        <w:tc>
          <w:tcPr>
            <w:tcW w:w="3900" w:type="dxa"/>
            <w:vAlign w:val="bottom"/>
          </w:tcPr>
          <w:p>
            <w:pPr>
              <w:jc w:val="center"/>
              <w:ind w:left="2338"/>
              <w:spacing w:after="0"/>
              <w:rPr>
                <w:sz w:val="20"/>
                <w:szCs w:val="20"/>
                <w:color w:val="auto"/>
              </w:rPr>
            </w:pPr>
            <w:r>
              <w:rPr>
                <w:rFonts w:ascii="Arial" w:cs="Arial" w:eastAsia="Arial" w:hAnsi="Arial"/>
                <w:sz w:val="13"/>
                <w:szCs w:val="13"/>
                <w:b w:val="1"/>
                <w:bCs w:val="1"/>
                <w:color w:val="auto"/>
              </w:rPr>
              <w:t>Shares</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Credited to</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RSUs</w:t>
            </w:r>
          </w:p>
        </w:tc>
        <w:tc>
          <w:tcPr>
            <w:tcW w:w="1160" w:type="dxa"/>
            <w:vAlign w:val="bottom"/>
          </w:tcPr>
          <w:p>
            <w:pPr>
              <w:jc w:val="center"/>
              <w:ind w:left="140"/>
              <w:spacing w:after="0"/>
              <w:rPr>
                <w:sz w:val="20"/>
                <w:szCs w:val="20"/>
                <w:color w:val="auto"/>
              </w:rPr>
            </w:pPr>
            <w:r>
              <w:rPr>
                <w:rFonts w:ascii="Arial" w:cs="Arial" w:eastAsia="Arial" w:hAnsi="Arial"/>
                <w:sz w:val="13"/>
                <w:szCs w:val="13"/>
                <w:b w:val="1"/>
                <w:bCs w:val="1"/>
                <w:color w:val="auto"/>
              </w:rPr>
              <w:t>to Deferred</w:t>
            </w:r>
          </w:p>
        </w:tc>
      </w:tr>
      <w:tr>
        <w:trPr>
          <w:trHeight w:val="238"/>
        </w:trPr>
        <w:tc>
          <w:tcPr>
            <w:tcW w:w="3920" w:type="dxa"/>
            <w:vAlign w:val="bottom"/>
          </w:tcPr>
          <w:p>
            <w:pPr>
              <w:spacing w:after="0"/>
              <w:rPr>
                <w:sz w:val="20"/>
                <w:szCs w:val="20"/>
                <w:color w:val="auto"/>
              </w:rPr>
            </w:pPr>
          </w:p>
        </w:tc>
        <w:tc>
          <w:tcPr>
            <w:tcW w:w="3900" w:type="dxa"/>
            <w:vAlign w:val="bottom"/>
          </w:tcPr>
          <w:p>
            <w:pPr>
              <w:jc w:val="center"/>
              <w:ind w:left="2338"/>
              <w:spacing w:after="0"/>
              <w:rPr>
                <w:sz w:val="20"/>
                <w:szCs w:val="20"/>
                <w:color w:val="auto"/>
              </w:rPr>
            </w:pPr>
            <w:r>
              <w:rPr>
                <w:rFonts w:ascii="Arial" w:cs="Arial" w:eastAsia="Arial" w:hAnsi="Arial"/>
                <w:sz w:val="13"/>
                <w:szCs w:val="13"/>
                <w:b w:val="1"/>
                <w:bCs w:val="1"/>
                <w:color w:val="auto"/>
              </w:rPr>
              <w:t>Obtainable</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401(k)</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(in Shares)</w:t>
            </w:r>
          </w:p>
        </w:tc>
        <w:tc>
          <w:tcPr>
            <w:tcW w:w="1160" w:type="dxa"/>
            <w:vAlign w:val="bottom"/>
          </w:tcPr>
          <w:p>
            <w:pPr>
              <w:jc w:val="center"/>
              <w:ind w:left="120"/>
              <w:spacing w:after="0"/>
              <w:rPr>
                <w:sz w:val="20"/>
                <w:szCs w:val="20"/>
                <w:color w:val="auto"/>
              </w:rPr>
            </w:pPr>
            <w:r>
              <w:rPr>
                <w:rFonts w:ascii="Arial" w:cs="Arial" w:eastAsia="Arial" w:hAnsi="Arial"/>
                <w:sz w:val="13"/>
                <w:szCs w:val="13"/>
                <w:b w:val="1"/>
                <w:bCs w:val="1"/>
                <w:color w:val="auto"/>
              </w:rPr>
              <w:t>Compensation</w:t>
            </w:r>
          </w:p>
        </w:tc>
      </w:tr>
      <w:tr>
        <w:trPr>
          <w:trHeight w:val="238"/>
        </w:trPr>
        <w:tc>
          <w:tcPr>
            <w:tcW w:w="3920" w:type="dxa"/>
            <w:vAlign w:val="bottom"/>
          </w:tcPr>
          <w:p>
            <w:pPr>
              <w:spacing w:after="0"/>
              <w:rPr>
                <w:sz w:val="20"/>
                <w:szCs w:val="20"/>
                <w:color w:val="auto"/>
              </w:rPr>
            </w:pPr>
            <w:r>
              <w:rPr>
                <w:rFonts w:ascii="Arial" w:cs="Arial" w:eastAsia="Arial" w:hAnsi="Arial"/>
                <w:sz w:val="13"/>
                <w:szCs w:val="13"/>
                <w:b w:val="1"/>
                <w:bCs w:val="1"/>
                <w:color w:val="auto"/>
              </w:rPr>
              <w:t>Directors</w:t>
            </w:r>
          </w:p>
        </w:tc>
        <w:tc>
          <w:tcPr>
            <w:tcW w:w="3900" w:type="dxa"/>
            <w:vAlign w:val="bottom"/>
          </w:tcPr>
          <w:p>
            <w:pPr>
              <w:jc w:val="center"/>
              <w:ind w:left="2338"/>
              <w:spacing w:after="0"/>
              <w:rPr>
                <w:sz w:val="20"/>
                <w:szCs w:val="20"/>
                <w:color w:val="auto"/>
              </w:rPr>
            </w:pPr>
            <w:r>
              <w:rPr>
                <w:rFonts w:ascii="Arial" w:cs="Arial" w:eastAsia="Arial" w:hAnsi="Arial"/>
                <w:sz w:val="13"/>
                <w:szCs w:val="13"/>
                <w:b w:val="1"/>
                <w:bCs w:val="1"/>
                <w:color w:val="auto"/>
              </w:rPr>
              <w:t>within 60 Days</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9"/>
              </w:rPr>
              <w:t>Account</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(a)</w:t>
            </w:r>
          </w:p>
        </w:tc>
        <w:tc>
          <w:tcPr>
            <w:tcW w:w="1160" w:type="dxa"/>
            <w:vAlign w:val="bottom"/>
          </w:tcPr>
          <w:p>
            <w:pPr>
              <w:jc w:val="center"/>
              <w:ind w:left="140"/>
              <w:spacing w:after="0"/>
              <w:rPr>
                <w:sz w:val="20"/>
                <w:szCs w:val="20"/>
                <w:color w:val="auto"/>
              </w:rPr>
            </w:pPr>
            <w:r>
              <w:rPr>
                <w:rFonts w:ascii="Arial" w:cs="Arial" w:eastAsia="Arial" w:hAnsi="Arial"/>
                <w:sz w:val="13"/>
                <w:szCs w:val="13"/>
                <w:b w:val="1"/>
                <w:bCs w:val="1"/>
                <w:color w:val="auto"/>
              </w:rPr>
              <w:t>Accounts (b)</w:t>
            </w:r>
          </w:p>
        </w:tc>
      </w:tr>
      <w:tr>
        <w:trPr>
          <w:trHeight w:val="41"/>
        </w:trPr>
        <w:tc>
          <w:tcPr>
            <w:tcW w:w="3920" w:type="dxa"/>
            <w:vAlign w:val="bottom"/>
            <w:tcBorders>
              <w:bottom w:val="single" w:sz="8" w:color="auto"/>
            </w:tcBorders>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1"/>
        </w:trPr>
        <w:tc>
          <w:tcPr>
            <w:tcW w:w="3920" w:type="dxa"/>
            <w:vAlign w:val="bottom"/>
            <w:shd w:val="clear" w:color="auto" w:fill="E9E9E9"/>
          </w:tcPr>
          <w:p>
            <w:pPr>
              <w:spacing w:after="0"/>
              <w:rPr>
                <w:sz w:val="20"/>
                <w:szCs w:val="20"/>
                <w:color w:val="auto"/>
              </w:rPr>
            </w:pPr>
            <w:r>
              <w:rPr>
                <w:rFonts w:ascii="Arial" w:cs="Arial" w:eastAsia="Arial" w:hAnsi="Arial"/>
                <w:sz w:val="17"/>
                <w:szCs w:val="17"/>
                <w:color w:val="auto"/>
              </w:rPr>
              <w:t>R. W. Babb, Jr.</w:t>
            </w:r>
          </w:p>
        </w:tc>
        <w:tc>
          <w:tcPr>
            <w:tcW w:w="3900" w:type="dxa"/>
            <w:vAlign w:val="bottom"/>
            <w:shd w:val="clear" w:color="auto" w:fill="E9E9E9"/>
          </w:tcPr>
          <w:p>
            <w:pPr>
              <w:jc w:val="right"/>
              <w:ind w:right="258"/>
              <w:spacing w:after="0"/>
              <w:rPr>
                <w:sz w:val="20"/>
                <w:szCs w:val="20"/>
                <w:color w:val="auto"/>
              </w:rPr>
            </w:pPr>
            <w:r>
              <w:rPr>
                <w:rFonts w:ascii="Arial" w:cs="Arial" w:eastAsia="Arial" w:hAnsi="Arial"/>
                <w:sz w:val="17"/>
                <w:szCs w:val="17"/>
                <w:color w:val="auto"/>
              </w:rPr>
              <w:t>29,567</w:t>
            </w:r>
          </w:p>
        </w:tc>
        <w:tc>
          <w:tcPr>
            <w:tcW w:w="1240" w:type="dxa"/>
            <w:vAlign w:val="bottom"/>
            <w:shd w:val="clear" w:color="auto" w:fill="E9E9E9"/>
          </w:tcPr>
          <w:p>
            <w:pPr>
              <w:jc w:val="right"/>
              <w:ind w:right="299"/>
              <w:spacing w:after="0"/>
              <w:rPr>
                <w:sz w:val="20"/>
                <w:szCs w:val="20"/>
                <w:color w:val="auto"/>
              </w:rPr>
            </w:pPr>
            <w:r>
              <w:rPr>
                <w:rFonts w:ascii="Arial" w:cs="Arial" w:eastAsia="Arial" w:hAnsi="Arial"/>
                <w:sz w:val="17"/>
                <w:szCs w:val="17"/>
                <w:color w:val="auto"/>
              </w:rPr>
              <w:t>—</w:t>
            </w:r>
          </w:p>
        </w:tc>
        <w:tc>
          <w:tcPr>
            <w:tcW w:w="1200" w:type="dxa"/>
            <w:vAlign w:val="bottom"/>
            <w:shd w:val="clear" w:color="auto" w:fill="E9E9E9"/>
          </w:tcPr>
          <w:p>
            <w:pPr>
              <w:jc w:val="right"/>
              <w:ind w:right="178"/>
              <w:spacing w:after="0"/>
              <w:rPr>
                <w:sz w:val="20"/>
                <w:szCs w:val="20"/>
                <w:color w:val="auto"/>
              </w:rPr>
            </w:pPr>
            <w:r>
              <w:rPr>
                <w:rFonts w:ascii="Arial" w:cs="Arial" w:eastAsia="Arial" w:hAnsi="Arial"/>
                <w:sz w:val="17"/>
                <w:szCs w:val="17"/>
                <w:color w:val="auto"/>
              </w:rPr>
              <w:t>13,293</w:t>
            </w:r>
          </w:p>
        </w:tc>
        <w:tc>
          <w:tcPr>
            <w:tcW w:w="1160" w:type="dxa"/>
            <w:vAlign w:val="bottom"/>
            <w:shd w:val="clear" w:color="auto" w:fill="E9E9E9"/>
          </w:tcPr>
          <w:p>
            <w:pPr>
              <w:jc w:val="right"/>
              <w:ind w:right="120"/>
              <w:spacing w:after="0"/>
              <w:rPr>
                <w:sz w:val="20"/>
                <w:szCs w:val="20"/>
                <w:color w:val="auto"/>
              </w:rPr>
            </w:pPr>
            <w:r>
              <w:rPr>
                <w:rFonts w:ascii="Arial" w:cs="Arial" w:eastAsia="Arial" w:hAnsi="Arial"/>
                <w:sz w:val="17"/>
                <w:szCs w:val="17"/>
                <w:color w:val="auto"/>
              </w:rPr>
              <w:t>14,143</w:t>
            </w:r>
          </w:p>
        </w:tc>
      </w:tr>
      <w:tr>
        <w:trPr>
          <w:trHeight w:val="230"/>
        </w:trPr>
        <w:tc>
          <w:tcPr>
            <w:tcW w:w="3920" w:type="dxa"/>
            <w:vAlign w:val="bottom"/>
          </w:tcPr>
          <w:p>
            <w:pPr>
              <w:spacing w:after="0"/>
              <w:rPr>
                <w:sz w:val="20"/>
                <w:szCs w:val="20"/>
                <w:color w:val="auto"/>
              </w:rPr>
            </w:pPr>
            <w:r>
              <w:rPr>
                <w:rFonts w:ascii="Arial" w:cs="Arial" w:eastAsia="Arial" w:hAnsi="Arial"/>
                <w:sz w:val="17"/>
                <w:szCs w:val="17"/>
                <w:color w:val="auto"/>
              </w:rPr>
              <w:t>M. A. Blinn</w:t>
            </w:r>
          </w:p>
        </w:tc>
        <w:tc>
          <w:tcPr>
            <w:tcW w:w="3900" w:type="dxa"/>
            <w:vAlign w:val="bottom"/>
          </w:tcPr>
          <w:p>
            <w:pPr>
              <w:jc w:val="right"/>
              <w:ind w:right="258"/>
              <w:spacing w:after="0"/>
              <w:rPr>
                <w:sz w:val="20"/>
                <w:szCs w:val="20"/>
                <w:color w:val="auto"/>
              </w:rPr>
            </w:pPr>
            <w:r>
              <w:rPr>
                <w:rFonts w:ascii="Arial" w:cs="Arial" w:eastAsia="Arial" w:hAnsi="Arial"/>
                <w:sz w:val="17"/>
                <w:szCs w:val="17"/>
                <w:color w:val="auto"/>
              </w:rPr>
              <w:t>3,074</w:t>
            </w:r>
          </w:p>
        </w:tc>
        <w:tc>
          <w:tcPr>
            <w:tcW w:w="1240" w:type="dxa"/>
            <w:vAlign w:val="bottom"/>
          </w:tcPr>
          <w:p>
            <w:pPr>
              <w:jc w:val="right"/>
              <w:ind w:right="299"/>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78"/>
              <w:spacing w:after="0"/>
              <w:rPr>
                <w:sz w:val="20"/>
                <w:szCs w:val="20"/>
                <w:color w:val="auto"/>
              </w:rPr>
            </w:pPr>
            <w:r>
              <w:rPr>
                <w:rFonts w:ascii="Arial" w:cs="Arial" w:eastAsia="Arial" w:hAnsi="Arial"/>
                <w:sz w:val="17"/>
                <w:szCs w:val="17"/>
                <w:color w:val="auto"/>
              </w:rPr>
              <w:t>4,268</w:t>
            </w:r>
          </w:p>
        </w:tc>
        <w:tc>
          <w:tcPr>
            <w:tcW w:w="1160" w:type="dxa"/>
            <w:vAlign w:val="bottom"/>
          </w:tcPr>
          <w:p>
            <w:pPr>
              <w:jc w:val="right"/>
              <w:ind w:right="120"/>
              <w:spacing w:after="0"/>
              <w:rPr>
                <w:sz w:val="20"/>
                <w:szCs w:val="20"/>
                <w:color w:val="auto"/>
              </w:rPr>
            </w:pPr>
            <w:r>
              <w:rPr>
                <w:rFonts w:ascii="Arial" w:cs="Arial" w:eastAsia="Arial" w:hAnsi="Arial"/>
                <w:sz w:val="17"/>
                <w:szCs w:val="17"/>
                <w:color w:val="auto"/>
              </w:rPr>
              <w:t>3,734</w:t>
            </w:r>
          </w:p>
        </w:tc>
      </w:tr>
      <w:tr>
        <w:trPr>
          <w:trHeight w:val="246"/>
        </w:trPr>
        <w:tc>
          <w:tcPr>
            <w:tcW w:w="3920" w:type="dxa"/>
            <w:vAlign w:val="bottom"/>
            <w:shd w:val="clear" w:color="auto" w:fill="E9E9E9"/>
          </w:tcPr>
          <w:p>
            <w:pPr>
              <w:spacing w:after="0"/>
              <w:rPr>
                <w:sz w:val="20"/>
                <w:szCs w:val="20"/>
                <w:color w:val="auto"/>
              </w:rPr>
            </w:pPr>
            <w:r>
              <w:rPr>
                <w:rFonts w:ascii="Arial" w:cs="Arial" w:eastAsia="Arial" w:hAnsi="Arial"/>
                <w:sz w:val="17"/>
                <w:szCs w:val="17"/>
                <w:color w:val="auto"/>
              </w:rPr>
              <w:t>D. A. Carp</w:t>
            </w:r>
          </w:p>
        </w:tc>
        <w:tc>
          <w:tcPr>
            <w:tcW w:w="3900" w:type="dxa"/>
            <w:vAlign w:val="bottom"/>
            <w:shd w:val="clear" w:color="auto" w:fill="E9E9E9"/>
          </w:tcPr>
          <w:p>
            <w:pPr>
              <w:jc w:val="right"/>
              <w:ind w:right="258"/>
              <w:spacing w:after="0"/>
              <w:rPr>
                <w:sz w:val="20"/>
                <w:szCs w:val="20"/>
                <w:color w:val="auto"/>
              </w:rPr>
            </w:pPr>
            <w:r>
              <w:rPr>
                <w:rFonts w:ascii="Arial" w:cs="Arial" w:eastAsia="Arial" w:hAnsi="Arial"/>
                <w:sz w:val="17"/>
                <w:szCs w:val="17"/>
                <w:color w:val="auto"/>
              </w:rPr>
              <w:t>72,567</w:t>
            </w:r>
          </w:p>
        </w:tc>
        <w:tc>
          <w:tcPr>
            <w:tcW w:w="1240" w:type="dxa"/>
            <w:vAlign w:val="bottom"/>
            <w:shd w:val="clear" w:color="auto" w:fill="E9E9E9"/>
          </w:tcPr>
          <w:p>
            <w:pPr>
              <w:jc w:val="right"/>
              <w:ind w:right="299"/>
              <w:spacing w:after="0"/>
              <w:rPr>
                <w:sz w:val="20"/>
                <w:szCs w:val="20"/>
                <w:color w:val="auto"/>
              </w:rPr>
            </w:pPr>
            <w:r>
              <w:rPr>
                <w:rFonts w:ascii="Arial" w:cs="Arial" w:eastAsia="Arial" w:hAnsi="Arial"/>
                <w:sz w:val="17"/>
                <w:szCs w:val="17"/>
                <w:color w:val="auto"/>
              </w:rPr>
              <w:t>—</w:t>
            </w:r>
          </w:p>
        </w:tc>
        <w:tc>
          <w:tcPr>
            <w:tcW w:w="1200" w:type="dxa"/>
            <w:vAlign w:val="bottom"/>
            <w:shd w:val="clear" w:color="auto" w:fill="E9E9E9"/>
          </w:tcPr>
          <w:p>
            <w:pPr>
              <w:jc w:val="right"/>
              <w:ind w:right="178"/>
              <w:spacing w:after="0"/>
              <w:rPr>
                <w:sz w:val="20"/>
                <w:szCs w:val="20"/>
                <w:color w:val="auto"/>
              </w:rPr>
            </w:pPr>
            <w:r>
              <w:rPr>
                <w:rFonts w:ascii="Arial" w:cs="Arial" w:eastAsia="Arial" w:hAnsi="Arial"/>
                <w:sz w:val="17"/>
                <w:szCs w:val="17"/>
                <w:color w:val="auto"/>
              </w:rPr>
              <w:t>29,957</w:t>
            </w:r>
          </w:p>
        </w:tc>
        <w:tc>
          <w:tcPr>
            <w:tcW w:w="1160" w:type="dxa"/>
            <w:vAlign w:val="bottom"/>
            <w:shd w:val="clear" w:color="auto" w:fill="E9E9E9"/>
          </w:tcPr>
          <w:p>
            <w:pPr>
              <w:jc w:val="right"/>
              <w:ind w:right="120"/>
              <w:spacing w:after="0"/>
              <w:rPr>
                <w:sz w:val="20"/>
                <w:szCs w:val="20"/>
                <w:color w:val="auto"/>
              </w:rPr>
            </w:pPr>
            <w:r>
              <w:rPr>
                <w:rFonts w:ascii="Arial" w:cs="Arial" w:eastAsia="Arial" w:hAnsi="Arial"/>
                <w:sz w:val="17"/>
                <w:szCs w:val="17"/>
                <w:color w:val="auto"/>
              </w:rPr>
              <w:t>37,466</w:t>
            </w:r>
          </w:p>
        </w:tc>
      </w:tr>
      <w:tr>
        <w:trPr>
          <w:trHeight w:val="230"/>
        </w:trPr>
        <w:tc>
          <w:tcPr>
            <w:tcW w:w="3920" w:type="dxa"/>
            <w:vAlign w:val="bottom"/>
          </w:tcPr>
          <w:p>
            <w:pPr>
              <w:spacing w:after="0"/>
              <w:rPr>
                <w:sz w:val="20"/>
                <w:szCs w:val="20"/>
                <w:color w:val="auto"/>
              </w:rPr>
            </w:pPr>
            <w:r>
              <w:rPr>
                <w:rFonts w:ascii="Arial" w:cs="Arial" w:eastAsia="Arial" w:hAnsi="Arial"/>
                <w:sz w:val="17"/>
                <w:szCs w:val="17"/>
                <w:color w:val="auto"/>
              </w:rPr>
              <w:t>C. S. Cox</w:t>
            </w:r>
          </w:p>
        </w:tc>
        <w:tc>
          <w:tcPr>
            <w:tcW w:w="3900" w:type="dxa"/>
            <w:vAlign w:val="bottom"/>
          </w:tcPr>
          <w:p>
            <w:pPr>
              <w:jc w:val="right"/>
              <w:ind w:right="258"/>
              <w:spacing w:after="0"/>
              <w:rPr>
                <w:sz w:val="20"/>
                <w:szCs w:val="20"/>
                <w:color w:val="auto"/>
              </w:rPr>
            </w:pPr>
            <w:r>
              <w:rPr>
                <w:rFonts w:ascii="Arial" w:cs="Arial" w:eastAsia="Arial" w:hAnsi="Arial"/>
                <w:sz w:val="17"/>
                <w:szCs w:val="17"/>
                <w:color w:val="auto"/>
              </w:rPr>
              <w:t>72,567</w:t>
            </w:r>
          </w:p>
        </w:tc>
        <w:tc>
          <w:tcPr>
            <w:tcW w:w="1240" w:type="dxa"/>
            <w:vAlign w:val="bottom"/>
          </w:tcPr>
          <w:p>
            <w:pPr>
              <w:jc w:val="right"/>
              <w:ind w:right="299"/>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78"/>
              <w:spacing w:after="0"/>
              <w:rPr>
                <w:sz w:val="20"/>
                <w:szCs w:val="20"/>
                <w:color w:val="auto"/>
              </w:rPr>
            </w:pPr>
            <w:r>
              <w:rPr>
                <w:rFonts w:ascii="Arial" w:cs="Arial" w:eastAsia="Arial" w:hAnsi="Arial"/>
                <w:sz w:val="17"/>
                <w:szCs w:val="17"/>
                <w:color w:val="auto"/>
              </w:rPr>
              <w:t>23,293</w:t>
            </w:r>
          </w:p>
        </w:tc>
        <w:tc>
          <w:tcPr>
            <w:tcW w:w="1160" w:type="dxa"/>
            <w:vAlign w:val="bottom"/>
          </w:tcPr>
          <w:p>
            <w:pPr>
              <w:jc w:val="right"/>
              <w:ind w:right="120"/>
              <w:spacing w:after="0"/>
              <w:rPr>
                <w:sz w:val="20"/>
                <w:szCs w:val="20"/>
                <w:color w:val="auto"/>
              </w:rPr>
            </w:pPr>
            <w:r>
              <w:rPr>
                <w:rFonts w:ascii="Arial" w:cs="Arial" w:eastAsia="Arial" w:hAnsi="Arial"/>
                <w:sz w:val="17"/>
                <w:szCs w:val="17"/>
                <w:color w:val="auto"/>
              </w:rPr>
              <w:t>1,163</w:t>
            </w:r>
          </w:p>
        </w:tc>
      </w:tr>
      <w:tr>
        <w:trPr>
          <w:trHeight w:val="246"/>
        </w:trPr>
        <w:tc>
          <w:tcPr>
            <w:tcW w:w="3920" w:type="dxa"/>
            <w:vAlign w:val="bottom"/>
            <w:shd w:val="clear" w:color="auto" w:fill="E9E9E9"/>
          </w:tcPr>
          <w:p>
            <w:pPr>
              <w:spacing w:after="0"/>
              <w:rPr>
                <w:sz w:val="20"/>
                <w:szCs w:val="20"/>
                <w:color w:val="auto"/>
              </w:rPr>
            </w:pPr>
            <w:r>
              <w:rPr>
                <w:rFonts w:ascii="Arial" w:cs="Arial" w:eastAsia="Arial" w:hAnsi="Arial"/>
                <w:sz w:val="17"/>
                <w:szCs w:val="17"/>
                <w:color w:val="auto"/>
              </w:rPr>
              <w:t>R. Kirk</w:t>
            </w:r>
          </w:p>
        </w:tc>
        <w:tc>
          <w:tcPr>
            <w:tcW w:w="3900" w:type="dxa"/>
            <w:vAlign w:val="bottom"/>
            <w:shd w:val="clear" w:color="auto" w:fill="E9E9E9"/>
          </w:tcPr>
          <w:p>
            <w:pPr>
              <w:jc w:val="right"/>
              <w:ind w:right="258"/>
              <w:spacing w:after="0"/>
              <w:rPr>
                <w:sz w:val="20"/>
                <w:szCs w:val="20"/>
                <w:color w:val="auto"/>
              </w:rPr>
            </w:pPr>
            <w:r>
              <w:rPr>
                <w:rFonts w:ascii="Arial" w:cs="Arial" w:eastAsia="Arial" w:hAnsi="Arial"/>
                <w:sz w:val="17"/>
                <w:szCs w:val="17"/>
                <w:color w:val="auto"/>
              </w:rPr>
              <w:t>3,074</w:t>
            </w:r>
          </w:p>
        </w:tc>
        <w:tc>
          <w:tcPr>
            <w:tcW w:w="1240" w:type="dxa"/>
            <w:vAlign w:val="bottom"/>
            <w:shd w:val="clear" w:color="auto" w:fill="E9E9E9"/>
          </w:tcPr>
          <w:p>
            <w:pPr>
              <w:jc w:val="right"/>
              <w:ind w:right="299"/>
              <w:spacing w:after="0"/>
              <w:rPr>
                <w:sz w:val="20"/>
                <w:szCs w:val="20"/>
                <w:color w:val="auto"/>
              </w:rPr>
            </w:pPr>
            <w:r>
              <w:rPr>
                <w:rFonts w:ascii="Arial" w:cs="Arial" w:eastAsia="Arial" w:hAnsi="Arial"/>
                <w:sz w:val="17"/>
                <w:szCs w:val="17"/>
                <w:color w:val="auto"/>
              </w:rPr>
              <w:t>—</w:t>
            </w:r>
          </w:p>
        </w:tc>
        <w:tc>
          <w:tcPr>
            <w:tcW w:w="1200" w:type="dxa"/>
            <w:vAlign w:val="bottom"/>
            <w:shd w:val="clear" w:color="auto" w:fill="E9E9E9"/>
          </w:tcPr>
          <w:p>
            <w:pPr>
              <w:jc w:val="right"/>
              <w:ind w:right="178"/>
              <w:spacing w:after="0"/>
              <w:rPr>
                <w:sz w:val="20"/>
                <w:szCs w:val="20"/>
                <w:color w:val="auto"/>
              </w:rPr>
            </w:pPr>
            <w:r>
              <w:rPr>
                <w:rFonts w:ascii="Arial" w:cs="Arial" w:eastAsia="Arial" w:hAnsi="Arial"/>
                <w:sz w:val="17"/>
                <w:szCs w:val="17"/>
                <w:color w:val="auto"/>
              </w:rPr>
              <w:t>4,268</w:t>
            </w:r>
          </w:p>
        </w:tc>
        <w:tc>
          <w:tcPr>
            <w:tcW w:w="1160" w:type="dxa"/>
            <w:vAlign w:val="bottom"/>
            <w:shd w:val="clear" w:color="auto" w:fill="E9E9E9"/>
          </w:tcPr>
          <w:p>
            <w:pPr>
              <w:jc w:val="right"/>
              <w:ind w:right="120"/>
              <w:spacing w:after="0"/>
              <w:rPr>
                <w:sz w:val="20"/>
                <w:szCs w:val="20"/>
                <w:color w:val="auto"/>
              </w:rPr>
            </w:pPr>
            <w:r>
              <w:rPr>
                <w:rFonts w:ascii="Arial" w:cs="Arial" w:eastAsia="Arial" w:hAnsi="Arial"/>
                <w:sz w:val="17"/>
                <w:szCs w:val="17"/>
                <w:color w:val="auto"/>
              </w:rPr>
              <w:t>—</w:t>
            </w:r>
          </w:p>
        </w:tc>
      </w:tr>
      <w:tr>
        <w:trPr>
          <w:trHeight w:val="230"/>
        </w:trPr>
        <w:tc>
          <w:tcPr>
            <w:tcW w:w="3920" w:type="dxa"/>
            <w:vAlign w:val="bottom"/>
          </w:tcPr>
          <w:p>
            <w:pPr>
              <w:spacing w:after="0"/>
              <w:rPr>
                <w:sz w:val="20"/>
                <w:szCs w:val="20"/>
                <w:color w:val="auto"/>
              </w:rPr>
            </w:pPr>
            <w:r>
              <w:rPr>
                <w:rFonts w:ascii="Arial" w:cs="Arial" w:eastAsia="Arial" w:hAnsi="Arial"/>
                <w:sz w:val="17"/>
                <w:szCs w:val="17"/>
                <w:color w:val="auto"/>
              </w:rPr>
              <w:t>P. H. Patsley</w:t>
            </w:r>
          </w:p>
        </w:tc>
        <w:tc>
          <w:tcPr>
            <w:tcW w:w="3900" w:type="dxa"/>
            <w:vAlign w:val="bottom"/>
          </w:tcPr>
          <w:p>
            <w:pPr>
              <w:jc w:val="right"/>
              <w:ind w:right="258"/>
              <w:spacing w:after="0"/>
              <w:rPr>
                <w:sz w:val="20"/>
                <w:szCs w:val="20"/>
                <w:color w:val="auto"/>
              </w:rPr>
            </w:pPr>
            <w:r>
              <w:rPr>
                <w:rFonts w:ascii="Arial" w:cs="Arial" w:eastAsia="Arial" w:hAnsi="Arial"/>
                <w:sz w:val="17"/>
                <w:szCs w:val="17"/>
                <w:color w:val="auto"/>
              </w:rPr>
              <w:t>72,567</w:t>
            </w:r>
          </w:p>
        </w:tc>
        <w:tc>
          <w:tcPr>
            <w:tcW w:w="1240" w:type="dxa"/>
            <w:vAlign w:val="bottom"/>
          </w:tcPr>
          <w:p>
            <w:pPr>
              <w:jc w:val="right"/>
              <w:ind w:right="299"/>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78"/>
              <w:spacing w:after="0"/>
              <w:rPr>
                <w:sz w:val="20"/>
                <w:szCs w:val="20"/>
                <w:color w:val="auto"/>
              </w:rPr>
            </w:pPr>
            <w:r>
              <w:rPr>
                <w:rFonts w:ascii="Arial" w:cs="Arial" w:eastAsia="Arial" w:hAnsi="Arial"/>
                <w:sz w:val="17"/>
                <w:szCs w:val="17"/>
                <w:color w:val="auto"/>
              </w:rPr>
              <w:t>13,293</w:t>
            </w:r>
          </w:p>
        </w:tc>
        <w:tc>
          <w:tcPr>
            <w:tcW w:w="1160" w:type="dxa"/>
            <w:vAlign w:val="bottom"/>
          </w:tcPr>
          <w:p>
            <w:pPr>
              <w:jc w:val="right"/>
              <w:ind w:right="120"/>
              <w:spacing w:after="0"/>
              <w:rPr>
                <w:sz w:val="20"/>
                <w:szCs w:val="20"/>
                <w:color w:val="auto"/>
              </w:rPr>
            </w:pPr>
            <w:r>
              <w:rPr>
                <w:rFonts w:ascii="Arial" w:cs="Arial" w:eastAsia="Arial" w:hAnsi="Arial"/>
                <w:sz w:val="17"/>
                <w:szCs w:val="17"/>
                <w:color w:val="auto"/>
              </w:rPr>
              <w:t>38,010</w:t>
            </w:r>
          </w:p>
        </w:tc>
      </w:tr>
      <w:tr>
        <w:trPr>
          <w:trHeight w:val="246"/>
        </w:trPr>
        <w:tc>
          <w:tcPr>
            <w:tcW w:w="3920" w:type="dxa"/>
            <w:vAlign w:val="bottom"/>
            <w:shd w:val="clear" w:color="auto" w:fill="E9E9E9"/>
          </w:tcPr>
          <w:p>
            <w:pPr>
              <w:spacing w:after="0"/>
              <w:rPr>
                <w:sz w:val="20"/>
                <w:szCs w:val="20"/>
                <w:color w:val="auto"/>
              </w:rPr>
            </w:pPr>
            <w:r>
              <w:rPr>
                <w:rFonts w:ascii="Arial" w:cs="Arial" w:eastAsia="Arial" w:hAnsi="Arial"/>
                <w:sz w:val="17"/>
                <w:szCs w:val="17"/>
                <w:color w:val="auto"/>
              </w:rPr>
              <w:t>R. E. Sanchez</w:t>
            </w:r>
          </w:p>
        </w:tc>
        <w:tc>
          <w:tcPr>
            <w:tcW w:w="3900" w:type="dxa"/>
            <w:vAlign w:val="bottom"/>
            <w:shd w:val="clear" w:color="auto" w:fill="E9E9E9"/>
          </w:tcPr>
          <w:p>
            <w:pPr>
              <w:jc w:val="right"/>
              <w:ind w:right="258"/>
              <w:spacing w:after="0"/>
              <w:rPr>
                <w:sz w:val="20"/>
                <w:szCs w:val="20"/>
                <w:color w:val="auto"/>
              </w:rPr>
            </w:pPr>
            <w:r>
              <w:rPr>
                <w:rFonts w:ascii="Arial" w:cs="Arial" w:eastAsia="Arial" w:hAnsi="Arial"/>
                <w:sz w:val="17"/>
                <w:szCs w:val="17"/>
                <w:color w:val="auto"/>
              </w:rPr>
              <w:t>19,565</w:t>
            </w:r>
          </w:p>
        </w:tc>
        <w:tc>
          <w:tcPr>
            <w:tcW w:w="1240" w:type="dxa"/>
            <w:vAlign w:val="bottom"/>
            <w:shd w:val="clear" w:color="auto" w:fill="E9E9E9"/>
          </w:tcPr>
          <w:p>
            <w:pPr>
              <w:jc w:val="right"/>
              <w:ind w:right="299"/>
              <w:spacing w:after="0"/>
              <w:rPr>
                <w:sz w:val="20"/>
                <w:szCs w:val="20"/>
                <w:color w:val="auto"/>
              </w:rPr>
            </w:pPr>
            <w:r>
              <w:rPr>
                <w:rFonts w:ascii="Arial" w:cs="Arial" w:eastAsia="Arial" w:hAnsi="Arial"/>
                <w:sz w:val="17"/>
                <w:szCs w:val="17"/>
                <w:color w:val="auto"/>
              </w:rPr>
              <w:t>—</w:t>
            </w:r>
          </w:p>
        </w:tc>
        <w:tc>
          <w:tcPr>
            <w:tcW w:w="1200" w:type="dxa"/>
            <w:vAlign w:val="bottom"/>
            <w:shd w:val="clear" w:color="auto" w:fill="E9E9E9"/>
          </w:tcPr>
          <w:p>
            <w:pPr>
              <w:jc w:val="right"/>
              <w:ind w:right="178"/>
              <w:spacing w:after="0"/>
              <w:rPr>
                <w:sz w:val="20"/>
                <w:szCs w:val="20"/>
                <w:color w:val="auto"/>
              </w:rPr>
            </w:pPr>
            <w:r>
              <w:rPr>
                <w:rFonts w:ascii="Arial" w:cs="Arial" w:eastAsia="Arial" w:hAnsi="Arial"/>
                <w:sz w:val="17"/>
                <w:szCs w:val="17"/>
                <w:color w:val="auto"/>
              </w:rPr>
              <w:t>10,406</w:t>
            </w:r>
          </w:p>
        </w:tc>
        <w:tc>
          <w:tcPr>
            <w:tcW w:w="1160" w:type="dxa"/>
            <w:vAlign w:val="bottom"/>
            <w:shd w:val="clear" w:color="auto" w:fill="E9E9E9"/>
          </w:tcPr>
          <w:p>
            <w:pPr>
              <w:jc w:val="right"/>
              <w:ind w:right="120"/>
              <w:spacing w:after="0"/>
              <w:rPr>
                <w:sz w:val="20"/>
                <w:szCs w:val="20"/>
                <w:color w:val="auto"/>
              </w:rPr>
            </w:pPr>
            <w:r>
              <w:rPr>
                <w:rFonts w:ascii="Arial" w:cs="Arial" w:eastAsia="Arial" w:hAnsi="Arial"/>
                <w:sz w:val="17"/>
                <w:szCs w:val="17"/>
                <w:color w:val="auto"/>
              </w:rPr>
              <w:t>1,998</w:t>
            </w:r>
          </w:p>
        </w:tc>
      </w:tr>
      <w:tr>
        <w:trPr>
          <w:trHeight w:val="230"/>
        </w:trPr>
        <w:tc>
          <w:tcPr>
            <w:tcW w:w="3920" w:type="dxa"/>
            <w:vAlign w:val="bottom"/>
          </w:tcPr>
          <w:p>
            <w:pPr>
              <w:spacing w:after="0"/>
              <w:rPr>
                <w:sz w:val="20"/>
                <w:szCs w:val="20"/>
                <w:color w:val="auto"/>
              </w:rPr>
            </w:pPr>
            <w:r>
              <w:rPr>
                <w:rFonts w:ascii="Arial" w:cs="Arial" w:eastAsia="Arial" w:hAnsi="Arial"/>
                <w:sz w:val="17"/>
                <w:szCs w:val="17"/>
                <w:color w:val="auto"/>
              </w:rPr>
              <w:t>W. R. Sanders</w:t>
            </w:r>
          </w:p>
        </w:tc>
        <w:tc>
          <w:tcPr>
            <w:tcW w:w="3900" w:type="dxa"/>
            <w:vAlign w:val="bottom"/>
          </w:tcPr>
          <w:p>
            <w:pPr>
              <w:jc w:val="right"/>
              <w:ind w:right="258"/>
              <w:spacing w:after="0"/>
              <w:rPr>
                <w:sz w:val="20"/>
                <w:szCs w:val="20"/>
                <w:color w:val="auto"/>
              </w:rPr>
            </w:pPr>
            <w:r>
              <w:rPr>
                <w:rFonts w:ascii="Arial" w:cs="Arial" w:eastAsia="Arial" w:hAnsi="Arial"/>
                <w:sz w:val="17"/>
                <w:szCs w:val="17"/>
                <w:color w:val="auto"/>
              </w:rPr>
              <w:t>44,567</w:t>
            </w:r>
          </w:p>
        </w:tc>
        <w:tc>
          <w:tcPr>
            <w:tcW w:w="1240" w:type="dxa"/>
            <w:vAlign w:val="bottom"/>
          </w:tcPr>
          <w:p>
            <w:pPr>
              <w:jc w:val="right"/>
              <w:ind w:right="299"/>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78"/>
              <w:spacing w:after="0"/>
              <w:rPr>
                <w:sz w:val="20"/>
                <w:szCs w:val="20"/>
                <w:color w:val="auto"/>
              </w:rPr>
            </w:pPr>
            <w:r>
              <w:rPr>
                <w:rFonts w:ascii="Arial" w:cs="Arial" w:eastAsia="Arial" w:hAnsi="Arial"/>
                <w:sz w:val="17"/>
                <w:szCs w:val="17"/>
                <w:color w:val="auto"/>
              </w:rPr>
              <w:t>20,893</w:t>
            </w:r>
          </w:p>
        </w:tc>
        <w:tc>
          <w:tcPr>
            <w:tcW w:w="1160" w:type="dxa"/>
            <w:vAlign w:val="bottom"/>
          </w:tcPr>
          <w:p>
            <w:pPr>
              <w:jc w:val="right"/>
              <w:ind w:right="120"/>
              <w:spacing w:after="0"/>
              <w:rPr>
                <w:sz w:val="20"/>
                <w:szCs w:val="20"/>
                <w:color w:val="auto"/>
              </w:rPr>
            </w:pPr>
            <w:r>
              <w:rPr>
                <w:rFonts w:ascii="Arial" w:cs="Arial" w:eastAsia="Arial" w:hAnsi="Arial"/>
                <w:sz w:val="17"/>
                <w:szCs w:val="17"/>
                <w:color w:val="auto"/>
              </w:rPr>
              <w:t>1,535</w:t>
            </w:r>
          </w:p>
        </w:tc>
      </w:tr>
      <w:tr>
        <w:trPr>
          <w:trHeight w:val="246"/>
        </w:trPr>
        <w:tc>
          <w:tcPr>
            <w:tcW w:w="3920" w:type="dxa"/>
            <w:vAlign w:val="bottom"/>
            <w:shd w:val="clear" w:color="auto" w:fill="E9E9E9"/>
          </w:tcPr>
          <w:p>
            <w:pPr>
              <w:spacing w:after="0"/>
              <w:rPr>
                <w:sz w:val="20"/>
                <w:szCs w:val="20"/>
                <w:color w:val="auto"/>
              </w:rPr>
            </w:pPr>
            <w:r>
              <w:rPr>
                <w:rFonts w:ascii="Arial" w:cs="Arial" w:eastAsia="Arial" w:hAnsi="Arial"/>
                <w:sz w:val="17"/>
                <w:szCs w:val="17"/>
                <w:color w:val="auto"/>
              </w:rPr>
              <w:t>R. J. Simmons</w:t>
            </w:r>
          </w:p>
        </w:tc>
        <w:tc>
          <w:tcPr>
            <w:tcW w:w="3900" w:type="dxa"/>
            <w:vAlign w:val="bottom"/>
            <w:shd w:val="clear" w:color="auto" w:fill="E9E9E9"/>
          </w:tcPr>
          <w:p>
            <w:pPr>
              <w:jc w:val="right"/>
              <w:ind w:right="258"/>
              <w:spacing w:after="0"/>
              <w:rPr>
                <w:sz w:val="20"/>
                <w:szCs w:val="20"/>
                <w:color w:val="auto"/>
              </w:rPr>
            </w:pPr>
            <w:r>
              <w:rPr>
                <w:rFonts w:ascii="Arial" w:cs="Arial" w:eastAsia="Arial" w:hAnsi="Arial"/>
                <w:sz w:val="17"/>
                <w:szCs w:val="17"/>
                <w:color w:val="auto"/>
              </w:rPr>
              <w:t>29,567</w:t>
            </w:r>
          </w:p>
        </w:tc>
        <w:tc>
          <w:tcPr>
            <w:tcW w:w="1240" w:type="dxa"/>
            <w:vAlign w:val="bottom"/>
            <w:shd w:val="clear" w:color="auto" w:fill="E9E9E9"/>
          </w:tcPr>
          <w:p>
            <w:pPr>
              <w:jc w:val="right"/>
              <w:ind w:right="299"/>
              <w:spacing w:after="0"/>
              <w:rPr>
                <w:sz w:val="20"/>
                <w:szCs w:val="20"/>
                <w:color w:val="auto"/>
              </w:rPr>
            </w:pPr>
            <w:r>
              <w:rPr>
                <w:rFonts w:ascii="Arial" w:cs="Arial" w:eastAsia="Arial" w:hAnsi="Arial"/>
                <w:sz w:val="17"/>
                <w:szCs w:val="17"/>
                <w:color w:val="auto"/>
              </w:rPr>
              <w:t>—</w:t>
            </w:r>
          </w:p>
        </w:tc>
        <w:tc>
          <w:tcPr>
            <w:tcW w:w="1200" w:type="dxa"/>
            <w:vAlign w:val="bottom"/>
            <w:shd w:val="clear" w:color="auto" w:fill="E9E9E9"/>
          </w:tcPr>
          <w:p>
            <w:pPr>
              <w:jc w:val="right"/>
              <w:ind w:right="178"/>
              <w:spacing w:after="0"/>
              <w:rPr>
                <w:sz w:val="20"/>
                <w:szCs w:val="20"/>
                <w:color w:val="auto"/>
              </w:rPr>
            </w:pPr>
            <w:r>
              <w:rPr>
                <w:rFonts w:ascii="Arial" w:cs="Arial" w:eastAsia="Arial" w:hAnsi="Arial"/>
                <w:sz w:val="17"/>
                <w:szCs w:val="17"/>
                <w:color w:val="auto"/>
              </w:rPr>
              <w:t>29,293</w:t>
            </w:r>
          </w:p>
        </w:tc>
        <w:tc>
          <w:tcPr>
            <w:tcW w:w="1160" w:type="dxa"/>
            <w:vAlign w:val="bottom"/>
            <w:shd w:val="clear" w:color="auto" w:fill="E9E9E9"/>
          </w:tcPr>
          <w:p>
            <w:pPr>
              <w:jc w:val="right"/>
              <w:ind w:right="120"/>
              <w:spacing w:after="0"/>
              <w:rPr>
                <w:sz w:val="20"/>
                <w:szCs w:val="20"/>
                <w:color w:val="auto"/>
              </w:rPr>
            </w:pPr>
            <w:r>
              <w:rPr>
                <w:rFonts w:ascii="Arial" w:cs="Arial" w:eastAsia="Arial" w:hAnsi="Arial"/>
                <w:sz w:val="17"/>
                <w:szCs w:val="17"/>
                <w:color w:val="auto"/>
              </w:rPr>
              <w:t>19,338</w:t>
            </w:r>
          </w:p>
        </w:tc>
      </w:tr>
      <w:tr>
        <w:trPr>
          <w:trHeight w:val="230"/>
        </w:trPr>
        <w:tc>
          <w:tcPr>
            <w:tcW w:w="3920" w:type="dxa"/>
            <w:vAlign w:val="bottom"/>
          </w:tcPr>
          <w:p>
            <w:pPr>
              <w:spacing w:after="0"/>
              <w:rPr>
                <w:sz w:val="20"/>
                <w:szCs w:val="20"/>
                <w:color w:val="auto"/>
              </w:rPr>
            </w:pPr>
            <w:r>
              <w:rPr>
                <w:rFonts w:ascii="Arial" w:cs="Arial" w:eastAsia="Arial" w:hAnsi="Arial"/>
                <w:sz w:val="17"/>
                <w:szCs w:val="17"/>
                <w:color w:val="auto"/>
              </w:rPr>
              <w:t>R. K. Templeton</w:t>
            </w:r>
          </w:p>
        </w:tc>
        <w:tc>
          <w:tcPr>
            <w:tcW w:w="3900" w:type="dxa"/>
            <w:vAlign w:val="bottom"/>
          </w:tcPr>
          <w:p>
            <w:pPr>
              <w:jc w:val="right"/>
              <w:ind w:right="258"/>
              <w:spacing w:after="0"/>
              <w:rPr>
                <w:sz w:val="20"/>
                <w:szCs w:val="20"/>
                <w:color w:val="auto"/>
              </w:rPr>
            </w:pPr>
            <w:r>
              <w:rPr>
                <w:rFonts w:ascii="Arial" w:cs="Arial" w:eastAsia="Arial" w:hAnsi="Arial"/>
                <w:sz w:val="17"/>
                <w:szCs w:val="17"/>
                <w:color w:val="auto"/>
              </w:rPr>
              <w:t>3,313,999</w:t>
            </w:r>
          </w:p>
        </w:tc>
        <w:tc>
          <w:tcPr>
            <w:tcW w:w="1240" w:type="dxa"/>
            <w:vAlign w:val="bottom"/>
          </w:tcPr>
          <w:p>
            <w:pPr>
              <w:jc w:val="right"/>
              <w:ind w:right="299"/>
              <w:spacing w:after="0"/>
              <w:rPr>
                <w:sz w:val="20"/>
                <w:szCs w:val="20"/>
                <w:color w:val="auto"/>
              </w:rPr>
            </w:pPr>
            <w:r>
              <w:rPr>
                <w:rFonts w:ascii="Arial" w:cs="Arial" w:eastAsia="Arial" w:hAnsi="Arial"/>
                <w:sz w:val="17"/>
                <w:szCs w:val="17"/>
                <w:color w:val="auto"/>
              </w:rPr>
              <w:t>12,800</w:t>
            </w:r>
          </w:p>
        </w:tc>
        <w:tc>
          <w:tcPr>
            <w:tcW w:w="1200" w:type="dxa"/>
            <w:vAlign w:val="bottom"/>
          </w:tcPr>
          <w:p>
            <w:pPr>
              <w:jc w:val="right"/>
              <w:ind w:right="178"/>
              <w:spacing w:after="0"/>
              <w:rPr>
                <w:sz w:val="20"/>
                <w:szCs w:val="20"/>
                <w:color w:val="auto"/>
              </w:rPr>
            </w:pPr>
            <w:r>
              <w:rPr>
                <w:rFonts w:ascii="Arial" w:cs="Arial" w:eastAsia="Arial" w:hAnsi="Arial"/>
                <w:sz w:val="17"/>
                <w:szCs w:val="17"/>
                <w:color w:val="auto"/>
              </w:rPr>
              <w:t>714,471</w:t>
            </w:r>
          </w:p>
        </w:tc>
        <w:tc>
          <w:tcPr>
            <w:tcW w:w="1160" w:type="dxa"/>
            <w:vAlign w:val="bottom"/>
          </w:tcPr>
          <w:p>
            <w:pPr>
              <w:jc w:val="right"/>
              <w:ind w:right="120"/>
              <w:spacing w:after="0"/>
              <w:rPr>
                <w:sz w:val="20"/>
                <w:szCs w:val="20"/>
                <w:color w:val="auto"/>
              </w:rPr>
            </w:pPr>
            <w:r>
              <w:rPr>
                <w:rFonts w:ascii="Arial" w:cs="Arial" w:eastAsia="Arial" w:hAnsi="Arial"/>
                <w:sz w:val="17"/>
                <w:szCs w:val="17"/>
                <w:color w:val="auto"/>
              </w:rPr>
              <w:t>—</w:t>
            </w:r>
          </w:p>
        </w:tc>
      </w:tr>
      <w:tr>
        <w:trPr>
          <w:trHeight w:val="246"/>
        </w:trPr>
        <w:tc>
          <w:tcPr>
            <w:tcW w:w="3920" w:type="dxa"/>
            <w:vAlign w:val="bottom"/>
            <w:shd w:val="clear" w:color="auto" w:fill="E9E9E9"/>
          </w:tcPr>
          <w:p>
            <w:pPr>
              <w:spacing w:after="0"/>
              <w:rPr>
                <w:sz w:val="20"/>
                <w:szCs w:val="20"/>
                <w:color w:val="auto"/>
              </w:rPr>
            </w:pPr>
            <w:r>
              <w:rPr>
                <w:rFonts w:ascii="Arial" w:cs="Arial" w:eastAsia="Arial" w:hAnsi="Arial"/>
                <w:sz w:val="17"/>
                <w:szCs w:val="17"/>
                <w:color w:val="auto"/>
              </w:rPr>
              <w:t>C. T. Whitman</w:t>
            </w:r>
          </w:p>
        </w:tc>
        <w:tc>
          <w:tcPr>
            <w:tcW w:w="3900" w:type="dxa"/>
            <w:vAlign w:val="bottom"/>
            <w:shd w:val="clear" w:color="auto" w:fill="E9E9E9"/>
          </w:tcPr>
          <w:p>
            <w:pPr>
              <w:jc w:val="right"/>
              <w:ind w:right="258"/>
              <w:spacing w:after="0"/>
              <w:rPr>
                <w:sz w:val="20"/>
                <w:szCs w:val="20"/>
                <w:color w:val="auto"/>
              </w:rPr>
            </w:pPr>
            <w:r>
              <w:rPr>
                <w:rFonts w:ascii="Arial" w:cs="Arial" w:eastAsia="Arial" w:hAnsi="Arial"/>
                <w:sz w:val="17"/>
                <w:szCs w:val="17"/>
                <w:color w:val="auto"/>
              </w:rPr>
              <w:t>72,567</w:t>
            </w:r>
          </w:p>
        </w:tc>
        <w:tc>
          <w:tcPr>
            <w:tcW w:w="1240" w:type="dxa"/>
            <w:vAlign w:val="bottom"/>
            <w:shd w:val="clear" w:color="auto" w:fill="E9E9E9"/>
          </w:tcPr>
          <w:p>
            <w:pPr>
              <w:jc w:val="right"/>
              <w:ind w:right="299"/>
              <w:spacing w:after="0"/>
              <w:rPr>
                <w:sz w:val="20"/>
                <w:szCs w:val="20"/>
                <w:color w:val="auto"/>
              </w:rPr>
            </w:pPr>
            <w:r>
              <w:rPr>
                <w:rFonts w:ascii="Arial" w:cs="Arial" w:eastAsia="Arial" w:hAnsi="Arial"/>
                <w:sz w:val="17"/>
                <w:szCs w:val="17"/>
                <w:color w:val="auto"/>
              </w:rPr>
              <w:t>—</w:t>
            </w:r>
          </w:p>
        </w:tc>
        <w:tc>
          <w:tcPr>
            <w:tcW w:w="1200" w:type="dxa"/>
            <w:vAlign w:val="bottom"/>
            <w:shd w:val="clear" w:color="auto" w:fill="E9E9E9"/>
          </w:tcPr>
          <w:p>
            <w:pPr>
              <w:jc w:val="right"/>
              <w:ind w:right="178"/>
              <w:spacing w:after="0"/>
              <w:rPr>
                <w:sz w:val="20"/>
                <w:szCs w:val="20"/>
                <w:color w:val="auto"/>
              </w:rPr>
            </w:pPr>
            <w:r>
              <w:rPr>
                <w:rFonts w:ascii="Arial" w:cs="Arial" w:eastAsia="Arial" w:hAnsi="Arial"/>
                <w:sz w:val="17"/>
                <w:szCs w:val="17"/>
                <w:color w:val="auto"/>
              </w:rPr>
              <w:t>20,793</w:t>
            </w:r>
          </w:p>
        </w:tc>
        <w:tc>
          <w:tcPr>
            <w:tcW w:w="1160" w:type="dxa"/>
            <w:vAlign w:val="bottom"/>
            <w:shd w:val="clear" w:color="auto" w:fill="E9E9E9"/>
          </w:tcPr>
          <w:p>
            <w:pPr>
              <w:jc w:val="right"/>
              <w:ind w:right="120"/>
              <w:spacing w:after="0"/>
              <w:rPr>
                <w:sz w:val="20"/>
                <w:szCs w:val="20"/>
                <w:color w:val="auto"/>
              </w:rPr>
            </w:pPr>
            <w:r>
              <w:rPr>
                <w:rFonts w:ascii="Arial" w:cs="Arial" w:eastAsia="Arial" w:hAnsi="Arial"/>
                <w:sz w:val="17"/>
                <w:szCs w:val="17"/>
                <w:color w:val="auto"/>
              </w:rPr>
              <w:t>8,417</w:t>
            </w:r>
          </w:p>
        </w:tc>
      </w:tr>
    </w:tbl>
    <w:p>
      <w:pPr>
        <w:spacing w:after="0" w:line="241" w:lineRule="exact"/>
        <w:rPr>
          <w:sz w:val="20"/>
          <w:szCs w:val="20"/>
          <w:color w:val="auto"/>
        </w:rPr>
      </w:pPr>
    </w:p>
    <w:p>
      <w:pPr>
        <w:jc w:val="both"/>
        <w:ind w:left="740" w:right="120" w:hanging="470"/>
        <w:spacing w:after="0" w:line="249" w:lineRule="auto"/>
        <w:tabs>
          <w:tab w:leader="none" w:pos="7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non-employee directors’ RSUs granted before 2007 are settled in TI common stock generally upon the director’s termination of service provided he or she has served at least eight years or has reached the company’s retirement age for directors. RSUs granted after 2006 are settled in TI common stock generally upon the fourth anniversary of the grant date.</w:t>
      </w:r>
    </w:p>
    <w:p>
      <w:pPr>
        <w:spacing w:after="0" w:line="224" w:lineRule="exact"/>
        <w:rPr>
          <w:rFonts w:ascii="Arial" w:cs="Arial" w:eastAsia="Arial" w:hAnsi="Arial"/>
          <w:sz w:val="17"/>
          <w:szCs w:val="17"/>
          <w:color w:val="auto"/>
        </w:rPr>
      </w:pPr>
    </w:p>
    <w:p>
      <w:pPr>
        <w:ind w:left="740" w:hanging="470"/>
        <w:spacing w:after="0"/>
        <w:tabs>
          <w:tab w:leader="none" w:pos="7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shares in deferred compensation accounts are issued following the director’s termination of service.</w:t>
      </w:r>
    </w:p>
    <w:p>
      <w:pPr>
        <w:sectPr>
          <w:pgSz w:w="11900" w:h="16838" w:orient="portrait"/>
          <w:cols w:equalWidth="0" w:num="1">
            <w:col w:w="11420"/>
          </w:cols>
          <w:pgMar w:left="240" w:top="572" w:right="239" w:bottom="1440" w:gutter="0" w:footer="0" w:header="0"/>
        </w:sectPr>
      </w:pPr>
    </w:p>
    <w:p>
      <w:pPr>
        <w:spacing w:after="0" w:line="250" w:lineRule="exact"/>
        <w:rPr>
          <w:sz w:val="20"/>
          <w:szCs w:val="20"/>
          <w:color w:val="auto"/>
        </w:rPr>
      </w:pPr>
    </w:p>
    <w:p>
      <w:pPr>
        <w:ind w:left="4080"/>
        <w:spacing w:after="0"/>
        <w:tabs>
          <w:tab w:leader="none" w:pos="11180" w:val="left"/>
        </w:tabs>
        <w:rPr>
          <w:sz w:val="20"/>
          <w:szCs w:val="20"/>
          <w:color w:val="auto"/>
        </w:rPr>
      </w:pPr>
      <w:r>
        <w:rPr>
          <w:rFonts w:ascii="Arial" w:cs="Arial" w:eastAsia="Arial" w:hAnsi="Arial"/>
          <w:sz w:val="13"/>
          <w:szCs w:val="13"/>
          <w:color w:val="838383"/>
        </w:rPr>
        <w:t>TEXAS INSTRUMENTS ● 2015 PROXY STATEMENT</w:t>
      </w:r>
      <w:r>
        <w:rPr>
          <w:sz w:val="20"/>
          <w:szCs w:val="20"/>
          <w:color w:val="auto"/>
        </w:rPr>
        <w:tab/>
      </w:r>
      <w:r>
        <w:rPr>
          <w:rFonts w:ascii="Arial" w:cs="Arial" w:eastAsia="Arial" w:hAnsi="Arial"/>
          <w:sz w:val="13"/>
          <w:szCs w:val="13"/>
          <w:color w:val="838383"/>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type w:val="continuous"/>
        </w:sectPr>
      </w:pPr>
    </w:p>
    <w:bookmarkStart w:id="44" w:name="page45"/>
    <w:bookmarkEnd w:id="44"/>
    <w:p>
      <w:pPr>
        <w:ind w:left="460" w:hanging="454"/>
        <w:spacing w:after="0"/>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Included in the shares owned shown above are: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820" w:type="dxa"/>
            <w:vAlign w:val="bottom"/>
          </w:tcPr>
          <w:p>
            <w:pPr>
              <w:spacing w:after="0"/>
              <w:rPr>
                <w:sz w:val="15"/>
                <w:szCs w:val="15"/>
                <w:color w:val="auto"/>
              </w:rPr>
            </w:pPr>
          </w:p>
        </w:tc>
      </w:tr>
      <w:tr>
        <w:trPr>
          <w:trHeight w:val="238"/>
        </w:trPr>
        <w:tc>
          <w:tcPr>
            <w:tcW w:w="4880" w:type="dxa"/>
            <w:vAlign w:val="bottom"/>
          </w:tcPr>
          <w:p>
            <w:pPr>
              <w:spacing w:after="0"/>
              <w:rPr>
                <w:sz w:val="20"/>
                <w:szCs w:val="20"/>
                <w:color w:val="auto"/>
              </w:rPr>
            </w:pPr>
          </w:p>
        </w:tc>
        <w:tc>
          <w:tcPr>
            <w:tcW w:w="4760" w:type="dxa"/>
            <w:vAlign w:val="bottom"/>
          </w:tcPr>
          <w:p>
            <w:pPr>
              <w:jc w:val="center"/>
              <w:ind w:left="3483"/>
              <w:spacing w:after="0"/>
              <w:rPr>
                <w:sz w:val="20"/>
                <w:szCs w:val="20"/>
                <w:color w:val="auto"/>
              </w:rPr>
            </w:pPr>
            <w:r>
              <w:rPr>
                <w:rFonts w:ascii="Arial" w:cs="Arial" w:eastAsia="Arial" w:hAnsi="Arial"/>
                <w:sz w:val="13"/>
                <w:szCs w:val="13"/>
                <w:b w:val="1"/>
                <w:bCs w:val="1"/>
                <w:color w:val="auto"/>
              </w:rPr>
              <w:t>Shares</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9"/>
              </w:rPr>
              <w:t>Credited to</w:t>
            </w:r>
          </w:p>
        </w:tc>
        <w:tc>
          <w:tcPr>
            <w:tcW w:w="820" w:type="dxa"/>
            <w:vAlign w:val="bottom"/>
          </w:tcPr>
          <w:p>
            <w:pPr>
              <w:spacing w:after="0"/>
              <w:rPr>
                <w:sz w:val="20"/>
                <w:szCs w:val="20"/>
                <w:color w:val="auto"/>
              </w:rPr>
            </w:pPr>
          </w:p>
        </w:tc>
      </w:tr>
      <w:tr>
        <w:trPr>
          <w:trHeight w:val="238"/>
        </w:trPr>
        <w:tc>
          <w:tcPr>
            <w:tcW w:w="4880" w:type="dxa"/>
            <w:vAlign w:val="bottom"/>
          </w:tcPr>
          <w:p>
            <w:pPr>
              <w:spacing w:after="0"/>
              <w:rPr>
                <w:sz w:val="20"/>
                <w:szCs w:val="20"/>
                <w:color w:val="auto"/>
              </w:rPr>
            </w:pPr>
          </w:p>
        </w:tc>
        <w:tc>
          <w:tcPr>
            <w:tcW w:w="4760" w:type="dxa"/>
            <w:vAlign w:val="bottom"/>
          </w:tcPr>
          <w:p>
            <w:pPr>
              <w:jc w:val="center"/>
              <w:ind w:left="3483"/>
              <w:spacing w:after="0"/>
              <w:rPr>
                <w:sz w:val="20"/>
                <w:szCs w:val="20"/>
                <w:color w:val="auto"/>
              </w:rPr>
            </w:pPr>
            <w:r>
              <w:rPr>
                <w:rFonts w:ascii="Arial" w:cs="Arial" w:eastAsia="Arial" w:hAnsi="Arial"/>
                <w:sz w:val="13"/>
                <w:szCs w:val="13"/>
                <w:b w:val="1"/>
                <w:bCs w:val="1"/>
                <w:color w:val="auto"/>
              </w:rPr>
              <w:t>Obtainable</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401 (k)</w:t>
            </w:r>
          </w:p>
        </w:tc>
        <w:tc>
          <w:tcPr>
            <w:tcW w:w="820" w:type="dxa"/>
            <w:vAlign w:val="bottom"/>
          </w:tcPr>
          <w:p>
            <w:pPr>
              <w:jc w:val="center"/>
              <w:ind w:left="61"/>
              <w:spacing w:after="0"/>
              <w:rPr>
                <w:sz w:val="20"/>
                <w:szCs w:val="20"/>
                <w:color w:val="auto"/>
              </w:rPr>
            </w:pPr>
            <w:r>
              <w:rPr>
                <w:rFonts w:ascii="Arial" w:cs="Arial" w:eastAsia="Arial" w:hAnsi="Arial"/>
                <w:sz w:val="13"/>
                <w:szCs w:val="13"/>
                <w:b w:val="1"/>
                <w:bCs w:val="1"/>
                <w:color w:val="auto"/>
              </w:rPr>
              <w:t>RSUs</w:t>
            </w:r>
          </w:p>
        </w:tc>
      </w:tr>
      <w:tr>
        <w:trPr>
          <w:trHeight w:val="238"/>
        </w:trPr>
        <w:tc>
          <w:tcPr>
            <w:tcW w:w="4880" w:type="dxa"/>
            <w:vAlign w:val="bottom"/>
          </w:tcPr>
          <w:p>
            <w:pPr>
              <w:spacing w:after="0"/>
              <w:rPr>
                <w:sz w:val="20"/>
                <w:szCs w:val="20"/>
                <w:color w:val="auto"/>
              </w:rPr>
            </w:pPr>
            <w:r>
              <w:rPr>
                <w:rFonts w:ascii="Arial" w:cs="Arial" w:eastAsia="Arial" w:hAnsi="Arial"/>
                <w:sz w:val="13"/>
                <w:szCs w:val="13"/>
                <w:b w:val="1"/>
                <w:bCs w:val="1"/>
                <w:color w:val="auto"/>
              </w:rPr>
              <w:t>Executive Officer</w:t>
            </w:r>
          </w:p>
        </w:tc>
        <w:tc>
          <w:tcPr>
            <w:tcW w:w="4760" w:type="dxa"/>
            <w:vAlign w:val="bottom"/>
          </w:tcPr>
          <w:p>
            <w:pPr>
              <w:jc w:val="center"/>
              <w:ind w:left="3483"/>
              <w:spacing w:after="0"/>
              <w:rPr>
                <w:sz w:val="20"/>
                <w:szCs w:val="20"/>
                <w:color w:val="auto"/>
              </w:rPr>
            </w:pPr>
            <w:r>
              <w:rPr>
                <w:rFonts w:ascii="Arial" w:cs="Arial" w:eastAsia="Arial" w:hAnsi="Arial"/>
                <w:sz w:val="13"/>
                <w:szCs w:val="13"/>
                <w:b w:val="1"/>
                <w:bCs w:val="1"/>
                <w:color w:val="auto"/>
              </w:rPr>
              <w:t>within 60 Days</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9"/>
              </w:rPr>
              <w:t>Account</w:t>
            </w:r>
          </w:p>
        </w:tc>
        <w:tc>
          <w:tcPr>
            <w:tcW w:w="820" w:type="dxa"/>
            <w:vAlign w:val="bottom"/>
          </w:tcPr>
          <w:p>
            <w:pPr>
              <w:jc w:val="center"/>
              <w:ind w:left="61"/>
              <w:spacing w:after="0"/>
              <w:rPr>
                <w:sz w:val="20"/>
                <w:szCs w:val="20"/>
                <w:color w:val="auto"/>
              </w:rPr>
            </w:pPr>
            <w:r>
              <w:rPr>
                <w:rFonts w:ascii="Arial" w:cs="Arial" w:eastAsia="Arial" w:hAnsi="Arial"/>
                <w:sz w:val="13"/>
                <w:szCs w:val="13"/>
                <w:b w:val="1"/>
                <w:bCs w:val="1"/>
                <w:color w:val="auto"/>
              </w:rPr>
              <w:t>(in Shares)</w:t>
            </w:r>
          </w:p>
        </w:tc>
      </w:tr>
      <w:tr>
        <w:trPr>
          <w:trHeight w:val="41"/>
        </w:trPr>
        <w:tc>
          <w:tcPr>
            <w:tcW w:w="4880" w:type="dxa"/>
            <w:vAlign w:val="bottom"/>
            <w:tcBorders>
              <w:bottom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1"/>
        </w:trPr>
        <w:tc>
          <w:tcPr>
            <w:tcW w:w="4880" w:type="dxa"/>
            <w:vAlign w:val="bottom"/>
            <w:shd w:val="clear" w:color="auto" w:fill="E9E9E9"/>
          </w:tcPr>
          <w:p>
            <w:pPr>
              <w:spacing w:after="0"/>
              <w:rPr>
                <w:sz w:val="20"/>
                <w:szCs w:val="20"/>
                <w:color w:val="auto"/>
              </w:rPr>
            </w:pPr>
            <w:r>
              <w:rPr>
                <w:rFonts w:ascii="Arial" w:cs="Arial" w:eastAsia="Arial" w:hAnsi="Arial"/>
                <w:sz w:val="17"/>
                <w:szCs w:val="17"/>
                <w:color w:val="auto"/>
              </w:rPr>
              <w:t>K. P. March</w:t>
            </w:r>
          </w:p>
        </w:tc>
        <w:tc>
          <w:tcPr>
            <w:tcW w:w="4760" w:type="dxa"/>
            <w:vAlign w:val="bottom"/>
            <w:shd w:val="clear" w:color="auto" w:fill="E9E9E9"/>
          </w:tcPr>
          <w:p>
            <w:pPr>
              <w:jc w:val="center"/>
              <w:ind w:left="3503"/>
              <w:spacing w:after="0"/>
              <w:rPr>
                <w:sz w:val="20"/>
                <w:szCs w:val="20"/>
                <w:color w:val="auto"/>
              </w:rPr>
            </w:pPr>
            <w:r>
              <w:rPr>
                <w:rFonts w:ascii="Arial" w:cs="Arial" w:eastAsia="Arial" w:hAnsi="Arial"/>
                <w:sz w:val="17"/>
                <w:szCs w:val="17"/>
                <w:color w:val="auto"/>
              </w:rPr>
              <w:t>474,127</w:t>
            </w:r>
          </w:p>
        </w:tc>
        <w:tc>
          <w:tcPr>
            <w:tcW w:w="960" w:type="dxa"/>
            <w:vAlign w:val="bottom"/>
            <w:shd w:val="clear" w:color="auto" w:fill="E9E9E9"/>
          </w:tcPr>
          <w:p>
            <w:pPr>
              <w:jc w:val="right"/>
              <w:ind w:right="184"/>
              <w:spacing w:after="0"/>
              <w:rPr>
                <w:sz w:val="20"/>
                <w:szCs w:val="20"/>
                <w:color w:val="auto"/>
              </w:rPr>
            </w:pPr>
            <w:r>
              <w:rPr>
                <w:rFonts w:ascii="Arial" w:cs="Arial" w:eastAsia="Arial" w:hAnsi="Arial"/>
                <w:sz w:val="17"/>
                <w:szCs w:val="17"/>
                <w:color w:val="auto"/>
              </w:rPr>
              <w:t>2,063</w:t>
            </w:r>
          </w:p>
        </w:tc>
        <w:tc>
          <w:tcPr>
            <w:tcW w:w="82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rPr>
              <w:t>176,454</w:t>
            </w:r>
          </w:p>
        </w:tc>
      </w:tr>
      <w:tr>
        <w:trPr>
          <w:trHeight w:val="230"/>
        </w:trPr>
        <w:tc>
          <w:tcPr>
            <w:tcW w:w="4880" w:type="dxa"/>
            <w:vAlign w:val="bottom"/>
          </w:tcPr>
          <w:p>
            <w:pPr>
              <w:spacing w:after="0"/>
              <w:rPr>
                <w:sz w:val="20"/>
                <w:szCs w:val="20"/>
                <w:color w:val="auto"/>
              </w:rPr>
            </w:pPr>
            <w:r>
              <w:rPr>
                <w:rFonts w:ascii="Arial" w:cs="Arial" w:eastAsia="Arial" w:hAnsi="Arial"/>
                <w:sz w:val="17"/>
                <w:szCs w:val="17"/>
                <w:color w:val="auto"/>
              </w:rPr>
              <w:t>B. T. Crutcher</w:t>
            </w:r>
          </w:p>
        </w:tc>
        <w:tc>
          <w:tcPr>
            <w:tcW w:w="4760" w:type="dxa"/>
            <w:vAlign w:val="bottom"/>
          </w:tcPr>
          <w:p>
            <w:pPr>
              <w:jc w:val="center"/>
              <w:ind w:left="3503"/>
              <w:spacing w:after="0"/>
              <w:rPr>
                <w:sz w:val="20"/>
                <w:szCs w:val="20"/>
                <w:color w:val="auto"/>
              </w:rPr>
            </w:pPr>
            <w:r>
              <w:rPr>
                <w:rFonts w:ascii="Arial" w:cs="Arial" w:eastAsia="Arial" w:hAnsi="Arial"/>
                <w:sz w:val="17"/>
                <w:szCs w:val="17"/>
                <w:color w:val="auto"/>
              </w:rPr>
              <w:t>334,926</w:t>
            </w:r>
          </w:p>
        </w:tc>
        <w:tc>
          <w:tcPr>
            <w:tcW w:w="960" w:type="dxa"/>
            <w:vAlign w:val="bottom"/>
          </w:tcPr>
          <w:p>
            <w:pPr>
              <w:jc w:val="right"/>
              <w:ind w:right="184"/>
              <w:spacing w:after="0"/>
              <w:rPr>
                <w:sz w:val="20"/>
                <w:szCs w:val="20"/>
                <w:color w:val="auto"/>
              </w:rPr>
            </w:pPr>
            <w:r>
              <w:rPr>
                <w:rFonts w:ascii="Arial" w:cs="Arial" w:eastAsia="Arial" w:hAnsi="Arial"/>
                <w:sz w:val="17"/>
                <w:szCs w:val="17"/>
                <w:color w:val="auto"/>
              </w:rPr>
              <w:t>—</w:t>
            </w:r>
          </w:p>
        </w:tc>
        <w:tc>
          <w:tcPr>
            <w:tcW w:w="820" w:type="dxa"/>
            <w:vAlign w:val="bottom"/>
          </w:tcPr>
          <w:p>
            <w:pPr>
              <w:jc w:val="center"/>
              <w:ind w:left="41"/>
              <w:spacing w:after="0"/>
              <w:rPr>
                <w:sz w:val="20"/>
                <w:szCs w:val="20"/>
                <w:color w:val="auto"/>
              </w:rPr>
            </w:pPr>
            <w:r>
              <w:rPr>
                <w:rFonts w:ascii="Arial" w:cs="Arial" w:eastAsia="Arial" w:hAnsi="Arial"/>
                <w:sz w:val="17"/>
                <w:szCs w:val="17"/>
                <w:color w:val="auto"/>
              </w:rPr>
              <w:t>342,699</w:t>
            </w:r>
          </w:p>
        </w:tc>
      </w:tr>
      <w:tr>
        <w:trPr>
          <w:trHeight w:val="246"/>
        </w:trPr>
        <w:tc>
          <w:tcPr>
            <w:tcW w:w="4880" w:type="dxa"/>
            <w:vAlign w:val="bottom"/>
            <w:shd w:val="clear" w:color="auto" w:fill="E9E9E9"/>
          </w:tcPr>
          <w:p>
            <w:pPr>
              <w:spacing w:after="0"/>
              <w:rPr>
                <w:sz w:val="20"/>
                <w:szCs w:val="20"/>
                <w:color w:val="auto"/>
              </w:rPr>
            </w:pPr>
            <w:r>
              <w:rPr>
                <w:rFonts w:ascii="Arial" w:cs="Arial" w:eastAsia="Arial" w:hAnsi="Arial"/>
                <w:sz w:val="17"/>
                <w:szCs w:val="17"/>
                <w:color w:val="auto"/>
              </w:rPr>
              <w:t>S. A. Anderson</w:t>
            </w:r>
          </w:p>
        </w:tc>
        <w:tc>
          <w:tcPr>
            <w:tcW w:w="4760" w:type="dxa"/>
            <w:vAlign w:val="bottom"/>
            <w:shd w:val="clear" w:color="auto" w:fill="E9E9E9"/>
          </w:tcPr>
          <w:p>
            <w:pPr>
              <w:jc w:val="center"/>
              <w:ind w:left="3503"/>
              <w:spacing w:after="0"/>
              <w:rPr>
                <w:sz w:val="20"/>
                <w:szCs w:val="20"/>
                <w:color w:val="auto"/>
              </w:rPr>
            </w:pPr>
            <w:r>
              <w:rPr>
                <w:rFonts w:ascii="Arial" w:cs="Arial" w:eastAsia="Arial" w:hAnsi="Arial"/>
                <w:sz w:val="17"/>
                <w:szCs w:val="17"/>
                <w:color w:val="auto"/>
              </w:rPr>
              <w:t>338,387</w:t>
            </w:r>
          </w:p>
        </w:tc>
        <w:tc>
          <w:tcPr>
            <w:tcW w:w="960" w:type="dxa"/>
            <w:vAlign w:val="bottom"/>
            <w:shd w:val="clear" w:color="auto" w:fill="E9E9E9"/>
          </w:tcPr>
          <w:p>
            <w:pPr>
              <w:jc w:val="right"/>
              <w:ind w:right="184"/>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center"/>
              <w:ind w:left="41"/>
              <w:spacing w:after="0"/>
              <w:rPr>
                <w:sz w:val="20"/>
                <w:szCs w:val="20"/>
                <w:color w:val="auto"/>
              </w:rPr>
            </w:pPr>
            <w:r>
              <w:rPr>
                <w:rFonts w:ascii="Arial" w:cs="Arial" w:eastAsia="Arial" w:hAnsi="Arial"/>
                <w:sz w:val="17"/>
                <w:szCs w:val="17"/>
                <w:color w:val="auto"/>
              </w:rPr>
              <w:t>205,700</w:t>
            </w:r>
          </w:p>
        </w:tc>
      </w:tr>
      <w:tr>
        <w:trPr>
          <w:trHeight w:val="222"/>
        </w:trPr>
        <w:tc>
          <w:tcPr>
            <w:tcW w:w="4880" w:type="dxa"/>
            <w:vAlign w:val="bottom"/>
          </w:tcPr>
          <w:p>
            <w:pPr>
              <w:spacing w:after="0"/>
              <w:rPr>
                <w:sz w:val="20"/>
                <w:szCs w:val="20"/>
                <w:color w:val="auto"/>
              </w:rPr>
            </w:pPr>
            <w:r>
              <w:rPr>
                <w:rFonts w:ascii="Arial" w:cs="Arial" w:eastAsia="Arial" w:hAnsi="Arial"/>
                <w:sz w:val="17"/>
                <w:szCs w:val="17"/>
                <w:color w:val="auto"/>
              </w:rPr>
              <w:t>K. J. Ritchie</w:t>
            </w:r>
          </w:p>
        </w:tc>
        <w:tc>
          <w:tcPr>
            <w:tcW w:w="4760" w:type="dxa"/>
            <w:vAlign w:val="bottom"/>
          </w:tcPr>
          <w:p>
            <w:pPr>
              <w:jc w:val="center"/>
              <w:ind w:left="3503"/>
              <w:spacing w:after="0"/>
              <w:rPr>
                <w:sz w:val="20"/>
                <w:szCs w:val="20"/>
                <w:color w:val="auto"/>
              </w:rPr>
            </w:pPr>
            <w:r>
              <w:rPr>
                <w:rFonts w:ascii="Arial" w:cs="Arial" w:eastAsia="Arial" w:hAnsi="Arial"/>
                <w:sz w:val="17"/>
                <w:szCs w:val="17"/>
                <w:color w:val="auto"/>
              </w:rPr>
              <w:t>195,989</w:t>
            </w:r>
          </w:p>
        </w:tc>
        <w:tc>
          <w:tcPr>
            <w:tcW w:w="960" w:type="dxa"/>
            <w:vAlign w:val="bottom"/>
          </w:tcPr>
          <w:p>
            <w:pPr>
              <w:jc w:val="right"/>
              <w:ind w:right="184"/>
              <w:spacing w:after="0"/>
              <w:rPr>
                <w:sz w:val="20"/>
                <w:szCs w:val="20"/>
                <w:color w:val="auto"/>
              </w:rPr>
            </w:pPr>
            <w:r>
              <w:rPr>
                <w:rFonts w:ascii="Arial" w:cs="Arial" w:eastAsia="Arial" w:hAnsi="Arial"/>
                <w:sz w:val="17"/>
                <w:szCs w:val="17"/>
                <w:color w:val="auto"/>
              </w:rPr>
              <w:t>—</w:t>
            </w:r>
          </w:p>
        </w:tc>
        <w:tc>
          <w:tcPr>
            <w:tcW w:w="820" w:type="dxa"/>
            <w:vAlign w:val="bottom"/>
          </w:tcPr>
          <w:p>
            <w:pPr>
              <w:jc w:val="center"/>
              <w:ind w:left="41"/>
              <w:spacing w:after="0"/>
              <w:rPr>
                <w:sz w:val="20"/>
                <w:szCs w:val="20"/>
                <w:color w:val="auto"/>
              </w:rPr>
            </w:pPr>
            <w:r>
              <w:rPr>
                <w:rFonts w:ascii="Arial" w:cs="Arial" w:eastAsia="Arial" w:hAnsi="Arial"/>
                <w:sz w:val="17"/>
                <w:szCs w:val="17"/>
                <w:color w:val="auto"/>
              </w:rPr>
              <w:t>224,530</w:t>
            </w:r>
          </w:p>
        </w:tc>
      </w:tr>
    </w:tbl>
    <w:p>
      <w:pPr>
        <w:spacing w:after="0" w:line="257" w:lineRule="exact"/>
        <w:rPr>
          <w:sz w:val="20"/>
          <w:szCs w:val="20"/>
          <w:color w:val="auto"/>
        </w:rPr>
      </w:pPr>
    </w:p>
    <w:p>
      <w:pPr>
        <w:ind w:left="460" w:hanging="454"/>
        <w:spacing w:after="0"/>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Includes:</w:t>
      </w:r>
    </w:p>
    <w:p>
      <w:pPr>
        <w:spacing w:after="0" w:line="240" w:lineRule="exact"/>
        <w:rPr>
          <w:rFonts w:ascii="Arial" w:cs="Arial" w:eastAsia="Arial" w:hAnsi="Arial"/>
          <w:sz w:val="17"/>
          <w:szCs w:val="17"/>
          <w:color w:val="auto"/>
        </w:rPr>
      </w:pPr>
    </w:p>
    <w:p>
      <w:pPr>
        <w:ind w:left="900" w:hanging="445"/>
        <w:spacing w:after="0"/>
        <w:tabs>
          <w:tab w:leader="none" w:pos="9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6,943,668 shares obtainable within 60 days;</w:t>
      </w:r>
    </w:p>
    <w:p>
      <w:pPr>
        <w:spacing w:after="0" w:line="240" w:lineRule="exact"/>
        <w:rPr>
          <w:rFonts w:ascii="Arial" w:cs="Arial" w:eastAsia="Arial" w:hAnsi="Arial"/>
          <w:sz w:val="17"/>
          <w:szCs w:val="17"/>
          <w:color w:val="auto"/>
        </w:rPr>
      </w:pPr>
    </w:p>
    <w:p>
      <w:pPr>
        <w:ind w:left="900" w:hanging="445"/>
        <w:spacing w:after="0"/>
        <w:tabs>
          <w:tab w:leader="none" w:pos="9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33,646 shares credited to 401(k) accounts;</w:t>
      </w:r>
    </w:p>
    <w:p>
      <w:pPr>
        <w:spacing w:after="0" w:line="240" w:lineRule="exact"/>
        <w:rPr>
          <w:rFonts w:ascii="Arial" w:cs="Arial" w:eastAsia="Arial" w:hAnsi="Arial"/>
          <w:sz w:val="17"/>
          <w:szCs w:val="17"/>
          <w:color w:val="auto"/>
        </w:rPr>
      </w:pPr>
    </w:p>
    <w:p>
      <w:pPr>
        <w:ind w:left="900" w:hanging="445"/>
        <w:spacing w:after="0"/>
        <w:tabs>
          <w:tab w:leader="none" w:pos="9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2,595,665 shares subject to RSU awards; for the terms of these RSUs, please see pages 83 and 103; and</w:t>
      </w:r>
    </w:p>
    <w:p>
      <w:pPr>
        <w:spacing w:after="0" w:line="240" w:lineRule="exact"/>
        <w:rPr>
          <w:rFonts w:ascii="Arial" w:cs="Arial" w:eastAsia="Arial" w:hAnsi="Arial"/>
          <w:sz w:val="17"/>
          <w:szCs w:val="17"/>
          <w:color w:val="auto"/>
        </w:rPr>
      </w:pPr>
    </w:p>
    <w:p>
      <w:pPr>
        <w:ind w:left="900" w:right="160" w:hanging="445"/>
        <w:spacing w:after="0" w:line="255" w:lineRule="auto"/>
        <w:tabs>
          <w:tab w:leader="none" w:pos="9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125,804 shares credited to certain non-employee directors’ deferred compensation accounts; shares in deferred compensation accounts are issued following a director’s termination of service.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person transactions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 reportable related person transactions.</w:t>
      </w:r>
    </w:p>
    <w:p>
      <w:pPr>
        <w:spacing w:after="0" w:line="214"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Because we believe that company transactions with directors and executive officers of TI or with persons related to TI directors and executive officers present a heightened risk of creating or appearing to create a conflict of interest, we have a written related person transaction policy that has been approved by the board of directors. The policy states that TI directors and executive officers should obtain the approvals specified below in connection with any related person transaction. The policy applies to transactions in which:</w:t>
      </w:r>
    </w:p>
    <w:p>
      <w:pPr>
        <w:spacing w:after="0" w:line="200" w:lineRule="exact"/>
        <w:rPr>
          <w:sz w:val="20"/>
          <w:szCs w:val="20"/>
          <w:color w:val="auto"/>
        </w:rPr>
      </w:pPr>
    </w:p>
    <w:p>
      <w:pPr>
        <w:ind w:left="380" w:hanging="374"/>
        <w:spacing w:after="0"/>
        <w:tabs>
          <w:tab w:leader="none" w:pos="3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TI or any TI subsidiary is or will be a participant;</w:t>
      </w:r>
    </w:p>
    <w:p>
      <w:pPr>
        <w:spacing w:after="0" w:line="2" w:lineRule="exact"/>
        <w:rPr>
          <w:rFonts w:ascii="Arial" w:cs="Arial" w:eastAsia="Arial" w:hAnsi="Arial"/>
          <w:sz w:val="17"/>
          <w:szCs w:val="17"/>
          <w:color w:val="auto"/>
        </w:rPr>
      </w:pPr>
    </w:p>
    <w:p>
      <w:pPr>
        <w:ind w:left="380" w:hanging="374"/>
        <w:spacing w:after="0"/>
        <w:tabs>
          <w:tab w:leader="none" w:pos="3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amount involved exceeds or is expected to exceed $100,000 in a fiscal year; and</w:t>
      </w:r>
    </w:p>
    <w:p>
      <w:pPr>
        <w:spacing w:after="0" w:line="2" w:lineRule="exact"/>
        <w:rPr>
          <w:rFonts w:ascii="Arial" w:cs="Arial" w:eastAsia="Arial" w:hAnsi="Arial"/>
          <w:sz w:val="17"/>
          <w:szCs w:val="17"/>
          <w:color w:val="auto"/>
        </w:rPr>
      </w:pPr>
    </w:p>
    <w:p>
      <w:pPr>
        <w:ind w:left="380" w:hanging="374"/>
        <w:spacing w:after="0"/>
        <w:tabs>
          <w:tab w:leader="none" w:pos="3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of the following (a “related person”) has or will have a direct or indirect interest:</w:t>
      </w:r>
    </w:p>
    <w:p>
      <w:pPr>
        <w:spacing w:after="0" w:line="240" w:lineRule="exact"/>
        <w:rPr>
          <w:rFonts w:ascii="Arial" w:cs="Arial" w:eastAsia="Arial" w:hAnsi="Arial"/>
          <w:sz w:val="17"/>
          <w:szCs w:val="17"/>
          <w:color w:val="auto"/>
        </w:rPr>
      </w:pPr>
    </w:p>
    <w:p>
      <w:pPr>
        <w:ind w:left="840" w:hanging="451"/>
        <w:spacing w:after="0"/>
        <w:tabs>
          <w:tab w:leader="none" w:pos="84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 TI director or executive officer, or an Immediate Family Member of a director or executive officer;</w:t>
      </w:r>
    </w:p>
    <w:p>
      <w:pPr>
        <w:spacing w:after="0" w:line="2" w:lineRule="exact"/>
        <w:rPr>
          <w:rFonts w:ascii="Arial" w:cs="Arial" w:eastAsia="Arial" w:hAnsi="Arial"/>
          <w:sz w:val="17"/>
          <w:szCs w:val="17"/>
          <w:color w:val="auto"/>
        </w:rPr>
      </w:pPr>
    </w:p>
    <w:p>
      <w:pPr>
        <w:ind w:left="840" w:right="340" w:hanging="451"/>
        <w:spacing w:after="0" w:line="243" w:lineRule="auto"/>
        <w:tabs>
          <w:tab w:leader="none" w:pos="84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 stockholder owning more than 5 percent of the common stock of TI or an Immediate Family Member of such stockholder, or, if the 5 percent stockholder is not a natural person, any person or entity designated in the Form 13G or 13D filed under the SEC rules and regulations by the 5 percent stockholder as having an ownership interest in TI stock (individually or collectively, a “5 percent holder”); or</w:t>
      </w:r>
    </w:p>
    <w:p>
      <w:pPr>
        <w:ind w:left="840" w:right="120" w:hanging="451"/>
        <w:spacing w:after="0" w:line="255" w:lineRule="auto"/>
        <w:tabs>
          <w:tab w:leader="none" w:pos="84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An entity in which someone listed in (a) or (b) above has a 5 percent or greater ownership interest, by which someone listed in (a) or (b) is employed, or of which someone listed in (a) or (b) is a director, principal or partner.</w:t>
      </w:r>
    </w:p>
    <w:p>
      <w:pPr>
        <w:spacing w:after="0" w:line="192" w:lineRule="exact"/>
        <w:rPr>
          <w:sz w:val="20"/>
          <w:szCs w:val="20"/>
          <w:color w:val="auto"/>
        </w:rPr>
      </w:pPr>
    </w:p>
    <w:p>
      <w:pPr>
        <w:ind w:right="380"/>
        <w:spacing w:after="0" w:line="249" w:lineRule="auto"/>
        <w:rPr>
          <w:sz w:val="20"/>
          <w:szCs w:val="20"/>
          <w:color w:val="auto"/>
        </w:rPr>
      </w:pPr>
      <w:r>
        <w:rPr>
          <w:rFonts w:ascii="Arial" w:cs="Arial" w:eastAsia="Arial" w:hAnsi="Arial"/>
          <w:sz w:val="17"/>
          <w:szCs w:val="17"/>
          <w:color w:val="auto"/>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percent holder.</w:t>
      </w:r>
    </w:p>
    <w:p>
      <w:pPr>
        <w:spacing w:after="0" w:line="198" w:lineRule="exact"/>
        <w:rPr>
          <w:sz w:val="20"/>
          <w:szCs w:val="20"/>
          <w:color w:val="auto"/>
        </w:rPr>
      </w:pPr>
    </w:p>
    <w:p>
      <w:pPr>
        <w:ind w:right="280"/>
        <w:spacing w:after="0" w:line="255" w:lineRule="auto"/>
        <w:rPr>
          <w:sz w:val="20"/>
          <w:szCs w:val="20"/>
          <w:color w:val="auto"/>
        </w:rPr>
      </w:pPr>
      <w:r>
        <w:rPr>
          <w:rFonts w:ascii="Arial" w:cs="Arial" w:eastAsia="Arial" w:hAnsi="Arial"/>
          <w:sz w:val="17"/>
          <w:szCs w:val="17"/>
          <w:color w:val="auto"/>
        </w:rPr>
        <w:t>The policy specifies that a related person transaction includes, but is not limited to, any financial transaction, arrangement or relationship (including any indebtedness or guarantee of indebtedness) or any series of similar transactions or arrangements.</w:t>
      </w:r>
    </w:p>
    <w:p>
      <w:pPr>
        <w:spacing w:after="0" w:line="202" w:lineRule="exact"/>
        <w:rPr>
          <w:sz w:val="20"/>
          <w:szCs w:val="20"/>
          <w:color w:val="auto"/>
        </w:rPr>
      </w:pPr>
    </w:p>
    <w:p>
      <w:pPr>
        <w:spacing w:after="0"/>
        <w:tabs>
          <w:tab w:leader="none" w:pos="4140" w:val="left"/>
        </w:tabs>
        <w:rPr>
          <w:sz w:val="20"/>
          <w:szCs w:val="20"/>
          <w:color w:val="auto"/>
        </w:rPr>
      </w:pPr>
      <w:r>
        <w:rPr>
          <w:rFonts w:ascii="Arial" w:cs="Arial" w:eastAsia="Arial" w:hAnsi="Arial"/>
          <w:sz w:val="13"/>
          <w:szCs w:val="13"/>
          <w:color w:val="838383"/>
        </w:rPr>
        <w:t>114</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420"/>
          </w:cols>
          <w:pgMar w:left="240" w:top="381"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The required approvals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60" w:type="dxa"/>
            <w:vAlign w:val="bottom"/>
          </w:tcPr>
          <w:p>
            <w:pPr>
              <w:spacing w:after="0"/>
              <w:rPr>
                <w:sz w:val="20"/>
                <w:szCs w:val="20"/>
                <w:color w:val="auto"/>
              </w:rPr>
            </w:pPr>
            <w:r>
              <w:rPr>
                <w:rFonts w:ascii="Arial" w:cs="Arial" w:eastAsia="Arial" w:hAnsi="Arial"/>
                <w:sz w:val="13"/>
                <w:szCs w:val="13"/>
                <w:b w:val="1"/>
                <w:bCs w:val="1"/>
                <w:color w:val="auto"/>
              </w:rPr>
              <w:t>Arrangement involving:</w:t>
            </w:r>
          </w:p>
        </w:tc>
        <w:tc>
          <w:tcPr>
            <w:tcW w:w="3560" w:type="dxa"/>
            <w:vAlign w:val="bottom"/>
          </w:tcPr>
          <w:p>
            <w:pPr>
              <w:ind w:left="1160"/>
              <w:spacing w:after="0"/>
              <w:rPr>
                <w:sz w:val="20"/>
                <w:szCs w:val="20"/>
                <w:color w:val="auto"/>
              </w:rPr>
            </w:pPr>
            <w:r>
              <w:rPr>
                <w:rFonts w:ascii="Arial" w:cs="Arial" w:eastAsia="Arial" w:hAnsi="Arial"/>
                <w:sz w:val="13"/>
                <w:szCs w:val="13"/>
                <w:b w:val="1"/>
                <w:bCs w:val="1"/>
                <w:color w:val="auto"/>
              </w:rPr>
              <w:t>Approval required by:</w:t>
            </w:r>
          </w:p>
        </w:tc>
      </w:tr>
      <w:tr>
        <w:trPr>
          <w:trHeight w:val="41"/>
        </w:trPr>
        <w:tc>
          <w:tcPr>
            <w:tcW w:w="7860" w:type="dxa"/>
            <w:vAlign w:val="bottom"/>
            <w:tcBorders>
              <w:bottom w:val="single" w:sz="8" w:color="auto"/>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r>
        <w:trPr>
          <w:trHeight w:val="215"/>
        </w:trPr>
        <w:tc>
          <w:tcPr>
            <w:tcW w:w="7860" w:type="dxa"/>
            <w:vAlign w:val="bottom"/>
            <w:shd w:val="clear" w:color="auto" w:fill="E9E9E9"/>
          </w:tcPr>
          <w:p>
            <w:pPr>
              <w:spacing w:after="0"/>
              <w:rPr>
                <w:sz w:val="20"/>
                <w:szCs w:val="20"/>
                <w:color w:val="auto"/>
              </w:rPr>
            </w:pPr>
            <w:r>
              <w:rPr>
                <w:rFonts w:ascii="Arial" w:cs="Arial" w:eastAsia="Arial" w:hAnsi="Arial"/>
                <w:sz w:val="17"/>
                <w:szCs w:val="17"/>
                <w:color w:val="auto"/>
              </w:rPr>
              <w:t>Executive officer who is also a member of the TI board, an Immediate Family Member of such person,</w:t>
            </w:r>
          </w:p>
        </w:tc>
        <w:tc>
          <w:tcPr>
            <w:tcW w:w="35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G&amp;SR Committee</w:t>
            </w:r>
          </w:p>
        </w:tc>
      </w:tr>
      <w:tr>
        <w:trPr>
          <w:trHeight w:val="238"/>
        </w:trPr>
        <w:tc>
          <w:tcPr>
            <w:tcW w:w="7860" w:type="dxa"/>
            <w:vAlign w:val="bottom"/>
            <w:shd w:val="clear" w:color="auto" w:fill="E9E9E9"/>
          </w:tcPr>
          <w:p>
            <w:pPr>
              <w:spacing w:after="0"/>
              <w:rPr>
                <w:sz w:val="20"/>
                <w:szCs w:val="20"/>
                <w:color w:val="auto"/>
              </w:rPr>
            </w:pPr>
            <w:r>
              <w:rPr>
                <w:rFonts w:ascii="Arial" w:cs="Arial" w:eastAsia="Arial" w:hAnsi="Arial"/>
                <w:sz w:val="17"/>
                <w:szCs w:val="17"/>
                <w:color w:val="auto"/>
              </w:rPr>
              <w:t>or an entity in which any of the foregoing has a 5 percent or greater ownership interest</w:t>
            </w:r>
          </w:p>
        </w:tc>
        <w:tc>
          <w:tcPr>
            <w:tcW w:w="3560" w:type="dxa"/>
            <w:vAlign w:val="bottom"/>
            <w:shd w:val="clear" w:color="auto" w:fill="E9E9E9"/>
          </w:tcPr>
          <w:p>
            <w:pPr>
              <w:spacing w:after="0"/>
              <w:rPr>
                <w:sz w:val="20"/>
                <w:szCs w:val="20"/>
                <w:color w:val="auto"/>
              </w:rPr>
            </w:pPr>
          </w:p>
        </w:tc>
      </w:tr>
      <w:tr>
        <w:trPr>
          <w:trHeight w:val="254"/>
        </w:trPr>
        <w:tc>
          <w:tcPr>
            <w:tcW w:w="7860" w:type="dxa"/>
            <w:vAlign w:val="bottom"/>
            <w:shd w:val="clear" w:color="auto" w:fill="E9E9E9"/>
          </w:tcPr>
          <w:p>
            <w:pPr>
              <w:spacing w:after="0"/>
              <w:rPr>
                <w:sz w:val="22"/>
                <w:szCs w:val="22"/>
                <w:color w:val="auto"/>
              </w:rPr>
            </w:pPr>
          </w:p>
        </w:tc>
        <w:tc>
          <w:tcPr>
            <w:tcW w:w="3560" w:type="dxa"/>
            <w:vAlign w:val="bottom"/>
            <w:shd w:val="clear" w:color="auto" w:fill="E9E9E9"/>
          </w:tcPr>
          <w:p>
            <w:pPr>
              <w:spacing w:after="0"/>
              <w:rPr>
                <w:sz w:val="22"/>
                <w:szCs w:val="22"/>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7"/>
                <w:szCs w:val="17"/>
                <w:color w:val="auto"/>
              </w:rPr>
              <w:t>Chair of the G&amp;SR Committee, chief compliance officer, any of his or her Immediate Family Members,</w:t>
            </w:r>
          </w:p>
        </w:tc>
        <w:tc>
          <w:tcPr>
            <w:tcW w:w="3560" w:type="dxa"/>
            <w:vAlign w:val="bottom"/>
          </w:tcPr>
          <w:p>
            <w:pPr>
              <w:ind w:left="140"/>
              <w:spacing w:after="0"/>
              <w:rPr>
                <w:sz w:val="20"/>
                <w:szCs w:val="20"/>
                <w:color w:val="auto"/>
              </w:rPr>
            </w:pPr>
            <w:r>
              <w:rPr>
                <w:rFonts w:ascii="Arial" w:cs="Arial" w:eastAsia="Arial" w:hAnsi="Arial"/>
                <w:sz w:val="17"/>
                <w:szCs w:val="17"/>
                <w:color w:val="auto"/>
              </w:rPr>
              <w:t>G&amp;SR Committee</w:t>
            </w:r>
          </w:p>
        </w:tc>
      </w:tr>
      <w:tr>
        <w:trPr>
          <w:trHeight w:val="238"/>
        </w:trPr>
        <w:tc>
          <w:tcPr>
            <w:tcW w:w="7860" w:type="dxa"/>
            <w:vAlign w:val="bottom"/>
          </w:tcPr>
          <w:p>
            <w:pPr>
              <w:spacing w:after="0"/>
              <w:rPr>
                <w:sz w:val="20"/>
                <w:szCs w:val="20"/>
                <w:color w:val="auto"/>
              </w:rPr>
            </w:pPr>
            <w:r>
              <w:rPr>
                <w:rFonts w:ascii="Arial" w:cs="Arial" w:eastAsia="Arial" w:hAnsi="Arial"/>
                <w:sz w:val="17"/>
                <w:szCs w:val="17"/>
                <w:color w:val="auto"/>
              </w:rPr>
              <w:t>or an entity in which any of the foregoing has a 5 percent or greater ownership interest</w:t>
            </w:r>
          </w:p>
        </w:tc>
        <w:tc>
          <w:tcPr>
            <w:tcW w:w="3560" w:type="dxa"/>
            <w:vAlign w:val="bottom"/>
          </w:tcPr>
          <w:p>
            <w:pPr>
              <w:spacing w:after="0"/>
              <w:rPr>
                <w:sz w:val="20"/>
                <w:szCs w:val="20"/>
                <w:color w:val="auto"/>
              </w:rPr>
            </w:pPr>
          </w:p>
        </w:tc>
      </w:tr>
      <w:tr>
        <w:trPr>
          <w:trHeight w:val="254"/>
        </w:trPr>
        <w:tc>
          <w:tcPr>
            <w:tcW w:w="7860" w:type="dxa"/>
            <w:vAlign w:val="bottom"/>
          </w:tcPr>
          <w:p>
            <w:pPr>
              <w:spacing w:after="0"/>
              <w:rPr>
                <w:sz w:val="22"/>
                <w:szCs w:val="22"/>
                <w:color w:val="auto"/>
              </w:rPr>
            </w:pPr>
          </w:p>
        </w:tc>
        <w:tc>
          <w:tcPr>
            <w:tcW w:w="3560" w:type="dxa"/>
            <w:vAlign w:val="bottom"/>
          </w:tcPr>
          <w:p>
            <w:pPr>
              <w:spacing w:after="0"/>
              <w:rPr>
                <w:sz w:val="22"/>
                <w:szCs w:val="22"/>
                <w:color w:val="auto"/>
              </w:rPr>
            </w:pPr>
          </w:p>
        </w:tc>
      </w:tr>
      <w:tr>
        <w:trPr>
          <w:trHeight w:val="222"/>
        </w:trPr>
        <w:tc>
          <w:tcPr>
            <w:tcW w:w="7860" w:type="dxa"/>
            <w:vAlign w:val="bottom"/>
            <w:shd w:val="clear" w:color="auto" w:fill="E9E9E9"/>
          </w:tcPr>
          <w:p>
            <w:pPr>
              <w:spacing w:after="0"/>
              <w:rPr>
                <w:sz w:val="20"/>
                <w:szCs w:val="20"/>
                <w:color w:val="auto"/>
              </w:rPr>
            </w:pPr>
            <w:r>
              <w:rPr>
                <w:rFonts w:ascii="Arial" w:cs="Arial" w:eastAsia="Arial" w:hAnsi="Arial"/>
                <w:sz w:val="17"/>
                <w:szCs w:val="17"/>
                <w:color w:val="auto"/>
              </w:rPr>
              <w:t>Any other director or executive officer, an Immediate Family Member of such person, or an entity in</w:t>
            </w:r>
          </w:p>
        </w:tc>
        <w:tc>
          <w:tcPr>
            <w:tcW w:w="35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Chief compliance officer in consultation with</w:t>
            </w:r>
          </w:p>
        </w:tc>
      </w:tr>
      <w:tr>
        <w:trPr>
          <w:trHeight w:val="238"/>
        </w:trPr>
        <w:tc>
          <w:tcPr>
            <w:tcW w:w="7860" w:type="dxa"/>
            <w:vAlign w:val="bottom"/>
            <w:shd w:val="clear" w:color="auto" w:fill="E9E9E9"/>
          </w:tcPr>
          <w:p>
            <w:pPr>
              <w:spacing w:after="0"/>
              <w:rPr>
                <w:sz w:val="20"/>
                <w:szCs w:val="20"/>
                <w:color w:val="auto"/>
              </w:rPr>
            </w:pPr>
            <w:r>
              <w:rPr>
                <w:rFonts w:ascii="Arial" w:cs="Arial" w:eastAsia="Arial" w:hAnsi="Arial"/>
                <w:sz w:val="17"/>
                <w:szCs w:val="17"/>
                <w:color w:val="auto"/>
              </w:rPr>
              <w:t>which any of the foregoing has a 5 percent or greater ownership interest</w:t>
            </w:r>
          </w:p>
        </w:tc>
        <w:tc>
          <w:tcPr>
            <w:tcW w:w="35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the Chair of the G&amp;SR Committee</w:t>
            </w:r>
          </w:p>
        </w:tc>
      </w:tr>
      <w:tr>
        <w:trPr>
          <w:trHeight w:val="254"/>
        </w:trPr>
        <w:tc>
          <w:tcPr>
            <w:tcW w:w="7860" w:type="dxa"/>
            <w:vAlign w:val="bottom"/>
            <w:shd w:val="clear" w:color="auto" w:fill="E9E9E9"/>
          </w:tcPr>
          <w:p>
            <w:pPr>
              <w:spacing w:after="0"/>
              <w:rPr>
                <w:sz w:val="22"/>
                <w:szCs w:val="22"/>
                <w:color w:val="auto"/>
              </w:rPr>
            </w:pPr>
          </w:p>
        </w:tc>
        <w:tc>
          <w:tcPr>
            <w:tcW w:w="3560" w:type="dxa"/>
            <w:vAlign w:val="bottom"/>
            <w:shd w:val="clear" w:color="auto" w:fill="E9E9E9"/>
          </w:tcPr>
          <w:p>
            <w:pPr>
              <w:spacing w:after="0"/>
              <w:rPr>
                <w:sz w:val="22"/>
                <w:szCs w:val="22"/>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7"/>
                <w:szCs w:val="17"/>
                <w:color w:val="auto"/>
              </w:rPr>
              <w:t>A 5 percent holder</w:t>
            </w:r>
          </w:p>
        </w:tc>
        <w:tc>
          <w:tcPr>
            <w:tcW w:w="3560" w:type="dxa"/>
            <w:vAlign w:val="bottom"/>
          </w:tcPr>
          <w:p>
            <w:pPr>
              <w:ind w:left="140"/>
              <w:spacing w:after="0"/>
              <w:rPr>
                <w:sz w:val="20"/>
                <w:szCs w:val="20"/>
                <w:color w:val="auto"/>
              </w:rPr>
            </w:pPr>
            <w:r>
              <w:rPr>
                <w:rFonts w:ascii="Arial" w:cs="Arial" w:eastAsia="Arial" w:hAnsi="Arial"/>
                <w:sz w:val="17"/>
                <w:szCs w:val="17"/>
                <w:color w:val="auto"/>
              </w:rPr>
              <w:t>G&amp;SR Committee</w:t>
            </w:r>
          </w:p>
        </w:tc>
      </w:tr>
    </w:tbl>
    <w:p>
      <w:pPr>
        <w:spacing w:after="0" w:line="200" w:lineRule="exact"/>
        <w:rPr>
          <w:sz w:val="20"/>
          <w:szCs w:val="20"/>
          <w:color w:val="auto"/>
        </w:rPr>
      </w:pPr>
    </w:p>
    <w:p>
      <w:pPr>
        <w:spacing w:after="0" w:line="268"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No member of the G&amp;SR Committee will participate in the consideration of a related person arrangement in which such member or any of his or her Immediate Family Members is the related person.</w:t>
      </w:r>
    </w:p>
    <w:p>
      <w:pPr>
        <w:spacing w:after="0" w:line="192"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(a) was the result of undue influence from the related person or (b) could adversely influence or appear to adversely influence the judgment, decisions or actions of the director or executive officer in meeting TI responsibilities or create obligations to other organizations that may come in conflict with responsibilities to TI.</w:t>
      </w:r>
    </w:p>
    <w:p>
      <w:pPr>
        <w:spacing w:after="0" w:line="203" w:lineRule="exact"/>
        <w:rPr>
          <w:sz w:val="20"/>
          <w:szCs w:val="20"/>
          <w:color w:val="auto"/>
        </w:rPr>
      </w:pPr>
    </w:p>
    <w:p>
      <w:pPr>
        <w:ind w:right="360"/>
        <w:spacing w:after="0" w:line="255" w:lineRule="auto"/>
        <w:rPr>
          <w:sz w:val="20"/>
          <w:szCs w:val="20"/>
          <w:color w:val="auto"/>
        </w:rPr>
      </w:pPr>
      <w:r>
        <w:rPr>
          <w:rFonts w:ascii="Arial" w:cs="Arial" w:eastAsia="Arial" w:hAnsi="Arial"/>
          <w:sz w:val="17"/>
          <w:szCs w:val="17"/>
          <w:color w:val="auto"/>
        </w:rPr>
        <w:t>No related person arrangement will be approved unless it is determined to be in, or not inconsistent with, the best interests of the company and its stockholders, as the approving body or persons shall determine in good faith.</w:t>
      </w:r>
    </w:p>
    <w:p>
      <w:pPr>
        <w:spacing w:after="0" w:line="192" w:lineRule="exact"/>
        <w:rPr>
          <w:sz w:val="20"/>
          <w:szCs w:val="20"/>
          <w:color w:val="auto"/>
        </w:rPr>
      </w:pPr>
    </w:p>
    <w:p>
      <w:pPr>
        <w:jc w:val="both"/>
        <w:ind w:right="240"/>
        <w:spacing w:after="0" w:line="249" w:lineRule="auto"/>
        <w:rPr>
          <w:sz w:val="20"/>
          <w:szCs w:val="20"/>
          <w:color w:val="auto"/>
        </w:rPr>
      </w:pPr>
      <w:r>
        <w:rPr>
          <w:rFonts w:ascii="Arial" w:cs="Arial" w:eastAsia="Arial" w:hAnsi="Arial"/>
          <w:sz w:val="17"/>
          <w:szCs w:val="17"/>
          <w:color w:val="auto"/>
        </w:rPr>
        <w:t>The chief compliance officer will provide periodic reports to the committee on related person transactions. Any related person transaction brought to the attention of the chief compliance officer or of which the chief compliance officer becomes aware that is not approved pursuant to the process set forth above shall be terminated as soon as practicable.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34"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During 2014, Mses. Cox, Patsley and Whitman and Mr. Sanchez served on the Compensation Committee. No committee member (i) was an officer or employee of TI, (ii) was formerly an officer of TI or (iii) had any relationship requiring disclosure under the SEC’s rules governing disclosure of related person transactions (Item 404 of Regulation S-K). No executive officer of TI served as a director or member of the compensation committee of another entity, one of whose directors or executive officers served as a member of our board of directors or a member of the Compensation Committee.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solicitation</w:t>
      </w:r>
    </w:p>
    <w:p>
      <w:pPr>
        <w:spacing w:after="0" w:line="234"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solicitation is made on behalf of our board of directors. TI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198"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Without receiving additional compensation, officials and regular employees of TI may solicit proxies personally, by telephone, fax or e-mail, from some stockholders if proxies are not promptly received. We have also hired Georgeson Inc. to assist in the solicitation of proxies at a cost of $12,000 plus out-of-pocket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240" w:type="dxa"/>
            <w:vAlign w:val="bottom"/>
          </w:tcPr>
          <w:p>
            <w:pPr>
              <w:ind w:left="4080"/>
              <w:spacing w:after="0"/>
              <w:rPr>
                <w:sz w:val="20"/>
                <w:szCs w:val="20"/>
                <w:color w:val="auto"/>
              </w:rPr>
            </w:pPr>
            <w:r>
              <w:rPr>
                <w:rFonts w:ascii="Arial" w:cs="Arial" w:eastAsia="Arial" w:hAnsi="Arial"/>
                <w:sz w:val="13"/>
                <w:szCs w:val="13"/>
                <w:color w:val="838383"/>
              </w:rPr>
              <w:t>TEXAS INSTRUMENTS ● 2015 PROXY STATEMENT</w:t>
            </w:r>
          </w:p>
        </w:tc>
        <w:tc>
          <w:tcPr>
            <w:tcW w:w="2200" w:type="dxa"/>
            <w:vAlign w:val="bottom"/>
          </w:tcPr>
          <w:p>
            <w:pPr>
              <w:jc w:val="right"/>
              <w:spacing w:after="0"/>
              <w:rPr>
                <w:sz w:val="20"/>
                <w:szCs w:val="20"/>
                <w:color w:val="auto"/>
              </w:rPr>
            </w:pPr>
            <w:r>
              <w:rPr>
                <w:rFonts w:ascii="Arial" w:cs="Arial" w:eastAsia="Arial" w:hAnsi="Arial"/>
                <w:sz w:val="13"/>
                <w:szCs w:val="13"/>
                <w:color w:val="838383"/>
              </w:rPr>
              <w:t>115</w:t>
            </w:r>
          </w:p>
        </w:tc>
      </w:tr>
      <w:tr>
        <w:trPr>
          <w:trHeight w:val="355"/>
        </w:trPr>
        <w:tc>
          <w:tcPr>
            <w:tcW w:w="924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92" w:right="21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Stockholder proposals for 2016</w:t>
      </w:r>
    </w:p>
    <w:p>
      <w:pPr>
        <w:spacing w:after="0" w:line="234"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If you wish to submit a proposal for possible inclusion in TI’s 2016 proxy material, we must receive your notice, in accordance with the rules of the SEC, on or before November 5, 2015. Proposals are to be sent to: Texas Instruments Incorporated, 12500 TI Boulevard, MS 8658, Dallas, TX 75243, Attn: Secretary.</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If you wish to submit a proposal at the 2016 annual meeting (but not seek inclusion of the proposal in the company’s proxy material), we must receive your notice, in accordance with the company’s by-laws, on or before January 17, 2016.</w:t>
      </w:r>
    </w:p>
    <w:p>
      <w:pPr>
        <w:spacing w:after="0" w:line="192"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All suggestions from stockholders concerning the company’s business are welcome and will be carefully considered by TI’s management. To ensure that your suggestions receive appropriate review, the G&amp;SR Committee reviews correspondence from stockholders and management’s responses. Stockholders are thereby given access at the board level without having to resort to formal stockholder proposals. Generally, the board prefers you present your views in this manner rather than through the process of formal stockholder proposals. Please see page 77 for information on contacting the board.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 plan voting</w:t>
      </w:r>
    </w:p>
    <w:p>
      <w:pPr>
        <w:spacing w:after="0" w:line="234"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If you are a participant in the TI Contribution and 401(k) Savings Plan, or the TI 401(k) Savings Plan, you are a “named fiduciary” under the plans and are entitled to direct the voting of shares allocable to your accounts under these plans. The trustee administering your plan will vote your shares in accordance with your instructions. If you wish to instruct the trustee on the voting of shares held for your accounts, you should do so by April 13, 2015, in the manner described in the notice of annual meeting.</w:t>
      </w:r>
    </w:p>
    <w:p>
      <w:pPr>
        <w:spacing w:after="0" w:line="200"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13, 2015, will be voted in the same proportions as the shares in the plans for which voting instructions have been received by that date unless otherwise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34"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Section 16(a) of the Securities Exchange Act requires certain persons, including the company’s directors and executive officers, to file reports with the SEC regarding beneficial ownership of certain equity securities of the company. The company believes that all reports during 2014 were timely filed by its directors and executive officers. In 2015, a report of a 2012 gift by Mr. Templeton was filed; the gift was not previously reported due to administrative error.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Telephone and Internet voting</w:t>
      </w:r>
    </w:p>
    <w:p>
      <w:pPr>
        <w:spacing w:after="0" w:line="234"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u w:val="single" w:color="auto"/>
          <w:color w:val="auto"/>
        </w:rPr>
        <w:t>Registered stockholders and benefit plan participants</w:t>
      </w:r>
      <w:r>
        <w:rPr>
          <w:rFonts w:ascii="Arial" w:cs="Arial" w:eastAsia="Arial" w:hAnsi="Arial"/>
          <w:sz w:val="17"/>
          <w:szCs w:val="17"/>
          <w:color w:val="auto"/>
        </w:rPr>
        <w:t>. Stockholders with shares registered directly with Computershare (TI’s transfer agent) and participants who beneficially own shares in a TI benefit plan may vote telephonically by calling (800) 690-6903 (within the U.S. and Canada only, toll-free) or via the Internet at www.proxyvote.com.</w:t>
      </w:r>
    </w:p>
    <w:p>
      <w:pPr>
        <w:spacing w:after="0" w:line="198" w:lineRule="exact"/>
        <w:rPr>
          <w:sz w:val="20"/>
          <w:szCs w:val="20"/>
          <w:color w:val="auto"/>
        </w:rPr>
      </w:pPr>
    </w:p>
    <w:p>
      <w:pPr>
        <w:ind w:right="380"/>
        <w:spacing w:after="0" w:line="247" w:lineRule="auto"/>
        <w:rPr>
          <w:sz w:val="20"/>
          <w:szCs w:val="20"/>
          <w:color w:val="auto"/>
        </w:rPr>
      </w:pPr>
      <w:r>
        <w:rPr>
          <w:rFonts w:ascii="Arial" w:cs="Arial" w:eastAsia="Arial" w:hAnsi="Arial"/>
          <w:sz w:val="17"/>
          <w:szCs w:val="17"/>
          <w:color w:val="auto"/>
        </w:rPr>
        <w:t>The telephone and Internet voting procedures are designed to authenticate stockholders’ identities, to allow stockholders to give their voting instructions and to confirm that stockholders’ instructions have been recorded properly. TI has been advised by counsel that the telephone and Internet voting procedures, which have been made available through Broadridge Financial Solutions, Inc., are consistent with the requirements of applicable law.</w:t>
      </w:r>
    </w:p>
    <w:p>
      <w:pPr>
        <w:spacing w:after="0" w:line="200"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u w:val="single" w:color="auto"/>
          <w:color w:val="auto"/>
        </w:rPr>
        <w:t>Stockholders with shares registered in the name of a brokerage firm or bank</w:t>
      </w:r>
      <w:r>
        <w:rPr>
          <w:rFonts w:ascii="Arial" w:cs="Arial" w:eastAsia="Arial" w:hAnsi="Arial"/>
          <w:sz w:val="17"/>
          <w:szCs w:val="17"/>
          <w:color w:val="auto"/>
        </w:rPr>
        <w:t>. A number of brokerage firms and banks offer telephone and Internet voting options. These programs may differ from the program provided to registered stockholders and benefit plan participants. Check the information forwarded by your bank, broker or other holder of record to see which options are available to you.</w:t>
      </w:r>
    </w:p>
    <w:p>
      <w:pPr>
        <w:spacing w:after="0" w:line="198" w:lineRule="exact"/>
        <w:rPr>
          <w:sz w:val="20"/>
          <w:szCs w:val="20"/>
          <w:color w:val="auto"/>
        </w:rPr>
      </w:pPr>
    </w:p>
    <w:p>
      <w:pPr>
        <w:ind w:right="580"/>
        <w:spacing w:after="0" w:line="255" w:lineRule="auto"/>
        <w:rPr>
          <w:sz w:val="20"/>
          <w:szCs w:val="20"/>
          <w:color w:val="auto"/>
        </w:rPr>
      </w:pPr>
      <w:r>
        <w:rPr>
          <w:rFonts w:ascii="Arial" w:cs="Arial" w:eastAsia="Arial" w:hAnsi="Arial"/>
          <w:sz w:val="17"/>
          <w:szCs w:val="17"/>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202" w:lineRule="exact"/>
        <w:rPr>
          <w:sz w:val="20"/>
          <w:szCs w:val="20"/>
          <w:color w:val="auto"/>
        </w:rPr>
      </w:pPr>
    </w:p>
    <w:p>
      <w:pPr>
        <w:spacing w:after="0"/>
        <w:tabs>
          <w:tab w:leader="none" w:pos="4140" w:val="left"/>
        </w:tabs>
        <w:rPr>
          <w:sz w:val="20"/>
          <w:szCs w:val="20"/>
          <w:color w:val="auto"/>
        </w:rPr>
      </w:pPr>
      <w:r>
        <w:rPr>
          <w:rFonts w:ascii="Arial" w:cs="Arial" w:eastAsia="Arial" w:hAnsi="Arial"/>
          <w:sz w:val="13"/>
          <w:szCs w:val="13"/>
          <w:color w:val="838383"/>
        </w:rPr>
        <w:t>116</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400"/>
          </w:cols>
          <w:pgMar w:left="240" w:top="572" w:right="25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Stockholders sharing the same address</w:t>
      </w:r>
    </w:p>
    <w:p>
      <w:pPr>
        <w:spacing w:after="0" w:line="234"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To reduce the expenses of delivering duplicate materials, we take advantage of the SEC’s “householding” rules which permit us to deliver only one set of proxy materials (or one Notice of Internet Availability of Proxy Materials) to stockholders who share an address unless otherwise requested. If you share an address with another stockholder and have received only one set of these materials, you may request a separate copy at no cost to you by calling Investor Relations at 214-479-3773 or by writing to Texas Instruments Incorporated, P.O. Box 660199, MS 8657, Dallas, TX 75266-0199, Attn: Investor Relations. For future annual meetings, you may request separate materials, or request that we send only one set of materials to you if you are receiving multiple copies, by calling (800) 542-1061 or writing to Investor Relations at the address given above.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delivery of proxy materials and copies of our Form 10-K</w:t>
      </w:r>
    </w:p>
    <w:p>
      <w:pPr>
        <w:spacing w:after="0" w:line="234"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As an alternative to receiving printed copies of these materials in future years, we are pleased to offer stockholders the opportunity to receive proxy mailings electronically. To request electronic delivery, please vote via the Internet at www.proxyvote.com and, when prompted, enroll to receive or access proxy materials electronically in future years. After the meeting date, stockholders holding shares through a broker or bank may request electronic delivery by visiting www.icsdelivery.com/ti and entering information for each account held by a bank or broker. If you are a registered stockholder and would like to request electronic delivery, please visit www-us.computershare.com/investor or call TI Investor Relations at 214-479-3773 for more information. If you are a participant in a TI benefit plan and would like to request electronic delivery, please call TI Investor Relations for more information.</w:t>
      </w:r>
    </w:p>
    <w:p>
      <w:pPr>
        <w:spacing w:after="0" w:line="182" w:lineRule="exact"/>
        <w:rPr>
          <w:sz w:val="20"/>
          <w:szCs w:val="20"/>
          <w:color w:val="auto"/>
        </w:rPr>
      </w:pPr>
    </w:p>
    <w:p>
      <w:pPr>
        <w:ind w:right="420"/>
        <w:spacing w:after="0" w:line="280" w:lineRule="auto"/>
        <w:rPr>
          <w:sz w:val="20"/>
          <w:szCs w:val="20"/>
          <w:color w:val="auto"/>
        </w:rPr>
      </w:pPr>
      <w:r>
        <w:rPr>
          <w:rFonts w:ascii="Arial" w:cs="Arial" w:eastAsia="Arial" w:hAnsi="Arial"/>
          <w:sz w:val="17"/>
          <w:szCs w:val="17"/>
          <w:b w:val="1"/>
          <w:bCs w:val="1"/>
          <w:color w:val="auto"/>
        </w:rPr>
        <w:t>Important Notice Regarding the Availability of Proxy Materials for the Stockholder Meeting to be held on April 16, 2015. This 2015 proxy statement and the company’s 2014 annual report are accessible at: www.proxyvote.com.</w:t>
      </w:r>
    </w:p>
    <w:p>
      <w:pPr>
        <w:spacing w:after="0" w:line="172"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 xml:space="preserve">The company’s Annual Report to Stockholders, which contains consolidated financial statements for the year ended December 31, 2014, accompanies this Proxy Statement. </w:t>
      </w:r>
      <w:r>
        <w:rPr>
          <w:rFonts w:ascii="Arial" w:cs="Arial" w:eastAsia="Arial" w:hAnsi="Arial"/>
          <w:sz w:val="17"/>
          <w:szCs w:val="17"/>
          <w:b w:val="1"/>
          <w:bCs w:val="1"/>
          <w:color w:val="auto"/>
        </w:rPr>
        <w:t>You may also obtain a copy of the company’s Annual Report on Form 10-K for the year ended December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31, 2014, that was filed with the SEC without charge by writing to Investor Relations, P.O. Box 660199, MS 8657, Dallas, TX 75266-0199. </w:t>
      </w:r>
      <w:r>
        <w:rPr>
          <w:rFonts w:ascii="Arial" w:cs="Arial" w:eastAsia="Arial" w:hAnsi="Arial"/>
          <w:sz w:val="17"/>
          <w:szCs w:val="17"/>
          <w:color w:val="auto"/>
        </w:rPr>
        <w:t>Our</w:t>
      </w:r>
      <w:r>
        <w:rPr>
          <w:rFonts w:ascii="Arial" w:cs="Arial" w:eastAsia="Arial" w:hAnsi="Arial"/>
          <w:sz w:val="17"/>
          <w:szCs w:val="17"/>
          <w:b w:val="1"/>
          <w:bCs w:val="1"/>
          <w:color w:val="auto"/>
        </w:rPr>
        <w:t xml:space="preserve"> </w:t>
      </w:r>
      <w:r>
        <w:rPr>
          <w:rFonts w:ascii="Arial" w:cs="Arial" w:eastAsia="Arial" w:hAnsi="Arial"/>
          <w:sz w:val="17"/>
          <w:szCs w:val="17"/>
          <w:color w:val="auto"/>
        </w:rPr>
        <w:t>Form 10-K is also available in the “Investor Relations” section of our website at www.TI.com.</w:t>
      </w:r>
    </w:p>
    <w:p>
      <w:pPr>
        <w:spacing w:after="0" w:line="213" w:lineRule="exact"/>
        <w:rPr>
          <w:sz w:val="20"/>
          <w:szCs w:val="20"/>
          <w:color w:val="auto"/>
        </w:rPr>
      </w:pPr>
    </w:p>
    <w:p>
      <w:pPr>
        <w:ind w:left="800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16510</wp:posOffset>
            </wp:positionV>
            <wp:extent cx="1997075" cy="6127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97075" cy="612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000"/>
        <w:spacing w:after="0"/>
        <w:rPr>
          <w:sz w:val="20"/>
          <w:szCs w:val="20"/>
          <w:color w:val="auto"/>
        </w:rPr>
      </w:pPr>
      <w:r>
        <w:rPr>
          <w:rFonts w:ascii="Arial" w:cs="Arial" w:eastAsia="Arial" w:hAnsi="Arial"/>
          <w:sz w:val="17"/>
          <w:szCs w:val="17"/>
          <w:color w:val="auto"/>
        </w:rPr>
        <w:t>Joseph F. Hubach</w:t>
      </w:r>
    </w:p>
    <w:p>
      <w:pPr>
        <w:spacing w:after="0" w:line="42" w:lineRule="exact"/>
        <w:rPr>
          <w:sz w:val="20"/>
          <w:szCs w:val="20"/>
          <w:color w:val="auto"/>
        </w:rPr>
      </w:pPr>
    </w:p>
    <w:p>
      <w:pPr>
        <w:ind w:left="8000"/>
        <w:spacing w:after="0"/>
        <w:rPr>
          <w:sz w:val="20"/>
          <w:szCs w:val="20"/>
          <w:color w:val="auto"/>
        </w:rPr>
      </w:pPr>
      <w:r>
        <w:rPr>
          <w:rFonts w:ascii="Arial" w:cs="Arial" w:eastAsia="Arial" w:hAnsi="Arial"/>
          <w:sz w:val="17"/>
          <w:szCs w:val="17"/>
          <w:color w:val="auto"/>
        </w:rPr>
        <w:t>Senior Vice President,</w:t>
      </w:r>
    </w:p>
    <w:p>
      <w:pPr>
        <w:spacing w:after="0" w:line="42" w:lineRule="exact"/>
        <w:rPr>
          <w:sz w:val="20"/>
          <w:szCs w:val="20"/>
          <w:color w:val="auto"/>
        </w:rPr>
      </w:pPr>
    </w:p>
    <w:p>
      <w:pPr>
        <w:ind w:left="8000"/>
        <w:spacing w:after="0"/>
        <w:rPr>
          <w:sz w:val="20"/>
          <w:szCs w:val="20"/>
          <w:color w:val="auto"/>
        </w:rPr>
      </w:pPr>
      <w:r>
        <w:rPr>
          <w:rFonts w:ascii="Arial" w:cs="Arial" w:eastAsia="Arial" w:hAnsi="Arial"/>
          <w:sz w:val="17"/>
          <w:szCs w:val="17"/>
          <w:color w:val="auto"/>
        </w:rPr>
        <w:t>Secretary and General Counsel</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March 4, 2015</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Dallas, Texas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regarding forward-looking statements</w:t>
      </w:r>
    </w:p>
    <w:p>
      <w:pPr>
        <w:spacing w:after="0" w:line="234"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This proxy statement includes forward-looking statements intended to qualify for the safe harbor from liability established by the Private Securities Litigation Reform Act of 1995. Statements herein that describe TI’s business strategy, plans, goals, future capital spending levels and potential for growth, improved profit margins and cash generation are forward-looking statements. All such forward-looking statements are subject to certain risks and uncertainties that could cause actual results and amounts to differ materially from those in forward-looking statements. For a detailed discussion of the risks and uncertainties, see the Risk factors discussion in Item 1A of our annual report on Form 10-K for the year ended December 31, 2014. The forward-looking statements included in this proxy statement are made only as of the date of this proxy statement and we undertake no obligation to update the forward-looking statements to reflect subsequent events or circumstances.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240" w:type="dxa"/>
            <w:vAlign w:val="bottom"/>
          </w:tcPr>
          <w:p>
            <w:pPr>
              <w:ind w:left="4080"/>
              <w:spacing w:after="0"/>
              <w:rPr>
                <w:sz w:val="20"/>
                <w:szCs w:val="20"/>
                <w:color w:val="auto"/>
              </w:rPr>
            </w:pPr>
            <w:r>
              <w:rPr>
                <w:rFonts w:ascii="Arial" w:cs="Arial" w:eastAsia="Arial" w:hAnsi="Arial"/>
                <w:sz w:val="13"/>
                <w:szCs w:val="13"/>
                <w:color w:val="838383"/>
              </w:rPr>
              <w:t>TEXAS INSTRUMENTS ● 2015 PROXY STATEMENT</w:t>
            </w:r>
          </w:p>
        </w:tc>
        <w:tc>
          <w:tcPr>
            <w:tcW w:w="2200" w:type="dxa"/>
            <w:vAlign w:val="bottom"/>
          </w:tcPr>
          <w:p>
            <w:pPr>
              <w:jc w:val="right"/>
              <w:spacing w:after="0"/>
              <w:rPr>
                <w:sz w:val="20"/>
                <w:szCs w:val="20"/>
                <w:color w:val="auto"/>
              </w:rPr>
            </w:pPr>
            <w:r>
              <w:rPr>
                <w:rFonts w:ascii="Arial" w:cs="Arial" w:eastAsia="Arial" w:hAnsi="Arial"/>
                <w:sz w:val="13"/>
                <w:szCs w:val="13"/>
                <w:color w:val="838383"/>
              </w:rPr>
              <w:t>117</w:t>
            </w:r>
          </w:p>
        </w:tc>
      </w:tr>
      <w:tr>
        <w:trPr>
          <w:trHeight w:val="355"/>
        </w:trPr>
        <w:tc>
          <w:tcPr>
            <w:tcW w:w="924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72" w:right="21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Directions and other annual meeting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Directions</w:t>
      </w:r>
    </w:p>
    <w:p>
      <w:pPr>
        <w:spacing w:after="0" w:line="196"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i w:val="1"/>
          <w:iCs w:val="1"/>
          <w:color w:val="auto"/>
        </w:rPr>
        <w:t xml:space="preserve">From DFW airport: </w:t>
      </w:r>
      <w:r>
        <w:rPr>
          <w:rFonts w:ascii="Arial" w:cs="Arial" w:eastAsia="Arial" w:hAnsi="Arial"/>
          <w:sz w:val="17"/>
          <w:szCs w:val="17"/>
          <w:color w:val="auto"/>
        </w:rPr>
        <w:t>Take the North Airport exit to IH-635E. Take IH-635E to the Greenville Avenue exit. Turn right (South) on Greenville. Turn right</w:t>
      </w:r>
      <w:r>
        <w:rPr>
          <w:rFonts w:ascii="Arial" w:cs="Arial" w:eastAsia="Arial" w:hAnsi="Arial"/>
          <w:sz w:val="17"/>
          <w:szCs w:val="17"/>
          <w:i w:val="1"/>
          <w:iCs w:val="1"/>
          <w:color w:val="auto"/>
        </w:rPr>
        <w:t xml:space="preserve"> </w:t>
      </w:r>
      <w:r>
        <w:rPr>
          <w:rFonts w:ascii="Arial" w:cs="Arial" w:eastAsia="Arial" w:hAnsi="Arial"/>
          <w:sz w:val="17"/>
          <w:szCs w:val="17"/>
          <w:color w:val="auto"/>
        </w:rPr>
        <w:t>(West) on Forest Lane. Texas Instruments will be on your right at the second traffic light. Please use the North entrance to the building.</w:t>
      </w:r>
    </w:p>
    <w:p>
      <w:pPr>
        <w:spacing w:after="0" w:line="157" w:lineRule="exact"/>
        <w:rPr>
          <w:sz w:val="20"/>
          <w:szCs w:val="20"/>
          <w:color w:val="auto"/>
        </w:rPr>
      </w:pPr>
    </w:p>
    <w:p>
      <w:pPr>
        <w:jc w:val="both"/>
        <w:ind w:right="40"/>
        <w:spacing w:after="0" w:line="260" w:lineRule="auto"/>
        <w:rPr>
          <w:sz w:val="20"/>
          <w:szCs w:val="20"/>
          <w:color w:val="auto"/>
        </w:rPr>
      </w:pPr>
      <w:r>
        <w:rPr>
          <w:rFonts w:ascii="Arial" w:cs="Arial" w:eastAsia="Arial" w:hAnsi="Arial"/>
          <w:sz w:val="17"/>
          <w:szCs w:val="17"/>
          <w:i w:val="1"/>
          <w:iCs w:val="1"/>
          <w:color w:val="auto"/>
        </w:rPr>
        <w:t xml:space="preserve">From Love Field airport: </w:t>
      </w:r>
      <w:r>
        <w:rPr>
          <w:rFonts w:ascii="Arial" w:cs="Arial" w:eastAsia="Arial" w:hAnsi="Arial"/>
          <w:sz w:val="17"/>
          <w:szCs w:val="17"/>
          <w:color w:val="auto"/>
        </w:rPr>
        <w:t>Take Mockingbird Lane East to US-75N (Central Expressway). Travel North on 75N to the Forest Lane exit. Turn right (East)</w:t>
      </w:r>
      <w:r>
        <w:rPr>
          <w:rFonts w:ascii="Arial" w:cs="Arial" w:eastAsia="Arial" w:hAnsi="Arial"/>
          <w:sz w:val="17"/>
          <w:szCs w:val="17"/>
          <w:i w:val="1"/>
          <w:iCs w:val="1"/>
          <w:color w:val="auto"/>
        </w:rPr>
        <w:t xml:space="preserve"> </w:t>
      </w:r>
      <w:r>
        <w:rPr>
          <w:rFonts w:ascii="Arial" w:cs="Arial" w:eastAsia="Arial" w:hAnsi="Arial"/>
          <w:sz w:val="17"/>
          <w:szCs w:val="17"/>
          <w:color w:val="auto"/>
        </w:rPr>
        <w:t>on Forest Lane. You will pass two traffic lights. At the third light, the entrance to Texas Instruments will be on your left. Please use the North entrance to the building.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Parking</w:t>
      </w:r>
    </w:p>
    <w:p>
      <w:pPr>
        <w:spacing w:after="0" w:line="214"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There will be reserved parking for all visitors at the North Lobby. Visitors with special needs requiring assistance will be accommodated at the South Lobby entrance.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Security</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Please be advised that TI’s security policy forbids weapons, cameras and audio/video recording devices inside TI buildings. All bags will be subject to search upon entry into the building.</w:t>
      </w:r>
    </w:p>
    <w:p>
      <w:pPr>
        <w:spacing w:after="0" w:line="202" w:lineRule="exact"/>
        <w:rPr>
          <w:sz w:val="20"/>
          <w:szCs w:val="20"/>
          <w:color w:val="auto"/>
        </w:rPr>
      </w:pPr>
    </w:p>
    <w:p>
      <w:pPr>
        <w:spacing w:after="0"/>
        <w:tabs>
          <w:tab w:leader="none" w:pos="4140" w:val="left"/>
        </w:tabs>
        <w:rPr>
          <w:sz w:val="20"/>
          <w:szCs w:val="20"/>
          <w:color w:val="auto"/>
        </w:rPr>
      </w:pPr>
      <w:r>
        <w:rPr>
          <w:rFonts w:ascii="Arial" w:cs="Arial" w:eastAsia="Arial" w:hAnsi="Arial"/>
          <w:sz w:val="13"/>
          <w:szCs w:val="13"/>
          <w:color w:val="838383"/>
        </w:rPr>
        <w:t>118</w:t>
      </w:r>
      <w:r>
        <w:rPr>
          <w:sz w:val="20"/>
          <w:szCs w:val="20"/>
          <w:color w:val="auto"/>
        </w:rPr>
        <w:tab/>
      </w:r>
      <w:r>
        <w:rPr>
          <w:rFonts w:ascii="Arial" w:cs="Arial" w:eastAsia="Arial" w:hAnsi="Arial"/>
          <w:sz w:val="13"/>
          <w:szCs w:val="13"/>
          <w:color w:val="838383"/>
        </w:rPr>
        <w:t>TEXAS INSTRUMENTS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7075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340"/>
          </w:cols>
          <w:pgMar w:left="240" w:top="572" w:right="319" w:bottom="1440" w:gutter="0" w:footer="0" w:header="0"/>
        </w:sectPr>
      </w:pPr>
    </w:p>
    <w:bookmarkStart w:id="49" w:name="page50"/>
    <w:bookmarkEnd w:id="49"/>
    <w:p>
      <w:pPr>
        <w:spacing w:after="0"/>
        <w:rPr>
          <w:sz w:val="20"/>
          <w:szCs w:val="20"/>
          <w:color w:val="auto"/>
        </w:rPr>
      </w:pPr>
      <w:r>
        <w:rPr>
          <w:rFonts w:ascii="Arial" w:cs="Arial" w:eastAsia="Arial" w:hAnsi="Arial"/>
          <w:sz w:val="21"/>
          <w:szCs w:val="21"/>
          <w:b w:val="1"/>
          <w:bCs w:val="1"/>
          <w:color w:val="auto"/>
        </w:rPr>
        <w:t>Appendix</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Non-GAAP reconciliations</w:t>
      </w:r>
    </w:p>
    <w:p>
      <w:pPr>
        <w:spacing w:after="0" w:line="217"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This proxy statement refers to (1) revenue excluding legacy wireless products (baseband products, and OMAP applications processors and connectivity products sold into smartphone and consumer tablet applications) and (2) ratios based on free cash flow. These are financial measures that were not prepared in accordance with generally accepted accounting principles in the U.S. (GAAP). Free cash flow is a non-GAAP measure calculated by subtracting Capital expenditures from the most directly comparable GAAP measure, Cash flows from operating activities (also referred to as Cash flow from operations). We believe revenue excluding legacy wireless products provides insight into our underlying business results. We believe free cash flow and these ratios based on it provide insight into our liquidity, our cash-generating capability and the amount of cash potentially available to return to investors, as well as insight into our financial performance. These non-GAAP measures are supplemental to the comparable GAAP measures and are reconciled in the tables below to the most directly comparable GAAP measures.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60"/>
              <w:spacing w:after="0"/>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121"/>
              <w:spacing w:after="0"/>
              <w:rPr>
                <w:sz w:val="20"/>
                <w:szCs w:val="20"/>
                <w:color w:val="auto"/>
              </w:rPr>
            </w:pPr>
            <w:r>
              <w:rPr>
                <w:rFonts w:ascii="Arial" w:cs="Arial" w:eastAsia="Arial" w:hAnsi="Arial"/>
                <w:sz w:val="13"/>
                <w:szCs w:val="13"/>
                <w:b w:val="1"/>
                <w:bCs w:val="1"/>
                <w:color w:val="auto"/>
              </w:rPr>
              <w:t>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8"/>
          </w:tcPr>
          <w:p>
            <w:pPr>
              <w:jc w:val="right"/>
              <w:ind w:right="121"/>
              <w:spacing w:after="0"/>
              <w:rPr>
                <w:sz w:val="20"/>
                <w:szCs w:val="20"/>
                <w:color w:val="auto"/>
              </w:rPr>
            </w:pPr>
            <w:r>
              <w:rPr>
                <w:rFonts w:ascii="Arial" w:cs="Arial" w:eastAsia="Arial" w:hAnsi="Arial"/>
                <w:sz w:val="13"/>
                <w:szCs w:val="13"/>
                <w:b w:val="1"/>
                <w:bCs w:val="1"/>
                <w:color w:val="auto"/>
              </w:rPr>
              <w:t>For Years Ended December 31,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3"/>
          </w:tcPr>
          <w:p>
            <w:pPr>
              <w:ind w:left="20"/>
              <w:spacing w:after="0"/>
              <w:rPr>
                <w:sz w:val="20"/>
                <w:szCs w:val="20"/>
                <w:color w:val="auto"/>
              </w:rPr>
            </w:pPr>
            <w:r>
              <w:rPr>
                <w:rFonts w:ascii="Arial" w:cs="Arial" w:eastAsia="Arial" w:hAnsi="Arial"/>
                <w:sz w:val="13"/>
                <w:szCs w:val="13"/>
                <w:b w:val="1"/>
                <w:bCs w:val="1"/>
                <w:color w:val="auto"/>
              </w:rPr>
              <w:t>One-Year</w:t>
            </w:r>
          </w:p>
        </w:tc>
        <w:tc>
          <w:tcPr>
            <w:tcW w:w="740" w:type="dxa"/>
            <w:vAlign w:val="bottom"/>
            <w:gridSpan w:val="4"/>
          </w:tcPr>
          <w:p>
            <w:pPr>
              <w:ind w:left="40"/>
              <w:spacing w:after="0"/>
              <w:rPr>
                <w:sz w:val="20"/>
                <w:szCs w:val="20"/>
                <w:color w:val="auto"/>
              </w:rPr>
            </w:pPr>
            <w:r>
              <w:rPr>
                <w:rFonts w:ascii="Arial" w:cs="Arial" w:eastAsia="Arial" w:hAnsi="Arial"/>
                <w:sz w:val="13"/>
                <w:szCs w:val="13"/>
                <w:b w:val="1"/>
                <w:bCs w:val="1"/>
                <w:color w:val="auto"/>
              </w:rPr>
              <w:t>Three-Year</w:t>
            </w:r>
          </w:p>
        </w:tc>
        <w:tc>
          <w:tcPr>
            <w:tcW w:w="0" w:type="dxa"/>
            <w:vAlign w:val="bottom"/>
          </w:tcPr>
          <w:p>
            <w:pPr>
              <w:spacing w:after="0"/>
              <w:rPr>
                <w:sz w:val="1"/>
                <w:szCs w:val="1"/>
                <w:color w:val="auto"/>
              </w:rPr>
            </w:pPr>
          </w:p>
        </w:tc>
      </w:tr>
      <w:tr>
        <w:trPr>
          <w:trHeight w:val="41"/>
        </w:trPr>
        <w:tc>
          <w:tcPr>
            <w:tcW w:w="4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840" w:type="dxa"/>
            <w:vAlign w:val="bottom"/>
          </w:tcPr>
          <w:p>
            <w:pPr>
              <w:spacing w:after="0"/>
              <w:rPr>
                <w:sz w:val="20"/>
                <w:szCs w:val="20"/>
                <w:color w:val="auto"/>
              </w:rPr>
            </w:pPr>
            <w:r>
              <w:rPr>
                <w:rFonts w:ascii="Arial" w:cs="Arial" w:eastAsia="Arial" w:hAnsi="Arial"/>
                <w:sz w:val="13"/>
                <w:szCs w:val="13"/>
                <w:b w:val="1"/>
                <w:bCs w:val="1"/>
                <w:color w:val="auto"/>
              </w:rPr>
              <w:t>Revenue Excluding Legacy Wireless Products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2014</w:t>
            </w:r>
          </w:p>
        </w:tc>
        <w:tc>
          <w:tcPr>
            <w:tcW w:w="20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6"/>
                <w:szCs w:val="16"/>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2012</w:t>
            </w:r>
          </w:p>
        </w:tc>
        <w:tc>
          <w:tcPr>
            <w:tcW w:w="420" w:type="dxa"/>
            <w:vAlign w:val="bottom"/>
          </w:tcPr>
          <w:p>
            <w:pPr>
              <w:spacing w:after="0"/>
              <w:rPr>
                <w:sz w:val="16"/>
                <w:szCs w:val="16"/>
                <w:color w:val="auto"/>
              </w:rPr>
            </w:pPr>
          </w:p>
        </w:tc>
        <w:tc>
          <w:tcPr>
            <w:tcW w:w="580" w:type="dxa"/>
            <w:vAlign w:val="bottom"/>
            <w:gridSpan w:val="2"/>
          </w:tcPr>
          <w:p>
            <w:pPr>
              <w:jc w:val="right"/>
              <w:ind w:right="164"/>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6"/>
                <w:szCs w:val="16"/>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Growth</w:t>
            </w:r>
          </w:p>
        </w:tc>
        <w:tc>
          <w:tcPr>
            <w:tcW w:w="80" w:type="dxa"/>
            <w:vAlign w:val="bottom"/>
          </w:tcPr>
          <w:p>
            <w:pPr>
              <w:spacing w:after="0"/>
              <w:rPr>
                <w:sz w:val="16"/>
                <w:szCs w:val="16"/>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CAGR *</w:t>
            </w:r>
          </w:p>
        </w:tc>
        <w:tc>
          <w:tcPr>
            <w:tcW w:w="0" w:type="dxa"/>
            <w:vAlign w:val="bottom"/>
          </w:tcPr>
          <w:p>
            <w:pPr>
              <w:spacing w:after="0"/>
              <w:rPr>
                <w:sz w:val="1"/>
                <w:szCs w:val="1"/>
                <w:color w:val="auto"/>
              </w:rPr>
            </w:pPr>
          </w:p>
        </w:tc>
      </w:tr>
      <w:tr>
        <w:trPr>
          <w:trHeight w:val="41"/>
        </w:trPr>
        <w:tc>
          <w:tcPr>
            <w:tcW w:w="48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840" w:type="dxa"/>
            <w:vAlign w:val="bottom"/>
          </w:tcPr>
          <w:p>
            <w:pPr>
              <w:spacing w:after="0"/>
              <w:rPr>
                <w:sz w:val="20"/>
                <w:szCs w:val="20"/>
                <w:color w:val="auto"/>
              </w:rPr>
            </w:pPr>
            <w:r>
              <w:rPr>
                <w:rFonts w:ascii="Arial" w:cs="Arial" w:eastAsia="Arial" w:hAnsi="Arial"/>
                <w:sz w:val="13"/>
                <w:szCs w:val="13"/>
                <w:b w:val="1"/>
                <w:bCs w:val="1"/>
                <w:color w:val="auto"/>
              </w:rPr>
              <w:t>(Millions of dollars)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3"/>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840" w:type="dxa"/>
            <w:vAlign w:val="bottom"/>
            <w:shd w:val="clear" w:color="auto" w:fill="E9E9E9"/>
          </w:tcPr>
          <w:p>
            <w:pPr>
              <w:spacing w:after="0"/>
              <w:rPr>
                <w:sz w:val="20"/>
                <w:szCs w:val="20"/>
                <w:color w:val="auto"/>
              </w:rPr>
            </w:pPr>
            <w:r>
              <w:rPr>
                <w:rFonts w:ascii="Arial" w:cs="Arial" w:eastAsia="Arial" w:hAnsi="Arial"/>
                <w:sz w:val="17"/>
                <w:szCs w:val="17"/>
                <w:color w:val="auto"/>
              </w:rPr>
              <w:t>Revenue (GAAP)</w:t>
            </w:r>
          </w:p>
        </w:tc>
        <w:tc>
          <w:tcPr>
            <w:tcW w:w="30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860" w:type="dxa"/>
            <w:vAlign w:val="bottom"/>
            <w:gridSpan w:val="3"/>
            <w:shd w:val="clear" w:color="auto" w:fill="E9E9E9"/>
          </w:tcPr>
          <w:p>
            <w:pPr>
              <w:jc w:val="right"/>
              <w:ind w:right="14"/>
              <w:spacing w:after="0"/>
              <w:rPr>
                <w:sz w:val="20"/>
                <w:szCs w:val="20"/>
                <w:color w:val="auto"/>
              </w:rPr>
            </w:pPr>
            <w:r>
              <w:rPr>
                <w:rFonts w:ascii="Arial" w:cs="Arial" w:eastAsia="Arial" w:hAnsi="Arial"/>
                <w:sz w:val="17"/>
                <w:szCs w:val="17"/>
                <w:b w:val="1"/>
                <w:bCs w:val="1"/>
                <w:color w:val="auto"/>
              </w:rPr>
              <w:t>$ 13,045</w:t>
            </w:r>
          </w:p>
        </w:tc>
        <w:tc>
          <w:tcPr>
            <w:tcW w:w="960" w:type="dxa"/>
            <w:vAlign w:val="bottom"/>
            <w:gridSpan w:val="3"/>
            <w:shd w:val="clear" w:color="auto" w:fill="E9E9E9"/>
          </w:tcPr>
          <w:p>
            <w:pPr>
              <w:jc w:val="right"/>
              <w:ind w:right="34"/>
              <w:spacing w:after="0"/>
              <w:rPr>
                <w:sz w:val="20"/>
                <w:szCs w:val="20"/>
                <w:color w:val="auto"/>
              </w:rPr>
            </w:pPr>
            <w:r>
              <w:rPr>
                <w:rFonts w:ascii="Arial" w:cs="Arial" w:eastAsia="Arial" w:hAnsi="Arial"/>
                <w:sz w:val="17"/>
                <w:szCs w:val="17"/>
                <w:color w:val="auto"/>
              </w:rPr>
              <w:t>$ 12,205</w:t>
            </w:r>
          </w:p>
        </w:tc>
        <w:tc>
          <w:tcPr>
            <w:tcW w:w="780" w:type="dxa"/>
            <w:vAlign w:val="bottom"/>
            <w:gridSpan w:val="4"/>
            <w:shd w:val="clear" w:color="auto" w:fill="E9E9E9"/>
          </w:tcPr>
          <w:p>
            <w:pPr>
              <w:jc w:val="right"/>
              <w:ind w:right="20"/>
              <w:spacing w:after="0"/>
              <w:rPr>
                <w:sz w:val="20"/>
                <w:szCs w:val="20"/>
                <w:color w:val="auto"/>
              </w:rPr>
            </w:pPr>
            <w:r>
              <w:rPr>
                <w:rFonts w:ascii="Arial" w:cs="Arial" w:eastAsia="Arial" w:hAnsi="Arial"/>
                <w:sz w:val="17"/>
                <w:szCs w:val="17"/>
                <w:color w:val="auto"/>
              </w:rPr>
              <w:t>$12,825</w:t>
            </w:r>
          </w:p>
        </w:tc>
        <w:tc>
          <w:tcPr>
            <w:tcW w:w="1000" w:type="dxa"/>
            <w:vAlign w:val="bottom"/>
            <w:gridSpan w:val="3"/>
            <w:shd w:val="clear" w:color="auto" w:fill="E9E9E9"/>
          </w:tcPr>
          <w:p>
            <w:pPr>
              <w:jc w:val="right"/>
              <w:ind w:right="24"/>
              <w:spacing w:after="0"/>
              <w:rPr>
                <w:sz w:val="20"/>
                <w:szCs w:val="20"/>
                <w:color w:val="auto"/>
              </w:rPr>
            </w:pPr>
            <w:r>
              <w:rPr>
                <w:rFonts w:ascii="Arial" w:cs="Arial" w:eastAsia="Arial" w:hAnsi="Arial"/>
                <w:sz w:val="17"/>
                <w:szCs w:val="17"/>
                <w:color w:val="auto"/>
              </w:rPr>
              <w:t>$ 13,735</w:t>
            </w:r>
          </w:p>
        </w:tc>
        <w:tc>
          <w:tcPr>
            <w:tcW w:w="1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480" w:type="dxa"/>
            <w:vAlign w:val="bottom"/>
            <w:shd w:val="clear" w:color="auto" w:fill="E9E9E9"/>
          </w:tcPr>
          <w:p>
            <w:pPr>
              <w:jc w:val="right"/>
              <w:spacing w:after="0"/>
              <w:rPr>
                <w:sz w:val="20"/>
                <w:szCs w:val="20"/>
                <w:color w:val="auto"/>
              </w:rPr>
            </w:pPr>
            <w:r>
              <w:rPr>
                <w:rFonts w:ascii="Arial" w:cs="Arial" w:eastAsia="Arial" w:hAnsi="Arial"/>
                <w:sz w:val="17"/>
                <w:szCs w:val="17"/>
                <w:b w:val="1"/>
                <w:bCs w:val="1"/>
                <w:color w:val="auto"/>
              </w:rPr>
              <w:t>6.9%</w:t>
            </w:r>
          </w:p>
        </w:tc>
        <w:tc>
          <w:tcPr>
            <w:tcW w:w="12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540" w:type="dxa"/>
            <w:vAlign w:val="bottom"/>
            <w:shd w:val="clear" w:color="auto" w:fill="E9E9E9"/>
          </w:tcPr>
          <w:p>
            <w:pPr>
              <w:jc w:val="right"/>
              <w:spacing w:after="0"/>
              <w:rPr>
                <w:sz w:val="20"/>
                <w:szCs w:val="20"/>
                <w:color w:val="auto"/>
              </w:rPr>
            </w:pPr>
            <w:r>
              <w:rPr>
                <w:rFonts w:ascii="Arial" w:cs="Arial" w:eastAsia="Arial" w:hAnsi="Arial"/>
                <w:sz w:val="17"/>
                <w:szCs w:val="17"/>
                <w:b w:val="1"/>
                <w:bCs w:val="1"/>
                <w:color w:val="auto"/>
              </w:rPr>
              <w:t>-1.7%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40" w:type="dxa"/>
            <w:vAlign w:val="bottom"/>
          </w:tcPr>
          <w:p>
            <w:pPr>
              <w:spacing w:after="0"/>
              <w:rPr>
                <w:sz w:val="20"/>
                <w:szCs w:val="20"/>
                <w:color w:val="auto"/>
              </w:rPr>
            </w:pPr>
            <w:r>
              <w:rPr>
                <w:rFonts w:ascii="Arial" w:cs="Arial" w:eastAsia="Arial" w:hAnsi="Arial"/>
                <w:sz w:val="17"/>
                <w:szCs w:val="17"/>
                <w:color w:val="auto"/>
              </w:rPr>
              <w:t>Legacy wireless revenue</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b w:val="1"/>
                <w:bCs w:val="1"/>
                <w:color w:val="auto"/>
              </w:rPr>
              <w:t>(25)</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(470)</w:t>
            </w:r>
          </w:p>
        </w:tc>
        <w:tc>
          <w:tcPr>
            <w:tcW w:w="1200" w:type="dxa"/>
            <w:vAlign w:val="bottom"/>
            <w:gridSpan w:val="5"/>
          </w:tcPr>
          <w:p>
            <w:pPr>
              <w:jc w:val="right"/>
              <w:ind w:right="301"/>
              <w:spacing w:after="0"/>
              <w:rPr>
                <w:sz w:val="20"/>
                <w:szCs w:val="20"/>
                <w:color w:val="auto"/>
              </w:rPr>
            </w:pPr>
            <w:r>
              <w:rPr>
                <w:rFonts w:ascii="Arial" w:cs="Arial" w:eastAsia="Arial" w:hAnsi="Arial"/>
                <w:sz w:val="17"/>
                <w:szCs w:val="17"/>
                <w:color w:val="auto"/>
              </w:rPr>
              <w:t>(1,200)</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w w:val="96"/>
              </w:rPr>
              <w:t>(2,391)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840" w:type="dxa"/>
            <w:vAlign w:val="bottom"/>
            <w:tcBorders>
              <w:top w:val="single" w:sz="8" w:color="E9E9E9"/>
              <w:bottom w:val="single" w:sz="8" w:color="E9E9E9"/>
            </w:tcBorders>
            <w:shd w:val="clear" w:color="auto" w:fill="E9E9E9"/>
          </w:tcPr>
          <w:p>
            <w:pPr>
              <w:spacing w:after="0"/>
              <w:rPr>
                <w:sz w:val="20"/>
                <w:szCs w:val="20"/>
                <w:color w:val="auto"/>
              </w:rPr>
            </w:pPr>
            <w:r>
              <w:rPr>
                <w:rFonts w:ascii="Arial" w:cs="Arial" w:eastAsia="Arial" w:hAnsi="Arial"/>
                <w:sz w:val="17"/>
                <w:szCs w:val="17"/>
                <w:color w:val="auto"/>
              </w:rPr>
              <w:t>TI Revenue less legacy wireless revenue (non-GAAP)</w:t>
            </w:r>
          </w:p>
        </w:tc>
        <w:tc>
          <w:tcPr>
            <w:tcW w:w="300" w:type="dxa"/>
            <w:vAlign w:val="bottom"/>
            <w:tcBorders>
              <w:top w:val="single" w:sz="8" w:color="E9E9E9"/>
              <w:bottom w:val="single" w:sz="8" w:color="E9E9E9"/>
            </w:tcBorders>
            <w:shd w:val="clear" w:color="auto" w:fill="E9E9E9"/>
          </w:tcPr>
          <w:p>
            <w:pPr>
              <w:spacing w:after="0"/>
              <w:rPr>
                <w:sz w:val="21"/>
                <w:szCs w:val="21"/>
                <w:color w:val="auto"/>
              </w:rPr>
            </w:pPr>
          </w:p>
        </w:tc>
        <w:tc>
          <w:tcPr>
            <w:tcW w:w="120" w:type="dxa"/>
            <w:vAlign w:val="bottom"/>
            <w:tcBorders>
              <w:top w:val="single" w:sz="8" w:color="E9E9E9"/>
              <w:bottom w:val="single" w:sz="8" w:color="E9E9E9"/>
            </w:tcBorders>
            <w:shd w:val="clear" w:color="auto" w:fill="E9E9E9"/>
          </w:tcPr>
          <w:p>
            <w:pPr>
              <w:spacing w:after="0"/>
              <w:rPr>
                <w:sz w:val="21"/>
                <w:szCs w:val="21"/>
                <w:color w:val="auto"/>
              </w:rPr>
            </w:pPr>
          </w:p>
        </w:tc>
        <w:tc>
          <w:tcPr>
            <w:tcW w:w="720" w:type="dxa"/>
            <w:vAlign w:val="bottom"/>
            <w:tcBorders>
              <w:top w:val="single" w:sz="8" w:color="E9E9E9"/>
              <w:bottom w:val="single" w:sz="8" w:color="E9E9E9"/>
            </w:tcBorders>
            <w:shd w:val="clear" w:color="auto" w:fill="E9E9E9"/>
          </w:tcPr>
          <w:p>
            <w:pPr>
              <w:spacing w:after="0"/>
              <w:rPr>
                <w:sz w:val="21"/>
                <w:szCs w:val="21"/>
                <w:color w:val="auto"/>
              </w:rPr>
            </w:pPr>
          </w:p>
        </w:tc>
        <w:tc>
          <w:tcPr>
            <w:tcW w:w="260" w:type="dxa"/>
            <w:vAlign w:val="bottom"/>
            <w:tcBorders>
              <w:top w:val="single" w:sz="8" w:color="E9E9E9"/>
              <w:bottom w:val="single" w:sz="8" w:color="E9E9E9"/>
            </w:tcBorders>
            <w:shd w:val="clear" w:color="auto" w:fill="E9E9E9"/>
          </w:tcPr>
          <w:p>
            <w:pPr>
              <w:spacing w:after="0"/>
              <w:rPr>
                <w:sz w:val="21"/>
                <w:szCs w:val="21"/>
                <w:color w:val="auto"/>
              </w:rPr>
            </w:pPr>
          </w:p>
        </w:tc>
        <w:tc>
          <w:tcPr>
            <w:tcW w:w="100" w:type="dxa"/>
            <w:vAlign w:val="bottom"/>
            <w:tcBorders>
              <w:top w:val="single" w:sz="8" w:color="E9E9E9"/>
              <w:bottom w:val="single" w:sz="8" w:color="E9E9E9"/>
            </w:tcBorders>
            <w:shd w:val="clear" w:color="auto" w:fill="E9E9E9"/>
          </w:tcPr>
          <w:p>
            <w:pPr>
              <w:spacing w:after="0"/>
              <w:rPr>
                <w:sz w:val="21"/>
                <w:szCs w:val="21"/>
                <w:color w:val="auto"/>
              </w:rPr>
            </w:pPr>
          </w:p>
        </w:tc>
        <w:tc>
          <w:tcPr>
            <w:tcW w:w="760" w:type="dxa"/>
            <w:vAlign w:val="bottom"/>
            <w:tcBorders>
              <w:top w:val="single" w:sz="8" w:color="auto"/>
              <w:bottom w:val="single" w:sz="8" w:color="auto"/>
            </w:tcBorders>
            <w:gridSpan w:val="2"/>
            <w:shd w:val="clear" w:color="auto" w:fill="E9E9E9"/>
          </w:tcPr>
          <w:p>
            <w:pPr>
              <w:jc w:val="right"/>
              <w:ind w:right="14"/>
              <w:spacing w:after="0"/>
              <w:rPr>
                <w:sz w:val="20"/>
                <w:szCs w:val="20"/>
                <w:color w:val="auto"/>
              </w:rPr>
            </w:pPr>
            <w:r>
              <w:rPr>
                <w:rFonts w:ascii="Arial" w:cs="Arial" w:eastAsia="Arial" w:hAnsi="Arial"/>
                <w:sz w:val="17"/>
                <w:szCs w:val="17"/>
                <w:b w:val="1"/>
                <w:bCs w:val="1"/>
                <w:color w:val="auto"/>
                <w:w w:val="96"/>
              </w:rPr>
              <w:t>$ 13,020</w:t>
            </w:r>
          </w:p>
        </w:tc>
        <w:tc>
          <w:tcPr>
            <w:tcW w:w="960" w:type="dxa"/>
            <w:vAlign w:val="bottom"/>
            <w:tcBorders>
              <w:top w:val="single" w:sz="8" w:color="auto"/>
              <w:bottom w:val="single" w:sz="8" w:color="auto"/>
            </w:tcBorders>
            <w:gridSpan w:val="3"/>
            <w:shd w:val="clear" w:color="auto" w:fill="E9E9E9"/>
          </w:tcPr>
          <w:p>
            <w:pPr>
              <w:jc w:val="right"/>
              <w:ind w:right="34"/>
              <w:spacing w:after="0"/>
              <w:rPr>
                <w:sz w:val="20"/>
                <w:szCs w:val="20"/>
                <w:color w:val="auto"/>
              </w:rPr>
            </w:pPr>
            <w:r>
              <w:rPr>
                <w:rFonts w:ascii="Arial" w:cs="Arial" w:eastAsia="Arial" w:hAnsi="Arial"/>
                <w:sz w:val="17"/>
                <w:szCs w:val="17"/>
                <w:color w:val="auto"/>
              </w:rPr>
              <w:t>$ 11,735</w:t>
            </w:r>
          </w:p>
        </w:tc>
        <w:tc>
          <w:tcPr>
            <w:tcW w:w="780" w:type="dxa"/>
            <w:vAlign w:val="bottom"/>
            <w:tcBorders>
              <w:top w:val="single" w:sz="8" w:color="auto"/>
              <w:bottom w:val="single" w:sz="8" w:color="auto"/>
            </w:tcBorders>
            <w:gridSpan w:val="4"/>
            <w:shd w:val="clear" w:color="auto" w:fill="E9E9E9"/>
          </w:tcPr>
          <w:p>
            <w:pPr>
              <w:jc w:val="right"/>
              <w:ind w:right="20"/>
              <w:spacing w:after="0"/>
              <w:rPr>
                <w:sz w:val="20"/>
                <w:szCs w:val="20"/>
                <w:color w:val="auto"/>
              </w:rPr>
            </w:pPr>
            <w:r>
              <w:rPr>
                <w:rFonts w:ascii="Arial" w:cs="Arial" w:eastAsia="Arial" w:hAnsi="Arial"/>
                <w:sz w:val="17"/>
                <w:szCs w:val="17"/>
                <w:color w:val="auto"/>
              </w:rPr>
              <w:t>$11,625</w:t>
            </w:r>
          </w:p>
        </w:tc>
        <w:tc>
          <w:tcPr>
            <w:tcW w:w="1000" w:type="dxa"/>
            <w:vAlign w:val="bottom"/>
            <w:tcBorders>
              <w:top w:val="single" w:sz="8" w:color="auto"/>
              <w:bottom w:val="single" w:sz="8" w:color="auto"/>
            </w:tcBorders>
            <w:gridSpan w:val="3"/>
            <w:shd w:val="clear" w:color="auto" w:fill="E9E9E9"/>
          </w:tcPr>
          <w:p>
            <w:pPr>
              <w:jc w:val="right"/>
              <w:ind w:right="24"/>
              <w:spacing w:after="0"/>
              <w:rPr>
                <w:sz w:val="20"/>
                <w:szCs w:val="20"/>
                <w:color w:val="auto"/>
              </w:rPr>
            </w:pPr>
            <w:r>
              <w:rPr>
                <w:rFonts w:ascii="Arial" w:cs="Arial" w:eastAsia="Arial" w:hAnsi="Arial"/>
                <w:sz w:val="17"/>
                <w:szCs w:val="17"/>
                <w:color w:val="auto"/>
              </w:rPr>
              <w:t>$ 11,344</w:t>
            </w:r>
          </w:p>
        </w:tc>
        <w:tc>
          <w:tcPr>
            <w:tcW w:w="140" w:type="dxa"/>
            <w:vAlign w:val="bottom"/>
            <w:tcBorders>
              <w:top w:val="single" w:sz="8" w:color="E9E9E9"/>
              <w:bottom w:val="single" w:sz="8" w:color="E9E9E9"/>
            </w:tcBorders>
            <w:shd w:val="clear" w:color="auto" w:fill="E9E9E9"/>
          </w:tcPr>
          <w:p>
            <w:pPr>
              <w:spacing w:after="0"/>
              <w:rPr>
                <w:sz w:val="21"/>
                <w:szCs w:val="21"/>
                <w:color w:val="auto"/>
              </w:rPr>
            </w:pPr>
          </w:p>
        </w:tc>
        <w:tc>
          <w:tcPr>
            <w:tcW w:w="600" w:type="dxa"/>
            <w:vAlign w:val="bottom"/>
            <w:tcBorders>
              <w:top w:val="single" w:sz="8" w:color="E9E9E9"/>
              <w:bottom w:val="single" w:sz="8" w:color="E9E9E9"/>
            </w:tcBorders>
            <w:gridSpan w:val="2"/>
            <w:shd w:val="clear" w:color="auto" w:fill="E9E9E9"/>
          </w:tcPr>
          <w:p>
            <w:pPr>
              <w:jc w:val="right"/>
              <w:spacing w:after="0"/>
              <w:rPr>
                <w:sz w:val="20"/>
                <w:szCs w:val="20"/>
                <w:color w:val="auto"/>
              </w:rPr>
            </w:pPr>
            <w:r>
              <w:rPr>
                <w:rFonts w:ascii="Arial" w:cs="Arial" w:eastAsia="Arial" w:hAnsi="Arial"/>
                <w:sz w:val="17"/>
                <w:szCs w:val="17"/>
                <w:b w:val="1"/>
                <w:bCs w:val="1"/>
                <w:color w:val="auto"/>
              </w:rPr>
              <w:t>11.0%</w:t>
            </w:r>
          </w:p>
        </w:tc>
        <w:tc>
          <w:tcPr>
            <w:tcW w:w="120" w:type="dxa"/>
            <w:vAlign w:val="bottom"/>
            <w:tcBorders>
              <w:top w:val="single" w:sz="8" w:color="E9E9E9"/>
              <w:bottom w:val="single" w:sz="8" w:color="E9E9E9"/>
            </w:tcBorders>
            <w:shd w:val="clear" w:color="auto" w:fill="E9E9E9"/>
          </w:tcPr>
          <w:p>
            <w:pPr>
              <w:spacing w:after="0"/>
              <w:rPr>
                <w:sz w:val="21"/>
                <w:szCs w:val="21"/>
                <w:color w:val="auto"/>
              </w:rPr>
            </w:pPr>
          </w:p>
        </w:tc>
        <w:tc>
          <w:tcPr>
            <w:tcW w:w="80" w:type="dxa"/>
            <w:vAlign w:val="bottom"/>
            <w:tcBorders>
              <w:top w:val="single" w:sz="8" w:color="E9E9E9"/>
              <w:bottom w:val="single" w:sz="8" w:color="E9E9E9"/>
            </w:tcBorders>
            <w:shd w:val="clear" w:color="auto" w:fill="E9E9E9"/>
          </w:tcPr>
          <w:p>
            <w:pPr>
              <w:spacing w:after="0"/>
              <w:rPr>
                <w:sz w:val="21"/>
                <w:szCs w:val="21"/>
                <w:color w:val="auto"/>
              </w:rPr>
            </w:pPr>
          </w:p>
        </w:tc>
        <w:tc>
          <w:tcPr>
            <w:tcW w:w="100" w:type="dxa"/>
            <w:vAlign w:val="bottom"/>
            <w:tcBorders>
              <w:top w:val="single" w:sz="8" w:color="E9E9E9"/>
              <w:bottom w:val="single" w:sz="8" w:color="E9E9E9"/>
            </w:tcBorders>
            <w:shd w:val="clear" w:color="auto" w:fill="E9E9E9"/>
          </w:tcPr>
          <w:p>
            <w:pPr>
              <w:spacing w:after="0"/>
              <w:rPr>
                <w:sz w:val="21"/>
                <w:szCs w:val="21"/>
                <w:color w:val="auto"/>
              </w:rPr>
            </w:pPr>
          </w:p>
        </w:tc>
        <w:tc>
          <w:tcPr>
            <w:tcW w:w="540" w:type="dxa"/>
            <w:vAlign w:val="bottom"/>
            <w:tcBorders>
              <w:top w:val="single" w:sz="8" w:color="E9E9E9"/>
              <w:bottom w:val="single" w:sz="8" w:color="E9E9E9"/>
            </w:tcBorders>
            <w:shd w:val="clear" w:color="auto" w:fill="E9E9E9"/>
          </w:tcPr>
          <w:p>
            <w:pPr>
              <w:jc w:val="right"/>
              <w:spacing w:after="0"/>
              <w:rPr>
                <w:sz w:val="20"/>
                <w:szCs w:val="20"/>
                <w:color w:val="auto"/>
              </w:rPr>
            </w:pPr>
            <w:r>
              <w:rPr>
                <w:rFonts w:ascii="Arial" w:cs="Arial" w:eastAsia="Arial" w:hAnsi="Arial"/>
                <w:sz w:val="17"/>
                <w:szCs w:val="17"/>
                <w:b w:val="1"/>
                <w:bCs w:val="1"/>
                <w:color w:val="auto"/>
              </w:rPr>
              <w:t>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0"/>
        </w:trPr>
        <w:tc>
          <w:tcPr>
            <w:tcW w:w="9380" w:type="dxa"/>
            <w:vAlign w:val="bottom"/>
            <w:gridSpan w:val="17"/>
          </w:tcPr>
          <w:p>
            <w:pPr>
              <w:spacing w:after="0"/>
              <w:rPr>
                <w:sz w:val="20"/>
                <w:szCs w:val="20"/>
                <w:color w:val="auto"/>
              </w:rPr>
            </w:pPr>
            <w:r>
              <w:rPr>
                <w:rFonts w:ascii="Arial" w:cs="Arial" w:eastAsia="Arial" w:hAnsi="Arial"/>
                <w:sz w:val="34"/>
                <w:szCs w:val="34"/>
                <w:color w:val="auto"/>
                <w:w w:val="97"/>
                <w:vertAlign w:val="superscript"/>
              </w:rPr>
              <w:t>*</w:t>
            </w:r>
            <w:r>
              <w:rPr>
                <w:rFonts w:ascii="Arial" w:cs="Arial" w:eastAsia="Arial" w:hAnsi="Arial"/>
                <w:sz w:val="17"/>
                <w:szCs w:val="17"/>
                <w:color w:val="auto"/>
                <w:w w:val="97"/>
              </w:rPr>
              <w:t xml:space="preserve">  CAGR (compound annual growth rate) is calculated using the formula: (Ending Value/Beginning Value)</w:t>
            </w:r>
            <w:r>
              <w:rPr>
                <w:rFonts w:ascii="Arial" w:cs="Arial" w:eastAsia="Arial" w:hAnsi="Arial"/>
                <w:sz w:val="28"/>
                <w:szCs w:val="28"/>
                <w:color w:val="auto"/>
                <w:w w:val="97"/>
                <w:vertAlign w:val="superscript"/>
              </w:rPr>
              <w:t>1/number of years</w:t>
            </w:r>
            <w:r>
              <w:rPr>
                <w:rFonts w:ascii="Arial" w:cs="Arial" w:eastAsia="Arial" w:hAnsi="Arial"/>
                <w:sz w:val="17"/>
                <w:szCs w:val="17"/>
                <w:color w:val="auto"/>
                <w:w w:val="97"/>
              </w:rPr>
              <w:t>-1.</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7"/>
          </w:tcPr>
          <w:p>
            <w:pPr>
              <w:ind w:left="20"/>
              <w:spacing w:after="0"/>
              <w:rPr>
                <w:sz w:val="20"/>
                <w:szCs w:val="20"/>
                <w:color w:val="auto"/>
              </w:rPr>
            </w:pPr>
            <w:r>
              <w:rPr>
                <w:rFonts w:ascii="Arial" w:cs="Arial" w:eastAsia="Arial" w:hAnsi="Arial"/>
                <w:sz w:val="13"/>
                <w:szCs w:val="13"/>
                <w:b w:val="1"/>
                <w:bCs w:val="1"/>
                <w:color w:val="auto"/>
              </w:rPr>
              <w:t>Percentage of Revenue</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gridSpan w:val="7"/>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40" w:type="dxa"/>
            <w:vAlign w:val="bottom"/>
            <w:tcBorders>
              <w:bottom w:val="single" w:sz="8" w:color="auto"/>
            </w:tcBorders>
            <w:gridSpan w:val="6"/>
          </w:tcPr>
          <w:p>
            <w:pPr>
              <w:spacing w:after="0"/>
              <w:rPr>
                <w:sz w:val="3"/>
                <w:szCs w:val="3"/>
                <w:color w:val="auto"/>
              </w:rPr>
            </w:pPr>
          </w:p>
        </w:tc>
        <w:tc>
          <w:tcPr>
            <w:tcW w:w="30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7"/>
          </w:tcPr>
          <w:p>
            <w:pPr>
              <w:jc w:val="right"/>
              <w:ind w:right="440"/>
              <w:spacing w:after="0"/>
              <w:rPr>
                <w:sz w:val="20"/>
                <w:szCs w:val="20"/>
                <w:color w:val="auto"/>
              </w:rPr>
            </w:pPr>
            <w:r>
              <w:rPr>
                <w:rFonts w:ascii="Arial" w:cs="Arial" w:eastAsia="Arial" w:hAnsi="Arial"/>
                <w:sz w:val="13"/>
                <w:szCs w:val="13"/>
                <w:b w:val="1"/>
                <w:bCs w:val="1"/>
                <w:color w:val="auto"/>
              </w:rPr>
              <w:t>For Years Ended December 31,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9"/>
          </w:tcPr>
          <w:p>
            <w:pPr>
              <w:jc w:val="center"/>
              <w:ind w:right="34"/>
              <w:spacing w:after="0"/>
              <w:rPr>
                <w:sz w:val="20"/>
                <w:szCs w:val="20"/>
                <w:color w:val="auto"/>
              </w:rPr>
            </w:pPr>
            <w:r>
              <w:rPr>
                <w:rFonts w:ascii="Arial" w:cs="Arial" w:eastAsia="Arial" w:hAnsi="Arial"/>
                <w:sz w:val="13"/>
                <w:szCs w:val="13"/>
                <w:b w:val="1"/>
                <w:bCs w:val="1"/>
                <w:color w:val="auto"/>
              </w:rPr>
              <w:t>For Years Ended December 31,</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840" w:type="dxa"/>
            <w:vAlign w:val="bottom"/>
          </w:tcPr>
          <w:p>
            <w:pPr>
              <w:spacing w:after="0"/>
              <w:rPr>
                <w:sz w:val="20"/>
                <w:szCs w:val="20"/>
                <w:color w:val="auto"/>
              </w:rPr>
            </w:pPr>
            <w:r>
              <w:rPr>
                <w:rFonts w:ascii="Arial" w:cs="Arial" w:eastAsia="Arial" w:hAnsi="Arial"/>
                <w:sz w:val="13"/>
                <w:szCs w:val="13"/>
                <w:b w:val="1"/>
                <w:bCs w:val="1"/>
                <w:color w:val="auto"/>
              </w:rPr>
              <w:t>Free Cash Flow as a Percentage of Revenue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221"/>
              <w:spacing w:after="0"/>
              <w:rPr>
                <w:sz w:val="20"/>
                <w:szCs w:val="20"/>
                <w:color w:val="auto"/>
              </w:rPr>
            </w:pPr>
            <w:r>
              <w:rPr>
                <w:rFonts w:ascii="Arial" w:cs="Arial" w:eastAsia="Arial" w:hAnsi="Arial"/>
                <w:sz w:val="13"/>
                <w:szCs w:val="13"/>
                <w:b w:val="1"/>
                <w:bCs w:val="1"/>
                <w:color w:val="auto"/>
              </w:rPr>
              <w:t>2014</w:t>
            </w:r>
          </w:p>
        </w:tc>
        <w:tc>
          <w:tcPr>
            <w:tcW w:w="260" w:type="dxa"/>
            <w:vAlign w:val="bottom"/>
          </w:tcPr>
          <w:p>
            <w:pPr>
              <w:spacing w:after="0"/>
              <w:rPr>
                <w:sz w:val="16"/>
                <w:szCs w:val="16"/>
                <w:color w:val="auto"/>
              </w:rPr>
            </w:pPr>
          </w:p>
        </w:tc>
        <w:tc>
          <w:tcPr>
            <w:tcW w:w="660" w:type="dxa"/>
            <w:vAlign w:val="bottom"/>
            <w:gridSpan w:val="2"/>
          </w:tcPr>
          <w:p>
            <w:pPr>
              <w:jc w:val="right"/>
              <w:ind w:right="214"/>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6"/>
                <w:szCs w:val="16"/>
                <w:color w:val="auto"/>
              </w:rPr>
            </w:pPr>
          </w:p>
        </w:tc>
        <w:tc>
          <w:tcPr>
            <w:tcW w:w="660" w:type="dxa"/>
            <w:vAlign w:val="bottom"/>
          </w:tcPr>
          <w:p>
            <w:pPr>
              <w:jc w:val="right"/>
              <w:ind w:right="161"/>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420" w:type="dxa"/>
            <w:vAlign w:val="bottom"/>
          </w:tcPr>
          <w:p>
            <w:pPr>
              <w:jc w:val="center"/>
              <w:ind w:left="41"/>
              <w:spacing w:after="0"/>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16"/>
                <w:szCs w:val="16"/>
                <w:color w:val="auto"/>
              </w:rPr>
            </w:pPr>
          </w:p>
        </w:tc>
        <w:tc>
          <w:tcPr>
            <w:tcW w:w="600" w:type="dxa"/>
            <w:vAlign w:val="bottom"/>
            <w:gridSpan w:val="2"/>
          </w:tcPr>
          <w:p>
            <w:pPr>
              <w:jc w:val="center"/>
              <w:ind w:left="184"/>
              <w:spacing w:after="0"/>
              <w:rPr>
                <w:sz w:val="20"/>
                <w:szCs w:val="20"/>
                <w:color w:val="auto"/>
              </w:rPr>
            </w:pPr>
            <w:r>
              <w:rPr>
                <w:rFonts w:ascii="Arial" w:cs="Arial" w:eastAsia="Arial" w:hAnsi="Arial"/>
                <w:sz w:val="13"/>
                <w:szCs w:val="13"/>
                <w:b w:val="1"/>
                <w:bCs w:val="1"/>
                <w:color w:val="auto"/>
              </w:rPr>
              <w:t>2013</w:t>
            </w:r>
          </w:p>
        </w:tc>
        <w:tc>
          <w:tcPr>
            <w:tcW w:w="120" w:type="dxa"/>
            <w:vAlign w:val="bottom"/>
          </w:tcPr>
          <w:p>
            <w:pPr>
              <w:spacing w:after="0"/>
              <w:rPr>
                <w:sz w:val="16"/>
                <w:szCs w:val="16"/>
                <w:color w:val="auto"/>
              </w:rPr>
            </w:pPr>
          </w:p>
        </w:tc>
        <w:tc>
          <w:tcPr>
            <w:tcW w:w="600" w:type="dxa"/>
            <w:vAlign w:val="bottom"/>
            <w:gridSpan w:val="2"/>
          </w:tcPr>
          <w:p>
            <w:pPr>
              <w:jc w:val="center"/>
              <w:ind w:left="140"/>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1"/>
        </w:trPr>
        <w:tc>
          <w:tcPr>
            <w:tcW w:w="48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840" w:type="dxa"/>
            <w:vAlign w:val="bottom"/>
          </w:tcPr>
          <w:p>
            <w:pPr>
              <w:spacing w:after="0"/>
              <w:rPr>
                <w:sz w:val="20"/>
                <w:szCs w:val="20"/>
                <w:color w:val="auto"/>
              </w:rPr>
            </w:pPr>
            <w:r>
              <w:rPr>
                <w:rFonts w:ascii="Arial" w:cs="Arial" w:eastAsia="Arial" w:hAnsi="Arial"/>
                <w:sz w:val="13"/>
                <w:szCs w:val="13"/>
                <w:b w:val="1"/>
                <w:bCs w:val="1"/>
                <w:color w:val="auto"/>
              </w:rPr>
              <w:t>(Millions of dollars)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gridSpan w:val="3"/>
          </w:tcPr>
          <w:p>
            <w:pPr>
              <w:spacing w:after="0"/>
              <w:rPr>
                <w:sz w:val="3"/>
                <w:szCs w:val="3"/>
                <w:color w:val="auto"/>
              </w:rPr>
            </w:pPr>
          </w:p>
        </w:tc>
        <w:tc>
          <w:tcPr>
            <w:tcW w:w="8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840" w:type="dxa"/>
            <w:vAlign w:val="bottom"/>
            <w:shd w:val="clear" w:color="auto" w:fill="E9E9E9"/>
          </w:tcPr>
          <w:p>
            <w:pPr>
              <w:spacing w:after="0"/>
              <w:rPr>
                <w:sz w:val="20"/>
                <w:szCs w:val="20"/>
                <w:color w:val="auto"/>
              </w:rPr>
            </w:pPr>
            <w:r>
              <w:rPr>
                <w:rFonts w:ascii="Arial" w:cs="Arial" w:eastAsia="Arial" w:hAnsi="Arial"/>
                <w:sz w:val="17"/>
                <w:szCs w:val="17"/>
                <w:color w:val="auto"/>
              </w:rPr>
              <w:t>Revenue</w:t>
            </w:r>
          </w:p>
        </w:tc>
        <w:tc>
          <w:tcPr>
            <w:tcW w:w="420" w:type="dxa"/>
            <w:vAlign w:val="bottom"/>
            <w:gridSpan w:val="2"/>
            <w:shd w:val="clear" w:color="auto" w:fill="E9E9E9"/>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E9E9E9"/>
          </w:tcPr>
          <w:p>
            <w:pPr>
              <w:jc w:val="right"/>
              <w:ind w:right="81"/>
              <w:spacing w:after="0"/>
              <w:rPr>
                <w:sz w:val="20"/>
                <w:szCs w:val="20"/>
                <w:color w:val="auto"/>
              </w:rPr>
            </w:pPr>
            <w:r>
              <w:rPr>
                <w:rFonts w:ascii="Arial" w:cs="Arial" w:eastAsia="Arial" w:hAnsi="Arial"/>
                <w:sz w:val="17"/>
                <w:szCs w:val="17"/>
                <w:b w:val="1"/>
                <w:bCs w:val="1"/>
                <w:color w:val="auto"/>
              </w:rPr>
              <w:t>13,045</w:t>
            </w:r>
          </w:p>
        </w:tc>
        <w:tc>
          <w:tcPr>
            <w:tcW w:w="920" w:type="dxa"/>
            <w:vAlign w:val="bottom"/>
            <w:gridSpan w:val="3"/>
            <w:shd w:val="clear" w:color="auto" w:fill="E9E9E9"/>
          </w:tcPr>
          <w:p>
            <w:pPr>
              <w:jc w:val="right"/>
              <w:ind w:right="74"/>
              <w:spacing w:after="0"/>
              <w:rPr>
                <w:sz w:val="20"/>
                <w:szCs w:val="20"/>
                <w:color w:val="auto"/>
              </w:rPr>
            </w:pPr>
            <w:r>
              <w:rPr>
                <w:rFonts w:ascii="Arial" w:cs="Arial" w:eastAsia="Arial" w:hAnsi="Arial"/>
                <w:sz w:val="17"/>
                <w:szCs w:val="17"/>
                <w:color w:val="auto"/>
              </w:rPr>
              <w:t>$ 12,205</w:t>
            </w:r>
          </w:p>
        </w:tc>
        <w:tc>
          <w:tcPr>
            <w:tcW w:w="860" w:type="dxa"/>
            <w:vAlign w:val="bottom"/>
            <w:gridSpan w:val="2"/>
            <w:shd w:val="clear" w:color="auto" w:fill="E9E9E9"/>
          </w:tcPr>
          <w:p>
            <w:pPr>
              <w:jc w:val="right"/>
              <w:ind w:right="21"/>
              <w:spacing w:after="0"/>
              <w:rPr>
                <w:sz w:val="20"/>
                <w:szCs w:val="20"/>
                <w:color w:val="auto"/>
              </w:rPr>
            </w:pPr>
            <w:r>
              <w:rPr>
                <w:rFonts w:ascii="Arial" w:cs="Arial" w:eastAsia="Arial" w:hAnsi="Arial"/>
                <w:sz w:val="17"/>
                <w:szCs w:val="17"/>
                <w:color w:val="auto"/>
              </w:rPr>
              <w:t>$ 12,825</w:t>
            </w:r>
          </w:p>
        </w:tc>
        <w:tc>
          <w:tcPr>
            <w:tcW w:w="100" w:type="dxa"/>
            <w:vAlign w:val="bottom"/>
            <w:shd w:val="clear" w:color="auto" w:fill="E9E9E9"/>
          </w:tcPr>
          <w:p>
            <w:pPr>
              <w:spacing w:after="0"/>
              <w:rPr>
                <w:sz w:val="20"/>
                <w:szCs w:val="20"/>
                <w:color w:val="auto"/>
              </w:rPr>
            </w:pPr>
          </w:p>
        </w:tc>
        <w:tc>
          <w:tcPr>
            <w:tcW w:w="820" w:type="dxa"/>
            <w:vAlign w:val="bottom"/>
            <w:gridSpan w:val="4"/>
            <w:shd w:val="clear" w:color="auto" w:fill="E9E9E9"/>
          </w:tcPr>
          <w:p>
            <w:pPr>
              <w:jc w:val="right"/>
              <w:ind w:right="4"/>
              <w:spacing w:after="0"/>
              <w:rPr>
                <w:sz w:val="20"/>
                <w:szCs w:val="20"/>
                <w:color w:val="auto"/>
              </w:rPr>
            </w:pPr>
            <w:r>
              <w:rPr>
                <w:rFonts w:ascii="Arial" w:cs="Arial" w:eastAsia="Arial" w:hAnsi="Arial"/>
                <w:sz w:val="17"/>
                <w:szCs w:val="17"/>
                <w:b w:val="1"/>
                <w:bCs w:val="1"/>
                <w:color w:val="auto"/>
              </w:rPr>
              <w:t>$ 38,075</w:t>
            </w:r>
          </w:p>
        </w:tc>
        <w:tc>
          <w:tcPr>
            <w:tcW w:w="160" w:type="dxa"/>
            <w:vAlign w:val="bottom"/>
            <w:shd w:val="clear" w:color="auto" w:fill="E9E9E9"/>
          </w:tcPr>
          <w:p>
            <w:pPr>
              <w:spacing w:after="0"/>
              <w:rPr>
                <w:sz w:val="20"/>
                <w:szCs w:val="20"/>
                <w:color w:val="auto"/>
              </w:rPr>
            </w:pPr>
          </w:p>
        </w:tc>
        <w:tc>
          <w:tcPr>
            <w:tcW w:w="42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46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48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540" w:type="dxa"/>
            <w:vAlign w:val="bottom"/>
            <w:shd w:val="clear" w:color="auto" w:fill="E9E9E9"/>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40" w:type="dxa"/>
            <w:vAlign w:val="bottom"/>
          </w:tcPr>
          <w:p>
            <w:pPr>
              <w:spacing w:after="0"/>
              <w:rPr>
                <w:sz w:val="20"/>
                <w:szCs w:val="20"/>
                <w:color w:val="auto"/>
              </w:rPr>
            </w:pPr>
            <w:r>
              <w:rPr>
                <w:rFonts w:ascii="Arial" w:cs="Arial" w:eastAsia="Arial" w:hAnsi="Arial"/>
                <w:sz w:val="17"/>
                <w:szCs w:val="17"/>
                <w:color w:val="auto"/>
              </w:rPr>
              <w:t>Cash flow from operations (GAAP)</w:t>
            </w:r>
          </w:p>
        </w:tc>
        <w:tc>
          <w:tcPr>
            <w:tcW w:w="4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81"/>
              <w:spacing w:after="0"/>
              <w:rPr>
                <w:sz w:val="20"/>
                <w:szCs w:val="20"/>
                <w:color w:val="auto"/>
              </w:rPr>
            </w:pPr>
            <w:r>
              <w:rPr>
                <w:rFonts w:ascii="Arial" w:cs="Arial" w:eastAsia="Arial" w:hAnsi="Arial"/>
                <w:sz w:val="17"/>
                <w:szCs w:val="17"/>
                <w:b w:val="1"/>
                <w:bCs w:val="1"/>
                <w:color w:val="auto"/>
              </w:rPr>
              <w:t>3,892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74"/>
              <w:spacing w:after="0"/>
              <w:rPr>
                <w:sz w:val="20"/>
                <w:szCs w:val="20"/>
                <w:color w:val="auto"/>
              </w:rPr>
            </w:pPr>
            <w:r>
              <w:rPr>
                <w:rFonts w:ascii="Arial" w:cs="Arial" w:eastAsia="Arial" w:hAnsi="Arial"/>
                <w:sz w:val="17"/>
                <w:szCs w:val="17"/>
                <w:color w:val="auto"/>
              </w:rPr>
              <w:t>3,384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21"/>
              <w:spacing w:after="0"/>
              <w:rPr>
                <w:sz w:val="20"/>
                <w:szCs w:val="20"/>
                <w:color w:val="auto"/>
              </w:rPr>
            </w:pPr>
            <w:r>
              <w:rPr>
                <w:rFonts w:ascii="Arial" w:cs="Arial" w:eastAsia="Arial" w:hAnsi="Arial"/>
                <w:sz w:val="17"/>
                <w:szCs w:val="17"/>
                <w:color w:val="auto"/>
              </w:rPr>
              <w:t>3,414</w:t>
            </w:r>
          </w:p>
        </w:tc>
        <w:tc>
          <w:tcPr>
            <w:tcW w:w="100" w:type="dxa"/>
            <w:vAlign w:val="bottom"/>
          </w:tcPr>
          <w:p>
            <w:pPr>
              <w:spacing w:after="0"/>
              <w:rPr>
                <w:sz w:val="20"/>
                <w:szCs w:val="20"/>
                <w:color w:val="auto"/>
              </w:rPr>
            </w:pPr>
          </w:p>
        </w:tc>
        <w:tc>
          <w:tcPr>
            <w:tcW w:w="820" w:type="dxa"/>
            <w:vAlign w:val="bottom"/>
            <w:gridSpan w:val="4"/>
          </w:tcPr>
          <w:p>
            <w:pPr>
              <w:jc w:val="right"/>
              <w:ind w:right="4"/>
              <w:spacing w:after="0"/>
              <w:rPr>
                <w:sz w:val="20"/>
                <w:szCs w:val="20"/>
                <w:color w:val="auto"/>
              </w:rPr>
            </w:pPr>
            <w:r>
              <w:rPr>
                <w:rFonts w:ascii="Arial" w:cs="Arial" w:eastAsia="Arial" w:hAnsi="Arial"/>
                <w:sz w:val="17"/>
                <w:szCs w:val="17"/>
                <w:b w:val="1"/>
                <w:bCs w:val="1"/>
                <w:color w:val="auto"/>
              </w:rPr>
              <w:t>$ 10,690</w:t>
            </w:r>
          </w:p>
        </w:tc>
        <w:tc>
          <w:tcPr>
            <w:tcW w:w="160" w:type="dxa"/>
            <w:vAlign w:val="bottom"/>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7"/>
                <w:szCs w:val="17"/>
                <w:b w:val="1"/>
                <w:bCs w:val="1"/>
                <w:color w:val="auto"/>
              </w:rPr>
              <w:t>29.8%</w:t>
            </w:r>
          </w:p>
        </w:tc>
        <w:tc>
          <w:tcPr>
            <w:tcW w:w="720" w:type="dxa"/>
            <w:vAlign w:val="bottom"/>
            <w:gridSpan w:val="3"/>
          </w:tcPr>
          <w:p>
            <w:pPr>
              <w:jc w:val="center"/>
              <w:ind w:left="104"/>
              <w:spacing w:after="0"/>
              <w:rPr>
                <w:sz w:val="20"/>
                <w:szCs w:val="20"/>
                <w:color w:val="auto"/>
              </w:rPr>
            </w:pPr>
            <w:r>
              <w:rPr>
                <w:rFonts w:ascii="Arial" w:cs="Arial" w:eastAsia="Arial" w:hAnsi="Arial"/>
                <w:sz w:val="17"/>
                <w:szCs w:val="17"/>
                <w:color w:val="auto"/>
              </w:rPr>
              <w:t>27.7%</w:t>
            </w:r>
          </w:p>
        </w:tc>
        <w:tc>
          <w:tcPr>
            <w:tcW w:w="680" w:type="dxa"/>
            <w:vAlign w:val="bottom"/>
            <w:gridSpan w:val="3"/>
          </w:tcPr>
          <w:p>
            <w:pPr>
              <w:jc w:val="center"/>
              <w:ind w:left="100"/>
              <w:spacing w:after="0"/>
              <w:rPr>
                <w:sz w:val="20"/>
                <w:szCs w:val="20"/>
                <w:color w:val="auto"/>
              </w:rPr>
            </w:pPr>
            <w:r>
              <w:rPr>
                <w:rFonts w:ascii="Arial" w:cs="Arial" w:eastAsia="Arial" w:hAnsi="Arial"/>
                <w:sz w:val="17"/>
                <w:szCs w:val="17"/>
                <w:color w:val="auto"/>
              </w:rPr>
              <w:t>26.6%</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28.1%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840" w:type="dxa"/>
            <w:vAlign w:val="bottom"/>
            <w:shd w:val="clear" w:color="auto" w:fill="E9E9E9"/>
          </w:tcPr>
          <w:p>
            <w:pPr>
              <w:spacing w:after="0"/>
              <w:rPr>
                <w:sz w:val="20"/>
                <w:szCs w:val="20"/>
                <w:color w:val="auto"/>
              </w:rPr>
            </w:pPr>
            <w:r>
              <w:rPr>
                <w:rFonts w:ascii="Arial" w:cs="Arial" w:eastAsia="Arial" w:hAnsi="Arial"/>
                <w:sz w:val="17"/>
                <w:szCs w:val="17"/>
                <w:color w:val="auto"/>
              </w:rPr>
              <w:t>Capital expenditures</w:t>
            </w:r>
          </w:p>
        </w:tc>
        <w:tc>
          <w:tcPr>
            <w:tcW w:w="300" w:type="dxa"/>
            <w:vAlign w:val="bottom"/>
            <w:shd w:val="clear" w:color="auto" w:fill="E9E9E9"/>
          </w:tcPr>
          <w:p>
            <w:pPr>
              <w:spacing w:after="0"/>
              <w:rPr>
                <w:sz w:val="21"/>
                <w:szCs w:val="21"/>
                <w:color w:val="auto"/>
              </w:rPr>
            </w:pPr>
          </w:p>
        </w:tc>
        <w:tc>
          <w:tcPr>
            <w:tcW w:w="120" w:type="dxa"/>
            <w:vAlign w:val="bottom"/>
            <w:tcBorders>
              <w:bottom w:val="single" w:sz="8" w:color="auto"/>
            </w:tcBorders>
            <w:shd w:val="clear" w:color="auto" w:fill="E9E9E9"/>
          </w:tcPr>
          <w:p>
            <w:pPr>
              <w:spacing w:after="0"/>
              <w:rPr>
                <w:sz w:val="21"/>
                <w:szCs w:val="21"/>
                <w:color w:val="auto"/>
              </w:rPr>
            </w:pPr>
          </w:p>
        </w:tc>
        <w:tc>
          <w:tcPr>
            <w:tcW w:w="720" w:type="dxa"/>
            <w:vAlign w:val="bottom"/>
            <w:tcBorders>
              <w:bottom w:val="single" w:sz="8" w:color="auto"/>
            </w:tcBorders>
            <w:shd w:val="clear" w:color="auto" w:fill="E9E9E9"/>
          </w:tcPr>
          <w:p>
            <w:pPr>
              <w:jc w:val="right"/>
              <w:ind w:right="21"/>
              <w:spacing w:after="0"/>
              <w:rPr>
                <w:sz w:val="20"/>
                <w:szCs w:val="20"/>
                <w:color w:val="auto"/>
              </w:rPr>
            </w:pPr>
            <w:r>
              <w:rPr>
                <w:rFonts w:ascii="Arial" w:cs="Arial" w:eastAsia="Arial" w:hAnsi="Arial"/>
                <w:sz w:val="17"/>
                <w:szCs w:val="17"/>
                <w:b w:val="1"/>
                <w:bCs w:val="1"/>
                <w:color w:val="auto"/>
              </w:rPr>
              <w:t>(385)</w:t>
            </w:r>
          </w:p>
        </w:tc>
        <w:tc>
          <w:tcPr>
            <w:tcW w:w="260" w:type="dxa"/>
            <w:vAlign w:val="bottom"/>
            <w:tcBorders>
              <w:bottom w:val="single" w:sz="8" w:color="auto"/>
            </w:tcBorders>
            <w:shd w:val="clear" w:color="auto" w:fill="E9E9E9"/>
          </w:tcPr>
          <w:p>
            <w:pPr>
              <w:spacing w:after="0"/>
              <w:rPr>
                <w:sz w:val="21"/>
                <w:szCs w:val="21"/>
                <w:color w:val="auto"/>
              </w:rPr>
            </w:pPr>
          </w:p>
        </w:tc>
        <w:tc>
          <w:tcPr>
            <w:tcW w:w="660" w:type="dxa"/>
            <w:vAlign w:val="bottom"/>
            <w:tcBorders>
              <w:bottom w:val="single" w:sz="8" w:color="auto"/>
            </w:tcBorders>
            <w:gridSpan w:val="2"/>
            <w:shd w:val="clear" w:color="auto" w:fill="E9E9E9"/>
          </w:tcPr>
          <w:p>
            <w:pPr>
              <w:jc w:val="right"/>
              <w:ind w:right="14"/>
              <w:spacing w:after="0"/>
              <w:rPr>
                <w:sz w:val="20"/>
                <w:szCs w:val="20"/>
                <w:color w:val="auto"/>
              </w:rPr>
            </w:pPr>
            <w:r>
              <w:rPr>
                <w:rFonts w:ascii="Arial" w:cs="Arial" w:eastAsia="Arial" w:hAnsi="Arial"/>
                <w:sz w:val="17"/>
                <w:szCs w:val="17"/>
                <w:color w:val="auto"/>
              </w:rPr>
              <w:t>(412)</w:t>
            </w:r>
          </w:p>
        </w:tc>
        <w:tc>
          <w:tcPr>
            <w:tcW w:w="200" w:type="dxa"/>
            <w:vAlign w:val="bottom"/>
            <w:tcBorders>
              <w:bottom w:val="single" w:sz="8" w:color="auto"/>
            </w:tcBorders>
            <w:shd w:val="clear" w:color="auto" w:fill="E9E9E9"/>
          </w:tcPr>
          <w:p>
            <w:pPr>
              <w:spacing w:after="0"/>
              <w:rPr>
                <w:sz w:val="21"/>
                <w:szCs w:val="21"/>
                <w:color w:val="auto"/>
              </w:rPr>
            </w:pPr>
          </w:p>
        </w:tc>
        <w:tc>
          <w:tcPr>
            <w:tcW w:w="66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7"/>
                <w:szCs w:val="17"/>
                <w:color w:val="auto"/>
              </w:rPr>
              <w:t>(495)</w:t>
            </w:r>
          </w:p>
        </w:tc>
        <w:tc>
          <w:tcPr>
            <w:tcW w:w="100" w:type="dxa"/>
            <w:vAlign w:val="bottom"/>
            <w:tcBorders>
              <w:bottom w:val="single" w:sz="8" w:color="auto"/>
            </w:tcBorders>
            <w:shd w:val="clear" w:color="auto" w:fill="E9E9E9"/>
          </w:tcPr>
          <w:p>
            <w:pPr>
              <w:spacing w:after="0"/>
              <w:rPr>
                <w:sz w:val="21"/>
                <w:szCs w:val="21"/>
                <w:color w:val="auto"/>
              </w:rPr>
            </w:pPr>
          </w:p>
        </w:tc>
        <w:tc>
          <w:tcPr>
            <w:tcW w:w="200" w:type="dxa"/>
            <w:vAlign w:val="bottom"/>
            <w:tcBorders>
              <w:bottom w:val="single" w:sz="8" w:color="auto"/>
            </w:tcBorders>
            <w:shd w:val="clear" w:color="auto" w:fill="E9E9E9"/>
          </w:tcPr>
          <w:p>
            <w:pPr>
              <w:spacing w:after="0"/>
              <w:rPr>
                <w:sz w:val="21"/>
                <w:szCs w:val="21"/>
                <w:color w:val="auto"/>
              </w:rPr>
            </w:pPr>
          </w:p>
        </w:tc>
        <w:tc>
          <w:tcPr>
            <w:tcW w:w="620" w:type="dxa"/>
            <w:vAlign w:val="bottom"/>
            <w:tcBorders>
              <w:bottom w:val="single" w:sz="8" w:color="auto"/>
            </w:tcBorders>
            <w:gridSpan w:val="3"/>
            <w:shd w:val="clear" w:color="auto" w:fill="E9E9E9"/>
          </w:tcPr>
          <w:p>
            <w:pPr>
              <w:jc w:val="right"/>
              <w:spacing w:after="0"/>
              <w:rPr>
                <w:sz w:val="20"/>
                <w:szCs w:val="20"/>
                <w:color w:val="auto"/>
              </w:rPr>
            </w:pPr>
            <w:r>
              <w:rPr>
                <w:rFonts w:ascii="Arial" w:cs="Arial" w:eastAsia="Arial" w:hAnsi="Arial"/>
                <w:sz w:val="17"/>
                <w:szCs w:val="17"/>
                <w:b w:val="1"/>
                <w:bCs w:val="1"/>
                <w:color w:val="auto"/>
              </w:rPr>
              <w:t>(1,292)</w:t>
            </w:r>
          </w:p>
        </w:tc>
        <w:tc>
          <w:tcPr>
            <w:tcW w:w="160" w:type="dxa"/>
            <w:vAlign w:val="bottom"/>
            <w:shd w:val="clear" w:color="auto" w:fill="E9E9E9"/>
          </w:tcPr>
          <w:p>
            <w:pPr>
              <w:spacing w:after="0"/>
              <w:rPr>
                <w:sz w:val="21"/>
                <w:szCs w:val="21"/>
                <w:color w:val="auto"/>
              </w:rPr>
            </w:pPr>
          </w:p>
        </w:tc>
        <w:tc>
          <w:tcPr>
            <w:tcW w:w="42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4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48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r>
              <w:rPr>
                <w:rFonts w:ascii="Arial" w:cs="Arial" w:eastAsia="Arial" w:hAnsi="Arial"/>
                <w:sz w:val="17"/>
                <w:szCs w:val="17"/>
                <w:color w:val="auto"/>
              </w:rPr>
              <w:t>Free cash flow (non-GAAP)</w:t>
            </w:r>
          </w:p>
        </w:tc>
        <w:tc>
          <w:tcPr>
            <w:tcW w:w="3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720" w:type="dxa"/>
            <w:vAlign w:val="bottom"/>
            <w:tcBorders>
              <w:bottom w:val="single" w:sz="8" w:color="auto"/>
            </w:tcBorders>
          </w:tcPr>
          <w:p>
            <w:pPr>
              <w:jc w:val="right"/>
              <w:ind w:right="81"/>
              <w:spacing w:after="0"/>
              <w:rPr>
                <w:sz w:val="20"/>
                <w:szCs w:val="20"/>
                <w:color w:val="auto"/>
              </w:rPr>
            </w:pPr>
            <w:r>
              <w:rPr>
                <w:rFonts w:ascii="Arial" w:cs="Arial" w:eastAsia="Arial" w:hAnsi="Arial"/>
                <w:sz w:val="17"/>
                <w:szCs w:val="17"/>
                <w:b w:val="1"/>
                <w:bCs w:val="1"/>
                <w:color w:val="auto"/>
              </w:rPr>
              <w:t>3,507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7"/>
                <w:szCs w:val="17"/>
                <w:color w:val="auto"/>
              </w:rPr>
              <w:t>2,972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2,919</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7"/>
                <w:szCs w:val="17"/>
                <w:b w:val="1"/>
                <w:bCs w:val="1"/>
                <w:color w:val="auto"/>
              </w:rPr>
              <w:t>9,398</w:t>
            </w:r>
          </w:p>
        </w:tc>
        <w:tc>
          <w:tcPr>
            <w:tcW w:w="160" w:type="dxa"/>
            <w:vAlign w:val="bottom"/>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7"/>
                <w:szCs w:val="17"/>
                <w:b w:val="1"/>
                <w:bCs w:val="1"/>
                <w:color w:val="auto"/>
              </w:rPr>
              <w:t>26.9%</w:t>
            </w:r>
          </w:p>
        </w:tc>
        <w:tc>
          <w:tcPr>
            <w:tcW w:w="720" w:type="dxa"/>
            <w:vAlign w:val="bottom"/>
            <w:gridSpan w:val="3"/>
          </w:tcPr>
          <w:p>
            <w:pPr>
              <w:jc w:val="center"/>
              <w:ind w:left="104"/>
              <w:spacing w:after="0"/>
              <w:rPr>
                <w:sz w:val="20"/>
                <w:szCs w:val="20"/>
                <w:color w:val="auto"/>
              </w:rPr>
            </w:pPr>
            <w:r>
              <w:rPr>
                <w:rFonts w:ascii="Arial" w:cs="Arial" w:eastAsia="Arial" w:hAnsi="Arial"/>
                <w:sz w:val="17"/>
                <w:szCs w:val="17"/>
                <w:color w:val="auto"/>
              </w:rPr>
              <w:t>24.4%</w:t>
            </w:r>
          </w:p>
        </w:tc>
        <w:tc>
          <w:tcPr>
            <w:tcW w:w="680" w:type="dxa"/>
            <w:vAlign w:val="bottom"/>
            <w:gridSpan w:val="3"/>
          </w:tcPr>
          <w:p>
            <w:pPr>
              <w:jc w:val="center"/>
              <w:ind w:left="100"/>
              <w:spacing w:after="0"/>
              <w:rPr>
                <w:sz w:val="20"/>
                <w:szCs w:val="20"/>
                <w:color w:val="auto"/>
              </w:rPr>
            </w:pPr>
            <w:r>
              <w:rPr>
                <w:rFonts w:ascii="Arial" w:cs="Arial" w:eastAsia="Arial" w:hAnsi="Arial"/>
                <w:sz w:val="17"/>
                <w:szCs w:val="17"/>
                <w:color w:val="auto"/>
              </w:rPr>
              <w:t>22.8%</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24.7%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4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9"/>
          </w:tcPr>
          <w:p>
            <w:pPr>
              <w:jc w:val="right"/>
              <w:ind w:right="180"/>
              <w:spacing w:after="0"/>
              <w:rPr>
                <w:sz w:val="20"/>
                <w:szCs w:val="20"/>
                <w:color w:val="auto"/>
              </w:rPr>
            </w:pPr>
            <w:r>
              <w:rPr>
                <w:rFonts w:ascii="Arial" w:cs="Arial" w:eastAsia="Arial" w:hAnsi="Arial"/>
                <w:sz w:val="13"/>
                <w:szCs w:val="13"/>
                <w:b w:val="1"/>
                <w:bCs w:val="1"/>
                <w:color w:val="auto"/>
              </w:rPr>
              <w:t>For Years Ended 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74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840" w:type="dxa"/>
            <w:vAlign w:val="bottom"/>
          </w:tcPr>
          <w:p>
            <w:pPr>
              <w:spacing w:after="0"/>
              <w:rPr>
                <w:sz w:val="20"/>
                <w:szCs w:val="20"/>
                <w:color w:val="auto"/>
              </w:rPr>
            </w:pPr>
            <w:r>
              <w:rPr>
                <w:rFonts w:ascii="Arial" w:cs="Arial" w:eastAsia="Arial" w:hAnsi="Arial"/>
                <w:sz w:val="13"/>
                <w:szCs w:val="13"/>
                <w:b w:val="1"/>
                <w:bCs w:val="1"/>
                <w:color w:val="auto"/>
              </w:rPr>
              <w:t>Total Cash Returned to Shareholders as a Percentage of Free Cash Flow</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5"/>
          </w:tcPr>
          <w:p>
            <w:pPr>
              <w:jc w:val="right"/>
              <w:ind w:right="221"/>
              <w:spacing w:after="0"/>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16"/>
                <w:szCs w:val="16"/>
                <w:color w:val="auto"/>
              </w:rPr>
            </w:pPr>
          </w:p>
        </w:tc>
        <w:tc>
          <w:tcPr>
            <w:tcW w:w="460" w:type="dxa"/>
            <w:vAlign w:val="bottom"/>
          </w:tcPr>
          <w:p>
            <w:pPr>
              <w:jc w:val="right"/>
              <w:ind w:right="64"/>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60"/>
              <w:spacing w:after="0"/>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1"/>
        </w:trPr>
        <w:tc>
          <w:tcPr>
            <w:tcW w:w="48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840" w:type="dxa"/>
            <w:vAlign w:val="bottom"/>
          </w:tcPr>
          <w:p>
            <w:pPr>
              <w:spacing w:after="0"/>
              <w:rPr>
                <w:sz w:val="20"/>
                <w:szCs w:val="20"/>
                <w:color w:val="auto"/>
              </w:rPr>
            </w:pPr>
            <w:r>
              <w:rPr>
                <w:rFonts w:ascii="Arial" w:cs="Arial" w:eastAsia="Arial" w:hAnsi="Arial"/>
                <w:sz w:val="13"/>
                <w:szCs w:val="13"/>
                <w:b w:val="1"/>
                <w:bCs w:val="1"/>
                <w:color w:val="auto"/>
              </w:rPr>
              <w:t>(Millions of dollars)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gridSpan w:val="3"/>
          </w:tcPr>
          <w:p>
            <w:pPr>
              <w:spacing w:after="0"/>
              <w:rPr>
                <w:sz w:val="3"/>
                <w:szCs w:val="3"/>
                <w:color w:val="auto"/>
              </w:rPr>
            </w:pPr>
          </w:p>
        </w:tc>
        <w:tc>
          <w:tcPr>
            <w:tcW w:w="720" w:type="dxa"/>
            <w:vAlign w:val="bottom"/>
            <w:gridSpan w:val="3"/>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840" w:type="dxa"/>
            <w:vAlign w:val="bottom"/>
            <w:shd w:val="clear" w:color="auto" w:fill="E9E9E9"/>
          </w:tcPr>
          <w:p>
            <w:pPr>
              <w:spacing w:after="0"/>
              <w:rPr>
                <w:sz w:val="20"/>
                <w:szCs w:val="20"/>
                <w:color w:val="auto"/>
              </w:rPr>
            </w:pPr>
            <w:r>
              <w:rPr>
                <w:rFonts w:ascii="Arial" w:cs="Arial" w:eastAsia="Arial" w:hAnsi="Arial"/>
                <w:sz w:val="17"/>
                <w:szCs w:val="17"/>
                <w:color w:val="auto"/>
              </w:rPr>
              <w:t>Dividends paid</w:t>
            </w:r>
          </w:p>
        </w:tc>
        <w:tc>
          <w:tcPr>
            <w:tcW w:w="30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56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66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1200" w:type="dxa"/>
            <w:vAlign w:val="bottom"/>
            <w:gridSpan w:val="5"/>
            <w:shd w:val="clear" w:color="auto" w:fill="E9E9E9"/>
          </w:tcPr>
          <w:p>
            <w:pPr>
              <w:jc w:val="right"/>
              <w:ind w:right="81"/>
              <w:spacing w:after="0"/>
              <w:rPr>
                <w:sz w:val="20"/>
                <w:szCs w:val="20"/>
                <w:color w:val="auto"/>
              </w:rPr>
            </w:pPr>
            <w:r>
              <w:rPr>
                <w:rFonts w:ascii="Arial" w:cs="Arial" w:eastAsia="Arial" w:hAnsi="Arial"/>
                <w:sz w:val="17"/>
                <w:szCs w:val="17"/>
                <w:b w:val="1"/>
                <w:bCs w:val="1"/>
                <w:color w:val="auto"/>
              </w:rPr>
              <w:t>$ 1,323</w:t>
            </w:r>
          </w:p>
        </w:tc>
        <w:tc>
          <w:tcPr>
            <w:tcW w:w="720" w:type="dxa"/>
            <w:vAlign w:val="bottom"/>
            <w:gridSpan w:val="3"/>
            <w:shd w:val="clear" w:color="auto" w:fill="E9E9E9"/>
          </w:tcPr>
          <w:p>
            <w:pPr>
              <w:jc w:val="right"/>
              <w:ind w:right="140"/>
              <w:spacing w:after="0"/>
              <w:rPr>
                <w:sz w:val="20"/>
                <w:szCs w:val="20"/>
                <w:color w:val="auto"/>
              </w:rPr>
            </w:pPr>
            <w:r>
              <w:rPr>
                <w:rFonts w:ascii="Arial" w:cs="Arial" w:eastAsia="Arial" w:hAnsi="Arial"/>
                <w:sz w:val="17"/>
                <w:szCs w:val="17"/>
                <w:color w:val="auto"/>
                <w:w w:val="98"/>
              </w:rPr>
              <w:t>$ 1,175</w:t>
            </w:r>
          </w:p>
        </w:tc>
        <w:tc>
          <w:tcPr>
            <w:tcW w:w="120" w:type="dxa"/>
            <w:vAlign w:val="bottom"/>
            <w:shd w:val="clear" w:color="auto" w:fill="E9E9E9"/>
          </w:tcPr>
          <w:p>
            <w:pPr>
              <w:ind w:left="20"/>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819</w:t>
            </w:r>
          </w:p>
        </w:tc>
        <w:tc>
          <w:tcPr>
            <w:tcW w:w="120" w:type="dxa"/>
            <w:vAlign w:val="bottom"/>
            <w:shd w:val="clear" w:color="auto" w:fill="E9E9E9"/>
          </w:tcPr>
          <w:p>
            <w:pPr>
              <w:spacing w:after="0"/>
              <w:rPr>
                <w:sz w:val="20"/>
                <w:szCs w:val="20"/>
                <w:color w:val="auto"/>
              </w:rPr>
            </w:pPr>
          </w:p>
        </w:tc>
        <w:tc>
          <w:tcPr>
            <w:tcW w:w="180" w:type="dxa"/>
            <w:vAlign w:val="bottom"/>
            <w:gridSpan w:val="2"/>
            <w:shd w:val="clear" w:color="auto" w:fill="E9E9E9"/>
          </w:tcPr>
          <w:p>
            <w:pPr>
              <w:ind w:left="40"/>
              <w:spacing w:after="0"/>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E9E9E9"/>
          </w:tcPr>
          <w:p>
            <w:pPr>
              <w:jc w:val="right"/>
              <w:spacing w:after="0"/>
              <w:rPr>
                <w:sz w:val="20"/>
                <w:szCs w:val="20"/>
                <w:color w:val="auto"/>
              </w:rPr>
            </w:pPr>
            <w:r>
              <w:rPr>
                <w:rFonts w:ascii="Arial" w:cs="Arial" w:eastAsia="Arial" w:hAnsi="Arial"/>
                <w:sz w:val="17"/>
                <w:szCs w:val="17"/>
                <w:b w:val="1"/>
                <w:bCs w:val="1"/>
                <w:color w:val="auto"/>
              </w:rPr>
              <w:t>3,317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40" w:type="dxa"/>
            <w:vAlign w:val="bottom"/>
          </w:tcPr>
          <w:p>
            <w:pPr>
              <w:spacing w:after="0"/>
              <w:rPr>
                <w:sz w:val="20"/>
                <w:szCs w:val="20"/>
                <w:color w:val="auto"/>
              </w:rPr>
            </w:pPr>
            <w:r>
              <w:rPr>
                <w:rFonts w:ascii="Arial" w:cs="Arial" w:eastAsia="Arial" w:hAnsi="Arial"/>
                <w:sz w:val="17"/>
                <w:szCs w:val="17"/>
                <w:color w:val="auto"/>
              </w:rPr>
              <w:t>Stock repurchases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5"/>
          </w:tcPr>
          <w:p>
            <w:pPr>
              <w:jc w:val="right"/>
              <w:ind w:right="81"/>
              <w:spacing w:after="0"/>
              <w:rPr>
                <w:sz w:val="20"/>
                <w:szCs w:val="20"/>
                <w:color w:val="auto"/>
              </w:rPr>
            </w:pPr>
            <w:r>
              <w:rPr>
                <w:rFonts w:ascii="Arial" w:cs="Arial" w:eastAsia="Arial" w:hAnsi="Arial"/>
                <w:sz w:val="17"/>
                <w:szCs w:val="17"/>
                <w:b w:val="1"/>
                <w:bCs w:val="1"/>
                <w:color w:val="auto"/>
              </w:rPr>
              <w:t>2,831</w:t>
            </w:r>
          </w:p>
        </w:tc>
        <w:tc>
          <w:tcPr>
            <w:tcW w:w="12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2,868</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1,800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7,499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840" w:type="dxa"/>
            <w:vAlign w:val="bottom"/>
            <w:tcBorders>
              <w:top w:val="single" w:sz="8" w:color="E9E9E9"/>
              <w:bottom w:val="single" w:sz="8" w:color="E9E9E9"/>
            </w:tcBorders>
            <w:shd w:val="clear" w:color="auto" w:fill="E9E9E9"/>
          </w:tcPr>
          <w:p>
            <w:pPr>
              <w:spacing w:after="0"/>
              <w:rPr>
                <w:sz w:val="20"/>
                <w:szCs w:val="20"/>
                <w:color w:val="auto"/>
              </w:rPr>
            </w:pPr>
            <w:r>
              <w:rPr>
                <w:rFonts w:ascii="Arial" w:cs="Arial" w:eastAsia="Arial" w:hAnsi="Arial"/>
                <w:sz w:val="17"/>
                <w:szCs w:val="17"/>
                <w:color w:val="auto"/>
              </w:rPr>
              <w:t>Total cash returned to shareholders</w:t>
            </w:r>
          </w:p>
        </w:tc>
        <w:tc>
          <w:tcPr>
            <w:tcW w:w="300" w:type="dxa"/>
            <w:vAlign w:val="bottom"/>
            <w:tcBorders>
              <w:top w:val="single" w:sz="8" w:color="E9E9E9"/>
              <w:bottom w:val="single" w:sz="8" w:color="E9E9E9"/>
            </w:tcBorders>
            <w:shd w:val="clear" w:color="auto" w:fill="E9E9E9"/>
          </w:tcPr>
          <w:p>
            <w:pPr>
              <w:spacing w:after="0"/>
              <w:rPr>
                <w:sz w:val="21"/>
                <w:szCs w:val="21"/>
                <w:color w:val="auto"/>
              </w:rPr>
            </w:pPr>
          </w:p>
        </w:tc>
        <w:tc>
          <w:tcPr>
            <w:tcW w:w="120" w:type="dxa"/>
            <w:vAlign w:val="bottom"/>
            <w:tcBorders>
              <w:top w:val="single" w:sz="8" w:color="E9E9E9"/>
              <w:bottom w:val="single" w:sz="8" w:color="E9E9E9"/>
            </w:tcBorders>
            <w:shd w:val="clear" w:color="auto" w:fill="E9E9E9"/>
          </w:tcPr>
          <w:p>
            <w:pPr>
              <w:spacing w:after="0"/>
              <w:rPr>
                <w:sz w:val="21"/>
                <w:szCs w:val="21"/>
                <w:color w:val="auto"/>
              </w:rPr>
            </w:pPr>
          </w:p>
        </w:tc>
        <w:tc>
          <w:tcPr>
            <w:tcW w:w="720" w:type="dxa"/>
            <w:vAlign w:val="bottom"/>
            <w:tcBorders>
              <w:top w:val="single" w:sz="8" w:color="E9E9E9"/>
              <w:bottom w:val="single" w:sz="8" w:color="E9E9E9"/>
            </w:tcBorders>
            <w:shd w:val="clear" w:color="auto" w:fill="E9E9E9"/>
          </w:tcPr>
          <w:p>
            <w:pPr>
              <w:spacing w:after="0"/>
              <w:rPr>
                <w:sz w:val="21"/>
                <w:szCs w:val="21"/>
                <w:color w:val="auto"/>
              </w:rPr>
            </w:pPr>
          </w:p>
        </w:tc>
        <w:tc>
          <w:tcPr>
            <w:tcW w:w="260" w:type="dxa"/>
            <w:vAlign w:val="bottom"/>
            <w:tcBorders>
              <w:top w:val="single" w:sz="8" w:color="E9E9E9"/>
              <w:bottom w:val="single" w:sz="8" w:color="E9E9E9"/>
            </w:tcBorders>
            <w:shd w:val="clear" w:color="auto" w:fill="E9E9E9"/>
          </w:tcPr>
          <w:p>
            <w:pPr>
              <w:spacing w:after="0"/>
              <w:rPr>
                <w:sz w:val="21"/>
                <w:szCs w:val="21"/>
                <w:color w:val="auto"/>
              </w:rPr>
            </w:pPr>
          </w:p>
        </w:tc>
        <w:tc>
          <w:tcPr>
            <w:tcW w:w="100" w:type="dxa"/>
            <w:vAlign w:val="bottom"/>
            <w:tcBorders>
              <w:top w:val="single" w:sz="8" w:color="E9E9E9"/>
              <w:bottom w:val="single" w:sz="8" w:color="E9E9E9"/>
            </w:tcBorders>
            <w:shd w:val="clear" w:color="auto" w:fill="E9E9E9"/>
          </w:tcPr>
          <w:p>
            <w:pPr>
              <w:spacing w:after="0"/>
              <w:rPr>
                <w:sz w:val="21"/>
                <w:szCs w:val="21"/>
                <w:color w:val="auto"/>
              </w:rPr>
            </w:pPr>
          </w:p>
        </w:tc>
        <w:tc>
          <w:tcPr>
            <w:tcW w:w="560" w:type="dxa"/>
            <w:vAlign w:val="bottom"/>
            <w:tcBorders>
              <w:top w:val="single" w:sz="8" w:color="E9E9E9"/>
              <w:bottom w:val="single" w:sz="8" w:color="E9E9E9"/>
            </w:tcBorders>
            <w:shd w:val="clear" w:color="auto" w:fill="E9E9E9"/>
          </w:tcPr>
          <w:p>
            <w:pPr>
              <w:spacing w:after="0"/>
              <w:rPr>
                <w:sz w:val="21"/>
                <w:szCs w:val="21"/>
                <w:color w:val="auto"/>
              </w:rPr>
            </w:pPr>
          </w:p>
        </w:tc>
        <w:tc>
          <w:tcPr>
            <w:tcW w:w="200" w:type="dxa"/>
            <w:vAlign w:val="bottom"/>
            <w:tcBorders>
              <w:top w:val="single" w:sz="8" w:color="E9E9E9"/>
              <w:bottom w:val="single" w:sz="8" w:color="E9E9E9"/>
            </w:tcBorders>
            <w:shd w:val="clear" w:color="auto" w:fill="E9E9E9"/>
          </w:tcPr>
          <w:p>
            <w:pPr>
              <w:spacing w:after="0"/>
              <w:rPr>
                <w:sz w:val="21"/>
                <w:szCs w:val="21"/>
                <w:color w:val="auto"/>
              </w:rPr>
            </w:pPr>
          </w:p>
        </w:tc>
        <w:tc>
          <w:tcPr>
            <w:tcW w:w="660" w:type="dxa"/>
            <w:vAlign w:val="bottom"/>
            <w:tcBorders>
              <w:top w:val="single" w:sz="8" w:color="E9E9E9"/>
              <w:bottom w:val="single" w:sz="8" w:color="E9E9E9"/>
            </w:tcBorders>
            <w:shd w:val="clear" w:color="auto" w:fill="E9E9E9"/>
          </w:tcPr>
          <w:p>
            <w:pPr>
              <w:spacing w:after="0"/>
              <w:rPr>
                <w:sz w:val="21"/>
                <w:szCs w:val="21"/>
                <w:color w:val="auto"/>
              </w:rPr>
            </w:pPr>
          </w:p>
        </w:tc>
        <w:tc>
          <w:tcPr>
            <w:tcW w:w="100" w:type="dxa"/>
            <w:vAlign w:val="bottom"/>
            <w:tcBorders>
              <w:top w:val="single" w:sz="8" w:color="E9E9E9"/>
              <w:bottom w:val="single" w:sz="8" w:color="E9E9E9"/>
            </w:tcBorders>
            <w:shd w:val="clear" w:color="auto" w:fill="E9E9E9"/>
          </w:tcPr>
          <w:p>
            <w:pPr>
              <w:spacing w:after="0"/>
              <w:rPr>
                <w:sz w:val="21"/>
                <w:szCs w:val="21"/>
                <w:color w:val="auto"/>
              </w:rPr>
            </w:pPr>
          </w:p>
        </w:tc>
        <w:tc>
          <w:tcPr>
            <w:tcW w:w="200" w:type="dxa"/>
            <w:vAlign w:val="bottom"/>
            <w:tcBorders>
              <w:top w:val="single" w:sz="8" w:color="E9E9E9"/>
              <w:bottom w:val="single" w:sz="8" w:color="E9E9E9"/>
            </w:tcBorders>
            <w:shd w:val="clear" w:color="auto" w:fill="E9E9E9"/>
          </w:tcPr>
          <w:p>
            <w:pPr>
              <w:spacing w:after="0"/>
              <w:rPr>
                <w:sz w:val="21"/>
                <w:szCs w:val="21"/>
                <w:color w:val="auto"/>
              </w:rPr>
            </w:pPr>
          </w:p>
        </w:tc>
        <w:tc>
          <w:tcPr>
            <w:tcW w:w="300" w:type="dxa"/>
            <w:vAlign w:val="bottom"/>
            <w:tcBorders>
              <w:top w:val="single" w:sz="8" w:color="E9E9E9"/>
              <w:bottom w:val="single" w:sz="8" w:color="E9E9E9"/>
            </w:tcBorders>
            <w:shd w:val="clear" w:color="auto" w:fill="E9E9E9"/>
          </w:tcPr>
          <w:p>
            <w:pPr>
              <w:spacing w:after="0"/>
              <w:rPr>
                <w:sz w:val="21"/>
                <w:szCs w:val="21"/>
                <w:color w:val="auto"/>
              </w:rPr>
            </w:pPr>
          </w:p>
        </w:tc>
        <w:tc>
          <w:tcPr>
            <w:tcW w:w="160" w:type="dxa"/>
            <w:vAlign w:val="bottom"/>
            <w:tcBorders>
              <w:top w:val="single" w:sz="8" w:color="E9E9E9"/>
              <w:bottom w:val="single" w:sz="8" w:color="E9E9E9"/>
            </w:tcBorders>
            <w:shd w:val="clear" w:color="auto" w:fill="E9E9E9"/>
          </w:tcPr>
          <w:p>
            <w:pPr>
              <w:spacing w:after="0"/>
              <w:rPr>
                <w:sz w:val="21"/>
                <w:szCs w:val="21"/>
                <w:color w:val="auto"/>
              </w:rPr>
            </w:pPr>
          </w:p>
        </w:tc>
        <w:tc>
          <w:tcPr>
            <w:tcW w:w="740" w:type="dxa"/>
            <w:vAlign w:val="bottom"/>
            <w:tcBorders>
              <w:top w:val="single" w:sz="8" w:color="auto"/>
              <w:bottom w:val="single" w:sz="8" w:color="auto"/>
            </w:tcBorders>
            <w:gridSpan w:val="3"/>
            <w:shd w:val="clear" w:color="auto" w:fill="E9E9E9"/>
          </w:tcPr>
          <w:p>
            <w:pPr>
              <w:jc w:val="right"/>
              <w:ind w:right="81"/>
              <w:spacing w:after="0"/>
              <w:rPr>
                <w:sz w:val="20"/>
                <w:szCs w:val="20"/>
                <w:color w:val="auto"/>
              </w:rPr>
            </w:pPr>
            <w:r>
              <w:rPr>
                <w:rFonts w:ascii="Arial" w:cs="Arial" w:eastAsia="Arial" w:hAnsi="Arial"/>
                <w:sz w:val="17"/>
                <w:szCs w:val="17"/>
                <w:b w:val="1"/>
                <w:bCs w:val="1"/>
                <w:color w:val="auto"/>
                <w:w w:val="98"/>
              </w:rPr>
              <w:t>$ 4,154</w:t>
            </w:r>
          </w:p>
        </w:tc>
        <w:tc>
          <w:tcPr>
            <w:tcW w:w="720" w:type="dxa"/>
            <w:vAlign w:val="bottom"/>
            <w:tcBorders>
              <w:top w:val="single" w:sz="8" w:color="auto"/>
              <w:bottom w:val="single" w:sz="8" w:color="auto"/>
            </w:tcBorders>
            <w:gridSpan w:val="3"/>
            <w:shd w:val="clear" w:color="auto" w:fill="E9E9E9"/>
          </w:tcPr>
          <w:p>
            <w:pPr>
              <w:jc w:val="right"/>
              <w:ind w:right="140"/>
              <w:spacing w:after="0"/>
              <w:rPr>
                <w:sz w:val="20"/>
                <w:szCs w:val="20"/>
                <w:color w:val="auto"/>
              </w:rPr>
            </w:pPr>
            <w:r>
              <w:rPr>
                <w:rFonts w:ascii="Arial" w:cs="Arial" w:eastAsia="Arial" w:hAnsi="Arial"/>
                <w:sz w:val="17"/>
                <w:szCs w:val="17"/>
                <w:color w:val="auto"/>
                <w:w w:val="98"/>
              </w:rPr>
              <w:t>$ 4,043</w:t>
            </w:r>
          </w:p>
        </w:tc>
        <w:tc>
          <w:tcPr>
            <w:tcW w:w="120" w:type="dxa"/>
            <w:vAlign w:val="bottom"/>
            <w:tcBorders>
              <w:top w:val="single" w:sz="8" w:color="auto"/>
              <w:bottom w:val="single" w:sz="8" w:color="auto"/>
            </w:tcBorders>
            <w:shd w:val="clear" w:color="auto" w:fill="E9E9E9"/>
          </w:tcPr>
          <w:p>
            <w:pPr>
              <w:ind w:left="20"/>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Arial" w:cs="Arial" w:eastAsia="Arial" w:hAnsi="Arial"/>
                <w:sz w:val="17"/>
                <w:szCs w:val="17"/>
                <w:color w:val="auto"/>
              </w:rPr>
              <w:t>2,619</w:t>
            </w:r>
          </w:p>
        </w:tc>
        <w:tc>
          <w:tcPr>
            <w:tcW w:w="120" w:type="dxa"/>
            <w:vAlign w:val="bottom"/>
            <w:tcBorders>
              <w:top w:val="single" w:sz="8" w:color="auto"/>
              <w:bottom w:val="single" w:sz="8" w:color="auto"/>
            </w:tcBorders>
            <w:shd w:val="clear" w:color="auto" w:fill="E9E9E9"/>
          </w:tcPr>
          <w:p>
            <w:pPr>
              <w:spacing w:after="0"/>
              <w:rPr>
                <w:sz w:val="21"/>
                <w:szCs w:val="21"/>
                <w:color w:val="auto"/>
              </w:rPr>
            </w:pPr>
          </w:p>
        </w:tc>
        <w:tc>
          <w:tcPr>
            <w:tcW w:w="180" w:type="dxa"/>
            <w:vAlign w:val="bottom"/>
            <w:tcBorders>
              <w:top w:val="single" w:sz="8" w:color="auto"/>
              <w:bottom w:val="single" w:sz="8" w:color="auto"/>
            </w:tcBorders>
            <w:gridSpan w:val="2"/>
            <w:shd w:val="clear" w:color="auto" w:fill="E9E9E9"/>
          </w:tcPr>
          <w:p>
            <w:pPr>
              <w:ind w:left="40"/>
              <w:spacing w:after="0"/>
              <w:rPr>
                <w:sz w:val="20"/>
                <w:szCs w:val="20"/>
                <w:color w:val="auto"/>
              </w:rPr>
            </w:pPr>
            <w:r>
              <w:rPr>
                <w:rFonts w:ascii="Arial" w:cs="Arial" w:eastAsia="Arial" w:hAnsi="Arial"/>
                <w:sz w:val="17"/>
                <w:szCs w:val="17"/>
                <w:b w:val="1"/>
                <w:bCs w:val="1"/>
                <w:color w:val="auto"/>
              </w:rPr>
              <w:t>$</w:t>
            </w:r>
          </w:p>
        </w:tc>
        <w:tc>
          <w:tcPr>
            <w:tcW w:w="540" w:type="dxa"/>
            <w:vAlign w:val="bottom"/>
            <w:tcBorders>
              <w:top w:val="single" w:sz="8" w:color="auto"/>
              <w:bottom w:val="single" w:sz="8" w:color="auto"/>
            </w:tcBorders>
            <w:shd w:val="clear" w:color="auto" w:fill="E9E9E9"/>
          </w:tcPr>
          <w:p>
            <w:pPr>
              <w:jc w:val="right"/>
              <w:spacing w:after="0"/>
              <w:rPr>
                <w:sz w:val="20"/>
                <w:szCs w:val="20"/>
                <w:color w:val="auto"/>
              </w:rPr>
            </w:pPr>
            <w:r>
              <w:rPr>
                <w:rFonts w:ascii="Arial" w:cs="Arial" w:eastAsia="Arial" w:hAnsi="Arial"/>
                <w:sz w:val="17"/>
                <w:szCs w:val="17"/>
                <w:b w:val="1"/>
                <w:bCs w:val="1"/>
                <w:color w:val="auto"/>
                <w:w w:val="99"/>
              </w:rPr>
              <w:t>10,816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84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72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56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6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160" w:type="dxa"/>
            <w:vAlign w:val="bottom"/>
            <w:shd w:val="clear" w:color="auto" w:fill="E9E9E9"/>
          </w:tcPr>
          <w:p>
            <w:pPr>
              <w:spacing w:after="0"/>
              <w:rPr>
                <w:sz w:val="19"/>
                <w:szCs w:val="19"/>
                <w:color w:val="auto"/>
              </w:rPr>
            </w:pPr>
          </w:p>
        </w:tc>
        <w:tc>
          <w:tcPr>
            <w:tcW w:w="160" w:type="dxa"/>
            <w:vAlign w:val="bottom"/>
            <w:shd w:val="clear" w:color="auto" w:fill="E9E9E9"/>
          </w:tcPr>
          <w:p>
            <w:pPr>
              <w:spacing w:after="0"/>
              <w:rPr>
                <w:sz w:val="19"/>
                <w:szCs w:val="19"/>
                <w:color w:val="auto"/>
              </w:rPr>
            </w:pPr>
          </w:p>
        </w:tc>
        <w:tc>
          <w:tcPr>
            <w:tcW w:w="160" w:type="dxa"/>
            <w:vAlign w:val="bottom"/>
            <w:shd w:val="clear" w:color="auto" w:fill="E9E9E9"/>
          </w:tcPr>
          <w:p>
            <w:pPr>
              <w:spacing w:after="0"/>
              <w:rPr>
                <w:sz w:val="19"/>
                <w:szCs w:val="19"/>
                <w:color w:val="auto"/>
              </w:rPr>
            </w:pPr>
          </w:p>
        </w:tc>
        <w:tc>
          <w:tcPr>
            <w:tcW w:w="4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4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48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540" w:type="dxa"/>
            <w:vAlign w:val="bottom"/>
            <w:shd w:val="clear" w:color="auto" w:fill="E9E9E9"/>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840" w:type="dxa"/>
            <w:vAlign w:val="bottom"/>
          </w:tcPr>
          <w:p>
            <w:pPr>
              <w:spacing w:after="0"/>
              <w:rPr>
                <w:sz w:val="20"/>
                <w:szCs w:val="20"/>
                <w:color w:val="auto"/>
              </w:rPr>
            </w:pPr>
            <w:r>
              <w:rPr>
                <w:rFonts w:ascii="Arial" w:cs="Arial" w:eastAsia="Arial" w:hAnsi="Arial"/>
                <w:sz w:val="17"/>
                <w:szCs w:val="17"/>
                <w:color w:val="auto"/>
              </w:rPr>
              <w:t>Percentage of Cash flow from operations (GAAP)</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gridSpan w:val="9"/>
          </w:tcPr>
          <w:p>
            <w:pPr>
              <w:jc w:val="right"/>
              <w:spacing w:after="0"/>
              <w:rPr>
                <w:sz w:val="20"/>
                <w:szCs w:val="20"/>
                <w:color w:val="auto"/>
              </w:rPr>
            </w:pPr>
            <w:r>
              <w:rPr>
                <w:rFonts w:ascii="Arial" w:cs="Arial" w:eastAsia="Arial" w:hAnsi="Arial"/>
                <w:sz w:val="17"/>
                <w:szCs w:val="17"/>
                <w:b w:val="1"/>
                <w:bCs w:val="1"/>
                <w:color w:val="auto"/>
              </w:rPr>
              <w:t xml:space="preserve">106.7%  </w:t>
            </w:r>
            <w:r>
              <w:rPr>
                <w:rFonts w:ascii="Arial" w:cs="Arial" w:eastAsia="Arial" w:hAnsi="Arial"/>
                <w:sz w:val="17"/>
                <w:szCs w:val="17"/>
                <w:color w:val="auto"/>
              </w:rPr>
              <w:t>119.5%  76.7%</w:t>
            </w:r>
          </w:p>
        </w:tc>
        <w:tc>
          <w:tcPr>
            <w:tcW w:w="12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b w:val="1"/>
                <w:bCs w:val="1"/>
                <w:color w:val="auto"/>
              </w:rPr>
              <w:t>101.2%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840" w:type="dxa"/>
            <w:vAlign w:val="bottom"/>
            <w:shd w:val="clear" w:color="auto" w:fill="E9E9E9"/>
          </w:tcPr>
          <w:p>
            <w:pPr>
              <w:spacing w:after="0"/>
              <w:rPr>
                <w:sz w:val="20"/>
                <w:szCs w:val="20"/>
                <w:color w:val="auto"/>
              </w:rPr>
            </w:pPr>
            <w:r>
              <w:rPr>
                <w:rFonts w:ascii="Arial" w:cs="Arial" w:eastAsia="Arial" w:hAnsi="Arial"/>
                <w:sz w:val="17"/>
                <w:szCs w:val="17"/>
                <w:color w:val="auto"/>
              </w:rPr>
              <w:t>Percentage of free cash flow (non-GAAP)</w:t>
            </w:r>
          </w:p>
        </w:tc>
        <w:tc>
          <w:tcPr>
            <w:tcW w:w="300" w:type="dxa"/>
            <w:vAlign w:val="bottom"/>
            <w:shd w:val="clear" w:color="auto" w:fill="E9E9E9"/>
          </w:tcPr>
          <w:p>
            <w:pPr>
              <w:spacing w:after="0"/>
              <w:rPr>
                <w:sz w:val="22"/>
                <w:szCs w:val="22"/>
                <w:color w:val="auto"/>
              </w:rPr>
            </w:pPr>
          </w:p>
        </w:tc>
        <w:tc>
          <w:tcPr>
            <w:tcW w:w="120" w:type="dxa"/>
            <w:vAlign w:val="bottom"/>
            <w:shd w:val="clear" w:color="auto" w:fill="E9E9E9"/>
          </w:tcPr>
          <w:p>
            <w:pPr>
              <w:spacing w:after="0"/>
              <w:rPr>
                <w:sz w:val="22"/>
                <w:szCs w:val="22"/>
                <w:color w:val="auto"/>
              </w:rPr>
            </w:pPr>
          </w:p>
        </w:tc>
        <w:tc>
          <w:tcPr>
            <w:tcW w:w="720" w:type="dxa"/>
            <w:vAlign w:val="bottom"/>
            <w:shd w:val="clear" w:color="auto" w:fill="E9E9E9"/>
          </w:tcPr>
          <w:p>
            <w:pPr>
              <w:spacing w:after="0"/>
              <w:rPr>
                <w:sz w:val="22"/>
                <w:szCs w:val="22"/>
                <w:color w:val="auto"/>
              </w:rPr>
            </w:pPr>
          </w:p>
        </w:tc>
        <w:tc>
          <w:tcPr>
            <w:tcW w:w="260" w:type="dxa"/>
            <w:vAlign w:val="bottom"/>
            <w:shd w:val="clear" w:color="auto" w:fill="E9E9E9"/>
          </w:tcPr>
          <w:p>
            <w:pPr>
              <w:spacing w:after="0"/>
              <w:rPr>
                <w:sz w:val="22"/>
                <w:szCs w:val="22"/>
                <w:color w:val="auto"/>
              </w:rPr>
            </w:pPr>
          </w:p>
        </w:tc>
        <w:tc>
          <w:tcPr>
            <w:tcW w:w="100" w:type="dxa"/>
            <w:vAlign w:val="bottom"/>
            <w:shd w:val="clear" w:color="auto" w:fill="E9E9E9"/>
          </w:tcPr>
          <w:p>
            <w:pPr>
              <w:spacing w:after="0"/>
              <w:rPr>
                <w:sz w:val="22"/>
                <w:szCs w:val="22"/>
                <w:color w:val="auto"/>
              </w:rPr>
            </w:pPr>
          </w:p>
        </w:tc>
        <w:tc>
          <w:tcPr>
            <w:tcW w:w="560" w:type="dxa"/>
            <w:vAlign w:val="bottom"/>
            <w:shd w:val="clear" w:color="auto" w:fill="E9E9E9"/>
          </w:tcPr>
          <w:p>
            <w:pPr>
              <w:spacing w:after="0"/>
              <w:rPr>
                <w:sz w:val="22"/>
                <w:szCs w:val="22"/>
                <w:color w:val="auto"/>
              </w:rPr>
            </w:pPr>
          </w:p>
        </w:tc>
        <w:tc>
          <w:tcPr>
            <w:tcW w:w="200" w:type="dxa"/>
            <w:vAlign w:val="bottom"/>
            <w:shd w:val="clear" w:color="auto" w:fill="E9E9E9"/>
          </w:tcPr>
          <w:p>
            <w:pPr>
              <w:spacing w:after="0"/>
              <w:rPr>
                <w:sz w:val="22"/>
                <w:szCs w:val="22"/>
                <w:color w:val="auto"/>
              </w:rPr>
            </w:pPr>
          </w:p>
        </w:tc>
        <w:tc>
          <w:tcPr>
            <w:tcW w:w="660" w:type="dxa"/>
            <w:vAlign w:val="bottom"/>
            <w:shd w:val="clear" w:color="auto" w:fill="E9E9E9"/>
          </w:tcPr>
          <w:p>
            <w:pPr>
              <w:spacing w:after="0"/>
              <w:rPr>
                <w:sz w:val="22"/>
                <w:szCs w:val="22"/>
                <w:color w:val="auto"/>
              </w:rPr>
            </w:pPr>
          </w:p>
        </w:tc>
        <w:tc>
          <w:tcPr>
            <w:tcW w:w="100" w:type="dxa"/>
            <w:vAlign w:val="bottom"/>
            <w:shd w:val="clear" w:color="auto" w:fill="E9E9E9"/>
          </w:tcPr>
          <w:p>
            <w:pPr>
              <w:spacing w:after="0"/>
              <w:rPr>
                <w:sz w:val="22"/>
                <w:szCs w:val="22"/>
                <w:color w:val="auto"/>
              </w:rPr>
            </w:pPr>
          </w:p>
        </w:tc>
        <w:tc>
          <w:tcPr>
            <w:tcW w:w="200" w:type="dxa"/>
            <w:vAlign w:val="bottom"/>
            <w:shd w:val="clear" w:color="auto" w:fill="E9E9E9"/>
          </w:tcPr>
          <w:p>
            <w:pPr>
              <w:spacing w:after="0"/>
              <w:rPr>
                <w:sz w:val="22"/>
                <w:szCs w:val="22"/>
                <w:color w:val="auto"/>
              </w:rPr>
            </w:pPr>
          </w:p>
        </w:tc>
        <w:tc>
          <w:tcPr>
            <w:tcW w:w="1200" w:type="dxa"/>
            <w:vAlign w:val="bottom"/>
            <w:gridSpan w:val="5"/>
            <w:shd w:val="clear" w:color="auto" w:fill="E9E9E9"/>
          </w:tcPr>
          <w:p>
            <w:pPr>
              <w:jc w:val="right"/>
              <w:ind w:right="61"/>
              <w:spacing w:after="0"/>
              <w:rPr>
                <w:sz w:val="20"/>
                <w:szCs w:val="20"/>
                <w:color w:val="auto"/>
              </w:rPr>
            </w:pPr>
            <w:r>
              <w:rPr>
                <w:rFonts w:ascii="Arial" w:cs="Arial" w:eastAsia="Arial" w:hAnsi="Arial"/>
                <w:sz w:val="17"/>
                <w:szCs w:val="17"/>
                <w:b w:val="1"/>
                <w:bCs w:val="1"/>
                <w:color w:val="auto"/>
              </w:rPr>
              <w:t>118.4%</w:t>
            </w:r>
          </w:p>
        </w:tc>
        <w:tc>
          <w:tcPr>
            <w:tcW w:w="720" w:type="dxa"/>
            <w:vAlign w:val="bottom"/>
            <w:gridSpan w:val="3"/>
            <w:shd w:val="clear" w:color="auto" w:fill="E9E9E9"/>
          </w:tcPr>
          <w:p>
            <w:pPr>
              <w:jc w:val="right"/>
              <w:ind w:right="120"/>
              <w:spacing w:after="0"/>
              <w:rPr>
                <w:sz w:val="20"/>
                <w:szCs w:val="20"/>
                <w:color w:val="auto"/>
              </w:rPr>
            </w:pPr>
            <w:r>
              <w:rPr>
                <w:rFonts w:ascii="Arial" w:cs="Arial" w:eastAsia="Arial" w:hAnsi="Arial"/>
                <w:sz w:val="17"/>
                <w:szCs w:val="17"/>
                <w:color w:val="auto"/>
              </w:rPr>
              <w:t>136.0%</w:t>
            </w:r>
          </w:p>
        </w:tc>
        <w:tc>
          <w:tcPr>
            <w:tcW w:w="120" w:type="dxa"/>
            <w:vAlign w:val="bottom"/>
            <w:shd w:val="clear" w:color="auto" w:fill="E9E9E9"/>
          </w:tcPr>
          <w:p>
            <w:pPr>
              <w:spacing w:after="0"/>
              <w:rPr>
                <w:sz w:val="22"/>
                <w:szCs w:val="22"/>
                <w:color w:val="auto"/>
              </w:rPr>
            </w:pPr>
          </w:p>
        </w:tc>
        <w:tc>
          <w:tcPr>
            <w:tcW w:w="600" w:type="dxa"/>
            <w:vAlign w:val="bottom"/>
            <w:gridSpan w:val="2"/>
            <w:shd w:val="clear" w:color="auto" w:fill="E9E9E9"/>
          </w:tcPr>
          <w:p>
            <w:pPr>
              <w:jc w:val="right"/>
              <w:ind w:right="100"/>
              <w:spacing w:after="0"/>
              <w:rPr>
                <w:sz w:val="20"/>
                <w:szCs w:val="20"/>
                <w:color w:val="auto"/>
              </w:rPr>
            </w:pPr>
            <w:r>
              <w:rPr>
                <w:rFonts w:ascii="Arial" w:cs="Arial" w:eastAsia="Arial" w:hAnsi="Arial"/>
                <w:sz w:val="17"/>
                <w:szCs w:val="17"/>
                <w:color w:val="auto"/>
                <w:w w:val="99"/>
              </w:rPr>
              <w:t>89.7%</w:t>
            </w:r>
          </w:p>
        </w:tc>
        <w:tc>
          <w:tcPr>
            <w:tcW w:w="720" w:type="dxa"/>
            <w:vAlign w:val="bottom"/>
            <w:gridSpan w:val="3"/>
            <w:shd w:val="clear" w:color="auto" w:fill="E9E9E9"/>
          </w:tcPr>
          <w:p>
            <w:pPr>
              <w:jc w:val="right"/>
              <w:spacing w:after="0"/>
              <w:rPr>
                <w:sz w:val="20"/>
                <w:szCs w:val="20"/>
                <w:color w:val="auto"/>
              </w:rPr>
            </w:pPr>
            <w:r>
              <w:rPr>
                <w:rFonts w:ascii="Arial" w:cs="Arial" w:eastAsia="Arial" w:hAnsi="Arial"/>
                <w:sz w:val="17"/>
                <w:szCs w:val="17"/>
                <w:b w:val="1"/>
                <w:bCs w:val="1"/>
                <w:color w:val="auto"/>
              </w:rPr>
              <w:t>115.1%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8"/>
        </w:trPr>
        <w:tc>
          <w:tcPr>
            <w:tcW w:w="7860" w:type="dxa"/>
            <w:vAlign w:val="bottom"/>
            <w:gridSpan w:val="10"/>
          </w:tcPr>
          <w:p>
            <w:pPr>
              <w:ind w:left="4080"/>
              <w:spacing w:after="0"/>
              <w:rPr>
                <w:sz w:val="20"/>
                <w:szCs w:val="20"/>
                <w:color w:val="auto"/>
              </w:rPr>
            </w:pPr>
            <w:r>
              <w:rPr>
                <w:rFonts w:ascii="Arial" w:cs="Arial" w:eastAsia="Arial" w:hAnsi="Arial"/>
                <w:sz w:val="13"/>
                <w:szCs w:val="13"/>
                <w:color w:val="838383"/>
              </w:rPr>
              <w:t>TEXAS INSTRUMENTS ● 2015 PROXY STATEMENT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838383"/>
              </w:rPr>
              <w:t>119</w:t>
            </w:r>
          </w:p>
        </w:tc>
        <w:tc>
          <w:tcPr>
            <w:tcW w:w="0" w:type="dxa"/>
            <w:vAlign w:val="bottom"/>
          </w:tcPr>
          <w:p>
            <w:pPr>
              <w:spacing w:after="0"/>
              <w:rPr>
                <w:sz w:val="1"/>
                <w:szCs w:val="1"/>
                <w:color w:val="auto"/>
              </w:rPr>
            </w:pPr>
          </w:p>
        </w:tc>
      </w:tr>
      <w:tr>
        <w:trPr>
          <w:trHeight w:val="355"/>
        </w:trPr>
        <w:tc>
          <w:tcPr>
            <w:tcW w:w="48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56" w:right="21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525145</wp:posOffset>
            </wp:positionH>
            <wp:positionV relativeFrom="page">
              <wp:posOffset>391160</wp:posOffset>
            </wp:positionV>
            <wp:extent cx="1216660" cy="4362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436245"/>
                    </a:xfrm>
                    <a:prstGeom prst="rect">
                      <a:avLst/>
                    </a:prstGeom>
                    <a:noFill/>
                  </pic:spPr>
                </pic:pic>
              </a:graphicData>
            </a:graphic>
          </wp:anchor>
        </w:drawing>
      </w:r>
    </w:p>
    <w:p>
      <w:pPr>
        <w:spacing w:after="0" w:line="328" w:lineRule="exact"/>
        <w:rPr>
          <w:sz w:val="20"/>
          <w:szCs w:val="20"/>
          <w:color w:val="auto"/>
        </w:rPr>
      </w:pPr>
    </w:p>
    <w:p>
      <w:pPr>
        <w:ind w:left="540" w:right="1780"/>
        <w:spacing w:after="0" w:line="263" w:lineRule="auto"/>
        <w:rPr>
          <w:sz w:val="20"/>
          <w:szCs w:val="20"/>
          <w:color w:val="auto"/>
        </w:rPr>
      </w:pPr>
      <w:r>
        <w:rPr>
          <w:rFonts w:ascii="Arial" w:cs="Arial" w:eastAsia="Arial" w:hAnsi="Arial"/>
          <w:sz w:val="17"/>
          <w:szCs w:val="17"/>
          <w:b w:val="1"/>
          <w:bCs w:val="1"/>
          <w:i w:val="1"/>
          <w:iCs w:val="1"/>
          <w:color w:val="auto"/>
        </w:rPr>
        <w:t>TEXAS INSTRUMENTS INCORPORATED ATTN: JANE NAHRA P.O. BOX 655474</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MS 3999</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DALLAS, TX 75265-5474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For registered shares, your proxy must be received by 11:59 P.M.</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(Eastern time) on </w:t>
      </w:r>
      <w:r>
        <w:rPr>
          <w:rFonts w:ascii="Arial" w:cs="Arial" w:eastAsia="Arial" w:hAnsi="Arial"/>
          <w:sz w:val="13"/>
          <w:szCs w:val="13"/>
          <w:b w:val="1"/>
          <w:bCs w:val="1"/>
          <w:i w:val="1"/>
          <w:iCs w:val="1"/>
          <w:color w:val="auto"/>
        </w:rPr>
        <w:t>April 15, 2015.</w:t>
      </w:r>
    </w:p>
    <w:p>
      <w:pPr>
        <w:spacing w:after="0" w:line="191" w:lineRule="exact"/>
        <w:rPr>
          <w:sz w:val="20"/>
          <w:szCs w:val="20"/>
          <w:color w:val="auto"/>
        </w:rPr>
      </w:pPr>
    </w:p>
    <w:p>
      <w:pPr>
        <w:jc w:val="both"/>
        <w:ind w:right="560"/>
        <w:spacing w:after="0" w:line="272" w:lineRule="auto"/>
        <w:rPr>
          <w:sz w:val="20"/>
          <w:szCs w:val="20"/>
          <w:color w:val="auto"/>
        </w:rPr>
      </w:pPr>
      <w:r>
        <w:rPr>
          <w:rFonts w:ascii="Arial" w:cs="Arial" w:eastAsia="Arial" w:hAnsi="Arial"/>
          <w:sz w:val="13"/>
          <w:szCs w:val="13"/>
          <w:b w:val="1"/>
          <w:bCs w:val="1"/>
          <w:color w:val="auto"/>
        </w:rPr>
        <w:t xml:space="preserve">For shares allocable to a benefit plan account, your proxy must be received by 11:59 P.M. (Eastern time) on </w:t>
      </w:r>
      <w:r>
        <w:rPr>
          <w:rFonts w:ascii="Arial" w:cs="Arial" w:eastAsia="Arial" w:hAnsi="Arial"/>
          <w:sz w:val="13"/>
          <w:szCs w:val="13"/>
          <w:b w:val="1"/>
          <w:bCs w:val="1"/>
          <w:i w:val="1"/>
          <w:iCs w:val="1"/>
          <w:color w:val="auto"/>
        </w:rPr>
        <w:t>April 13, 2015</w:t>
      </w:r>
      <w:r>
        <w:rPr>
          <w:rFonts w:ascii="Arial" w:cs="Arial" w:eastAsia="Arial" w:hAnsi="Arial"/>
          <w:sz w:val="13"/>
          <w:szCs w:val="13"/>
          <w:b w:val="1"/>
          <w:bCs w:val="1"/>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12" w:lineRule="exact"/>
        <w:rPr>
          <w:sz w:val="20"/>
          <w:szCs w:val="20"/>
          <w:color w:val="auto"/>
        </w:rPr>
      </w:pPr>
    </w:p>
    <w:p>
      <w:pPr>
        <w:jc w:val="both"/>
        <w:ind w:right="540"/>
        <w:spacing w:after="0" w:line="238"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the applicable cut-off date and time above. Have your proxy card in hand when you access the web site and follow the instructions to obtain your records and to create an electronic voting instruction form.</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12" w:lineRule="exact"/>
        <w:rPr>
          <w:sz w:val="20"/>
          <w:szCs w:val="20"/>
          <w:color w:val="auto"/>
        </w:rPr>
      </w:pPr>
    </w:p>
    <w:p>
      <w:pPr>
        <w:jc w:val="both"/>
        <w:ind w:right="540"/>
        <w:spacing w:after="0" w:line="236"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12" w:lineRule="exact"/>
        <w:rPr>
          <w:sz w:val="20"/>
          <w:szCs w:val="20"/>
          <w:color w:val="auto"/>
        </w:rPr>
      </w:pPr>
    </w:p>
    <w:p>
      <w:pPr>
        <w:jc w:val="both"/>
        <w:ind w:right="560"/>
        <w:spacing w:after="0" w:line="239" w:lineRule="auto"/>
        <w:rPr>
          <w:sz w:val="20"/>
          <w:szCs w:val="20"/>
          <w:color w:val="auto"/>
        </w:rPr>
      </w:pPr>
      <w:r>
        <w:rPr>
          <w:rFonts w:ascii="Arial" w:cs="Arial" w:eastAsia="Arial" w:hAnsi="Arial"/>
          <w:sz w:val="13"/>
          <w:szCs w:val="13"/>
          <w:color w:val="auto"/>
        </w:rPr>
        <w:t>Use any touch-tone telephone to transmit your voting instructions until the applicable cut-off date and time above. Have your proxy card in hand when you call and then follow the instructions.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12" w:lineRule="exact"/>
        <w:rPr>
          <w:sz w:val="20"/>
          <w:szCs w:val="20"/>
          <w:color w:val="auto"/>
        </w:rPr>
      </w:pPr>
    </w:p>
    <w:p>
      <w:pPr>
        <w:jc w:val="both"/>
        <w:ind w:right="540"/>
        <w:spacing w:after="0" w:line="238"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 so that it is received by the applicable date and time above.</w:t>
      </w:r>
    </w:p>
    <w:p>
      <w:pPr>
        <w:spacing w:after="0" w:line="200" w:lineRule="exact"/>
        <w:rPr>
          <w:sz w:val="20"/>
          <w:szCs w:val="20"/>
          <w:color w:val="auto"/>
        </w:rPr>
      </w:pPr>
    </w:p>
    <w:p>
      <w:pPr>
        <w:sectPr>
          <w:pgSz w:w="11900" w:h="16838" w:orient="portrait"/>
          <w:cols w:equalWidth="0" w:num="2">
            <w:col w:w="5600" w:space="720"/>
            <w:col w:w="5120"/>
          </w:cols>
          <w:pgMar w:left="240" w:top="81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40" w:type="dxa"/>
            <w:vAlign w:val="bottom"/>
            <w:gridSpan w:val="7"/>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vMerge w:val="restart"/>
          </w:tcPr>
          <w:p>
            <w:pPr>
              <w:ind w:left="1620"/>
              <w:spacing w:after="0"/>
              <w:rPr>
                <w:sz w:val="20"/>
                <w:szCs w:val="20"/>
                <w:color w:val="auto"/>
              </w:rPr>
            </w:pPr>
            <w:r>
              <w:rPr>
                <w:rFonts w:ascii="Arial" w:cs="Arial" w:eastAsia="Arial" w:hAnsi="Arial"/>
                <w:sz w:val="13"/>
                <w:szCs w:val="13"/>
                <w:color w:val="auto"/>
              </w:rPr>
              <w:t>M82127-P59162</w:t>
            </w:r>
          </w:p>
        </w:tc>
        <w:tc>
          <w:tcPr>
            <w:tcW w:w="3260" w:type="dxa"/>
            <w:vAlign w:val="bottom"/>
            <w:gridSpan w:val="8"/>
            <w:vMerge w:val="restart"/>
          </w:tcPr>
          <w:p>
            <w:pPr>
              <w:jc w:val="center"/>
              <w:ind w:left="394"/>
              <w:spacing w:after="0"/>
              <w:rPr>
                <w:sz w:val="20"/>
                <w:szCs w:val="20"/>
                <w:color w:val="auto"/>
              </w:rPr>
            </w:pPr>
            <w:r>
              <w:rPr>
                <w:rFonts w:ascii="Arial" w:cs="Arial" w:eastAsia="Arial" w:hAnsi="Arial"/>
                <w:sz w:val="13"/>
                <w:szCs w:val="13"/>
                <w:color w:val="auto"/>
              </w:rPr>
              <w:t>KEEP THIS PORTION FOR YOUR RECORDS</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326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4660" w:type="dxa"/>
            <w:vAlign w:val="bottom"/>
            <w:gridSpan w:val="6"/>
            <w:vMerge w:val="restart"/>
          </w:tcPr>
          <w:p>
            <w:pPr>
              <w:ind w:left="180"/>
              <w:spacing w:after="0"/>
              <w:rPr>
                <w:sz w:val="20"/>
                <w:szCs w:val="20"/>
                <w:color w:val="auto"/>
              </w:rPr>
            </w:pPr>
            <w:r>
              <w:rPr>
                <w:rFonts w:ascii="Arial" w:cs="Arial" w:eastAsia="Arial" w:hAnsi="Arial"/>
                <w:sz w:val="13"/>
                <w:szCs w:val="13"/>
                <w:b w:val="1"/>
                <w:bCs w:val="1"/>
                <w:color w:val="auto"/>
              </w:rPr>
              <w:t>THIS PROXY CARD IS VALID ONLY WHEN SIGNED AND DATED.</w:t>
            </w:r>
          </w:p>
        </w:tc>
        <w:tc>
          <w:tcPr>
            <w:tcW w:w="3260" w:type="dxa"/>
            <w:vAlign w:val="bottom"/>
            <w:gridSpan w:val="8"/>
          </w:tcPr>
          <w:p>
            <w:pPr>
              <w:jc w:val="center"/>
              <w:ind w:left="354"/>
              <w:spacing w:after="0"/>
              <w:rPr>
                <w:sz w:val="20"/>
                <w:szCs w:val="20"/>
                <w:color w:val="auto"/>
              </w:rPr>
            </w:pPr>
            <w:r>
              <w:rPr>
                <w:rFonts w:ascii="Arial" w:cs="Arial" w:eastAsia="Arial" w:hAnsi="Arial"/>
                <w:sz w:val="13"/>
                <w:szCs w:val="13"/>
                <w:color w:val="auto"/>
              </w:rPr>
              <w:t>DETACH AND RETURN THIS PORTION ONLY</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tcPr>
          <w:p>
            <w:pPr>
              <w:spacing w:after="0"/>
              <w:rPr>
                <w:sz w:val="12"/>
                <w:szCs w:val="12"/>
                <w:color w:val="auto"/>
              </w:rPr>
            </w:pPr>
          </w:p>
        </w:tc>
        <w:tc>
          <w:tcPr>
            <w:tcW w:w="4660" w:type="dxa"/>
            <w:vAlign w:val="bottom"/>
            <w:tcBorders>
              <w:bottom w:val="single" w:sz="8" w:color="auto"/>
            </w:tcBorders>
            <w:gridSpan w:val="6"/>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40" w:type="dxa"/>
            <w:vAlign w:val="bottom"/>
            <w:tcBorders>
              <w:right w:val="single" w:sz="8" w:color="auto"/>
            </w:tcBorders>
          </w:tcPr>
          <w:p>
            <w:pPr>
              <w:spacing w:after="0"/>
              <w:rPr>
                <w:sz w:val="8"/>
                <w:szCs w:val="8"/>
                <w:color w:val="auto"/>
              </w:rPr>
            </w:pPr>
          </w:p>
        </w:tc>
        <w:tc>
          <w:tcPr>
            <w:tcW w:w="34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TEXAS INSTRUMENTS INCORPORATED</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3480" w:type="dxa"/>
            <w:vAlign w:val="bottom"/>
            <w:gridSpan w:val="3"/>
            <w:vMerge w:val="continue"/>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40" w:type="dxa"/>
            <w:vAlign w:val="bottom"/>
            <w:tcBorders>
              <w:right w:val="single" w:sz="8" w:color="auto"/>
            </w:tcBorders>
          </w:tcPr>
          <w:p>
            <w:pPr>
              <w:spacing w:after="0"/>
              <w:rPr>
                <w:sz w:val="12"/>
                <w:szCs w:val="12"/>
                <w:color w:val="auto"/>
              </w:rPr>
            </w:pPr>
          </w:p>
        </w:tc>
        <w:tc>
          <w:tcPr>
            <w:tcW w:w="4360" w:type="dxa"/>
            <w:vAlign w:val="bottom"/>
            <w:gridSpan w:val="5"/>
          </w:tcPr>
          <w:p>
            <w:pPr>
              <w:ind w:left="160"/>
              <w:spacing w:after="0" w:line="146" w:lineRule="exact"/>
              <w:rPr>
                <w:sz w:val="20"/>
                <w:szCs w:val="20"/>
                <w:color w:val="auto"/>
              </w:rPr>
            </w:pPr>
            <w:r>
              <w:rPr>
                <w:rFonts w:ascii="Arial" w:cs="Arial" w:eastAsia="Arial" w:hAnsi="Arial"/>
                <w:sz w:val="13"/>
                <w:szCs w:val="13"/>
                <w:color w:val="auto"/>
              </w:rPr>
              <w:t xml:space="preserve">The board of directors recommends you vote </w:t>
            </w:r>
            <w:r>
              <w:rPr>
                <w:rFonts w:ascii="Arial" w:cs="Arial" w:eastAsia="Arial" w:hAnsi="Arial"/>
                <w:sz w:val="13"/>
                <w:szCs w:val="13"/>
                <w:b w:val="1"/>
                <w:bCs w:val="1"/>
                <w:color w:val="auto"/>
              </w:rPr>
              <w:t>FOR</w:t>
            </w:r>
            <w:r>
              <w:rPr>
                <w:rFonts w:ascii="Arial" w:cs="Arial" w:eastAsia="Arial" w:hAnsi="Arial"/>
                <w:sz w:val="13"/>
                <w:szCs w:val="13"/>
                <w:color w:val="auto"/>
              </w:rPr>
              <w:t xml:space="preserve"> each of the</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right w:val="single" w:sz="8" w:color="auto"/>
            </w:tcBorders>
          </w:tcPr>
          <w:p>
            <w:pPr>
              <w:spacing w:after="0"/>
              <w:rPr>
                <w:sz w:val="15"/>
                <w:szCs w:val="15"/>
                <w:color w:val="auto"/>
              </w:rPr>
            </w:pPr>
          </w:p>
        </w:tc>
        <w:tc>
          <w:tcPr>
            <w:tcW w:w="3480" w:type="dxa"/>
            <w:vAlign w:val="bottom"/>
            <w:gridSpan w:val="3"/>
          </w:tcPr>
          <w:p>
            <w:pPr>
              <w:ind w:left="160"/>
              <w:spacing w:after="0"/>
              <w:rPr>
                <w:sz w:val="20"/>
                <w:szCs w:val="20"/>
                <w:color w:val="auto"/>
              </w:rPr>
            </w:pPr>
            <w:r>
              <w:rPr>
                <w:rFonts w:ascii="Arial" w:cs="Arial" w:eastAsia="Arial" w:hAnsi="Arial"/>
                <w:sz w:val="13"/>
                <w:szCs w:val="13"/>
                <w:color w:val="auto"/>
              </w:rPr>
              <w:t xml:space="preserve">nominees for director and </w:t>
            </w:r>
            <w:r>
              <w:rPr>
                <w:rFonts w:ascii="Arial" w:cs="Arial" w:eastAsia="Arial" w:hAnsi="Arial"/>
                <w:sz w:val="13"/>
                <w:szCs w:val="13"/>
                <w:b w:val="1"/>
                <w:bCs w:val="1"/>
                <w:color w:val="auto"/>
              </w:rPr>
              <w:t>FOR</w:t>
            </w:r>
            <w:r>
              <w:rPr>
                <w:rFonts w:ascii="Arial" w:cs="Arial" w:eastAsia="Arial" w:hAnsi="Arial"/>
                <w:sz w:val="13"/>
                <w:szCs w:val="13"/>
                <w:color w:val="auto"/>
              </w:rPr>
              <w:t xml:space="preserve"> Proposals 2 and 3.</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0" w:type="dxa"/>
            <w:vAlign w:val="bottom"/>
            <w:tcBorders>
              <w:right w:val="single" w:sz="8" w:color="auto"/>
            </w:tcBorders>
          </w:tcPr>
          <w:p>
            <w:pPr>
              <w:spacing w:after="0"/>
              <w:rPr>
                <w:sz w:val="8"/>
                <w:szCs w:val="8"/>
                <w:color w:val="auto"/>
              </w:rPr>
            </w:pPr>
          </w:p>
        </w:tc>
        <w:tc>
          <w:tcPr>
            <w:tcW w:w="348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rPr>
              <w:t>Vote on Directors</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0" w:type="dxa"/>
            <w:vAlign w:val="bottom"/>
            <w:tcBorders>
              <w:right w:val="single" w:sz="8" w:color="auto"/>
            </w:tcBorders>
          </w:tcPr>
          <w:p>
            <w:pPr>
              <w:spacing w:after="0"/>
              <w:rPr>
                <w:sz w:val="10"/>
                <w:szCs w:val="10"/>
                <w:color w:val="auto"/>
              </w:rPr>
            </w:pPr>
          </w:p>
        </w:tc>
        <w:tc>
          <w:tcPr>
            <w:tcW w:w="348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40" w:type="dxa"/>
            <w:vAlign w:val="bottom"/>
            <w:tcBorders>
              <w:right w:val="single" w:sz="8" w:color="auto"/>
            </w:tcBorders>
          </w:tcPr>
          <w:p>
            <w:pPr>
              <w:spacing w:after="0"/>
              <w:rPr>
                <w:sz w:val="18"/>
                <w:szCs w:val="18"/>
                <w:color w:val="auto"/>
              </w:rPr>
            </w:pPr>
          </w:p>
        </w:tc>
        <w:tc>
          <w:tcPr>
            <w:tcW w:w="3480" w:type="dxa"/>
            <w:vAlign w:val="bottom"/>
            <w:gridSpan w:val="3"/>
          </w:tcPr>
          <w:p>
            <w:pPr>
              <w:ind w:left="160"/>
              <w:spacing w:after="0"/>
              <w:rPr>
                <w:sz w:val="20"/>
                <w:szCs w:val="20"/>
                <w:color w:val="auto"/>
              </w:rPr>
            </w:pPr>
            <w:r>
              <w:rPr>
                <w:rFonts w:ascii="Arial" w:cs="Arial" w:eastAsia="Arial" w:hAnsi="Arial"/>
                <w:sz w:val="13"/>
                <w:szCs w:val="13"/>
                <w:color w:val="auto"/>
              </w:rPr>
              <w:t>1.  Election of Directors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40" w:type="dxa"/>
            <w:vAlign w:val="bottom"/>
            <w:gridSpan w:val="2"/>
          </w:tcPr>
          <w:p>
            <w:pPr>
              <w:ind w:left="160"/>
              <w:spacing w:after="0"/>
              <w:rPr>
                <w:sz w:val="20"/>
                <w:szCs w:val="20"/>
                <w:color w:val="auto"/>
              </w:rPr>
            </w:pPr>
            <w:r>
              <w:rPr>
                <w:rFonts w:ascii="Arial" w:cs="Arial" w:eastAsia="Arial" w:hAnsi="Arial"/>
                <w:sz w:val="13"/>
                <w:szCs w:val="13"/>
                <w:b w:val="1"/>
                <w:bCs w:val="1"/>
                <w:color w:val="auto"/>
              </w:rPr>
              <w:t>Nominees:</w:t>
            </w:r>
          </w:p>
        </w:tc>
        <w:tc>
          <w:tcPr>
            <w:tcW w:w="880" w:type="dxa"/>
            <w:vAlign w:val="bottom"/>
            <w:gridSpan w:val="2"/>
          </w:tcPr>
          <w:p>
            <w:pPr>
              <w:jc w:val="center"/>
              <w:ind w:left="398"/>
              <w:spacing w:after="0"/>
              <w:rPr>
                <w:sz w:val="20"/>
                <w:szCs w:val="20"/>
                <w:color w:val="auto"/>
              </w:rPr>
            </w:pPr>
            <w:r>
              <w:rPr>
                <w:rFonts w:ascii="Arial" w:cs="Arial" w:eastAsia="Arial" w:hAnsi="Arial"/>
                <w:sz w:val="13"/>
                <w:szCs w:val="13"/>
                <w:b w:val="1"/>
                <w:bCs w:val="1"/>
                <w:color w:val="auto"/>
                <w:w w:val="95"/>
              </w:rPr>
              <w:t>For</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3140" w:type="dxa"/>
            <w:vAlign w:val="bottom"/>
            <w:gridSpan w:val="3"/>
          </w:tcPr>
          <w:p>
            <w:pPr>
              <w:jc w:val="center"/>
              <w:ind w:right="2514"/>
              <w:spacing w:after="0"/>
              <w:rPr>
                <w:sz w:val="20"/>
                <w:szCs w:val="20"/>
                <w:color w:val="auto"/>
              </w:rPr>
            </w:pPr>
            <w:r>
              <w:rPr>
                <w:rFonts w:ascii="Arial" w:cs="Arial" w:eastAsia="Arial" w:hAnsi="Arial"/>
                <w:sz w:val="13"/>
                <w:szCs w:val="13"/>
                <w:b w:val="1"/>
                <w:bCs w:val="1"/>
                <w:color w:val="auto"/>
              </w:rPr>
              <w:t>Abstain</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3"/>
                <w:szCs w:val="13"/>
                <w:color w:val="auto"/>
              </w:rPr>
              <w:t>1a.</w:t>
            </w:r>
          </w:p>
        </w:tc>
        <w:tc>
          <w:tcPr>
            <w:tcW w:w="2840" w:type="dxa"/>
            <w:vAlign w:val="bottom"/>
          </w:tcPr>
          <w:p>
            <w:pPr>
              <w:ind w:left="60"/>
              <w:spacing w:after="0"/>
              <w:rPr>
                <w:sz w:val="20"/>
                <w:szCs w:val="20"/>
                <w:color w:val="auto"/>
              </w:rPr>
            </w:pPr>
            <w:r>
              <w:rPr>
                <w:rFonts w:ascii="Arial" w:cs="Arial" w:eastAsia="Arial" w:hAnsi="Arial"/>
                <w:sz w:val="13"/>
                <w:szCs w:val="13"/>
                <w:color w:val="auto"/>
              </w:rPr>
              <w:t>R. W. Babb, Jr.</w:t>
            </w:r>
          </w:p>
        </w:tc>
        <w:tc>
          <w:tcPr>
            <w:tcW w:w="880" w:type="dxa"/>
            <w:vAlign w:val="bottom"/>
            <w:gridSpan w:val="2"/>
          </w:tcPr>
          <w:p>
            <w:pPr>
              <w:jc w:val="center"/>
              <w:ind w:left="398"/>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gridSpan w:val="2"/>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2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For</w:t>
            </w:r>
          </w:p>
        </w:tc>
        <w:tc>
          <w:tcPr>
            <w:tcW w:w="5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Against</w:t>
            </w:r>
          </w:p>
        </w:tc>
        <w:tc>
          <w:tcPr>
            <w:tcW w:w="680" w:type="dxa"/>
            <w:vAlign w:val="bottom"/>
            <w:tcBorders>
              <w:right w:val="single" w:sz="8" w:color="auto"/>
            </w:tcBorders>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Abstain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4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40" w:type="dxa"/>
            <w:vAlign w:val="bottom"/>
          </w:tcPr>
          <w:p>
            <w:pPr>
              <w:spacing w:after="0"/>
              <w:rPr>
                <w:sz w:val="6"/>
                <w:szCs w:val="6"/>
                <w:color w:val="auto"/>
              </w:rPr>
            </w:pPr>
          </w:p>
        </w:tc>
        <w:tc>
          <w:tcPr>
            <w:tcW w:w="880" w:type="dxa"/>
            <w:vAlign w:val="bottom"/>
            <w:gridSpan w:val="2"/>
            <w:vMerge w:val="restart"/>
          </w:tcPr>
          <w:p>
            <w:pPr>
              <w:jc w:val="center"/>
              <w:ind w:left="398"/>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gridSpan w:val="2"/>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2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80" w:type="dxa"/>
            <w:vAlign w:val="bottom"/>
            <w:tcBorders>
              <w:right w:val="single" w:sz="8" w:color="auto"/>
            </w:tcBorders>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2"/>
        </w:trPr>
        <w:tc>
          <w:tcPr>
            <w:tcW w:w="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3"/>
                <w:szCs w:val="13"/>
                <w:color w:val="auto"/>
              </w:rPr>
              <w:t>1b.</w:t>
            </w:r>
          </w:p>
        </w:tc>
        <w:tc>
          <w:tcPr>
            <w:tcW w:w="2840" w:type="dxa"/>
            <w:vAlign w:val="bottom"/>
          </w:tcPr>
          <w:p>
            <w:pPr>
              <w:ind w:left="60"/>
              <w:spacing w:after="0"/>
              <w:rPr>
                <w:sz w:val="20"/>
                <w:szCs w:val="20"/>
                <w:color w:val="auto"/>
              </w:rPr>
            </w:pPr>
            <w:r>
              <w:rPr>
                <w:rFonts w:ascii="Arial" w:cs="Arial" w:eastAsia="Arial" w:hAnsi="Arial"/>
                <w:sz w:val="13"/>
                <w:szCs w:val="13"/>
                <w:color w:val="auto"/>
              </w:rPr>
              <w:t>M. A. Blinn</w:t>
            </w:r>
          </w:p>
        </w:tc>
        <w:tc>
          <w:tcPr>
            <w:tcW w:w="880" w:type="dxa"/>
            <w:vAlign w:val="bottom"/>
            <w:gridSpan w:val="2"/>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4300" w:type="dxa"/>
            <w:vAlign w:val="bottom"/>
            <w:gridSpan w:val="4"/>
          </w:tcPr>
          <w:p>
            <w:pPr>
              <w:ind w:left="260"/>
              <w:spacing w:after="0"/>
              <w:rPr>
                <w:sz w:val="20"/>
                <w:szCs w:val="20"/>
                <w:color w:val="auto"/>
              </w:rPr>
            </w:pPr>
            <w:r>
              <w:rPr>
                <w:rFonts w:ascii="Arial" w:cs="Arial" w:eastAsia="Arial" w:hAnsi="Arial"/>
                <w:sz w:val="13"/>
                <w:szCs w:val="13"/>
                <w:color w:val="auto"/>
              </w:rPr>
              <w:t>2.  Board proposal regarding advisory approval of the Company’s</w:t>
            </w:r>
          </w:p>
        </w:tc>
        <w:tc>
          <w:tcPr>
            <w:tcW w:w="3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5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680" w:type="dxa"/>
            <w:vAlign w:val="bottom"/>
            <w:tcBorders>
              <w:right w:val="single" w:sz="8" w:color="auto"/>
            </w:tcBorders>
            <w:gridSpan w:val="2"/>
          </w:tcPr>
          <w:p>
            <w:pPr>
              <w:jc w:val="center"/>
              <w:ind w:right="120"/>
              <w:spacing w:after="0" w:line="171" w:lineRule="exact"/>
              <w:rPr>
                <w:sz w:val="20"/>
                <w:szCs w:val="20"/>
                <w:color w:val="auto"/>
              </w:rPr>
            </w:pPr>
            <w:r>
              <w:rPr>
                <w:rFonts w:ascii="MS PGothic" w:cs="MS PGothic" w:eastAsia="MS PGothic" w:hAnsi="MS PGothic"/>
                <w:sz w:val="17"/>
                <w:szCs w:val="17"/>
                <w:color w:val="auto"/>
                <w:w w:val="93"/>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vMerge w:val="restart"/>
          </w:tcPr>
          <w:p>
            <w:pPr>
              <w:ind w:left="160"/>
              <w:spacing w:after="0"/>
              <w:rPr>
                <w:sz w:val="20"/>
                <w:szCs w:val="20"/>
                <w:color w:val="auto"/>
              </w:rPr>
            </w:pPr>
            <w:r>
              <w:rPr>
                <w:rFonts w:ascii="Arial" w:cs="Arial" w:eastAsia="Arial" w:hAnsi="Arial"/>
                <w:sz w:val="13"/>
                <w:szCs w:val="13"/>
                <w:color w:val="auto"/>
              </w:rPr>
              <w:t>1c.</w:t>
            </w:r>
          </w:p>
        </w:tc>
        <w:tc>
          <w:tcPr>
            <w:tcW w:w="2840" w:type="dxa"/>
            <w:vAlign w:val="bottom"/>
            <w:vMerge w:val="restart"/>
          </w:tcPr>
          <w:p>
            <w:pPr>
              <w:ind w:left="60"/>
              <w:spacing w:after="0"/>
              <w:rPr>
                <w:sz w:val="20"/>
                <w:szCs w:val="20"/>
                <w:color w:val="auto"/>
              </w:rPr>
            </w:pPr>
            <w:r>
              <w:rPr>
                <w:rFonts w:ascii="Arial" w:cs="Arial" w:eastAsia="Arial" w:hAnsi="Arial"/>
                <w:sz w:val="13"/>
                <w:szCs w:val="13"/>
                <w:color w:val="auto"/>
              </w:rPr>
              <w:t>D. A. Carp</w:t>
            </w:r>
          </w:p>
        </w:tc>
        <w:tc>
          <w:tcPr>
            <w:tcW w:w="880" w:type="dxa"/>
            <w:vAlign w:val="bottom"/>
            <w:gridSpan w:val="2"/>
            <w:vMerge w:val="restart"/>
          </w:tcPr>
          <w:p>
            <w:pPr>
              <w:jc w:val="center"/>
              <w:ind w:left="398"/>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gridSpan w:val="2"/>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2620" w:type="dxa"/>
            <w:vAlign w:val="bottom"/>
          </w:tcPr>
          <w:p>
            <w:pPr>
              <w:ind w:left="500"/>
              <w:spacing w:after="0"/>
              <w:rPr>
                <w:sz w:val="20"/>
                <w:szCs w:val="20"/>
                <w:color w:val="auto"/>
              </w:rPr>
            </w:pPr>
            <w:r>
              <w:rPr>
                <w:rFonts w:ascii="Arial" w:cs="Arial" w:eastAsia="Arial" w:hAnsi="Arial"/>
                <w:sz w:val="13"/>
                <w:szCs w:val="13"/>
                <w:color w:val="auto"/>
              </w:rPr>
              <w:t>executive compensation.</w:t>
            </w: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284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4300" w:type="dxa"/>
            <w:vAlign w:val="bottom"/>
            <w:gridSpan w:val="4"/>
            <w:vMerge w:val="restart"/>
          </w:tcPr>
          <w:p>
            <w:pPr>
              <w:ind w:left="260"/>
              <w:spacing w:after="0"/>
              <w:rPr>
                <w:sz w:val="20"/>
                <w:szCs w:val="20"/>
                <w:color w:val="auto"/>
              </w:rPr>
            </w:pPr>
            <w:r>
              <w:rPr>
                <w:rFonts w:ascii="Arial" w:cs="Arial" w:eastAsia="Arial" w:hAnsi="Arial"/>
                <w:sz w:val="13"/>
                <w:szCs w:val="13"/>
                <w:color w:val="auto"/>
              </w:rPr>
              <w:t>3.  Board proposal to ratify the appointment of Ernst &amp; Young LLP</w:t>
            </w:r>
          </w:p>
        </w:tc>
        <w:tc>
          <w:tcPr>
            <w:tcW w:w="32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56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680" w:type="dxa"/>
            <w:vAlign w:val="bottom"/>
            <w:tcBorders>
              <w:right w:val="single" w:sz="8" w:color="auto"/>
            </w:tcBorders>
            <w:gridSpan w:val="2"/>
            <w:vMerge w:val="restart"/>
          </w:tcPr>
          <w:p>
            <w:pPr>
              <w:jc w:val="center"/>
              <w:ind w:right="120"/>
              <w:spacing w:after="0" w:line="171" w:lineRule="exact"/>
              <w:rPr>
                <w:sz w:val="20"/>
                <w:szCs w:val="20"/>
                <w:color w:val="auto"/>
              </w:rPr>
            </w:pPr>
            <w:r>
              <w:rPr>
                <w:rFonts w:ascii="MS PGothic" w:cs="MS PGothic" w:eastAsia="MS PGothic" w:hAnsi="MS PGothic"/>
                <w:sz w:val="17"/>
                <w:szCs w:val="17"/>
                <w:color w:val="auto"/>
                <w:w w:val="93"/>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4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880" w:type="dxa"/>
            <w:vAlign w:val="bottom"/>
            <w:gridSpan w:val="2"/>
            <w:vMerge w:val="restart"/>
          </w:tcPr>
          <w:p>
            <w:pPr>
              <w:jc w:val="center"/>
              <w:ind w:left="398"/>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gridSpan w:val="2"/>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4300" w:type="dxa"/>
            <w:vAlign w:val="bottom"/>
            <w:gridSpan w:val="4"/>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tcBorders>
              <w:right w:val="single" w:sz="8" w:color="auto"/>
            </w:tcBorders>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3"/>
                <w:szCs w:val="13"/>
                <w:color w:val="auto"/>
              </w:rPr>
              <w:t>1d.</w:t>
            </w:r>
          </w:p>
        </w:tc>
        <w:tc>
          <w:tcPr>
            <w:tcW w:w="2840" w:type="dxa"/>
            <w:vAlign w:val="bottom"/>
            <w:vMerge w:val="restart"/>
          </w:tcPr>
          <w:p>
            <w:pPr>
              <w:ind w:left="60"/>
              <w:spacing w:after="0"/>
              <w:rPr>
                <w:sz w:val="20"/>
                <w:szCs w:val="20"/>
                <w:color w:val="auto"/>
              </w:rPr>
            </w:pPr>
            <w:r>
              <w:rPr>
                <w:rFonts w:ascii="Arial" w:cs="Arial" w:eastAsia="Arial" w:hAnsi="Arial"/>
                <w:sz w:val="13"/>
                <w:szCs w:val="13"/>
                <w:color w:val="auto"/>
              </w:rPr>
              <w:t>C. S. Cox</w:t>
            </w:r>
          </w:p>
        </w:tc>
        <w:tc>
          <w:tcPr>
            <w:tcW w:w="8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4300" w:type="dxa"/>
            <w:vAlign w:val="bottom"/>
            <w:gridSpan w:val="4"/>
          </w:tcPr>
          <w:p>
            <w:pPr>
              <w:ind w:left="500"/>
              <w:spacing w:after="0" w:line="146" w:lineRule="exact"/>
              <w:rPr>
                <w:sz w:val="20"/>
                <w:szCs w:val="20"/>
                <w:color w:val="auto"/>
              </w:rPr>
            </w:pPr>
            <w:r>
              <w:rPr>
                <w:rFonts w:ascii="Arial" w:cs="Arial" w:eastAsia="Arial" w:hAnsi="Arial"/>
                <w:sz w:val="13"/>
                <w:szCs w:val="13"/>
                <w:color w:val="auto"/>
              </w:rPr>
              <w:t>as the Company’s independent registered public accounting</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4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84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2620" w:type="dxa"/>
            <w:vAlign w:val="bottom"/>
            <w:vMerge w:val="restart"/>
          </w:tcPr>
          <w:p>
            <w:pPr>
              <w:ind w:left="500"/>
              <w:spacing w:after="0"/>
              <w:rPr>
                <w:sz w:val="20"/>
                <w:szCs w:val="20"/>
                <w:color w:val="auto"/>
              </w:rPr>
            </w:pPr>
            <w:r>
              <w:rPr>
                <w:rFonts w:ascii="Arial" w:cs="Arial" w:eastAsia="Arial" w:hAnsi="Arial"/>
                <w:sz w:val="13"/>
                <w:szCs w:val="13"/>
                <w:color w:val="auto"/>
              </w:rPr>
              <w:t>firm for 2015.</w:t>
            </w: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3"/>
                <w:szCs w:val="13"/>
                <w:color w:val="auto"/>
              </w:rPr>
              <w:t>1e.</w:t>
            </w:r>
          </w:p>
        </w:tc>
        <w:tc>
          <w:tcPr>
            <w:tcW w:w="2840" w:type="dxa"/>
            <w:vAlign w:val="bottom"/>
          </w:tcPr>
          <w:p>
            <w:pPr>
              <w:ind w:left="60"/>
              <w:spacing w:after="0"/>
              <w:rPr>
                <w:sz w:val="20"/>
                <w:szCs w:val="20"/>
                <w:color w:val="auto"/>
              </w:rPr>
            </w:pPr>
            <w:r>
              <w:rPr>
                <w:rFonts w:ascii="Arial" w:cs="Arial" w:eastAsia="Arial" w:hAnsi="Arial"/>
                <w:sz w:val="13"/>
                <w:szCs w:val="13"/>
                <w:color w:val="auto"/>
              </w:rPr>
              <w:t>R. Kirk</w:t>
            </w:r>
          </w:p>
        </w:tc>
        <w:tc>
          <w:tcPr>
            <w:tcW w:w="880" w:type="dxa"/>
            <w:vAlign w:val="bottom"/>
            <w:gridSpan w:val="2"/>
          </w:tcPr>
          <w:p>
            <w:pPr>
              <w:jc w:val="center"/>
              <w:ind w:left="398"/>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gridSpan w:val="2"/>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2620" w:type="dxa"/>
            <w:vAlign w:val="bottom"/>
          </w:tcPr>
          <w:p>
            <w:pPr>
              <w:ind w:left="260"/>
              <w:spacing w:after="0"/>
              <w:rPr>
                <w:sz w:val="20"/>
                <w:szCs w:val="20"/>
                <w:color w:val="auto"/>
              </w:rPr>
            </w:pPr>
            <w:r>
              <w:rPr>
                <w:rFonts w:ascii="Arial" w:cs="Arial" w:eastAsia="Arial" w:hAnsi="Arial"/>
                <w:sz w:val="13"/>
                <w:szCs w:val="13"/>
                <w:b w:val="1"/>
                <w:bCs w:val="1"/>
                <w:color w:val="auto"/>
              </w:rPr>
              <w:t>NOTE</w:t>
            </w:r>
            <w:r>
              <w:rPr>
                <w:rFonts w:ascii="Arial" w:cs="Arial" w:eastAsia="Arial" w:hAnsi="Arial"/>
                <w:sz w:val="13"/>
                <w:szCs w:val="13"/>
                <w:color w:val="auto"/>
              </w:rPr>
              <w:t>: Such other business as may</w:t>
            </w:r>
          </w:p>
        </w:tc>
        <w:tc>
          <w:tcPr>
            <w:tcW w:w="1680" w:type="dxa"/>
            <w:vAlign w:val="bottom"/>
            <w:gridSpan w:val="3"/>
          </w:tcPr>
          <w:p>
            <w:pPr>
              <w:ind w:left="40"/>
              <w:spacing w:after="0"/>
              <w:rPr>
                <w:sz w:val="20"/>
                <w:szCs w:val="20"/>
                <w:color w:val="auto"/>
              </w:rPr>
            </w:pPr>
            <w:r>
              <w:rPr>
                <w:rFonts w:ascii="Arial" w:cs="Arial" w:eastAsia="Arial" w:hAnsi="Arial"/>
                <w:sz w:val="13"/>
                <w:szCs w:val="13"/>
                <w:color w:val="auto"/>
              </w:rPr>
              <w:t>properly come before the</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vMerge w:val="restart"/>
          </w:tcPr>
          <w:p>
            <w:pPr>
              <w:ind w:left="160"/>
              <w:spacing w:after="0"/>
              <w:rPr>
                <w:sz w:val="20"/>
                <w:szCs w:val="20"/>
                <w:color w:val="auto"/>
              </w:rPr>
            </w:pPr>
            <w:r>
              <w:rPr>
                <w:rFonts w:ascii="Arial" w:cs="Arial" w:eastAsia="Arial" w:hAnsi="Arial"/>
                <w:sz w:val="13"/>
                <w:szCs w:val="13"/>
                <w:color w:val="auto"/>
              </w:rPr>
              <w:t>1f.</w:t>
            </w:r>
          </w:p>
        </w:tc>
        <w:tc>
          <w:tcPr>
            <w:tcW w:w="2840" w:type="dxa"/>
            <w:vAlign w:val="bottom"/>
            <w:vMerge w:val="restart"/>
          </w:tcPr>
          <w:p>
            <w:pPr>
              <w:ind w:left="60"/>
              <w:spacing w:after="0"/>
              <w:rPr>
                <w:sz w:val="20"/>
                <w:szCs w:val="20"/>
                <w:color w:val="auto"/>
              </w:rPr>
            </w:pPr>
            <w:r>
              <w:rPr>
                <w:rFonts w:ascii="Arial" w:cs="Arial" w:eastAsia="Arial" w:hAnsi="Arial"/>
                <w:sz w:val="13"/>
                <w:szCs w:val="13"/>
                <w:color w:val="auto"/>
              </w:rPr>
              <w:t>P. H. Patsley</w:t>
            </w:r>
          </w:p>
        </w:tc>
        <w:tc>
          <w:tcPr>
            <w:tcW w:w="880" w:type="dxa"/>
            <w:vAlign w:val="bottom"/>
            <w:gridSpan w:val="2"/>
            <w:vMerge w:val="restart"/>
          </w:tcPr>
          <w:p>
            <w:pPr>
              <w:jc w:val="center"/>
              <w:ind w:left="398"/>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gridSpan w:val="2"/>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2620" w:type="dxa"/>
            <w:vAlign w:val="bottom"/>
          </w:tcPr>
          <w:p>
            <w:pPr>
              <w:ind w:left="260"/>
              <w:spacing w:after="0"/>
              <w:rPr>
                <w:sz w:val="20"/>
                <w:szCs w:val="20"/>
                <w:color w:val="auto"/>
              </w:rPr>
            </w:pPr>
            <w:r>
              <w:rPr>
                <w:rFonts w:ascii="Arial" w:cs="Arial" w:eastAsia="Arial" w:hAnsi="Arial"/>
                <w:sz w:val="13"/>
                <w:szCs w:val="13"/>
                <w:color w:val="auto"/>
              </w:rPr>
              <w:t>meeting or any adjournment thereof.</w:t>
            </w: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284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2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3"/>
                <w:szCs w:val="13"/>
                <w:color w:val="auto"/>
              </w:rPr>
              <w:t>1g.</w:t>
            </w:r>
          </w:p>
        </w:tc>
        <w:tc>
          <w:tcPr>
            <w:tcW w:w="2840" w:type="dxa"/>
            <w:vAlign w:val="bottom"/>
          </w:tcPr>
          <w:p>
            <w:pPr>
              <w:ind w:left="60"/>
              <w:spacing w:after="0"/>
              <w:rPr>
                <w:sz w:val="20"/>
                <w:szCs w:val="20"/>
                <w:color w:val="auto"/>
              </w:rPr>
            </w:pPr>
            <w:r>
              <w:rPr>
                <w:rFonts w:ascii="Arial" w:cs="Arial" w:eastAsia="Arial" w:hAnsi="Arial"/>
                <w:sz w:val="13"/>
                <w:szCs w:val="13"/>
                <w:color w:val="auto"/>
              </w:rPr>
              <w:t>R. E. Sanchez</w:t>
            </w:r>
          </w:p>
        </w:tc>
        <w:tc>
          <w:tcPr>
            <w:tcW w:w="880" w:type="dxa"/>
            <w:vAlign w:val="bottom"/>
            <w:gridSpan w:val="2"/>
          </w:tcPr>
          <w:p>
            <w:pPr>
              <w:jc w:val="center"/>
              <w:ind w:left="398"/>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gridSpan w:val="2"/>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2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3"/>
                <w:szCs w:val="13"/>
                <w:color w:val="auto"/>
              </w:rPr>
              <w:t>1h.</w:t>
            </w:r>
          </w:p>
        </w:tc>
        <w:tc>
          <w:tcPr>
            <w:tcW w:w="2840" w:type="dxa"/>
            <w:vAlign w:val="bottom"/>
          </w:tcPr>
          <w:p>
            <w:pPr>
              <w:ind w:left="60"/>
              <w:spacing w:after="0"/>
              <w:rPr>
                <w:sz w:val="20"/>
                <w:szCs w:val="20"/>
                <w:color w:val="auto"/>
              </w:rPr>
            </w:pPr>
            <w:r>
              <w:rPr>
                <w:rFonts w:ascii="Arial" w:cs="Arial" w:eastAsia="Arial" w:hAnsi="Arial"/>
                <w:sz w:val="13"/>
                <w:szCs w:val="13"/>
                <w:color w:val="auto"/>
              </w:rPr>
              <w:t>W. R. Sanders</w:t>
            </w:r>
          </w:p>
        </w:tc>
        <w:tc>
          <w:tcPr>
            <w:tcW w:w="880" w:type="dxa"/>
            <w:vAlign w:val="bottom"/>
            <w:gridSpan w:val="2"/>
          </w:tcPr>
          <w:p>
            <w:pPr>
              <w:jc w:val="center"/>
              <w:ind w:left="398"/>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gridSpan w:val="2"/>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2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3"/>
                <w:szCs w:val="13"/>
                <w:color w:val="auto"/>
              </w:rPr>
              <w:t>1i.</w:t>
            </w:r>
          </w:p>
        </w:tc>
        <w:tc>
          <w:tcPr>
            <w:tcW w:w="2840" w:type="dxa"/>
            <w:vAlign w:val="bottom"/>
          </w:tcPr>
          <w:p>
            <w:pPr>
              <w:ind w:left="60"/>
              <w:spacing w:after="0"/>
              <w:rPr>
                <w:sz w:val="20"/>
                <w:szCs w:val="20"/>
                <w:color w:val="auto"/>
              </w:rPr>
            </w:pPr>
            <w:r>
              <w:rPr>
                <w:rFonts w:ascii="Arial" w:cs="Arial" w:eastAsia="Arial" w:hAnsi="Arial"/>
                <w:sz w:val="13"/>
                <w:szCs w:val="13"/>
                <w:color w:val="auto"/>
              </w:rPr>
              <w:t>R. J. Simmons</w:t>
            </w:r>
          </w:p>
        </w:tc>
        <w:tc>
          <w:tcPr>
            <w:tcW w:w="880" w:type="dxa"/>
            <w:vAlign w:val="bottom"/>
            <w:gridSpan w:val="2"/>
          </w:tcPr>
          <w:p>
            <w:pPr>
              <w:jc w:val="center"/>
              <w:ind w:left="398"/>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gridSpan w:val="2"/>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2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3"/>
                <w:szCs w:val="13"/>
                <w:color w:val="auto"/>
              </w:rPr>
              <w:t>1j.</w:t>
            </w:r>
          </w:p>
        </w:tc>
        <w:tc>
          <w:tcPr>
            <w:tcW w:w="2840" w:type="dxa"/>
            <w:vAlign w:val="bottom"/>
          </w:tcPr>
          <w:p>
            <w:pPr>
              <w:ind w:left="60"/>
              <w:spacing w:after="0"/>
              <w:rPr>
                <w:sz w:val="20"/>
                <w:szCs w:val="20"/>
                <w:color w:val="auto"/>
              </w:rPr>
            </w:pPr>
            <w:r>
              <w:rPr>
                <w:rFonts w:ascii="Arial" w:cs="Arial" w:eastAsia="Arial" w:hAnsi="Arial"/>
                <w:sz w:val="13"/>
                <w:szCs w:val="13"/>
                <w:color w:val="auto"/>
              </w:rPr>
              <w:t>R. K. Templeton</w:t>
            </w:r>
          </w:p>
        </w:tc>
        <w:tc>
          <w:tcPr>
            <w:tcW w:w="880" w:type="dxa"/>
            <w:vAlign w:val="bottom"/>
            <w:gridSpan w:val="2"/>
          </w:tcPr>
          <w:p>
            <w:pPr>
              <w:jc w:val="center"/>
              <w:ind w:left="398"/>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gridSpan w:val="2"/>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2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3"/>
                <w:szCs w:val="13"/>
                <w:color w:val="auto"/>
              </w:rPr>
              <w:t>1k.</w:t>
            </w:r>
          </w:p>
        </w:tc>
        <w:tc>
          <w:tcPr>
            <w:tcW w:w="2840" w:type="dxa"/>
            <w:vAlign w:val="bottom"/>
          </w:tcPr>
          <w:p>
            <w:pPr>
              <w:ind w:left="60"/>
              <w:spacing w:after="0"/>
              <w:rPr>
                <w:sz w:val="20"/>
                <w:szCs w:val="20"/>
                <w:color w:val="auto"/>
              </w:rPr>
            </w:pPr>
            <w:r>
              <w:rPr>
                <w:rFonts w:ascii="Arial" w:cs="Arial" w:eastAsia="Arial" w:hAnsi="Arial"/>
                <w:sz w:val="13"/>
                <w:szCs w:val="13"/>
                <w:color w:val="auto"/>
              </w:rPr>
              <w:t>C. T. Whitman</w:t>
            </w:r>
          </w:p>
        </w:tc>
        <w:tc>
          <w:tcPr>
            <w:tcW w:w="880" w:type="dxa"/>
            <w:vAlign w:val="bottom"/>
            <w:gridSpan w:val="2"/>
          </w:tcPr>
          <w:p>
            <w:pPr>
              <w:jc w:val="center"/>
              <w:ind w:left="398"/>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gridSpan w:val="2"/>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2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9580" w:type="dxa"/>
            <w:vAlign w:val="bottom"/>
            <w:gridSpan w:val="11"/>
          </w:tcPr>
          <w:p>
            <w:pPr>
              <w:spacing w:after="0"/>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w:t>
            </w: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5"/>
        </w:trPr>
        <w:tc>
          <w:tcPr>
            <w:tcW w:w="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580" w:type="dxa"/>
            <w:vAlign w:val="bottom"/>
            <w:gridSpan w:val="11"/>
          </w:tcPr>
          <w:p>
            <w:pPr>
              <w:spacing w:after="0" w:line="146" w:lineRule="exact"/>
              <w:rPr>
                <w:sz w:val="20"/>
                <w:szCs w:val="20"/>
                <w:color w:val="auto"/>
              </w:rPr>
            </w:pPr>
            <w:r>
              <w:rPr>
                <w:rFonts w:ascii="Arial" w:cs="Arial" w:eastAsia="Arial" w:hAnsi="Arial"/>
                <w:sz w:val="13"/>
                <w:szCs w:val="13"/>
                <w:color w:val="auto"/>
              </w:rPr>
              <w:t>Joint owners should each sign personally. All holders must sign. If a corporation or partnership, please sign in full corporate or partnership name by</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240" w:type="dxa"/>
            <w:vAlign w:val="bottom"/>
            <w:gridSpan w:val="2"/>
          </w:tcPr>
          <w:p>
            <w:pPr>
              <w:spacing w:after="0"/>
              <w:rPr>
                <w:sz w:val="20"/>
                <w:szCs w:val="20"/>
                <w:color w:val="auto"/>
              </w:rPr>
            </w:pPr>
            <w:r>
              <w:rPr>
                <w:rFonts w:ascii="Arial" w:cs="Arial" w:eastAsia="Arial" w:hAnsi="Arial"/>
                <w:sz w:val="13"/>
                <w:szCs w:val="13"/>
                <w:color w:val="auto"/>
              </w:rPr>
              <w:t>authorized officer.</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40" w:type="dxa"/>
            <w:vAlign w:val="bottom"/>
            <w:tcBorders>
              <w:bottom w:val="single" w:sz="8" w:color="auto"/>
            </w:tcBorders>
            <w:gridSpan w:val="2"/>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4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240" w:type="dxa"/>
            <w:vAlign w:val="bottom"/>
            <w:gridSpan w:val="2"/>
          </w:tcPr>
          <w:p>
            <w:pPr>
              <w:spacing w:after="0"/>
              <w:rPr>
                <w:sz w:val="20"/>
                <w:szCs w:val="20"/>
                <w:color w:val="auto"/>
              </w:rPr>
            </w:pPr>
            <w:r>
              <w:rPr>
                <w:rFonts w:ascii="Arial" w:cs="Arial" w:eastAsia="Arial" w:hAnsi="Arial"/>
                <w:sz w:val="13"/>
                <w:szCs w:val="13"/>
                <w:color w:val="auto"/>
              </w:rPr>
              <w:t>Signature [PLEASE SIGN WITHIN BOX]</w:t>
            </w:r>
          </w:p>
        </w:tc>
        <w:tc>
          <w:tcPr>
            <w:tcW w:w="680" w:type="dxa"/>
            <w:vAlign w:val="bottom"/>
          </w:tcPr>
          <w:p>
            <w:pPr>
              <w:spacing w:after="0"/>
              <w:rPr>
                <w:sz w:val="20"/>
                <w:szCs w:val="20"/>
                <w:color w:val="auto"/>
              </w:rPr>
            </w:pPr>
            <w:r>
              <w:rPr>
                <w:rFonts w:ascii="Arial" w:cs="Arial" w:eastAsia="Arial" w:hAnsi="Arial"/>
                <w:sz w:val="13"/>
                <w:szCs w:val="13"/>
                <w:color w:val="auto"/>
              </w:rPr>
              <w:t>Date</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tcPr>
          <w:p>
            <w:pPr>
              <w:spacing w:after="0"/>
              <w:rPr>
                <w:sz w:val="20"/>
                <w:szCs w:val="20"/>
                <w:color w:val="auto"/>
              </w:rPr>
            </w:pPr>
            <w:r>
              <w:rPr>
                <w:rFonts w:ascii="Arial" w:cs="Arial" w:eastAsia="Arial" w:hAnsi="Arial"/>
                <w:sz w:val="13"/>
                <w:szCs w:val="13"/>
                <w:color w:val="auto"/>
              </w:rPr>
              <w:t>Signature (Joint Owners)</w:t>
            </w:r>
          </w:p>
        </w:tc>
        <w:tc>
          <w:tcPr>
            <w:tcW w:w="60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Date</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40" w:type="dxa"/>
            <w:vAlign w:val="bottom"/>
            <w:tcBorders>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3"/>
        </w:trPr>
        <w:tc>
          <w:tcPr>
            <w:tcW w:w="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5415915</wp:posOffset>
            </wp:positionH>
            <wp:positionV relativeFrom="paragraph">
              <wp:posOffset>-4632960</wp:posOffset>
            </wp:positionV>
            <wp:extent cx="1837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37690" cy="8255"/>
                    </a:xfrm>
                    <a:prstGeom prst="rect">
                      <a:avLst/>
                    </a:prstGeom>
                    <a:noFill/>
                  </pic:spPr>
                </pic:pic>
              </a:graphicData>
            </a:graphic>
          </wp:anchor>
        </w:drawing>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810" w:right="219" w:bottom="1440" w:gutter="0" w:footer="0" w:header="0"/>
          <w:type w:val="continuous"/>
        </w:sectPr>
      </w:pPr>
    </w:p>
    <w:bookmarkStart w:id="51" w:name="page52"/>
    <w:bookmarkEnd w:id="51"/>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3176905</wp:posOffset>
            </wp:positionH>
            <wp:positionV relativeFrom="page">
              <wp:posOffset>374015</wp:posOffset>
            </wp:positionV>
            <wp:extent cx="1216660" cy="436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436245"/>
                    </a:xfrm>
                    <a:prstGeom prst="rect">
                      <a:avLst/>
                    </a:prstGeom>
                    <a:noFill/>
                  </pic:spPr>
                </pic:pic>
              </a:graphicData>
            </a:graphic>
          </wp:anchor>
        </w:drawing>
      </w:r>
    </w:p>
    <w:p>
      <w:pPr>
        <w:jc w:val="center"/>
        <w:ind w:right="300"/>
        <w:spacing w:after="0"/>
        <w:rPr>
          <w:sz w:val="20"/>
          <w:szCs w:val="20"/>
          <w:color w:val="auto"/>
        </w:rPr>
      </w:pPr>
      <w:r>
        <w:rPr>
          <w:rFonts w:ascii="Arial" w:cs="Arial" w:eastAsia="Arial" w:hAnsi="Arial"/>
          <w:sz w:val="17"/>
          <w:szCs w:val="17"/>
          <w:b w:val="1"/>
          <w:bCs w:val="1"/>
          <w:color w:val="auto"/>
        </w:rPr>
        <w:t>NOTICE OF ANNUAL MEETING OF STOCKHOLDERS</w:t>
      </w:r>
    </w:p>
    <w:p>
      <w:pPr>
        <w:spacing w:after="0" w:line="214"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APRIL 16, 2015</w:t>
      </w:r>
    </w:p>
    <w:p>
      <w:pPr>
        <w:spacing w:after="0" w:line="234" w:lineRule="exact"/>
        <w:rPr>
          <w:sz w:val="20"/>
          <w:szCs w:val="20"/>
          <w:color w:val="auto"/>
        </w:rPr>
      </w:pPr>
    </w:p>
    <w:p>
      <w:pPr>
        <w:jc w:val="both"/>
        <w:ind w:left="240" w:right="520"/>
        <w:spacing w:after="0" w:line="247" w:lineRule="auto"/>
        <w:rPr>
          <w:sz w:val="20"/>
          <w:szCs w:val="20"/>
          <w:color w:val="auto"/>
        </w:rPr>
      </w:pPr>
      <w:r>
        <w:rPr>
          <w:rFonts w:ascii="Arial" w:cs="Arial" w:eastAsia="Arial" w:hAnsi="Arial"/>
          <w:sz w:val="17"/>
          <w:szCs w:val="17"/>
          <w:color w:val="auto"/>
        </w:rPr>
        <w:t>You are invited to attend the 2015 annual meeting of stockholders on Thursday, April 16, 2015, at the cafeteria on our property at 12500 TI Boulevard, Dallas, Texas, at 9:00 a.m. (Central time). At the meeting we will consider the election of directors, advisory approval of the Company’s executive compensation, ratification of the appointment of Ernst &amp; Young LLP as the Company’s independent registered public accounting firm for 2015, and such other matters as may properly come before the meeting.</w:t>
      </w:r>
    </w:p>
    <w:p>
      <w:pPr>
        <w:spacing w:after="0" w:line="180"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u w:val="single" w:color="auto"/>
          <w:color w:val="auto"/>
        </w:rPr>
        <w:t>Electronic Delivery of Proxy Materials</w:t>
      </w:r>
    </w:p>
    <w:p>
      <w:pPr>
        <w:spacing w:after="0" w:line="234" w:lineRule="exact"/>
        <w:rPr>
          <w:sz w:val="20"/>
          <w:szCs w:val="20"/>
          <w:color w:val="auto"/>
        </w:rPr>
      </w:pPr>
    </w:p>
    <w:p>
      <w:pPr>
        <w:jc w:val="both"/>
        <w:ind w:left="240" w:right="520"/>
        <w:spacing w:after="0" w:line="255" w:lineRule="auto"/>
        <w:rPr>
          <w:sz w:val="20"/>
          <w:szCs w:val="20"/>
          <w:color w:val="auto"/>
        </w:rPr>
      </w:pPr>
      <w:r>
        <w:rPr>
          <w:rFonts w:ascii="Arial" w:cs="Arial" w:eastAsia="Arial" w:hAnsi="Arial"/>
          <w:sz w:val="17"/>
          <w:szCs w:val="17"/>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The 2015 Notice and Proxy Statement and 2014 Annual Report are also available at www.proxyvote.com.</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M82128-P59162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37465</wp:posOffset>
            </wp:positionV>
            <wp:extent cx="7237095" cy="34194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37095" cy="3419475"/>
                    </a:xfrm>
                    <a:prstGeom prst="rect">
                      <a:avLst/>
                    </a:prstGeom>
                    <a:noFill/>
                  </pic:spPr>
                </pic:pic>
              </a:graphicData>
            </a:graphic>
          </wp:anchor>
        </w:drawing>
      </w:r>
    </w:p>
    <w:p>
      <w:pPr>
        <w:spacing w:after="0" w:line="248" w:lineRule="exact"/>
        <w:rPr>
          <w:sz w:val="20"/>
          <w:szCs w:val="20"/>
          <w:color w:val="auto"/>
        </w:rPr>
      </w:pPr>
    </w:p>
    <w:p>
      <w:pPr>
        <w:jc w:val="center"/>
        <w:ind w:right="300"/>
        <w:spacing w:after="0"/>
        <w:rPr>
          <w:sz w:val="20"/>
          <w:szCs w:val="20"/>
          <w:color w:val="auto"/>
        </w:rPr>
      </w:pPr>
      <w:r>
        <w:rPr>
          <w:rFonts w:ascii="Arial" w:cs="Arial" w:eastAsia="Arial" w:hAnsi="Arial"/>
          <w:sz w:val="21"/>
          <w:szCs w:val="21"/>
          <w:b w:val="1"/>
          <w:bCs w:val="1"/>
          <w:color w:val="auto"/>
        </w:rPr>
        <w:t>PROXY FOR ANNUAL MEETING</w:t>
      </w:r>
    </w:p>
    <w:p>
      <w:pPr>
        <w:spacing w:after="0" w:line="19" w:lineRule="exact"/>
        <w:rPr>
          <w:sz w:val="20"/>
          <w:szCs w:val="20"/>
          <w:color w:val="auto"/>
        </w:rPr>
      </w:pPr>
    </w:p>
    <w:p>
      <w:pPr>
        <w:jc w:val="center"/>
        <w:ind w:right="300"/>
        <w:spacing w:after="0"/>
        <w:rPr>
          <w:sz w:val="20"/>
          <w:szCs w:val="20"/>
          <w:color w:val="auto"/>
        </w:rPr>
      </w:pPr>
      <w:r>
        <w:rPr>
          <w:rFonts w:ascii="Arial" w:cs="Arial" w:eastAsia="Arial" w:hAnsi="Arial"/>
          <w:sz w:val="21"/>
          <w:szCs w:val="21"/>
          <w:b w:val="1"/>
          <w:bCs w:val="1"/>
          <w:color w:val="auto"/>
        </w:rPr>
        <w:t>TO BE HELD APRIL 16, 2015</w:t>
      </w:r>
    </w:p>
    <w:p>
      <w:pPr>
        <w:jc w:val="center"/>
        <w:ind w:right="300"/>
        <w:spacing w:after="0"/>
        <w:rPr>
          <w:sz w:val="20"/>
          <w:szCs w:val="20"/>
          <w:color w:val="auto"/>
        </w:rPr>
      </w:pPr>
      <w:r>
        <w:rPr>
          <w:rFonts w:ascii="Arial" w:cs="Arial" w:eastAsia="Arial" w:hAnsi="Arial"/>
          <w:sz w:val="21"/>
          <w:szCs w:val="21"/>
          <w:b w:val="1"/>
          <w:bCs w:val="1"/>
          <w:color w:val="auto"/>
        </w:rPr>
        <w:t>This proxy is solicited on behalf of the Board of Directors</w:t>
      </w:r>
    </w:p>
    <w:p>
      <w:pPr>
        <w:spacing w:after="0" w:line="217" w:lineRule="exact"/>
        <w:rPr>
          <w:sz w:val="20"/>
          <w:szCs w:val="20"/>
          <w:color w:val="auto"/>
        </w:rPr>
      </w:pPr>
    </w:p>
    <w:p>
      <w:pPr>
        <w:jc w:val="both"/>
        <w:ind w:right="300"/>
        <w:spacing w:after="0" w:line="245" w:lineRule="auto"/>
        <w:rPr>
          <w:sz w:val="20"/>
          <w:szCs w:val="20"/>
          <w:color w:val="auto"/>
        </w:rPr>
      </w:pPr>
      <w:r>
        <w:rPr>
          <w:rFonts w:ascii="Arial" w:cs="Arial" w:eastAsia="Arial" w:hAnsi="Arial"/>
          <w:sz w:val="17"/>
          <w:szCs w:val="17"/>
          <w:color w:val="auto"/>
        </w:rPr>
        <w:t xml:space="preserve">The undersigned hereby appoints RALPH W. BABB, JR., ROBERT E. SANCHEZ, WAYNE R. SANDERS, RICHARD K. TEMPLETON, or any one or more of them, the true and lawful attorneys of the undersigned with power of substitution, to vote as proxies for the undersigned at the annual meeting of stockholders of Texas Instruments Incorporated to be held in Dallas, Texas, on April 16, 2015, at 9:00 a.m. (Central time) and at any or all adjournments thereof, according to the number of shares of common stock that the undersigned would be entitled to vote if then personally present, in the election of directors, upon the board proposals and upon other matters properly coming before the meeting. </w:t>
      </w:r>
      <w:r>
        <w:rPr>
          <w:rFonts w:ascii="Arial" w:cs="Arial" w:eastAsia="Arial" w:hAnsi="Arial"/>
          <w:sz w:val="17"/>
          <w:szCs w:val="17"/>
          <w:b w:val="1"/>
          <w:bCs w:val="1"/>
          <w:color w:val="auto"/>
        </w:rPr>
        <w:t>If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no contrary indication is made, this proxy will be voted FOR the election of each director nominee and FOR Proposals 2 and 3. </w:t>
      </w:r>
      <w:r>
        <w:rPr>
          <w:rFonts w:ascii="Arial" w:cs="Arial" w:eastAsia="Arial" w:hAnsi="Arial"/>
          <w:sz w:val="17"/>
          <w:szCs w:val="17"/>
          <w:color w:val="auto"/>
        </w:rPr>
        <w:t>If</w:t>
      </w:r>
      <w:r>
        <w:rPr>
          <w:rFonts w:ascii="Arial" w:cs="Arial" w:eastAsia="Arial" w:hAnsi="Arial"/>
          <w:sz w:val="17"/>
          <w:szCs w:val="17"/>
          <w:b w:val="1"/>
          <w:bCs w:val="1"/>
          <w:color w:val="auto"/>
        </w:rPr>
        <w:t xml:space="preserve"> </w:t>
      </w:r>
      <w:r>
        <w:rPr>
          <w:rFonts w:ascii="Arial" w:cs="Arial" w:eastAsia="Arial" w:hAnsi="Arial"/>
          <w:sz w:val="17"/>
          <w:szCs w:val="17"/>
          <w:color w:val="auto"/>
        </w:rPr>
        <w:t>other matters come before the meeting, this proxy will be voted in the discretion of the named proxies.</w:t>
      </w:r>
    </w:p>
    <w:p>
      <w:pPr>
        <w:spacing w:after="0" w:line="202" w:lineRule="exact"/>
        <w:rPr>
          <w:sz w:val="20"/>
          <w:szCs w:val="20"/>
          <w:color w:val="auto"/>
        </w:rPr>
      </w:pPr>
    </w:p>
    <w:p>
      <w:pPr>
        <w:jc w:val="both"/>
        <w:ind w:right="300"/>
        <w:spacing w:after="0" w:line="245" w:lineRule="auto"/>
        <w:rPr>
          <w:sz w:val="20"/>
          <w:szCs w:val="20"/>
          <w:color w:val="auto"/>
        </w:rPr>
      </w:pPr>
      <w:r>
        <w:rPr>
          <w:rFonts w:ascii="Arial" w:cs="Arial" w:eastAsia="Arial" w:hAnsi="Arial"/>
          <w:sz w:val="17"/>
          <w:szCs w:val="17"/>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unless otherwise required by law. If the trustee does not receive voting instructions for TI shares under the plans by April 13, 2015, those shares will be voted, in accordance with the terms of plans, in the same proportion as the shares for which voting instructions have been received unless otherwise required by law. If other matters come before the meeting, the named proxies will vote plan shares on those matters in their discretion.</w:t>
      </w:r>
    </w:p>
    <w:p>
      <w:pPr>
        <w:spacing w:after="0" w:line="181"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IMPORTANT - On the reverse side of this card are procedures on how to vote the shares.</w:t>
      </w:r>
    </w:p>
    <w:p>
      <w:pPr>
        <w:spacing w:after="0" w:line="201"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Please consider voting 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379730</wp:posOffset>
            </wp:positionV>
            <wp:extent cx="727075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120"/>
          </w:cols>
          <w:pgMar w:left="540" w:top="1440" w:right="239" w:bottom="1440" w:gutter="0" w:footer="0" w:header="0"/>
        </w:sectPr>
      </w:pPr>
    </w:p>
    <w:bookmarkStart w:id="52" w:name="page53"/>
    <w:bookmarkEnd w:id="52"/>
    <w:p>
      <w:pPr>
        <w:ind w:right="80"/>
        <w:spacing w:after="0" w:line="255" w:lineRule="auto"/>
        <w:rPr>
          <w:sz w:val="20"/>
          <w:szCs w:val="20"/>
          <w:color w:val="auto"/>
        </w:rPr>
      </w:pPr>
      <w:r>
        <w:rPr>
          <w:rFonts w:ascii="Arial" w:cs="Arial" w:eastAsia="Arial" w:hAnsi="Arial"/>
          <w:sz w:val="17"/>
          <w:szCs w:val="17"/>
          <w:color w:val="auto"/>
        </w:rPr>
        <w:t>You received this e-mail because you are enrolled to receive TEXAS INSTRUMENTS INCORPORATED communications and vote by proxy via the Internet.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Important Notice Regarding the Availability of Proxy Materials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2015 TEXAS INSTRUMENTS INCORPORATED Annual Meeting of Shareholders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MEETING DATE: April 16, 2015</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RECORD DATE: February 17, 2015</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CUSIP NUMBER: 882508104</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This e-mail represents all shares in the following account(s).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NAME</w:t>
            </w:r>
          </w:p>
        </w:tc>
        <w:tc>
          <w:tcPr>
            <w:tcW w:w="2080" w:type="dxa"/>
            <w:vAlign w:val="bottom"/>
          </w:tcPr>
          <w:p>
            <w:pPr>
              <w:spacing w:after="0"/>
              <w:rPr>
                <w:sz w:val="18"/>
                <w:szCs w:val="18"/>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7"/>
                <w:szCs w:val="17"/>
                <w:color w:val="auto"/>
              </w:rPr>
              <w:t>TEXAS INSTRUMENTS INC. COMMON</w:t>
            </w:r>
          </w:p>
        </w:tc>
        <w:tc>
          <w:tcPr>
            <w:tcW w:w="2080" w:type="dxa"/>
            <w:vAlign w:val="bottom"/>
          </w:tcPr>
          <w:p>
            <w:pPr>
              <w:jc w:val="right"/>
              <w:spacing w:after="0"/>
              <w:rPr>
                <w:sz w:val="20"/>
                <w:szCs w:val="20"/>
                <w:color w:val="auto"/>
              </w:rPr>
            </w:pPr>
            <w:r>
              <w:rPr>
                <w:rFonts w:ascii="Arial" w:cs="Arial" w:eastAsia="Arial" w:hAnsi="Arial"/>
                <w:sz w:val="17"/>
                <w:szCs w:val="17"/>
                <w:color w:val="auto"/>
              </w:rPr>
              <w:t>123,456,789,012.00000</w:t>
            </w:r>
          </w:p>
        </w:tc>
      </w:tr>
      <w:tr>
        <w:trPr>
          <w:trHeight w:val="238"/>
        </w:trPr>
        <w:tc>
          <w:tcPr>
            <w:tcW w:w="3840" w:type="dxa"/>
            <w:vAlign w:val="bottom"/>
          </w:tcPr>
          <w:p>
            <w:pPr>
              <w:spacing w:after="0"/>
              <w:rPr>
                <w:sz w:val="20"/>
                <w:szCs w:val="20"/>
                <w:color w:val="auto"/>
              </w:rPr>
            </w:pPr>
            <w:r>
              <w:rPr>
                <w:rFonts w:ascii="Arial" w:cs="Arial" w:eastAsia="Arial" w:hAnsi="Arial"/>
                <w:sz w:val="17"/>
                <w:szCs w:val="17"/>
                <w:color w:val="auto"/>
              </w:rPr>
              <w:t>TEXAS INSTRUMENTS INC. 401K SAVINGS</w:t>
            </w:r>
          </w:p>
        </w:tc>
        <w:tc>
          <w:tcPr>
            <w:tcW w:w="2080" w:type="dxa"/>
            <w:vAlign w:val="bottom"/>
          </w:tcPr>
          <w:p>
            <w:pPr>
              <w:jc w:val="right"/>
              <w:spacing w:after="0"/>
              <w:rPr>
                <w:sz w:val="20"/>
                <w:szCs w:val="20"/>
                <w:color w:val="auto"/>
              </w:rPr>
            </w:pPr>
            <w:r>
              <w:rPr>
                <w:rFonts w:ascii="Arial" w:cs="Arial" w:eastAsia="Arial" w:hAnsi="Arial"/>
                <w:sz w:val="17"/>
                <w:szCs w:val="17"/>
                <w:color w:val="auto"/>
              </w:rPr>
              <w:t>123,456,789,012.00000</w:t>
            </w:r>
          </w:p>
        </w:tc>
      </w:tr>
      <w:tr>
        <w:trPr>
          <w:trHeight w:val="238"/>
        </w:trPr>
        <w:tc>
          <w:tcPr>
            <w:tcW w:w="3840" w:type="dxa"/>
            <w:vAlign w:val="bottom"/>
          </w:tcPr>
          <w:p>
            <w:pPr>
              <w:spacing w:after="0"/>
              <w:rPr>
                <w:sz w:val="20"/>
                <w:szCs w:val="20"/>
                <w:color w:val="auto"/>
              </w:rPr>
            </w:pPr>
            <w:r>
              <w:rPr>
                <w:rFonts w:ascii="Arial" w:cs="Arial" w:eastAsia="Arial" w:hAnsi="Arial"/>
                <w:sz w:val="17"/>
                <w:szCs w:val="17"/>
                <w:color w:val="auto"/>
              </w:rPr>
              <w:t>TEXAS INSTRUMENTS INC. 401K SAVINGS</w:t>
            </w:r>
          </w:p>
        </w:tc>
        <w:tc>
          <w:tcPr>
            <w:tcW w:w="2080" w:type="dxa"/>
            <w:vAlign w:val="bottom"/>
          </w:tcPr>
          <w:p>
            <w:pPr>
              <w:jc w:val="right"/>
              <w:spacing w:after="0"/>
              <w:rPr>
                <w:sz w:val="20"/>
                <w:szCs w:val="20"/>
                <w:color w:val="auto"/>
              </w:rPr>
            </w:pPr>
            <w:r>
              <w:rPr>
                <w:rFonts w:ascii="Arial" w:cs="Arial" w:eastAsia="Arial" w:hAnsi="Arial"/>
                <w:sz w:val="17"/>
                <w:szCs w:val="17"/>
                <w:color w:val="auto"/>
              </w:rPr>
              <w:t>123,456,789,012.00000</w:t>
            </w:r>
          </w:p>
        </w:tc>
      </w:tr>
      <w:tr>
        <w:trPr>
          <w:trHeight w:val="238"/>
        </w:trPr>
        <w:tc>
          <w:tcPr>
            <w:tcW w:w="3840" w:type="dxa"/>
            <w:vAlign w:val="bottom"/>
          </w:tcPr>
          <w:p>
            <w:pPr>
              <w:spacing w:after="0"/>
              <w:rPr>
                <w:sz w:val="20"/>
                <w:szCs w:val="20"/>
                <w:color w:val="auto"/>
              </w:rPr>
            </w:pPr>
            <w:r>
              <w:rPr>
                <w:rFonts w:ascii="Arial" w:cs="Arial" w:eastAsia="Arial" w:hAnsi="Arial"/>
                <w:sz w:val="17"/>
                <w:szCs w:val="17"/>
                <w:color w:val="auto"/>
              </w:rPr>
              <w:t>TEXAS INSTRUMENTS INC. 401K</w:t>
            </w:r>
          </w:p>
        </w:tc>
        <w:tc>
          <w:tcPr>
            <w:tcW w:w="2080" w:type="dxa"/>
            <w:vAlign w:val="bottom"/>
          </w:tcPr>
          <w:p>
            <w:pPr>
              <w:jc w:val="right"/>
              <w:spacing w:after="0"/>
              <w:rPr>
                <w:sz w:val="20"/>
                <w:szCs w:val="20"/>
                <w:color w:val="auto"/>
              </w:rPr>
            </w:pPr>
            <w:r>
              <w:rPr>
                <w:rFonts w:ascii="Arial" w:cs="Arial" w:eastAsia="Arial" w:hAnsi="Arial"/>
                <w:sz w:val="17"/>
                <w:szCs w:val="17"/>
                <w:color w:val="auto"/>
              </w:rPr>
              <w:t>123,456,789,012.00000</w:t>
            </w:r>
          </w:p>
        </w:tc>
      </w:tr>
      <w:tr>
        <w:trPr>
          <w:trHeight w:val="238"/>
        </w:trPr>
        <w:tc>
          <w:tcPr>
            <w:tcW w:w="3840" w:type="dxa"/>
            <w:vAlign w:val="bottom"/>
          </w:tcPr>
          <w:p>
            <w:pPr>
              <w:spacing w:after="0"/>
              <w:rPr>
                <w:sz w:val="20"/>
                <w:szCs w:val="20"/>
                <w:color w:val="auto"/>
              </w:rPr>
            </w:pPr>
            <w:r>
              <w:rPr>
                <w:rFonts w:ascii="Arial" w:cs="Arial" w:eastAsia="Arial" w:hAnsi="Arial"/>
                <w:sz w:val="17"/>
                <w:szCs w:val="17"/>
                <w:color w:val="auto"/>
              </w:rPr>
              <w:t>TEXAS INSTRUMENTS INCORPORATED - 401K</w:t>
            </w:r>
          </w:p>
        </w:tc>
        <w:tc>
          <w:tcPr>
            <w:tcW w:w="2080" w:type="dxa"/>
            <w:vAlign w:val="bottom"/>
          </w:tcPr>
          <w:p>
            <w:pPr>
              <w:jc w:val="right"/>
              <w:spacing w:after="0"/>
              <w:rPr>
                <w:sz w:val="20"/>
                <w:szCs w:val="20"/>
                <w:color w:val="auto"/>
              </w:rPr>
            </w:pPr>
            <w:r>
              <w:rPr>
                <w:rFonts w:ascii="Arial" w:cs="Arial" w:eastAsia="Arial" w:hAnsi="Arial"/>
                <w:sz w:val="17"/>
                <w:szCs w:val="17"/>
                <w:color w:val="auto"/>
              </w:rPr>
              <w:t>123,456,789,012.00000</w:t>
            </w:r>
          </w:p>
        </w:tc>
      </w:tr>
      <w:tr>
        <w:trPr>
          <w:trHeight w:val="238"/>
        </w:trPr>
        <w:tc>
          <w:tcPr>
            <w:tcW w:w="3840" w:type="dxa"/>
            <w:vAlign w:val="bottom"/>
          </w:tcPr>
          <w:p>
            <w:pPr>
              <w:spacing w:after="0"/>
              <w:rPr>
                <w:sz w:val="20"/>
                <w:szCs w:val="20"/>
                <w:color w:val="auto"/>
              </w:rPr>
            </w:pPr>
            <w:r>
              <w:rPr>
                <w:rFonts w:ascii="Arial" w:cs="Arial" w:eastAsia="Arial" w:hAnsi="Arial"/>
                <w:sz w:val="17"/>
                <w:szCs w:val="17"/>
                <w:color w:val="auto"/>
              </w:rPr>
              <w:t>TEXAS INSTRUMENTS INCORPORATED - 401K</w:t>
            </w:r>
          </w:p>
        </w:tc>
        <w:tc>
          <w:tcPr>
            <w:tcW w:w="2080" w:type="dxa"/>
            <w:vAlign w:val="bottom"/>
          </w:tcPr>
          <w:p>
            <w:pPr>
              <w:jc w:val="right"/>
              <w:spacing w:after="0"/>
              <w:rPr>
                <w:sz w:val="20"/>
                <w:szCs w:val="20"/>
                <w:color w:val="auto"/>
              </w:rPr>
            </w:pPr>
            <w:r>
              <w:rPr>
                <w:rFonts w:ascii="Arial" w:cs="Arial" w:eastAsia="Arial" w:hAnsi="Arial"/>
                <w:sz w:val="17"/>
                <w:szCs w:val="17"/>
                <w:color w:val="auto"/>
              </w:rPr>
              <w:t>123,456,789,012.00000</w:t>
            </w:r>
          </w:p>
        </w:tc>
      </w:tr>
      <w:tr>
        <w:trPr>
          <w:trHeight w:val="238"/>
        </w:trPr>
        <w:tc>
          <w:tcPr>
            <w:tcW w:w="3840" w:type="dxa"/>
            <w:vAlign w:val="bottom"/>
          </w:tcPr>
          <w:p>
            <w:pPr>
              <w:spacing w:after="0"/>
              <w:rPr>
                <w:sz w:val="20"/>
                <w:szCs w:val="20"/>
                <w:color w:val="auto"/>
              </w:rPr>
            </w:pPr>
            <w:r>
              <w:rPr>
                <w:rFonts w:ascii="Arial" w:cs="Arial" w:eastAsia="Arial" w:hAnsi="Arial"/>
                <w:sz w:val="17"/>
                <w:szCs w:val="17"/>
                <w:color w:val="auto"/>
              </w:rPr>
              <w:t>EMAIL MATCHING FILE</w:t>
            </w:r>
          </w:p>
        </w:tc>
        <w:tc>
          <w:tcPr>
            <w:tcW w:w="2080" w:type="dxa"/>
            <w:vAlign w:val="bottom"/>
          </w:tcPr>
          <w:p>
            <w:pPr>
              <w:jc w:val="right"/>
              <w:spacing w:after="0"/>
              <w:rPr>
                <w:sz w:val="20"/>
                <w:szCs w:val="20"/>
                <w:color w:val="auto"/>
              </w:rPr>
            </w:pPr>
            <w:r>
              <w:rPr>
                <w:rFonts w:ascii="Arial" w:cs="Arial" w:eastAsia="Arial" w:hAnsi="Arial"/>
                <w:sz w:val="17"/>
                <w:szCs w:val="17"/>
                <w:color w:val="auto"/>
              </w:rPr>
              <w:t>123,456,789,012.00000</w:t>
            </w:r>
          </w:p>
        </w:tc>
      </w:tr>
      <w:tr>
        <w:trPr>
          <w:trHeight w:val="238"/>
        </w:trPr>
        <w:tc>
          <w:tcPr>
            <w:tcW w:w="3840" w:type="dxa"/>
            <w:vAlign w:val="bottom"/>
          </w:tcPr>
          <w:p>
            <w:pPr>
              <w:spacing w:after="0"/>
              <w:rPr>
                <w:sz w:val="20"/>
                <w:szCs w:val="20"/>
                <w:color w:val="auto"/>
              </w:rPr>
            </w:pPr>
            <w:r>
              <w:rPr>
                <w:rFonts w:ascii="Arial" w:cs="Arial" w:eastAsia="Arial" w:hAnsi="Arial"/>
                <w:sz w:val="17"/>
                <w:szCs w:val="17"/>
                <w:color w:val="auto"/>
              </w:rPr>
              <w:t>TEXAS INSTRUMENTS INC. COMMON</w:t>
            </w:r>
          </w:p>
        </w:tc>
        <w:tc>
          <w:tcPr>
            <w:tcW w:w="2080" w:type="dxa"/>
            <w:vAlign w:val="bottom"/>
          </w:tcPr>
          <w:p>
            <w:pPr>
              <w:jc w:val="right"/>
              <w:spacing w:after="0"/>
              <w:rPr>
                <w:sz w:val="20"/>
                <w:szCs w:val="20"/>
                <w:color w:val="auto"/>
              </w:rPr>
            </w:pPr>
            <w:r>
              <w:rPr>
                <w:rFonts w:ascii="Arial" w:cs="Arial" w:eastAsia="Arial" w:hAnsi="Arial"/>
                <w:sz w:val="17"/>
                <w:szCs w:val="17"/>
                <w:color w:val="auto"/>
              </w:rPr>
              <w:t>123,456,789,012.00000</w:t>
            </w:r>
          </w:p>
        </w:tc>
      </w:tr>
    </w:tbl>
    <w:p>
      <w:pPr>
        <w:spacing w:after="0" w:line="200" w:lineRule="exact"/>
        <w:rPr>
          <w:sz w:val="20"/>
          <w:szCs w:val="20"/>
          <w:color w:val="auto"/>
        </w:rPr>
      </w:pPr>
    </w:p>
    <w:p>
      <w:pPr>
        <w:spacing w:after="0" w:line="26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You can enter your voting instructions and view the shareholder material at the Internet site below. If your browser supports secure transactions, you will automatically be directed to a secure site.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https://www.proxyvote.com/00123456789</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You may need your CONTROL NUMBER and your PIN:</w:t>
      </w:r>
    </w:p>
    <w:p>
      <w:pPr>
        <w:spacing w:after="0" w:line="214" w:lineRule="exact"/>
        <w:rPr>
          <w:sz w:val="20"/>
          <w:szCs w:val="20"/>
          <w:color w:val="auto"/>
        </w:rPr>
      </w:pPr>
    </w:p>
    <w:p>
      <w:pPr>
        <w:ind w:left="380" w:hanging="110"/>
        <w:spacing w:after="0"/>
        <w:tabs>
          <w:tab w:leader="none" w:pos="3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CONTROL NUMBER: 0123456789</w:t>
      </w:r>
    </w:p>
    <w:p>
      <w:pPr>
        <w:spacing w:after="0" w:line="2" w:lineRule="exact"/>
        <w:rPr>
          <w:rFonts w:ascii="Arial" w:cs="Arial" w:eastAsia="Arial" w:hAnsi="Arial"/>
          <w:sz w:val="17"/>
          <w:szCs w:val="17"/>
          <w:color w:val="auto"/>
        </w:rPr>
      </w:pPr>
    </w:p>
    <w:p>
      <w:pPr>
        <w:ind w:left="380" w:right="60" w:hanging="110"/>
        <w:spacing w:after="0" w:line="243" w:lineRule="auto"/>
        <w:tabs>
          <w:tab w:leader="none" w:pos="3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Your PIN is the four-digit number you selected at the time of your enrollment, or if consent was provided by your employer may be the last four digits of your Social Security Number.</w:t>
      </w:r>
    </w:p>
    <w:p>
      <w:pPr>
        <w:ind w:left="380" w:hanging="110"/>
        <w:spacing w:after="0"/>
        <w:tabs>
          <w:tab w:leader="none" w:pos="3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you have forgotten your PIN please follow the "Forgot PIN" instructions on proxyvote.com.</w:t>
      </w:r>
    </w:p>
    <w:p>
      <w:pPr>
        <w:spacing w:after="0" w:line="214"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For registered shares, you may vote by Internet up until 11:59 p.m. Eastern time on April 15, 2015. For shares allocable to a benefit plan account, voting instructions must be received no later than 11:59 p.m. Eastern time on April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27075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240"/>
          </w:cols>
          <w:pgMar w:left="240" w:top="592" w:right="419" w:bottom="1440" w:gutter="0" w:footer="0" w:header="0"/>
        </w:sectPr>
      </w:pPr>
    </w:p>
    <w:bookmarkStart w:id="53" w:name="page54"/>
    <w:bookmarkEnd w:id="53"/>
    <w:p>
      <w:pPr>
        <w:spacing w:after="0"/>
        <w:rPr>
          <w:sz w:val="20"/>
          <w:szCs w:val="20"/>
          <w:color w:val="auto"/>
        </w:rPr>
      </w:pPr>
      <w:r>
        <w:rPr>
          <w:rFonts w:ascii="Arial" w:cs="Arial" w:eastAsia="Arial" w:hAnsi="Arial"/>
          <w:sz w:val="17"/>
          <w:szCs w:val="17"/>
          <w:color w:val="auto"/>
        </w:rPr>
        <w:t>The relevant supporting documentations can also be found at the following Internet site(s):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Annual Report and Proxy Statement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http://materials.proxyvote.com/882508</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*interactive*</w:t>
      </w:r>
    </w:p>
    <w:p>
      <w:pPr>
        <w:spacing w:after="0" w:line="214" w:lineRule="exact"/>
        <w:rPr>
          <w:sz w:val="20"/>
          <w:szCs w:val="20"/>
          <w:color w:val="auto"/>
        </w:rPr>
      </w:pPr>
    </w:p>
    <w:p>
      <w:pPr>
        <w:jc w:val="both"/>
        <w:ind w:right="300"/>
        <w:spacing w:after="0" w:line="249" w:lineRule="auto"/>
        <w:rPr>
          <w:sz w:val="20"/>
          <w:szCs w:val="20"/>
          <w:color w:val="auto"/>
        </w:rPr>
      </w:pPr>
      <w:r>
        <w:rPr>
          <w:rFonts w:ascii="Arial" w:cs="Arial" w:eastAsia="Arial" w:hAnsi="Arial"/>
          <w:sz w:val="17"/>
          <w:szCs w:val="17"/>
          <w:color w:val="auto"/>
        </w:rPr>
        <w:t>If you would like to cancel your enrollment, or change your e-mail address or PIN, please go to http://www.InvestorDelivery.com. You will need the enrollment number below and your four-digit PIN. If you have forgotten your PIN, you can have it sent to your enrolled e-mail address by going to http://www.InvestorDelivery.com.</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40" w:type="dxa"/>
            <w:vAlign w:val="bottom"/>
          </w:tcPr>
          <w:p>
            <w:pPr>
              <w:spacing w:after="0"/>
              <w:rPr>
                <w:sz w:val="20"/>
                <w:szCs w:val="20"/>
                <w:color w:val="auto"/>
              </w:rPr>
            </w:pPr>
            <w:r>
              <w:rPr>
                <w:rFonts w:ascii="Arial" w:cs="Arial" w:eastAsia="Arial" w:hAnsi="Arial"/>
                <w:sz w:val="17"/>
                <w:szCs w:val="17"/>
                <w:color w:val="auto"/>
              </w:rPr>
              <w:t>Your InvestorDelivery Enrollment Number is:</w:t>
            </w:r>
          </w:p>
        </w:tc>
        <w:tc>
          <w:tcPr>
            <w:tcW w:w="2460" w:type="dxa"/>
            <w:vAlign w:val="bottom"/>
          </w:tcPr>
          <w:p>
            <w:pPr>
              <w:ind w:left="1180"/>
              <w:spacing w:after="0"/>
              <w:rPr>
                <w:sz w:val="20"/>
                <w:szCs w:val="20"/>
                <w:color w:val="auto"/>
              </w:rPr>
            </w:pPr>
            <w:r>
              <w:rPr>
                <w:rFonts w:ascii="Arial" w:cs="Arial" w:eastAsia="Arial" w:hAnsi="Arial"/>
                <w:sz w:val="17"/>
                <w:szCs w:val="17"/>
                <w:color w:val="auto"/>
                <w:w w:val="98"/>
              </w:rPr>
              <w:t>M012345678901</w:t>
            </w:r>
          </w:p>
        </w:tc>
      </w:tr>
    </w:tbl>
    <w:p>
      <w:pPr>
        <w:spacing w:after="0" w:line="204"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There are no charges for this service. There may be costs associated with electronic access, such as usage charges from Internet access providers and telephone companies, which must be borne by the stockholder.</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Questions regarding this communication should be directed to your advisor or the company's Investor Relations department. For questions specific to the proxyvote.com website, please reply to this email and include the original text and subject line for identification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27075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ectPr>
          <w:pgSz w:w="11900" w:h="16838" w:orient="portrait"/>
          <w:cols w:equalWidth="0" w:num="1">
            <w:col w:w="11340"/>
          </w:cols>
          <w:pgMar w:left="240" w:top="592" w:right="319" w:bottom="1440" w:gutter="0" w:footer="0" w:header="0"/>
        </w:sectPr>
      </w:pPr>
    </w:p>
    <w:bookmarkStart w:id="54" w:name="page55"/>
    <w:bookmarkEnd w:id="54"/>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5160" w:type="dxa"/>
            <w:vAlign w:val="bottom"/>
            <w:tcBorders>
              <w:top w:val="single" w:sz="8" w:color="auto"/>
            </w:tcBorders>
          </w:tcPr>
          <w:p>
            <w:pPr>
              <w:spacing w:after="0"/>
              <w:rPr>
                <w:sz w:val="20"/>
                <w:szCs w:val="20"/>
                <w:color w:val="auto"/>
              </w:rPr>
            </w:pPr>
            <w:r>
              <w:rPr>
                <w:rFonts w:ascii="Arial" w:cs="Arial" w:eastAsia="Arial" w:hAnsi="Arial"/>
                <w:sz w:val="21"/>
                <w:szCs w:val="21"/>
                <w:b w:val="1"/>
                <w:bCs w:val="1"/>
                <w:color w:val="auto"/>
              </w:rPr>
              <w:t>TEXAS INSTRUMENTS INCORPORATED</w:t>
            </w:r>
          </w:p>
        </w:tc>
        <w:tc>
          <w:tcPr>
            <w:tcW w:w="112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ind w:left="1620"/>
              <w:spacing w:after="0"/>
              <w:rPr>
                <w:sz w:val="20"/>
                <w:szCs w:val="20"/>
                <w:color w:val="auto"/>
              </w:rPr>
            </w:pPr>
            <w:r>
              <w:rPr>
                <w:rFonts w:ascii="Arial" w:cs="Arial" w:eastAsia="Arial" w:hAnsi="Arial"/>
                <w:sz w:val="17"/>
                <w:szCs w:val="17"/>
                <w:b w:val="1"/>
                <w:bCs w:val="1"/>
                <w:color w:val="auto"/>
              </w:rPr>
              <w:t>Control#</w:t>
            </w:r>
          </w:p>
        </w:tc>
        <w:tc>
          <w:tcPr>
            <w:tcW w:w="0" w:type="dxa"/>
            <w:vAlign w:val="bottom"/>
          </w:tcPr>
          <w:p>
            <w:pPr>
              <w:spacing w:after="0"/>
              <w:rPr>
                <w:sz w:val="1"/>
                <w:szCs w:val="1"/>
                <w:color w:val="auto"/>
              </w:rPr>
            </w:pPr>
          </w:p>
        </w:tc>
      </w:tr>
      <w:tr>
        <w:trPr>
          <w:trHeight w:val="398"/>
        </w:trPr>
        <w:tc>
          <w:tcPr>
            <w:tcW w:w="5160" w:type="dxa"/>
            <w:vAlign w:val="bottom"/>
            <w:vMerge w:val="restart"/>
          </w:tcPr>
          <w:p>
            <w:pPr>
              <w:spacing w:after="0"/>
              <w:rPr>
                <w:sz w:val="20"/>
                <w:szCs w:val="20"/>
                <w:color w:val="auto"/>
              </w:rPr>
            </w:pPr>
            <w:r>
              <w:rPr>
                <w:rFonts w:ascii="Arial" w:cs="Arial" w:eastAsia="Arial" w:hAnsi="Arial"/>
                <w:sz w:val="17"/>
                <w:szCs w:val="17"/>
                <w:b w:val="1"/>
                <w:bCs w:val="1"/>
                <w:color w:val="auto"/>
              </w:rPr>
              <w:t>2015 Annual Meeting of Shareholders</w:t>
            </w:r>
          </w:p>
        </w:tc>
        <w:tc>
          <w:tcPr>
            <w:tcW w:w="6260" w:type="dxa"/>
            <w:vAlign w:val="bottom"/>
            <w:gridSpan w:val="3"/>
          </w:tcPr>
          <w:p>
            <w:pPr>
              <w:ind w:left="1120"/>
              <w:spacing w:after="0"/>
              <w:rPr>
                <w:sz w:val="20"/>
                <w:szCs w:val="20"/>
                <w:color w:val="auto"/>
              </w:rPr>
            </w:pPr>
            <w:r>
              <w:rPr>
                <w:rFonts w:ascii="Arial" w:cs="Arial" w:eastAsia="Arial" w:hAnsi="Arial"/>
                <w:sz w:val="17"/>
                <w:szCs w:val="17"/>
                <w:b w:val="1"/>
                <w:bCs w:val="1"/>
                <w:color w:val="auto"/>
              </w:rPr>
              <w:t>Meeting Material(s)</w:t>
            </w:r>
          </w:p>
        </w:tc>
        <w:tc>
          <w:tcPr>
            <w:tcW w:w="0" w:type="dxa"/>
            <w:vAlign w:val="bottom"/>
          </w:tcPr>
          <w:p>
            <w:pPr>
              <w:spacing w:after="0"/>
              <w:rPr>
                <w:sz w:val="1"/>
                <w:szCs w:val="1"/>
                <w:color w:val="auto"/>
              </w:rPr>
            </w:pPr>
          </w:p>
        </w:tc>
      </w:tr>
      <w:tr>
        <w:trPr>
          <w:trHeight w:val="169"/>
        </w:trPr>
        <w:tc>
          <w:tcPr>
            <w:tcW w:w="5160" w:type="dxa"/>
            <w:vAlign w:val="bottom"/>
            <w:vMerge w:val="continue"/>
          </w:tcPr>
          <w:p>
            <w:pPr>
              <w:spacing w:after="0"/>
              <w:rPr>
                <w:sz w:val="14"/>
                <w:szCs w:val="14"/>
                <w:color w:val="auto"/>
              </w:rPr>
            </w:pPr>
          </w:p>
        </w:tc>
        <w:tc>
          <w:tcPr>
            <w:tcW w:w="6260" w:type="dxa"/>
            <w:vAlign w:val="bottom"/>
            <w:gridSpan w:val="3"/>
          </w:tcPr>
          <w:p>
            <w:pPr>
              <w:ind w:left="1120"/>
              <w:spacing w:after="0" w:line="149" w:lineRule="exact"/>
              <w:rPr>
                <w:sz w:val="20"/>
                <w:szCs w:val="20"/>
                <w:color w:val="auto"/>
              </w:rPr>
            </w:pPr>
            <w:r>
              <w:rPr>
                <w:rFonts w:ascii="Arial" w:cs="Arial" w:eastAsia="Arial" w:hAnsi="Arial"/>
                <w:sz w:val="17"/>
                <w:szCs w:val="17"/>
                <w:color w:val="auto"/>
              </w:rPr>
              <w:t>Annual Report and Proxy Statement</w:t>
            </w:r>
          </w:p>
        </w:tc>
        <w:tc>
          <w:tcPr>
            <w:tcW w:w="0" w:type="dxa"/>
            <w:vAlign w:val="bottom"/>
          </w:tcPr>
          <w:p>
            <w:pPr>
              <w:spacing w:after="0"/>
              <w:rPr>
                <w:sz w:val="1"/>
                <w:szCs w:val="1"/>
                <w:color w:val="auto"/>
              </w:rPr>
            </w:pPr>
          </w:p>
        </w:tc>
      </w:tr>
      <w:tr>
        <w:trPr>
          <w:trHeight w:val="440"/>
        </w:trPr>
        <w:tc>
          <w:tcPr>
            <w:tcW w:w="5160" w:type="dxa"/>
            <w:vAlign w:val="bottom"/>
          </w:tcPr>
          <w:p>
            <w:pPr>
              <w:spacing w:after="0"/>
              <w:rPr>
                <w:sz w:val="20"/>
                <w:szCs w:val="20"/>
                <w:color w:val="auto"/>
              </w:rPr>
            </w:pPr>
            <w:r>
              <w:rPr>
                <w:rFonts w:ascii="Arial" w:cs="Arial" w:eastAsia="Arial" w:hAnsi="Arial"/>
                <w:sz w:val="17"/>
                <w:szCs w:val="17"/>
                <w:b w:val="1"/>
                <w:bCs w:val="1"/>
                <w:color w:val="auto"/>
              </w:rPr>
              <w:t>Thursday, April 16, 2015</w:t>
            </w:r>
          </w:p>
        </w:tc>
        <w:tc>
          <w:tcPr>
            <w:tcW w:w="1120" w:type="dxa"/>
            <w:vAlign w:val="bottom"/>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160" w:type="dxa"/>
            <w:vAlign w:val="bottom"/>
          </w:tcPr>
          <w:p>
            <w:pPr>
              <w:spacing w:after="0"/>
              <w:rPr>
                <w:sz w:val="20"/>
                <w:szCs w:val="20"/>
                <w:color w:val="auto"/>
              </w:rPr>
            </w:pPr>
            <w:r>
              <w:rPr>
                <w:rFonts w:ascii="Arial" w:cs="Arial" w:eastAsia="Arial" w:hAnsi="Arial"/>
                <w:sz w:val="17"/>
                <w:szCs w:val="17"/>
                <w:b w:val="1"/>
                <w:bCs w:val="1"/>
                <w:color w:val="auto"/>
              </w:rPr>
              <w:t>For holders as of: Tuesday, February 17, 2015</w:t>
            </w:r>
          </w:p>
        </w:tc>
        <w:tc>
          <w:tcPr>
            <w:tcW w:w="1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5160" w:type="dxa"/>
            <w:vAlign w:val="bottom"/>
          </w:tcPr>
          <w:p>
            <w:pPr>
              <w:spacing w:after="0"/>
              <w:rPr>
                <w:sz w:val="20"/>
                <w:szCs w:val="20"/>
                <w:color w:val="auto"/>
              </w:rPr>
            </w:pPr>
            <w:r>
              <w:rPr>
                <w:rFonts w:ascii="Arial" w:cs="Arial" w:eastAsia="Arial" w:hAnsi="Arial"/>
                <w:sz w:val="17"/>
                <w:szCs w:val="17"/>
                <w:b w:val="1"/>
                <w:bCs w:val="1"/>
                <w:color w:val="auto"/>
              </w:rPr>
              <w:t>Cusip: 882508-104</w:t>
            </w:r>
          </w:p>
        </w:tc>
        <w:tc>
          <w:tcPr>
            <w:tcW w:w="1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b w:val="1"/>
          <w:bCs w:val="1"/>
          <w:color w:val="auto"/>
        </w:rPr>
        <w:t>As your vote is very important, we recommend that all voting instructions be received at least one business day prior to the voting cut-off time stated in the proxy materials. Scroll down for proxy instructions and voting.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To vote via telephone, call </w:t>
      </w:r>
      <w:r>
        <w:rPr>
          <w:rFonts w:ascii="Arial" w:cs="Arial" w:eastAsia="Arial" w:hAnsi="Arial"/>
          <w:sz w:val="17"/>
          <w:szCs w:val="17"/>
          <w:b w:val="1"/>
          <w:bCs w:val="1"/>
          <w:color w:val="auto"/>
        </w:rPr>
        <w:t>1-800-690-6903.</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485"/>
        </w:trPr>
        <w:tc>
          <w:tcPr>
            <w:tcW w:w="3820" w:type="dxa"/>
            <w:vAlign w:val="bottom"/>
            <w:tcBorders>
              <w:top w:val="single" w:sz="8" w:color="auto"/>
              <w:left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42"/>
                <w:szCs w:val="42"/>
                <w:b w:val="1"/>
                <w:bCs w:val="1"/>
                <w:color w:val="auto"/>
              </w:rPr>
              <w:t xml:space="preserve">1. </w:t>
            </w:r>
            <w:r>
              <w:rPr>
                <w:rFonts w:ascii="Arial" w:cs="Arial" w:eastAsia="Arial" w:hAnsi="Arial"/>
                <w:sz w:val="23"/>
                <w:szCs w:val="23"/>
                <w:b w:val="1"/>
                <w:bCs w:val="1"/>
                <w:color w:val="auto"/>
              </w:rPr>
              <w:t>Vote</w:t>
            </w:r>
          </w:p>
        </w:tc>
        <w:tc>
          <w:tcPr>
            <w:tcW w:w="3900" w:type="dxa"/>
            <w:vAlign w:val="bottom"/>
            <w:tcBorders>
              <w:top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42"/>
                <w:szCs w:val="42"/>
                <w:b w:val="1"/>
                <w:bCs w:val="1"/>
                <w:color w:val="auto"/>
              </w:rPr>
              <w:t xml:space="preserve">2. </w:t>
            </w:r>
            <w:r>
              <w:rPr>
                <w:rFonts w:ascii="Arial" w:cs="Arial" w:eastAsia="Arial" w:hAnsi="Arial"/>
                <w:sz w:val="23"/>
                <w:szCs w:val="23"/>
                <w:b w:val="1"/>
                <w:bCs w:val="1"/>
                <w:color w:val="auto"/>
              </w:rPr>
              <w:t>Review</w:t>
            </w:r>
          </w:p>
        </w:tc>
        <w:tc>
          <w:tcPr>
            <w:tcW w:w="3700" w:type="dxa"/>
            <w:vAlign w:val="bottom"/>
            <w:tcBorders>
              <w:top w:val="single" w:sz="8" w:color="auto"/>
              <w:bottom w:val="single" w:sz="8" w:color="auto"/>
              <w:right w:val="single" w:sz="8" w:color="auto"/>
            </w:tcBorders>
          </w:tcPr>
          <w:p>
            <w:pPr>
              <w:ind w:left="1060"/>
              <w:spacing w:after="0"/>
              <w:rPr>
                <w:sz w:val="20"/>
                <w:szCs w:val="20"/>
                <w:color w:val="auto"/>
              </w:rPr>
            </w:pPr>
            <w:r>
              <w:rPr>
                <w:rFonts w:ascii="Arial" w:cs="Arial" w:eastAsia="Arial" w:hAnsi="Arial"/>
                <w:sz w:val="42"/>
                <w:szCs w:val="42"/>
                <w:b w:val="1"/>
                <w:bCs w:val="1"/>
                <w:color w:val="auto"/>
              </w:rPr>
              <w:t xml:space="preserve">3. </w:t>
            </w:r>
            <w:r>
              <w:rPr>
                <w:rFonts w:ascii="Arial" w:cs="Arial" w:eastAsia="Arial" w:hAnsi="Arial"/>
                <w:sz w:val="23"/>
                <w:szCs w:val="23"/>
                <w:b w:val="1"/>
                <w:bCs w:val="1"/>
                <w:color w:val="auto"/>
              </w:rPr>
              <w:t>Confirmed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148590</wp:posOffset>
            </wp:positionV>
            <wp:extent cx="7253605" cy="76142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76142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BALLOT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TEXAS INSTRUMENTS INCORPORATED</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2015 Annual Meeting of Shareholders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be held on Thursday, April 16, 2015 for holders of record as of Tuesday, February 17, 2015</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PROXY FOR ANNUAL MEETING</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 BE HELD APRIL 16, 2015</w:t>
      </w:r>
    </w:p>
    <w:p>
      <w:pPr>
        <w:jc w:val="center"/>
        <w:spacing w:after="0"/>
        <w:rPr>
          <w:sz w:val="20"/>
          <w:szCs w:val="20"/>
          <w:color w:val="auto"/>
        </w:rPr>
      </w:pPr>
      <w:r>
        <w:rPr>
          <w:rFonts w:ascii="Arial" w:cs="Arial" w:eastAsia="Arial" w:hAnsi="Arial"/>
          <w:sz w:val="21"/>
          <w:szCs w:val="21"/>
          <w:b w:val="1"/>
          <w:bCs w:val="1"/>
          <w:color w:val="auto"/>
        </w:rPr>
        <w:t>This proxy is solicited on behalf of the Board of Directors</w:t>
      </w:r>
    </w:p>
    <w:p>
      <w:pPr>
        <w:spacing w:after="0" w:line="217" w:lineRule="exact"/>
        <w:rPr>
          <w:sz w:val="20"/>
          <w:szCs w:val="20"/>
          <w:color w:val="auto"/>
        </w:rPr>
      </w:pPr>
    </w:p>
    <w:p>
      <w:pPr>
        <w:jc w:val="both"/>
        <w:ind w:left="260" w:right="240"/>
        <w:spacing w:after="0" w:line="245" w:lineRule="auto"/>
        <w:rPr>
          <w:sz w:val="20"/>
          <w:szCs w:val="20"/>
          <w:color w:val="auto"/>
        </w:rPr>
      </w:pPr>
      <w:r>
        <w:rPr>
          <w:rFonts w:ascii="Arial" w:cs="Arial" w:eastAsia="Arial" w:hAnsi="Arial"/>
          <w:sz w:val="17"/>
          <w:szCs w:val="17"/>
          <w:color w:val="auto"/>
        </w:rPr>
        <w:t>The undersigned hereby appoints RALPH W. BABB, JR., ROBERT E. SANCHEZ, WAYNE R. SANDERS, RICHARD K. TEMPLETON, or any one or more of them, the true and lawful attorneys of the undersigned with power of substitution, to vote as proxies for the undersigned at the annual meeting of stockholders of Texas Instruments Incorporated to be held in Dallas, Texas, on April 16, 2015, at 9:00 a.m. (Central time) and at any or all adjournments thereof, according to the number of shares of common stock that the undersigned would be entitled to vote if then</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personally present, in the election of directors, upon the board proposals and upon other matters properly coming before the meeting. </w:t>
      </w:r>
      <w:r>
        <w:rPr>
          <w:rFonts w:ascii="Arial" w:cs="Arial" w:eastAsia="Arial" w:hAnsi="Arial"/>
          <w:sz w:val="17"/>
          <w:szCs w:val="17"/>
          <w:b w:val="1"/>
          <w:bCs w:val="1"/>
          <w:color w:val="auto"/>
        </w:rPr>
        <w:t>If no</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 xml:space="preserve">contrary indication is made, this proxy will be voted FOR the election of each director nominee and FOR Proposals 2 and 3. </w:t>
      </w:r>
      <w:r>
        <w:rPr>
          <w:rFonts w:ascii="Arial" w:cs="Arial" w:eastAsia="Arial" w:hAnsi="Arial"/>
          <w:sz w:val="17"/>
          <w:szCs w:val="17"/>
          <w:color w:val="auto"/>
        </w:rPr>
        <w:t>If other</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matters come before the meeting, this proxy will be voted in the discretion of the named proxies.</w:t>
      </w:r>
    </w:p>
    <w:p>
      <w:pPr>
        <w:spacing w:after="0" w:line="214" w:lineRule="exact"/>
        <w:rPr>
          <w:sz w:val="20"/>
          <w:szCs w:val="20"/>
          <w:color w:val="auto"/>
        </w:rPr>
      </w:pPr>
    </w:p>
    <w:p>
      <w:pPr>
        <w:jc w:val="both"/>
        <w:ind w:left="260" w:right="240"/>
        <w:spacing w:after="0" w:line="245" w:lineRule="auto"/>
        <w:rPr>
          <w:sz w:val="20"/>
          <w:szCs w:val="20"/>
          <w:color w:val="auto"/>
        </w:rPr>
      </w:pPr>
      <w:r>
        <w:rPr>
          <w:rFonts w:ascii="Arial" w:cs="Arial" w:eastAsia="Arial" w:hAnsi="Arial"/>
          <w:sz w:val="17"/>
          <w:szCs w:val="17"/>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unless otherwise required by law. If the trustee does not receive voting instructions for TI shares under the plans by April 13, 2015, those shares will be voted, in accordance with the terms of plans, in the same proportion as the shares for which voting instructions have been received unless otherwise required by law. If other matters come before the meeting, the named proxies will vote plan shares on those matters in their discretion.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130" w:type="dxa"/>
        <w:tblCellMar>
          <w:top w:w="0" w:type="dxa"/>
          <w:left w:w="0" w:type="dxa"/>
          <w:bottom w:w="0" w:type="dxa"/>
          <w:right w:w="0" w:type="dxa"/>
        </w:tblCellMar>
      </w:tblPr>
      <w:tr>
        <w:trPr>
          <w:trHeight w:val="210"/>
        </w:trPr>
        <w:tc>
          <w:tcPr>
            <w:tcW w:w="360" w:type="dxa"/>
            <w:vAlign w:val="bottom"/>
            <w:tcBorders>
              <w:top w:val="single" w:sz="8" w:color="auto"/>
              <w:left w:val="single" w:sz="8" w:color="auto"/>
              <w:right w:val="single" w:sz="8" w:color="auto"/>
            </w:tcBorders>
          </w:tcPr>
          <w:p>
            <w:pPr>
              <w:spacing w:after="0"/>
              <w:rPr>
                <w:sz w:val="18"/>
                <w:szCs w:val="18"/>
                <w:color w:val="auto"/>
              </w:rPr>
            </w:pPr>
          </w:p>
        </w:tc>
        <w:tc>
          <w:tcPr>
            <w:tcW w:w="6420" w:type="dxa"/>
            <w:vAlign w:val="bottom"/>
            <w:tcBorders>
              <w:top w:val="single" w:sz="8" w:color="auto"/>
              <w:right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Recommendations</w:t>
            </w:r>
          </w:p>
        </w:tc>
        <w:tc>
          <w:tcPr>
            <w:tcW w:w="6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right w:val="single" w:sz="8" w:color="auto"/>
            </w:tcBorders>
          </w:tcPr>
          <w:p>
            <w:pPr>
              <w:spacing w:after="0"/>
              <w:rPr>
                <w:sz w:val="20"/>
                <w:szCs w:val="20"/>
                <w:color w:val="auto"/>
              </w:rPr>
            </w:pPr>
          </w:p>
        </w:tc>
        <w:tc>
          <w:tcPr>
            <w:tcW w:w="6420" w:type="dxa"/>
            <w:vAlign w:val="bottom"/>
            <w:tcBorders>
              <w:right w:val="single" w:sz="8" w:color="auto"/>
            </w:tcBorders>
          </w:tcPr>
          <w:p>
            <w:pPr>
              <w:ind w:left="2840"/>
              <w:spacing w:after="0"/>
              <w:rPr>
                <w:sz w:val="20"/>
                <w:szCs w:val="20"/>
                <w:color w:val="auto"/>
              </w:rPr>
            </w:pPr>
            <w:r>
              <w:rPr>
                <w:rFonts w:ascii="Arial" w:cs="Arial" w:eastAsia="Arial" w:hAnsi="Arial"/>
                <w:sz w:val="13"/>
                <w:szCs w:val="13"/>
                <w:b w:val="1"/>
                <w:bCs w:val="1"/>
                <w:color w:val="auto"/>
              </w:rPr>
              <w:t>Proposal(s)</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of the Board of</w:t>
            </w:r>
          </w:p>
        </w:tc>
        <w:tc>
          <w:tcPr>
            <w:tcW w:w="640" w:type="dxa"/>
            <w:vAlign w:val="bottom"/>
          </w:tcPr>
          <w:p>
            <w:pPr>
              <w:spacing w:after="0"/>
              <w:rPr>
                <w:sz w:val="20"/>
                <w:szCs w:val="20"/>
                <w:color w:val="auto"/>
              </w:rPr>
            </w:pPr>
          </w:p>
        </w:tc>
        <w:tc>
          <w:tcPr>
            <w:tcW w:w="2040" w:type="dxa"/>
            <w:vAlign w:val="bottom"/>
            <w:tcBorders>
              <w:right w:val="single" w:sz="8" w:color="auto"/>
            </w:tcBorders>
            <w:gridSpan w:val="2"/>
          </w:tcPr>
          <w:p>
            <w:pPr>
              <w:ind w:left="340"/>
              <w:spacing w:after="0"/>
              <w:rPr>
                <w:sz w:val="20"/>
                <w:szCs w:val="20"/>
                <w:color w:val="auto"/>
              </w:rPr>
            </w:pPr>
            <w:r>
              <w:rPr>
                <w:rFonts w:ascii="Arial" w:cs="Arial" w:eastAsia="Arial" w:hAnsi="Arial"/>
                <w:sz w:val="13"/>
                <w:szCs w:val="13"/>
                <w:b w:val="1"/>
                <w:bCs w:val="1"/>
                <w:color w:val="auto"/>
              </w:rPr>
              <w:t>Vote Options</w:t>
            </w:r>
          </w:p>
        </w:tc>
        <w:tc>
          <w:tcPr>
            <w:tcW w:w="0" w:type="dxa"/>
            <w:vAlign w:val="bottom"/>
          </w:tcPr>
          <w:p>
            <w:pPr>
              <w:spacing w:after="0"/>
              <w:rPr>
                <w:sz w:val="1"/>
                <w:szCs w:val="1"/>
                <w:color w:val="auto"/>
              </w:rPr>
            </w:pPr>
          </w:p>
        </w:tc>
      </w:tr>
      <w:tr>
        <w:trPr>
          <w:trHeight w:val="238"/>
        </w:trPr>
        <w:tc>
          <w:tcPr>
            <w:tcW w:w="360" w:type="dxa"/>
            <w:vAlign w:val="bottom"/>
            <w:tcBorders>
              <w:left w:val="single" w:sz="8" w:color="auto"/>
              <w:right w:val="single" w:sz="8" w:color="auto"/>
            </w:tcBorders>
          </w:tcPr>
          <w:p>
            <w:pPr>
              <w:spacing w:after="0"/>
              <w:rPr>
                <w:sz w:val="20"/>
                <w:szCs w:val="20"/>
                <w:color w:val="auto"/>
              </w:rPr>
            </w:pPr>
          </w:p>
        </w:tc>
        <w:tc>
          <w:tcPr>
            <w:tcW w:w="64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Directors</w:t>
            </w: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642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1A.</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R.W. BABB, JR.</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For</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For</w:t>
            </w: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Against</w:t>
            </w:r>
          </w:p>
        </w:tc>
        <w:tc>
          <w:tcPr>
            <w:tcW w:w="1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Abstain</w:t>
            </w:r>
          </w:p>
        </w:tc>
        <w:tc>
          <w:tcPr>
            <w:tcW w:w="0" w:type="dxa"/>
            <w:vAlign w:val="bottom"/>
          </w:tcPr>
          <w:p>
            <w:pPr>
              <w:spacing w:after="0"/>
              <w:rPr>
                <w:sz w:val="1"/>
                <w:szCs w:val="1"/>
                <w:color w:val="auto"/>
              </w:rPr>
            </w:pPr>
          </w:p>
        </w:tc>
      </w:tr>
      <w:tr>
        <w:trPr>
          <w:trHeight w:val="231"/>
        </w:trPr>
        <w:tc>
          <w:tcPr>
            <w:tcW w:w="3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1B.</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M.A. BLINN</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For</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For</w:t>
            </w: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Against</w:t>
            </w:r>
          </w:p>
        </w:tc>
        <w:tc>
          <w:tcPr>
            <w:tcW w:w="1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Abstain</w:t>
            </w:r>
          </w:p>
        </w:tc>
        <w:tc>
          <w:tcPr>
            <w:tcW w:w="0" w:type="dxa"/>
            <w:vAlign w:val="bottom"/>
          </w:tcPr>
          <w:p>
            <w:pPr>
              <w:spacing w:after="0"/>
              <w:rPr>
                <w:sz w:val="1"/>
                <w:szCs w:val="1"/>
                <w:color w:val="auto"/>
              </w:rPr>
            </w:pPr>
          </w:p>
        </w:tc>
      </w:tr>
      <w:tr>
        <w:trPr>
          <w:trHeight w:val="231"/>
        </w:trPr>
        <w:tc>
          <w:tcPr>
            <w:tcW w:w="3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1C.</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D.A. CARP</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For</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For</w:t>
            </w: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Against</w:t>
            </w:r>
          </w:p>
        </w:tc>
        <w:tc>
          <w:tcPr>
            <w:tcW w:w="1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Abstain</w:t>
            </w:r>
          </w:p>
        </w:tc>
        <w:tc>
          <w:tcPr>
            <w:tcW w:w="0" w:type="dxa"/>
            <w:vAlign w:val="bottom"/>
          </w:tcPr>
          <w:p>
            <w:pPr>
              <w:spacing w:after="0"/>
              <w:rPr>
                <w:sz w:val="1"/>
                <w:szCs w:val="1"/>
                <w:color w:val="auto"/>
              </w:rPr>
            </w:pPr>
          </w:p>
        </w:tc>
      </w:tr>
      <w:tr>
        <w:trPr>
          <w:trHeight w:val="231"/>
        </w:trPr>
        <w:tc>
          <w:tcPr>
            <w:tcW w:w="3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1D.</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C.S. COX</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For</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For</w:t>
            </w: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Against</w:t>
            </w:r>
          </w:p>
        </w:tc>
        <w:tc>
          <w:tcPr>
            <w:tcW w:w="1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Abstain</w:t>
            </w:r>
          </w:p>
        </w:tc>
        <w:tc>
          <w:tcPr>
            <w:tcW w:w="0" w:type="dxa"/>
            <w:vAlign w:val="bottom"/>
          </w:tcPr>
          <w:p>
            <w:pPr>
              <w:spacing w:after="0"/>
              <w:rPr>
                <w:sz w:val="1"/>
                <w:szCs w:val="1"/>
                <w:color w:val="auto"/>
              </w:rPr>
            </w:pPr>
          </w:p>
        </w:tc>
      </w:tr>
      <w:tr>
        <w:trPr>
          <w:trHeight w:val="231"/>
        </w:trPr>
        <w:tc>
          <w:tcPr>
            <w:tcW w:w="3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1E.</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R. KIRK</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For</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For</w:t>
            </w: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Against</w:t>
            </w:r>
          </w:p>
        </w:tc>
        <w:tc>
          <w:tcPr>
            <w:tcW w:w="1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Abstain</w:t>
            </w:r>
          </w:p>
        </w:tc>
        <w:tc>
          <w:tcPr>
            <w:tcW w:w="0" w:type="dxa"/>
            <w:vAlign w:val="bottom"/>
          </w:tcPr>
          <w:p>
            <w:pPr>
              <w:spacing w:after="0"/>
              <w:rPr>
                <w:sz w:val="1"/>
                <w:szCs w:val="1"/>
                <w:color w:val="auto"/>
              </w:rPr>
            </w:pPr>
          </w:p>
        </w:tc>
      </w:tr>
      <w:tr>
        <w:trPr>
          <w:trHeight w:val="231"/>
        </w:trPr>
        <w:tc>
          <w:tcPr>
            <w:tcW w:w="3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1F.</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P.H. PATSLEY</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For</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For</w:t>
            </w: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Against</w:t>
            </w:r>
          </w:p>
        </w:tc>
        <w:tc>
          <w:tcPr>
            <w:tcW w:w="1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Abstain</w:t>
            </w:r>
          </w:p>
        </w:tc>
        <w:tc>
          <w:tcPr>
            <w:tcW w:w="0" w:type="dxa"/>
            <w:vAlign w:val="bottom"/>
          </w:tcPr>
          <w:p>
            <w:pPr>
              <w:spacing w:after="0"/>
              <w:rPr>
                <w:sz w:val="1"/>
                <w:szCs w:val="1"/>
                <w:color w:val="auto"/>
              </w:rPr>
            </w:pPr>
          </w:p>
        </w:tc>
      </w:tr>
      <w:tr>
        <w:trPr>
          <w:trHeight w:val="231"/>
        </w:trPr>
        <w:tc>
          <w:tcPr>
            <w:tcW w:w="3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1G.</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R.E. SANCHEZ</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For</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For</w:t>
            </w: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Against</w:t>
            </w:r>
          </w:p>
        </w:tc>
        <w:tc>
          <w:tcPr>
            <w:tcW w:w="1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Abstain</w:t>
            </w:r>
          </w:p>
        </w:tc>
        <w:tc>
          <w:tcPr>
            <w:tcW w:w="0" w:type="dxa"/>
            <w:vAlign w:val="bottom"/>
          </w:tcPr>
          <w:p>
            <w:pPr>
              <w:spacing w:after="0"/>
              <w:rPr>
                <w:sz w:val="1"/>
                <w:szCs w:val="1"/>
                <w:color w:val="auto"/>
              </w:rPr>
            </w:pPr>
          </w:p>
        </w:tc>
      </w:tr>
      <w:tr>
        <w:trPr>
          <w:trHeight w:val="231"/>
        </w:trPr>
        <w:tc>
          <w:tcPr>
            <w:tcW w:w="3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1H.</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W.R. SANDERS</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For</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For</w:t>
            </w: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Against</w:t>
            </w:r>
          </w:p>
        </w:tc>
        <w:tc>
          <w:tcPr>
            <w:tcW w:w="1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Abstain</w:t>
            </w:r>
          </w:p>
        </w:tc>
        <w:tc>
          <w:tcPr>
            <w:tcW w:w="0" w:type="dxa"/>
            <w:vAlign w:val="bottom"/>
          </w:tcPr>
          <w:p>
            <w:pPr>
              <w:spacing w:after="0"/>
              <w:rPr>
                <w:sz w:val="1"/>
                <w:szCs w:val="1"/>
                <w:color w:val="auto"/>
              </w:rPr>
            </w:pPr>
          </w:p>
        </w:tc>
      </w:tr>
      <w:tr>
        <w:trPr>
          <w:trHeight w:val="231"/>
        </w:trPr>
        <w:tc>
          <w:tcPr>
            <w:tcW w:w="3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1I.</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R.J. SIMMONS</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For</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For</w:t>
            </w: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Against</w:t>
            </w:r>
          </w:p>
        </w:tc>
        <w:tc>
          <w:tcPr>
            <w:tcW w:w="1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Abstain</w:t>
            </w:r>
          </w:p>
        </w:tc>
        <w:tc>
          <w:tcPr>
            <w:tcW w:w="0" w:type="dxa"/>
            <w:vAlign w:val="bottom"/>
          </w:tcPr>
          <w:p>
            <w:pPr>
              <w:spacing w:after="0"/>
              <w:rPr>
                <w:sz w:val="1"/>
                <w:szCs w:val="1"/>
                <w:color w:val="auto"/>
              </w:rPr>
            </w:pPr>
          </w:p>
        </w:tc>
      </w:tr>
      <w:tr>
        <w:trPr>
          <w:trHeight w:val="231"/>
        </w:trPr>
        <w:tc>
          <w:tcPr>
            <w:tcW w:w="3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1J.</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R.K. TEMPLETON</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For</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For</w:t>
            </w: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Against</w:t>
            </w:r>
          </w:p>
        </w:tc>
        <w:tc>
          <w:tcPr>
            <w:tcW w:w="1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Abstain</w:t>
            </w:r>
          </w:p>
        </w:tc>
        <w:tc>
          <w:tcPr>
            <w:tcW w:w="0" w:type="dxa"/>
            <w:vAlign w:val="bottom"/>
          </w:tcPr>
          <w:p>
            <w:pPr>
              <w:spacing w:after="0"/>
              <w:rPr>
                <w:sz w:val="1"/>
                <w:szCs w:val="1"/>
                <w:color w:val="auto"/>
              </w:rPr>
            </w:pPr>
          </w:p>
        </w:tc>
      </w:tr>
      <w:tr>
        <w:trPr>
          <w:trHeight w:val="231"/>
        </w:trPr>
        <w:tc>
          <w:tcPr>
            <w:tcW w:w="3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1K.</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C.T. WHITMAN</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For</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For</w:t>
            </w: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Against</w:t>
            </w:r>
          </w:p>
        </w:tc>
        <w:tc>
          <w:tcPr>
            <w:tcW w:w="1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Abstain</w:t>
            </w:r>
          </w:p>
        </w:tc>
        <w:tc>
          <w:tcPr>
            <w:tcW w:w="0" w:type="dxa"/>
            <w:vAlign w:val="bottom"/>
          </w:tcPr>
          <w:p>
            <w:pPr>
              <w:spacing w:after="0"/>
              <w:rPr>
                <w:sz w:val="1"/>
                <w:szCs w:val="1"/>
                <w:color w:val="auto"/>
              </w:rPr>
            </w:pPr>
          </w:p>
        </w:tc>
      </w:tr>
      <w:tr>
        <w:trPr>
          <w:trHeight w:val="155"/>
        </w:trPr>
        <w:tc>
          <w:tcPr>
            <w:tcW w:w="3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2.</w:t>
            </w:r>
          </w:p>
        </w:tc>
        <w:tc>
          <w:tcPr>
            <w:tcW w:w="64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BOARD PROPOSAL REGARDING ADVISORY APPROVAL OF THE COMPANY'S EXECUTIVE</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For</w:t>
            </w:r>
          </w:p>
        </w:tc>
        <w:tc>
          <w:tcPr>
            <w:tcW w:w="640" w:type="dxa"/>
            <w:vAlign w:val="bottom"/>
            <w:vMerge w:val="restart"/>
          </w:tcPr>
          <w:p>
            <w:pPr>
              <w:ind w:left="1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For</w:t>
            </w:r>
          </w:p>
        </w:tc>
        <w:tc>
          <w:tcPr>
            <w:tcW w:w="900" w:type="dxa"/>
            <w:vAlign w:val="bottom"/>
            <w:vMerge w:val="restart"/>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Against</w:t>
            </w:r>
          </w:p>
        </w:tc>
        <w:tc>
          <w:tcPr>
            <w:tcW w:w="11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Abstain</w:t>
            </w:r>
          </w:p>
        </w:tc>
        <w:tc>
          <w:tcPr>
            <w:tcW w:w="0" w:type="dxa"/>
            <w:vAlign w:val="bottom"/>
          </w:tcPr>
          <w:p>
            <w:pPr>
              <w:spacing w:after="0"/>
              <w:rPr>
                <w:sz w:val="1"/>
                <w:szCs w:val="1"/>
                <w:color w:val="auto"/>
              </w:rPr>
            </w:pPr>
          </w:p>
        </w:tc>
      </w:tr>
      <w:tr>
        <w:trPr>
          <w:trHeight w:val="120"/>
        </w:trPr>
        <w:tc>
          <w:tcPr>
            <w:tcW w:w="360" w:type="dxa"/>
            <w:vAlign w:val="bottom"/>
            <w:tcBorders>
              <w:left w:val="single" w:sz="8" w:color="auto"/>
              <w:right w:val="single" w:sz="8" w:color="auto"/>
            </w:tcBorders>
          </w:tcPr>
          <w:p>
            <w:pPr>
              <w:spacing w:after="0"/>
              <w:rPr>
                <w:sz w:val="10"/>
                <w:szCs w:val="10"/>
                <w:color w:val="auto"/>
              </w:rPr>
            </w:pPr>
          </w:p>
        </w:tc>
        <w:tc>
          <w:tcPr>
            <w:tcW w:w="6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COMPENSATION.</w:t>
            </w:r>
          </w:p>
        </w:tc>
        <w:tc>
          <w:tcPr>
            <w:tcW w:w="1720" w:type="dxa"/>
            <w:vAlign w:val="bottom"/>
            <w:tcBorders>
              <w:right w:val="single" w:sz="8" w:color="auto"/>
            </w:tcBorders>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360" w:type="dxa"/>
            <w:vAlign w:val="bottom"/>
            <w:tcBorders>
              <w:left w:val="single" w:sz="8" w:color="auto"/>
              <w:bottom w:val="single" w:sz="8" w:color="auto"/>
              <w:right w:val="single" w:sz="8" w:color="auto"/>
            </w:tcBorders>
          </w:tcPr>
          <w:p>
            <w:pPr>
              <w:spacing w:after="0"/>
              <w:rPr>
                <w:sz w:val="5"/>
                <w:szCs w:val="5"/>
                <w:color w:val="auto"/>
              </w:rPr>
            </w:pPr>
          </w:p>
        </w:tc>
        <w:tc>
          <w:tcPr>
            <w:tcW w:w="6420" w:type="dxa"/>
            <w:vAlign w:val="bottom"/>
            <w:tcBorders>
              <w:bottom w:val="single" w:sz="8" w:color="auto"/>
              <w:right w:val="single" w:sz="8" w:color="auto"/>
            </w:tcBorders>
            <w:vMerge w:val="continue"/>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3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3.</w:t>
            </w:r>
          </w:p>
        </w:tc>
        <w:tc>
          <w:tcPr>
            <w:tcW w:w="64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BOARD PROPOSAL TO RATIFY THE APPOINTMENT OF ERNST &amp; YOUNG LLP AS THE COMPANY'S</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For</w:t>
            </w:r>
          </w:p>
        </w:tc>
        <w:tc>
          <w:tcPr>
            <w:tcW w:w="640" w:type="dxa"/>
            <w:vAlign w:val="bottom"/>
            <w:vMerge w:val="restart"/>
          </w:tcPr>
          <w:p>
            <w:pPr>
              <w:ind w:left="1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For</w:t>
            </w:r>
          </w:p>
        </w:tc>
        <w:tc>
          <w:tcPr>
            <w:tcW w:w="900" w:type="dxa"/>
            <w:vAlign w:val="bottom"/>
            <w:vMerge w:val="restart"/>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Against</w:t>
            </w:r>
          </w:p>
        </w:tc>
        <w:tc>
          <w:tcPr>
            <w:tcW w:w="11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Abstain</w:t>
            </w:r>
          </w:p>
        </w:tc>
        <w:tc>
          <w:tcPr>
            <w:tcW w:w="0" w:type="dxa"/>
            <w:vAlign w:val="bottom"/>
          </w:tcPr>
          <w:p>
            <w:pPr>
              <w:spacing w:after="0"/>
              <w:rPr>
                <w:sz w:val="1"/>
                <w:szCs w:val="1"/>
                <w:color w:val="auto"/>
              </w:rPr>
            </w:pPr>
          </w:p>
        </w:tc>
      </w:tr>
      <w:tr>
        <w:trPr>
          <w:trHeight w:val="120"/>
        </w:trPr>
        <w:tc>
          <w:tcPr>
            <w:tcW w:w="360" w:type="dxa"/>
            <w:vAlign w:val="bottom"/>
            <w:tcBorders>
              <w:left w:val="single" w:sz="8" w:color="auto"/>
              <w:right w:val="single" w:sz="8" w:color="auto"/>
            </w:tcBorders>
          </w:tcPr>
          <w:p>
            <w:pPr>
              <w:spacing w:after="0"/>
              <w:rPr>
                <w:sz w:val="10"/>
                <w:szCs w:val="10"/>
                <w:color w:val="auto"/>
              </w:rPr>
            </w:pPr>
          </w:p>
        </w:tc>
        <w:tc>
          <w:tcPr>
            <w:tcW w:w="6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INDEPENDENT REGISTERED PUBLIC ACCOUNTING FIRM FOR 2015.</w:t>
            </w:r>
          </w:p>
        </w:tc>
        <w:tc>
          <w:tcPr>
            <w:tcW w:w="1720" w:type="dxa"/>
            <w:vAlign w:val="bottom"/>
            <w:tcBorders>
              <w:right w:val="single" w:sz="8" w:color="auto"/>
            </w:tcBorders>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360" w:type="dxa"/>
            <w:vAlign w:val="bottom"/>
            <w:tcBorders>
              <w:left w:val="single" w:sz="8" w:color="auto"/>
              <w:bottom w:val="single" w:sz="8" w:color="auto"/>
              <w:right w:val="single" w:sz="8" w:color="auto"/>
            </w:tcBorders>
          </w:tcPr>
          <w:p>
            <w:pPr>
              <w:spacing w:after="0"/>
              <w:rPr>
                <w:sz w:val="5"/>
                <w:szCs w:val="5"/>
                <w:color w:val="auto"/>
              </w:rPr>
            </w:pPr>
          </w:p>
        </w:tc>
        <w:tc>
          <w:tcPr>
            <w:tcW w:w="6420" w:type="dxa"/>
            <w:vAlign w:val="bottom"/>
            <w:tcBorders>
              <w:bottom w:val="single" w:sz="8" w:color="auto"/>
              <w:right w:val="single" w:sz="8" w:color="auto"/>
            </w:tcBorders>
            <w:vMerge w:val="continue"/>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7" w:orient="portrait"/>
          <w:cols w:equalWidth="0" w:num="1">
            <w:col w:w="11420"/>
          </w:cols>
          <w:pgMar w:left="240" w:top="357" w:right="239" w:bottom="0" w:gutter="0" w:footer="0" w:header="0"/>
        </w:sectPr>
      </w:pPr>
    </w:p>
    <w:p>
      <w:pPr>
        <w:spacing w:after="0" w:line="69" w:lineRule="exact"/>
        <w:rPr>
          <w:sz w:val="20"/>
          <w:szCs w:val="20"/>
          <w:color w:val="auto"/>
        </w:rPr>
      </w:pPr>
    </w:p>
    <w:p>
      <w:pPr>
        <w:jc w:val="center"/>
        <w:spacing w:after="0"/>
        <w:rPr>
          <w:sz w:val="20"/>
          <w:szCs w:val="20"/>
          <w:color w:val="auto"/>
        </w:rPr>
      </w:pPr>
      <w:r>
        <w:rPr>
          <w:rFonts w:ascii="Arial" w:cs="Arial" w:eastAsia="Arial" w:hAnsi="Arial"/>
          <w:sz w:val="15"/>
          <w:szCs w:val="15"/>
          <w:color w:val="auto"/>
          <w:highlight w:val="white"/>
        </w:rPr>
        <w:t xml:space="preserve">Submit </w:t>
      </w:r>
      <w:r>
        <w:rPr>
          <w:sz w:val="1"/>
          <w:szCs w:val="1"/>
          <w:color w:val="auto"/>
        </w:rPr>
        <w:drawing>
          <wp:inline distT="0" distB="0" distL="0" distR="0">
            <wp:extent cx="20955" cy="15557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955" cy="155575"/>
                    </a:xfrm>
                    <a:prstGeom prst="rect">
                      <a:avLst/>
                    </a:prstGeom>
                    <a:noFill/>
                    <a:ln>
                      <a:noFill/>
                    </a:ln>
                  </pic:spPr>
                </pic:pic>
              </a:graphicData>
            </a:graphic>
          </wp:inline>
        </w:drawing>
      </w:r>
      <w:r>
        <w:rPr>
          <w:rFonts w:ascii="Arial" w:cs="Arial" w:eastAsia="Arial" w:hAnsi="Arial"/>
          <w:sz w:val="15"/>
          <w:szCs w:val="15"/>
          <w:color w:val="auto"/>
          <w:highlight w:val="white"/>
        </w:rPr>
        <w:t>Reset</w:t>
      </w:r>
    </w:p>
    <w:p>
      <w:pPr>
        <w:sectPr>
          <w:pgSz w:w="11900" w:h="16847" w:orient="portrait"/>
          <w:cols w:equalWidth="0" w:num="1">
            <w:col w:w="11420"/>
          </w:cols>
          <w:pgMar w:left="240" w:top="357" w:right="239" w:bottom="0" w:gutter="0" w:footer="0" w:header="0"/>
          <w:type w:val="continuous"/>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53605" cy="774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77470"/>
                    </a:xfrm>
                    <a:prstGeom prst="rect">
                      <a:avLst/>
                    </a:prstGeom>
                    <a:noFill/>
                  </pic:spPr>
                </pic:pic>
              </a:graphicData>
            </a:graphic>
          </wp:anchor>
        </w:drawing>
        <w:drawing>
          <wp:anchor simplePos="0" relativeHeight="251657728" behindDoc="1" locked="0" layoutInCell="0" allowOverlap="1">
            <wp:simplePos x="0" y="0"/>
            <wp:positionH relativeFrom="page">
              <wp:posOffset>153670</wp:posOffset>
            </wp:positionH>
            <wp:positionV relativeFrom="page">
              <wp:posOffset>380365</wp:posOffset>
            </wp:positionV>
            <wp:extent cx="727075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upperLetter"/>
      <w:start w:val="24"/>
    </w:lvl>
  </w:abstractNum>
  <w:abstractNum w:abstractNumId="1">
    <w:nsid w:val="3804823E"/>
    <w:multiLevelType w:val="hybridMultilevel"/>
    <w:lvl w:ilvl="0">
      <w:lvlJc w:val="left"/>
      <w:lvlText w:val="[%1]"/>
      <w:numFmt w:val="upperLetter"/>
      <w:start w:val="24"/>
    </w:lvl>
  </w:abstractNum>
  <w:abstractNum w:abstractNumId="2">
    <w:nsid w:val="77465F01"/>
    <w:multiLevelType w:val="hybridMultilevel"/>
    <w:lvl w:ilvl="0">
      <w:lvlJc w:val="left"/>
      <w:lvlText w:val="["/>
      <w:numFmt w:val="bullet"/>
      <w:start w:val="1"/>
    </w:lvl>
    <w:lvl w:ilvl="1">
      <w:lvlJc w:val="left"/>
      <w:lvlText w:val="%2)"/>
      <w:numFmt w:val="decimal"/>
      <w:start w:val="1"/>
    </w:lvl>
  </w:abstractNum>
  <w:abstractNum w:abstractNumId="3">
    <w:nsid w:val="7724C67E"/>
    <w:multiLevelType w:val="hybridMultilevel"/>
    <w:lvl w:ilvl="0">
      <w:lvlJc w:val="left"/>
      <w:lvlText w:val="["/>
      <w:numFmt w:val="bullet"/>
      <w:start w:val="1"/>
    </w:lvl>
    <w:lvl w:ilvl="1">
      <w:lvlJc w:val="left"/>
      <w:lvlText w:val="%2)"/>
      <w:numFmt w:val="decimal"/>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1."/>
      <w:numFmt w:val="upperLetter"/>
      <w:start w:val="1"/>
    </w:lvl>
    <w:lvl w:ilvl="1">
      <w:lvlJc w:val="left"/>
      <w:lvlText w:val="%2."/>
      <w:numFmt w:val="decimal"/>
      <w:start w:val="1"/>
    </w:lvl>
  </w:abstractNum>
  <w:abstractNum w:abstractNumId="18">
    <w:nsid w:val="57E4CCAF"/>
    <w:multiLevelType w:val="hybridMultilevel"/>
    <w:lvl w:ilvl="0">
      <w:lvlJc w:val="left"/>
      <w:lvlText w:val="%1."/>
      <w:numFmt w:val="upperLetter"/>
      <w:start w:val="4"/>
    </w:lvl>
    <w:lvl w:ilvl="1">
      <w:lvlJc w:val="left"/>
      <w:lvlText w:val="%2."/>
      <w:numFmt w:val="decimal"/>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lvl w:ilvl="1">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lvl w:ilvl="1">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1)"/>
      <w:numFmt w:val="decimal"/>
      <w:start w:val="3"/>
    </w:lvl>
  </w:abstractNum>
  <w:abstractNum w:abstractNumId="28">
    <w:nsid w:val="749ABB43"/>
    <w:multiLevelType w:val="hybridMultilevel"/>
    <w:lvl w:ilvl="0">
      <w:lvlJc w:val="left"/>
      <w:lvlText w:val="(%1)"/>
      <w:numFmt w:val="decimal"/>
      <w:start w:val="4"/>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lvl w:ilvl="1">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1"/>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lvl w:ilvl="1">
      <w:lvlJc w:val="left"/>
      <w:lvlText w:val="○"/>
      <w:numFmt w:val="bullet"/>
      <w:start w:val="1"/>
    </w:lvl>
  </w:abstractNum>
  <w:abstractNum w:abstractNumId="38">
    <w:nsid w:val="23F9C13C"/>
    <w:multiLevelType w:val="hybridMultilevel"/>
    <w:lvl w:ilvl="0">
      <w:lvlJc w:val="left"/>
      <w:lvlText w:val="2"/>
      <w:numFmt w:val="bullet"/>
      <w:start w:val="1"/>
    </w:lvl>
  </w:abstractNum>
  <w:abstractNum w:abstractNumId="39">
    <w:nsid w:val="649BB77C"/>
    <w:multiLevelType w:val="hybridMultilevel"/>
    <w:lvl w:ilvl="0">
      <w:lvlJc w:val="left"/>
      <w:lvlText w:val="●"/>
      <w:numFmt w:val="bullet"/>
      <w:start w:val="1"/>
    </w:lvl>
    <w:lvl w:ilvl="1">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3"/>
      <w:numFmt w:val="bullet"/>
      <w:start w:val="1"/>
    </w:lvl>
  </w:abstractNum>
  <w:abstractNum w:abstractNumId="43">
    <w:nsid w:val="180115BE"/>
    <w:multiLevelType w:val="hybridMultilevel"/>
    <w:lvl w:ilvl="0">
      <w:lvlJc w:val="left"/>
      <w:lvlText w:val="4"/>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5"/>
      <w:numFmt w:val="bullet"/>
      <w:start w:val="1"/>
    </w:lvl>
  </w:abstractNum>
  <w:abstractNum w:abstractNumId="47">
    <w:nsid w:val="15B5AF5C"/>
    <w:multiLevelType w:val="hybridMultilevel"/>
    <w:lvl w:ilvl="0">
      <w:lvlJc w:val="left"/>
      <w:lvlText w:val="(%1)"/>
      <w:numFmt w:val="lowerRoman"/>
      <w:start w:val="1"/>
    </w:lvl>
  </w:abstractNum>
  <w:abstractNum w:abstractNumId="48">
    <w:nsid w:val="741226BB"/>
    <w:multiLevelType w:val="hybridMultilevel"/>
    <w:lvl w:ilvl="0">
      <w:lvlJc w:val="left"/>
      <w:lvlText w:val="(%1)"/>
      <w:numFmt w:val="decimal"/>
      <w:start w:val="1"/>
    </w:lvl>
  </w:abstractNum>
  <w:abstractNum w:abstractNumId="49">
    <w:nsid w:val="D34B6A8"/>
    <w:multiLevelType w:val="hybridMultilevel"/>
    <w:lvl w:ilvl="0">
      <w:lvlJc w:val="left"/>
      <w:lvlText w:val="(%1)"/>
      <w:numFmt w:val="decimal"/>
      <w:start w:val="4"/>
    </w:lvl>
  </w:abstractNum>
  <w:abstractNum w:abstractNumId="50">
    <w:nsid w:val="10233C99"/>
    <w:multiLevelType w:val="hybridMultilevel"/>
    <w:lvl w:ilvl="0">
      <w:lvlJc w:val="left"/>
      <w:lvlText w:val="(%1)"/>
      <w:numFmt w:val="lowerLetter"/>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1)"/>
      <w:numFmt w:val="decimal"/>
      <w:start w:val="1"/>
    </w:lvl>
  </w:abstractNum>
  <w:abstractNum w:abstractNumId="54">
    <w:nsid w:val="77AE35EB"/>
    <w:multiLevelType w:val="hybridMultilevel"/>
    <w:lvl w:ilvl="0">
      <w:lvlJc w:val="left"/>
      <w:lvlText w:val="(%1)"/>
      <w:numFmt w:val="decimal"/>
      <w:start w:val="4"/>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1)"/>
      <w:numFmt w:val="lowerRoman"/>
      <w:start w:val="6"/>
    </w:lvl>
  </w:abstractNum>
  <w:abstractNum w:abstractNumId="59">
    <w:nsid w:val="25A70BF7"/>
    <w:multiLevelType w:val="hybridMultilevel"/>
    <w:lvl w:ilvl="0">
      <w:lvlJc w:val="left"/>
      <w:lvlText w:val="%1"/>
      <w:numFmt w:val="upperLetter"/>
      <w:start w:val="35"/>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1)"/>
      <w:numFmt w:val="decimal"/>
      <w:start w:val="2"/>
    </w:lvl>
  </w:abstractNum>
  <w:abstractNum w:abstractNumId="63">
    <w:nsid w:val="1381823A"/>
    <w:multiLevelType w:val="hybridMultilevel"/>
    <w:lvl w:ilvl="0">
      <w:lvlJc w:val="left"/>
      <w:lvlText w:val="(%1)"/>
      <w:numFmt w:val="decimal"/>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1)"/>
      <w:numFmt w:val="decimal"/>
      <w:start w:val="1"/>
    </w:lvl>
  </w:abstractNum>
  <w:abstractNum w:abstractNumId="66">
    <w:nsid w:val="6590700B"/>
    <w:multiLevelType w:val="hybridMultilevel"/>
    <w:lvl w:ilvl="0">
      <w:lvlJc w:val="left"/>
      <w:lvlText w:val="(%1)"/>
      <w:numFmt w:val="lowerLetter"/>
      <w:start w:val="1"/>
    </w:lvl>
  </w:abstractNum>
  <w:abstractNum w:abstractNumId="67">
    <w:nsid w:val="15014ACB"/>
    <w:multiLevelType w:val="hybridMultilevel"/>
    <w:lvl w:ilvl="0">
      <w:lvlJc w:val="left"/>
      <w:lvlText w:val="(%1)"/>
      <w:numFmt w:val="decimal"/>
      <w:start w:val="2"/>
    </w:lvl>
  </w:abstractNum>
  <w:abstractNum w:abstractNumId="68">
    <w:nsid w:val="5F5E7FD0"/>
    <w:multiLevelType w:val="hybridMultilevel"/>
    <w:lvl w:ilvl="0">
      <w:lvlJc w:val="left"/>
      <w:lvlText w:val="(%1)"/>
      <w:numFmt w:val="decimal"/>
      <w:start w:val="3"/>
    </w:lvl>
    <w:lvl w:ilvl="1">
      <w:lvlJc w:val="left"/>
      <w:lvlText w:val="(%2)"/>
      <w:numFmt w:val="lowerLetter"/>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2019-12-05T16:24:53Z</dcterms:created>
  <dcterms:modified xsi:type="dcterms:W3CDTF">2019-12-05T16:24:53Z</dcterms:modified>
</cp:coreProperties>
</file>