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333-209678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24"/>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4"/>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rPr>
              <w:t>Max</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6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95"/>
              </w:rPr>
              <w:t>Offering</w:t>
            </w:r>
          </w:p>
        </w:tc>
        <w:tc>
          <w:tcPr>
            <w:tcW w:w="16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tcPr>
          <w:p>
            <w:pPr>
              <w:jc w:val="center"/>
              <w:ind w:left="19"/>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5"/>
              </w:rPr>
              <w:t>Price Per Unit</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1.850% Notes due 2022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99.739%</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$498,695,000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$50,218.59</w:t>
            </w: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99.739%</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$498,695,000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$50,218.59</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21"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254635</wp:posOffset>
            </wp:positionV>
            <wp:extent cx="286448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$500,000,000 1.850%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243840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Texas Instruments Incorporated is offering $500,000,000 aggregate principal amount of its 1.850% Notes due 2022 (the “Notes”), which will bear interest at the rate per year, as set forth above. Interest on the Notes will be payable semi-annually in arrears on May 15 and November 15 of each year, beginning November 15, 2016.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mature on May 15, 2022.</w:t>
      </w:r>
    </w:p>
    <w:p>
      <w:pPr>
        <w:spacing w:after="0" w:line="26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may redeem some or all of the Notes at any time, each at the redemption price indicated under the caption “Description of the Notes—Optional Redemption.”</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198"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S-8.</w:t>
      </w:r>
    </w:p>
    <w:p>
      <w:pPr>
        <w:spacing w:after="0" w:line="25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5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 Note</w:t>
            </w: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99.739%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498,695,000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Underwriting discount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0.375%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1,875,000</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99.364%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496,820,000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Notes will accrue from May 6, 2016 to the date of delivery.</w:t>
      </w:r>
    </w:p>
    <w:p>
      <w:pPr>
        <w:spacing w:after="0" w:line="2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underwriters expect to deliver the Notes to purchasers on or about May 6, 2016, only in book-entry form through the facilities of The Depository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25" w:lineRule="exact"/>
        <w:rPr>
          <w:sz w:val="20"/>
          <w:szCs w:val="20"/>
          <w:color w:val="auto"/>
        </w:rPr>
      </w:pPr>
    </w:p>
    <w:p>
      <w:pPr>
        <w:spacing w:after="0"/>
        <w:tabs>
          <w:tab w:leader="none" w:pos="3460" w:val="left"/>
          <w:tab w:leader="none" w:pos="8900" w:val="left"/>
        </w:tabs>
        <w:rPr>
          <w:sz w:val="20"/>
          <w:szCs w:val="20"/>
          <w:color w:val="auto"/>
        </w:rPr>
      </w:pPr>
      <w:r>
        <w:rPr>
          <w:rFonts w:ascii="Arial" w:cs="Arial" w:eastAsia="Arial" w:hAnsi="Arial"/>
          <w:sz w:val="32"/>
          <w:szCs w:val="32"/>
          <w:b w:val="1"/>
          <w:bCs w:val="1"/>
          <w:color w:val="auto"/>
        </w:rPr>
        <w:t>Barclays</w:t>
      </w:r>
      <w:r>
        <w:rPr>
          <w:sz w:val="20"/>
          <w:szCs w:val="20"/>
          <w:color w:val="auto"/>
        </w:rPr>
        <w:tab/>
      </w:r>
      <w:r>
        <w:rPr>
          <w:rFonts w:ascii="Arial" w:cs="Arial" w:eastAsia="Arial" w:hAnsi="Arial"/>
          <w:sz w:val="32"/>
          <w:szCs w:val="32"/>
          <w:b w:val="1"/>
          <w:bCs w:val="1"/>
          <w:color w:val="auto"/>
        </w:rPr>
        <w:t>BofA Merrill Lynch</w:t>
      </w:r>
      <w:r>
        <w:rPr>
          <w:sz w:val="20"/>
          <w:szCs w:val="20"/>
          <w:color w:val="auto"/>
        </w:rPr>
        <w:tab/>
      </w:r>
      <w:r>
        <w:rPr>
          <w:rFonts w:ascii="Arial" w:cs="Arial" w:eastAsia="Arial" w:hAnsi="Arial"/>
          <w:sz w:val="29"/>
          <w:szCs w:val="29"/>
          <w:b w:val="1"/>
          <w:bCs w:val="1"/>
          <w:color w:val="auto"/>
        </w:rPr>
        <w:t>Mizuho Securities</w:t>
      </w:r>
    </w:p>
    <w:p>
      <w:pPr>
        <w:spacing w:after="0" w:line="118" w:lineRule="exact"/>
        <w:rPr>
          <w:sz w:val="20"/>
          <w:szCs w:val="20"/>
          <w:color w:val="auto"/>
        </w:rPr>
      </w:pPr>
    </w:p>
    <w:p>
      <w:pPr>
        <w:spacing w:after="0"/>
        <w:tabs>
          <w:tab w:leader="none" w:pos="3160" w:val="left"/>
          <w:tab w:leader="none" w:pos="5700" w:val="left"/>
          <w:tab w:leader="none" w:pos="10400" w:val="left"/>
        </w:tabs>
        <w:rPr>
          <w:sz w:val="20"/>
          <w:szCs w:val="20"/>
          <w:color w:val="auto"/>
        </w:rPr>
      </w:pPr>
      <w:r>
        <w:rPr>
          <w:rFonts w:ascii="Arial" w:cs="Arial" w:eastAsia="Arial" w:hAnsi="Arial"/>
          <w:sz w:val="32"/>
          <w:szCs w:val="32"/>
          <w:b w:val="1"/>
          <w:bCs w:val="1"/>
          <w:color w:val="auto"/>
        </w:rPr>
        <w:t>Citigroup</w:t>
      </w:r>
      <w:r>
        <w:rPr>
          <w:sz w:val="20"/>
          <w:szCs w:val="20"/>
          <w:color w:val="auto"/>
        </w:rPr>
        <w:tab/>
      </w: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32"/>
          <w:szCs w:val="32"/>
          <w:b w:val="1"/>
          <w:bCs w:val="1"/>
          <w:color w:val="auto"/>
        </w:rPr>
        <w:t>Morgan Stanley</w:t>
      </w:r>
      <w:r>
        <w:rPr>
          <w:sz w:val="20"/>
          <w:szCs w:val="20"/>
          <w:color w:val="auto"/>
        </w:rPr>
        <w:tab/>
      </w:r>
      <w:r>
        <w:rPr>
          <w:rFonts w:ascii="Arial" w:cs="Arial" w:eastAsia="Arial" w:hAnsi="Arial"/>
          <w:sz w:val="32"/>
          <w:szCs w:val="32"/>
          <w:b w:val="1"/>
          <w:bCs w:val="1"/>
          <w:color w:val="auto"/>
        </w:rPr>
        <w:t>MUFG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Williams Capital Group, L.P.</w:t>
      </w:r>
    </w:p>
    <w:p>
      <w:pPr>
        <w:spacing w:after="0" w:line="4" w:lineRule="exact"/>
        <w:rPr>
          <w:sz w:val="20"/>
          <w:szCs w:val="20"/>
          <w:color w:val="auto"/>
        </w:rPr>
      </w:pPr>
    </w:p>
    <w:p>
      <w:pPr>
        <w:jc w:val="center"/>
        <w:ind w:left="520"/>
        <w:spacing w:after="0"/>
        <w:rPr>
          <w:sz w:val="20"/>
          <w:szCs w:val="20"/>
          <w:color w:val="auto"/>
        </w:rPr>
      </w:pPr>
      <w:r>
        <w:rPr>
          <w:rFonts w:ascii="Arial" w:cs="Arial" w:eastAsia="Arial" w:hAnsi="Arial"/>
          <w:sz w:val="22"/>
          <w:szCs w:val="22"/>
          <w:b w:val="1"/>
          <w:bCs w:val="1"/>
          <w:color w:val="auto"/>
        </w:rPr>
        <w:t>US Bancorp</w:t>
      </w:r>
    </w:p>
    <w:p>
      <w:pPr>
        <w:ind w:left="7860"/>
        <w:spacing w:after="0" w:line="230" w:lineRule="auto"/>
        <w:rPr>
          <w:sz w:val="20"/>
          <w:szCs w:val="20"/>
          <w:color w:val="auto"/>
        </w:rPr>
      </w:pPr>
      <w:r>
        <w:rPr>
          <w:rFonts w:ascii="Arial" w:cs="Arial" w:eastAsia="Arial" w:hAnsi="Arial"/>
          <w:sz w:val="22"/>
          <w:szCs w:val="22"/>
          <w:b w:val="1"/>
          <w:bCs w:val="1"/>
          <w:color w:val="auto"/>
        </w:rPr>
        <w:t>BNP PARIBAS</w:t>
      </w:r>
    </w:p>
    <w:p>
      <w:pPr>
        <w:spacing w:after="0" w:line="1" w:lineRule="exact"/>
        <w:rPr>
          <w:sz w:val="20"/>
          <w:szCs w:val="20"/>
          <w:color w:val="auto"/>
        </w:rPr>
      </w:pPr>
    </w:p>
    <w:p>
      <w:pPr>
        <w:ind w:left="10660"/>
        <w:spacing w:after="0"/>
        <w:rPr>
          <w:sz w:val="20"/>
          <w:szCs w:val="20"/>
          <w:color w:val="auto"/>
        </w:rPr>
      </w:pPr>
      <w:r>
        <w:rPr>
          <w:rFonts w:ascii="Arial" w:cs="Arial" w:eastAsia="Arial" w:hAnsi="Arial"/>
          <w:sz w:val="22"/>
          <w:szCs w:val="22"/>
          <w:b w:val="1"/>
          <w:bCs w:val="1"/>
          <w:color w:val="auto"/>
        </w:rPr>
        <w:t>HSBC</w:t>
      </w:r>
    </w:p>
    <w:p>
      <w:pPr>
        <w:sectPr>
          <w:pgSz w:w="11900" w:h="16838" w:orient="portrait"/>
          <w:cols w:equalWidth="0" w:num="1">
            <w:col w:w="11420"/>
          </w:cols>
          <w:pgMar w:left="240" w:top="459" w:right="2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April 29, 2016</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153670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80" w:type="dxa"/>
            <w:vAlign w:val="bottom"/>
            <w:gridSpan w:val="3"/>
          </w:tcPr>
          <w:p>
            <w:pPr>
              <w:jc w:val="right"/>
              <w:ind w:right="445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3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60" w:type="dxa"/>
            <w:vAlign w:val="bottom"/>
            <w:gridSpan w:val="18"/>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Notice Regarding Forward-Looking Statements</w:t>
              </w:r>
            </w:hyperlink>
          </w:p>
        </w:tc>
        <w:tc>
          <w:tcPr>
            <w:tcW w:w="1160" w:type="dxa"/>
            <w:vAlign w:val="bottom"/>
            <w:gridSpan w:val="2"/>
            <w:vMerge w:val="restart"/>
          </w:tcPr>
          <w:p>
            <w:pPr>
              <w:spacing w:after="0"/>
              <w:rPr>
                <w:sz w:val="16"/>
                <w:szCs w:val="16"/>
                <w:color w:val="auto"/>
              </w:rPr>
            </w:pPr>
          </w:p>
        </w:tc>
        <w:tc>
          <w:tcPr>
            <w:tcW w:w="6300" w:type="dxa"/>
            <w:vAlign w:val="bottom"/>
            <w:gridSpan w:val="2"/>
            <w:vMerge w:val="continue"/>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0000EE"/>
            </w:tcBorders>
            <w:gridSpan w:val="18"/>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3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About this Prospectus Supplement</w:t>
              </w:r>
            </w:hyperlink>
          </w:p>
        </w:tc>
        <w:tc>
          <w:tcPr>
            <w:tcW w:w="2080" w:type="dxa"/>
            <w:vAlign w:val="bottom"/>
            <w:gridSpan w:val="5"/>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Summary</w:t>
              </w:r>
            </w:hyperlink>
          </w:p>
        </w:tc>
        <w:tc>
          <w:tcPr>
            <w:tcW w:w="3820" w:type="dxa"/>
            <w:vAlign w:val="bottom"/>
            <w:gridSpan w:val="18"/>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3620" w:type="dxa"/>
            <w:vAlign w:val="bottom"/>
            <w:gridSpan w:val="17"/>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Use of Proceeds</w:t>
              </w:r>
            </w:hyperlink>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3380" w:type="dxa"/>
            <w:vAlign w:val="bottom"/>
            <w:gridSpan w:val="14"/>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the Notes</w:t>
              </w:r>
            </w:hyperlink>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Material U.S. Federal Income Tax Consequences</w:t>
              </w:r>
            </w:hyperlink>
          </w:p>
        </w:tc>
        <w:tc>
          <w:tcPr>
            <w:tcW w:w="10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Underwriting</w:t>
              </w:r>
            </w:hyperlink>
          </w:p>
        </w:tc>
        <w:tc>
          <w:tcPr>
            <w:tcW w:w="3560" w:type="dxa"/>
            <w:vAlign w:val="bottom"/>
            <w:gridSpan w:val="16"/>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Validity of Securities</w:t>
              </w:r>
            </w:hyperlink>
          </w:p>
        </w:tc>
        <w:tc>
          <w:tcPr>
            <w:tcW w:w="3020" w:type="dxa"/>
            <w:vAlign w:val="bottom"/>
            <w:gridSpan w:val="10"/>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S-30</w:t>
            </w:r>
          </w:p>
        </w:tc>
        <w:tc>
          <w:tcPr>
            <w:tcW w:w="0" w:type="dxa"/>
            <w:vAlign w:val="bottom"/>
          </w:tcPr>
          <w:p>
            <w:pPr>
              <w:spacing w:after="0"/>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Experts</w:t>
              </w:r>
            </w:hyperlink>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S-30</w:t>
            </w:r>
          </w:p>
        </w:tc>
        <w:tc>
          <w:tcPr>
            <w:tcW w:w="0" w:type="dxa"/>
            <w:vAlign w:val="bottom"/>
          </w:tcPr>
          <w:p>
            <w:pPr>
              <w:spacing w:after="0"/>
              <w:rPr>
                <w:sz w:val="1"/>
                <w:szCs w:val="1"/>
                <w:color w:val="auto"/>
              </w:rPr>
            </w:pPr>
          </w:p>
        </w:tc>
      </w:tr>
      <w:tr>
        <w:trPr>
          <w:trHeight w:val="336"/>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80" w:type="dxa"/>
            <w:vAlign w:val="bottom"/>
            <w:gridSpan w:val="3"/>
          </w:tcPr>
          <w:p>
            <w:pPr>
              <w:jc w:val="right"/>
              <w:ind w:right="5094"/>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84"/>
        </w:trPr>
        <w:tc>
          <w:tcPr>
            <w:tcW w:w="4520" w:type="dxa"/>
            <w:vAlign w:val="bottom"/>
            <w:gridSpan w:val="20"/>
          </w:tcPr>
          <w:p>
            <w:pPr>
              <w:spacing w:after="0" w:line="184" w:lineRule="exact"/>
              <w:rPr>
                <w:rFonts w:ascii="Arial" w:cs="Arial" w:eastAsia="Arial" w:hAnsi="Arial"/>
                <w:sz w:val="18"/>
                <w:szCs w:val="18"/>
                <w:color w:val="0000EE"/>
              </w:rPr>
            </w:pPr>
            <w:hyperlink w:anchor="page39">
              <w:r>
                <w:rPr>
                  <w:rFonts w:ascii="Arial" w:cs="Arial" w:eastAsia="Arial" w:hAnsi="Arial"/>
                  <w:sz w:val="18"/>
                  <w:szCs w:val="18"/>
                  <w:color w:val="0000EE"/>
                </w:rPr>
                <w:t>The Company</w:t>
              </w:r>
            </w:hyperlink>
          </w:p>
        </w:tc>
        <w:tc>
          <w:tcPr>
            <w:tcW w:w="66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Notice Regarding Forward-Looking Statements</w:t>
              </w:r>
            </w:hyperlink>
          </w:p>
        </w:tc>
        <w:tc>
          <w:tcPr>
            <w:tcW w:w="1160" w:type="dxa"/>
            <w:vAlign w:val="bottom"/>
            <w:gridSpan w:val="2"/>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Ratios of Earnings to Fixed Charges</w:t>
              </w:r>
            </w:hyperlink>
          </w:p>
        </w:tc>
        <w:tc>
          <w:tcPr>
            <w:tcW w:w="1960" w:type="dxa"/>
            <w:vAlign w:val="bottom"/>
            <w:gridSpan w:val="4"/>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Description of Capital Stock</w:t>
              </w:r>
            </w:hyperlink>
          </w:p>
        </w:tc>
        <w:tc>
          <w:tcPr>
            <w:tcW w:w="2500" w:type="dxa"/>
            <w:vAlign w:val="bottom"/>
            <w:gridSpan w:val="7"/>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Description of Debt Securities</w:t>
              </w:r>
            </w:hyperlink>
          </w:p>
        </w:tc>
        <w:tc>
          <w:tcPr>
            <w:tcW w:w="2380" w:type="dxa"/>
            <w:vAlign w:val="bottom"/>
            <w:gridSpan w:val="6"/>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Description of Warrants</w:t>
              </w:r>
            </w:hyperlink>
          </w:p>
        </w:tc>
        <w:tc>
          <w:tcPr>
            <w:tcW w:w="2800" w:type="dxa"/>
            <w:vAlign w:val="bottom"/>
            <w:gridSpan w:val="8"/>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Units</w:t>
              </w:r>
            </w:hyperlink>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Forms of Securities</w:t>
              </w:r>
            </w:hyperlink>
          </w:p>
        </w:tc>
        <w:tc>
          <w:tcPr>
            <w:tcW w:w="3080" w:type="dxa"/>
            <w:vAlign w:val="bottom"/>
            <w:gridSpan w:val="11"/>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Validity of Securities</w:t>
              </w:r>
            </w:hyperlink>
          </w:p>
        </w:tc>
        <w:tc>
          <w:tcPr>
            <w:tcW w:w="3020" w:type="dxa"/>
            <w:vAlign w:val="bottom"/>
            <w:gridSpan w:val="10"/>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5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jc w:val="both"/>
        <w:ind w:left="900" w:right="46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4" w:lineRule="exact"/>
        <w:rPr>
          <w:rFonts w:ascii="Arial" w:cs="Arial" w:eastAsia="Arial" w:hAnsi="Arial"/>
          <w:sz w:val="16"/>
          <w:szCs w:val="16"/>
          <w:color w:val="auto"/>
        </w:rPr>
      </w:pPr>
    </w:p>
    <w:p>
      <w:pPr>
        <w:ind w:left="900" w:right="420" w:hanging="446"/>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4"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our business, make strategic acquisitions or make principal and interest payments on our debt;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2016. The accompanying prospectus contains a description of our debt securities and gives more general information, some of which may not apply to this offering.</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26"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Texas Instruments Incorporated</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jc w:val="center"/>
        <w:ind w:left="380"/>
        <w:spacing w:after="0"/>
        <w:rPr>
          <w:sz w:val="20"/>
          <w:szCs w:val="20"/>
          <w:color w:val="auto"/>
        </w:rPr>
      </w:pPr>
      <w:r>
        <w:rPr>
          <w:rFonts w:ascii="Arial" w:cs="Arial" w:eastAsia="Arial" w:hAnsi="Arial"/>
          <w:sz w:val="15"/>
          <w:szCs w:val="15"/>
          <w:color w:val="auto"/>
        </w:rPr>
        <w:t>On April 27, 2016, we announced our results of operations as of and for the three months ended March 31, 2016. A summary of these results is as follows: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1Q16 Results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20"/>
                <w:szCs w:val="20"/>
                <w:color w:val="auto"/>
              </w:rPr>
            </w:pPr>
            <w:r>
              <w:rPr>
                <w:rFonts w:ascii="Arial" w:cs="Arial" w:eastAsia="Arial" w:hAnsi="Arial"/>
                <w:sz w:val="14"/>
                <w:szCs w:val="14"/>
                <w:b w:val="1"/>
                <w:bCs w:val="1"/>
                <w:color w:val="auto"/>
              </w:rPr>
              <w:t>(Millions of dollars, except per-share amounts)</w:t>
            </w:r>
          </w:p>
        </w:tc>
        <w:tc>
          <w:tcPr>
            <w:tcW w:w="8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1Q16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7"/>
              </w:rPr>
              <w:t>1Q15</w:t>
            </w:r>
          </w:p>
        </w:tc>
        <w:tc>
          <w:tcPr>
            <w:tcW w:w="4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3,008</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3,150</w:t>
            </w:r>
          </w:p>
        </w:tc>
        <w:tc>
          <w:tcPr>
            <w:tcW w:w="48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profit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968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958</w:t>
            </w:r>
          </w:p>
        </w:tc>
        <w:tc>
          <w:tcPr>
            <w:tcW w:w="4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1Q16 Additional Financial Information</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Analog and Embedded Processing segments contributed 87 percent of revenue in the first quarter.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short-term investments were $2.8 billion at the end of the quarter, 80 percent of which was owned by our U.S. entities.</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in the first quarter was $423 million. For the trailing twelve months, free cash flow was $3.7 billion, or 28 percent of revenue, as compared with $3.6 billion, or 27 percent of revenue, in the year-ago trailing twelve-month period.</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returned $1.0 billion in the first quarter to shareholders through stock repurchases and dividends. For the trailing twelve months, the return to shareholders totaled $4.2 billion.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Free cash flow is Cash flows from operating activities minus Capital expenditures. Free cash flow and the ratios based on it are non-GAAP financial measures. For a reconciliation of these measures to the most directly comparable measures under generally accepted accounting principles in the United States (“GAAP”), see “Non-GAAP Financial Information”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1Q16 Segment Results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1Q16</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1Q15</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r>
      <w:tr>
        <w:trPr>
          <w:trHeight w:val="196"/>
        </w:trPr>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1,879</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2,035</w:t>
            </w:r>
          </w:p>
        </w:tc>
        <w:tc>
          <w:tcPr>
            <w:tcW w:w="4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Embedded Processing:</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182</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4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443</w:t>
            </w:r>
          </w:p>
        </w:tc>
        <w:tc>
          <w:tcPr>
            <w:tcW w:w="4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188595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ectPr>
          <w:pgSz w:w="11900" w:h="16838" w:orient="portrait"/>
          <w:cols w:equalWidth="0" w:num="1">
            <w:col w:w="11400"/>
          </w:cols>
          <w:pgMar w:left="240" w:top="459" w:right="25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Texas Instruments Incorporated.</w:t>
      </w:r>
    </w:p>
    <w:p>
      <w:pPr>
        <w:spacing w:after="0" w:line="200"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$500,000,000 aggregate principal amount of 1.850% Notes due 2022.</w:t>
      </w:r>
    </w:p>
    <w:p>
      <w:pPr>
        <w:spacing w:after="0" w:line="200"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May 15, 2022.</w:t>
      </w:r>
    </w:p>
    <w:p>
      <w:pPr>
        <w:spacing w:after="0" w:line="200"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Original Issue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May 6, 2016.</w:t>
      </w:r>
    </w:p>
    <w:p>
      <w:pPr>
        <w:spacing w:after="0" w:line="200"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Interest Rate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Fixed rate of 1.850%.</w:t>
      </w:r>
    </w:p>
    <w:p>
      <w:pPr>
        <w:spacing w:after="0" w:line="200"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Each May 15 and November 15 beginning on November 15, 2016, and on the maturity date.</w:t>
      </w:r>
    </w:p>
    <w:p>
      <w:pPr>
        <w:spacing w:after="0" w:line="200"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Notes will be the senior unsecured obligations of Texas Instruments Incorporated and will rank equally with all of its existing and future senior indebtedness from time to time outstanding. All existing and future liabilities of subsidiaries of Texas Instruments Incorporated will be effectively senior to the Notes.</w:t>
      </w:r>
    </w:p>
    <w:p>
      <w:pPr>
        <w:spacing w:after="0" w:line="184"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ind w:left="4340" w:right="140"/>
        <w:spacing w:after="0" w:line="294" w:lineRule="auto"/>
        <w:rPr>
          <w:sz w:val="20"/>
          <w:szCs w:val="20"/>
          <w:color w:val="auto"/>
        </w:rPr>
      </w:pPr>
      <w:r>
        <w:rPr>
          <w:rFonts w:ascii="Arial" w:cs="Arial" w:eastAsia="Arial" w:hAnsi="Arial"/>
          <w:sz w:val="16"/>
          <w:szCs w:val="16"/>
          <w:color w:val="auto"/>
        </w:rPr>
        <w:t>As of December 31, 2015, Texas Instruments Incorporated had approximately $4.1 billion of outstanding indebtedness. As of December 31, 2015, we had approximately $6.3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ectPr>
          <w:pgSz w:w="11900" w:h="16838" w:orient="portrait"/>
          <w:cols w:equalWidth="0" w:num="1">
            <w:col w:w="11400"/>
          </w:cols>
          <w:pgMar w:left="240" w:top="459" w:right="25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Form and Denomination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Notes will be issued in the form of one or more 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or DTC. Except in the limited circumstances described under “Description of the Notes—Book-Entry; Delivery and Form; Global Note,” Notes in certificated form will not be issued or exchanged for interests in global securities.</w:t>
      </w:r>
    </w:p>
    <w:p>
      <w:pPr>
        <w:spacing w:after="0" w:line="161"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internal laws of the State of New York.</w:t>
      </w:r>
    </w:p>
    <w:p>
      <w:pPr>
        <w:spacing w:after="0" w:line="200"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We expect to use the net proceeds of this offering for repayment of a portion of the notes due May 16, 2016, bearing interest at a fixed rate of 2.375%. See “Use of Proceeds.” In connection with the issuance of the Notes, we may enter into interest rate swap agreements with financial institutions, which may include one or more of the underwriters or their affiliates.</w:t>
      </w:r>
    </w:p>
    <w:p>
      <w:pPr>
        <w:spacing w:after="0" w:line="99"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Texas Instruments Incorporated may create and issue further notes ranking equally and ratably with the Notes offered by this prospectus supplement in all respects, so that such further notes will be consolidated and form a single series with the Notes offered by this prospectus supplement.</w:t>
      </w:r>
    </w:p>
    <w:p>
      <w:pPr>
        <w:spacing w:after="0" w:line="147"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11"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Texas Instruments Incorporated may redeem some or all of the Notes at any time at the redemption price indicated under the heading “Description of the Notes—Optional Redemption.”</w:t>
      </w:r>
    </w:p>
    <w:p>
      <w:pPr>
        <w:spacing w:after="0" w:line="126"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securities exchange. The underwriters have advised us that they intend to make a market in the Notes, but they are not obligated to do so and may discontinue market-making at any time without notice. See “Underwriting” in this prospectus supplement for more information about possible market-making by the underwriters.</w:t>
      </w:r>
    </w:p>
    <w:p>
      <w:pPr>
        <w:spacing w:after="0" w:line="156"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200"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You should carefully consider all of the information in this prospectus supplement and the accompanying prospectus and the documents incorporated herein by reference. In particular, you should evaluate the information set forth under “Notice Regarding Forward-Looking Statements” and “Risk Factors” before deciding whether to invest in the Notes.</w:t>
      </w:r>
    </w:p>
    <w:p>
      <w:pPr>
        <w:spacing w:after="0" w:line="99"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 sets forth our summary historical financial information. The summary historical financial information for the years ended December 31, 2015, 2014 and 2013 and as of December 31, 2015 and 2014 has been derived from our audited consolidated financial statements included or incorporated by reference into this prospectus supplement and the accompanying prospectus.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and “Management’s Discussion and Analysis of Financial Condition and Results of Operations” and our consolidated financial statements and the related notes, all included elsewhere or incorporated by reference into this prospectus supplement and the accompanying prospectus.</w:t>
      </w:r>
    </w:p>
    <w:p>
      <w:pPr>
        <w:spacing w:after="0" w:line="17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w w:val="97"/>
              </w:rPr>
              <w:t>(Millions of dollars, except share and per-share amounts)</w:t>
            </w: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3720" w:type="dxa"/>
            <w:vAlign w:val="bottom"/>
            <w:tcBorders>
              <w:bottom w:val="single" w:sz="8" w:color="CCEEFF"/>
            </w:tcBorders>
            <w:vMerge w:val="continue"/>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Cost of revenue</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5,618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1,358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Acquisition charges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Operating profit</w:t>
            </w:r>
          </w:p>
        </w:tc>
        <w:tc>
          <w:tcPr>
            <w:tcW w:w="2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20" w:type="dxa"/>
            <w:vAlign w:val="bottom"/>
            <w:vMerge w:val="continue"/>
          </w:tcPr>
          <w:p>
            <w:pPr>
              <w:spacing w:after="0"/>
              <w:rPr>
                <w:sz w:val="19"/>
                <w:szCs w:val="19"/>
                <w:color w:val="auto"/>
              </w:rPr>
            </w:pP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4,274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3,947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vMerge w:val="continue"/>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2.82</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Basic</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20" w:type="dxa"/>
            <w:vAlign w:val="bottom"/>
          </w:tcPr>
          <w:p>
            <w:pPr>
              <w:spacing w:after="0"/>
              <w:rPr>
                <w:sz w:val="24"/>
                <w:szCs w:val="24"/>
                <w:color w:val="auto"/>
              </w:rPr>
            </w:pPr>
          </w:p>
        </w:tc>
        <w:tc>
          <w:tcPr>
            <w:tcW w:w="2360" w:type="dxa"/>
            <w:vAlign w:val="bottom"/>
            <w:gridSpan w:val="2"/>
          </w:tcPr>
          <w:p>
            <w:pPr>
              <w:jc w:val="right"/>
              <w:ind w:right="1603"/>
              <w:spacing w:after="0"/>
              <w:rPr>
                <w:sz w:val="20"/>
                <w:szCs w:val="20"/>
                <w:color w:val="auto"/>
              </w:rPr>
            </w:pPr>
            <w:r>
              <w:rPr>
                <w:rFonts w:ascii="Arial" w:cs="Arial" w:eastAsia="Arial" w:hAnsi="Arial"/>
                <w:sz w:val="18"/>
                <w:szCs w:val="18"/>
                <w:color w:val="auto"/>
              </w:rPr>
              <w:t>S-5</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Borders>
              <w:bottom w:val="single" w:sz="8" w:color="CCEEFF"/>
            </w:tcBorders>
            <w:vMerge w:val="continue"/>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3,218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Inventories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1,691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2,596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1,583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Long-term debt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3,120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9,946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Information</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This prospectus supplement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5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percentages)</w:t>
            </w:r>
          </w:p>
        </w:tc>
        <w:tc>
          <w:tcPr>
            <w:tcW w:w="200" w:type="dxa"/>
            <w:vAlign w:val="bottom"/>
          </w:tcPr>
          <w:p>
            <w:pPr>
              <w:spacing w:after="0"/>
              <w:rPr>
                <w:sz w:val="14"/>
                <w:szCs w:val="14"/>
                <w:color w:val="auto"/>
              </w:rPr>
            </w:pPr>
          </w:p>
        </w:tc>
        <w:tc>
          <w:tcPr>
            <w:tcW w:w="16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26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80"/>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flows from operating activities (GAAP)</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76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(431)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3,608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12,858</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w w:val="83"/>
              </w:rPr>
              <w:t>13,212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5"/>
              </w:rPr>
              <w:t>Cash flows from operating activities as a percent of revenue (GAAP)</w:t>
            </w:r>
          </w:p>
        </w:tc>
        <w:tc>
          <w:tcPr>
            <w:tcW w:w="41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33%</w:t>
            </w:r>
          </w:p>
        </w:tc>
        <w:tc>
          <w:tcPr>
            <w:tcW w:w="206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31%</w:t>
            </w: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4140" w:type="dxa"/>
            <w:vAlign w:val="bottom"/>
          </w:tcPr>
          <w:p>
            <w:pPr>
              <w:jc w:val="right"/>
              <w:ind w:right="412"/>
              <w:spacing w:after="0"/>
              <w:rPr>
                <w:sz w:val="20"/>
                <w:szCs w:val="20"/>
                <w:color w:val="auto"/>
              </w:rPr>
            </w:pPr>
            <w:r>
              <w:rPr>
                <w:rFonts w:ascii="Arial" w:cs="Arial" w:eastAsia="Arial" w:hAnsi="Arial"/>
                <w:sz w:val="18"/>
                <w:szCs w:val="18"/>
                <w:color w:val="auto"/>
              </w:rPr>
              <w:t>28%</w:t>
            </w:r>
          </w:p>
        </w:tc>
        <w:tc>
          <w:tcPr>
            <w:tcW w:w="2060" w:type="dxa"/>
            <w:vAlign w:val="bottom"/>
          </w:tcPr>
          <w:p>
            <w:pPr>
              <w:jc w:val="right"/>
              <w:ind w:right="1152"/>
              <w:spacing w:after="0"/>
              <w:rPr>
                <w:sz w:val="20"/>
                <w:szCs w:val="20"/>
                <w:color w:val="auto"/>
              </w:rPr>
            </w:pPr>
            <w:r>
              <w:rPr>
                <w:rFonts w:ascii="Arial" w:cs="Arial" w:eastAsia="Arial" w:hAnsi="Arial"/>
                <w:sz w:val="18"/>
                <w:szCs w:val="18"/>
                <w:color w:val="auto"/>
              </w:rPr>
              <w:t>27%</w:t>
            </w:r>
          </w:p>
        </w:tc>
      </w:tr>
      <w:tr>
        <w:trPr>
          <w:trHeight w:val="356"/>
        </w:trPr>
        <w:tc>
          <w:tcPr>
            <w:tcW w:w="5220" w:type="dxa"/>
            <w:vAlign w:val="bottom"/>
          </w:tcPr>
          <w:p>
            <w:pPr>
              <w:spacing w:after="0"/>
              <w:rPr>
                <w:sz w:val="24"/>
                <w:szCs w:val="24"/>
                <w:color w:val="auto"/>
              </w:rPr>
            </w:pPr>
          </w:p>
        </w:tc>
        <w:tc>
          <w:tcPr>
            <w:tcW w:w="4140" w:type="dxa"/>
            <w:vAlign w:val="bottom"/>
          </w:tcPr>
          <w:p>
            <w:pPr>
              <w:jc w:val="right"/>
              <w:ind w:right="3432"/>
              <w:spacing w:after="0"/>
              <w:rPr>
                <w:sz w:val="20"/>
                <w:szCs w:val="20"/>
                <w:color w:val="auto"/>
              </w:rPr>
            </w:pPr>
            <w:r>
              <w:rPr>
                <w:rFonts w:ascii="Arial" w:cs="Arial" w:eastAsia="Arial" w:hAnsi="Arial"/>
                <w:sz w:val="18"/>
                <w:szCs w:val="18"/>
                <w:color w:val="auto"/>
              </w:rPr>
              <w:t>S-6</w:t>
            </w: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Ratio of Earnings to Fixed Charges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07"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0</wp:posOffset>
            </wp:positionV>
            <wp:extent cx="12261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8060"/>
        <w:spacing w:after="0"/>
        <w:tabs>
          <w:tab w:leader="none" w:pos="8780" w:val="left"/>
          <w:tab w:leader="none" w:pos="95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2013</w:t>
      </w:r>
    </w:p>
    <w:tbl>
      <w:tblPr>
        <w:tblLayout w:type="fixed"/>
        <w:tblInd w:w="1440" w:type="dxa"/>
        <w:tblCellMar>
          <w:top w:w="0" w:type="dxa"/>
          <w:left w:w="0" w:type="dxa"/>
          <w:bottom w:w="0" w:type="dxa"/>
          <w:right w:w="0" w:type="dxa"/>
        </w:tblCellMar>
      </w:tblP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37.2×</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19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5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0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2015, we had approximately $6.3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199"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December 31, 2015, Texas Instruments Incorporated would have had approximately $3.6 billion of total long-term indebtedness (including the Notes), all of which would have been unsecured and unsubordinated.</w:t>
      </w:r>
    </w:p>
    <w:p>
      <w:pPr>
        <w:spacing w:after="0" w:line="14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59"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13"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its ability to obtain additional financing for working capital, capital expenditures, general corporate and other purposes may be limited.</w:t>
      </w:r>
    </w:p>
    <w:p>
      <w:pPr>
        <w:spacing w:after="0" w:line="19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5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anticipate that we will receive net proceeds of approximately $495.8 million from this offering after underwriting discounts and other estimated expenses. We expect to use the net proceeds of this offering for repayment of a portion of the notes due May 16, 2016, bearing interest at a fixed rate of 2.375%. Initially we intend to invest the net proceeds of this offering in certificates of deposit, United States government securities and certain other interest-bearing securities. Certain of the underwriters and/or their affiliates may be holders of our notes due May 16, 2016 and, accordingly, may receive a portion of the net proceeds of this offering in connection with the repayment of those notes. See “Underwriting.”</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8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2015. Our consolidated capitalization, as adjusted, gives effect to the issuance of the Notes offered by this prospectus supplement and the application of the estimated net proceeds as described in “Use of Proceeds” as if the offering had occurred on December 31, 2015. This table should be read in conjunction with our consolidated financial statements and the related notes incorporated by reference into this prospectus supplement and the accompanying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100" w:type="dxa"/>
            <w:vAlign w:val="bottom"/>
          </w:tcPr>
          <w:p>
            <w:pPr>
              <w:spacing w:after="0"/>
              <w:rPr>
                <w:sz w:val="14"/>
                <w:szCs w:val="14"/>
                <w:color w:val="auto"/>
              </w:rPr>
            </w:pPr>
          </w:p>
        </w:tc>
        <w:tc>
          <w:tcPr>
            <w:tcW w:w="21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As of December 31, 2015</w:t>
            </w:r>
          </w:p>
        </w:tc>
        <w:tc>
          <w:tcPr>
            <w:tcW w:w="0" w:type="dxa"/>
            <w:vAlign w:val="bottom"/>
          </w:tcPr>
          <w:p>
            <w:pPr>
              <w:spacing w:after="0"/>
              <w:rPr>
                <w:sz w:val="1"/>
                <w:szCs w:val="1"/>
                <w:color w:val="auto"/>
              </w:rPr>
            </w:pPr>
          </w:p>
        </w:tc>
      </w:tr>
      <w:tr>
        <w:trPr>
          <w:trHeight w:val="142"/>
        </w:trPr>
        <w:tc>
          <w:tcPr>
            <w:tcW w:w="9140" w:type="dxa"/>
            <w:vAlign w:val="bottom"/>
            <w:gridSpan w:val="2"/>
            <w:vMerge w:val="continue"/>
          </w:tcPr>
          <w:p>
            <w:pPr>
              <w:spacing w:after="0"/>
              <w:rPr>
                <w:sz w:val="12"/>
                <w:szCs w:val="12"/>
                <w:color w:val="auto"/>
              </w:rPr>
            </w:pPr>
          </w:p>
        </w:tc>
        <w:tc>
          <w:tcPr>
            <w:tcW w:w="1300" w:type="dxa"/>
            <w:vAlign w:val="bottom"/>
            <w:tcBorders>
              <w:top w:val="single" w:sz="8" w:color="auto"/>
            </w:tcBorders>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0"/>
              </w:rPr>
              <w:t>Historical</w:t>
            </w: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As Adjusted(1)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Notes offered hereby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3"/>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Other long-term debt(2)</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22"/>
        </w:trPr>
        <w:tc>
          <w:tcPr>
            <w:tcW w:w="9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$25 par value. Authorized—10,000,000 shares.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880"/>
              <w:spacing w:after="0"/>
              <w:rPr>
                <w:sz w:val="20"/>
                <w:szCs w:val="20"/>
                <w:color w:val="auto"/>
              </w:rPr>
            </w:pPr>
            <w:r>
              <w:rPr>
                <w:rFonts w:ascii="Arial" w:cs="Arial" w:eastAsia="Arial" w:hAnsi="Arial"/>
                <w:sz w:val="18"/>
                <w:szCs w:val="18"/>
                <w:color w:val="auto"/>
              </w:rPr>
              <w:t>Participating cumulative preferred. None issued.</w:t>
            </w:r>
          </w:p>
        </w:tc>
        <w:tc>
          <w:tcPr>
            <w:tcW w:w="10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$1 par value. Authorized—2,400,000,000 shares.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880"/>
              <w:spacing w:after="0"/>
              <w:rPr>
                <w:sz w:val="20"/>
                <w:szCs w:val="20"/>
                <w:color w:val="auto"/>
              </w:rPr>
            </w:pPr>
            <w:r>
              <w:rPr>
                <w:rFonts w:ascii="Arial" w:cs="Arial" w:eastAsia="Arial" w:hAnsi="Arial"/>
                <w:sz w:val="18"/>
                <w:szCs w:val="18"/>
                <w:color w:val="auto"/>
              </w:rPr>
              <w:t>Shares issued—1,740,815,939</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31,176</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common stock at cost (729,547,527 shares)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(24,068)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(24,068)</w:t>
            </w:r>
          </w:p>
        </w:tc>
        <w:tc>
          <w:tcPr>
            <w:tcW w:w="0" w:type="dxa"/>
            <w:vAlign w:val="bottom"/>
          </w:tcPr>
          <w:p>
            <w:pPr>
              <w:spacing w:after="0"/>
              <w:rPr>
                <w:sz w:val="1"/>
                <w:szCs w:val="1"/>
                <w:color w:val="auto"/>
              </w:rPr>
            </w:pPr>
          </w:p>
        </w:tc>
      </w:tr>
      <w:tr>
        <w:trPr>
          <w:trHeight w:val="223"/>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6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13,066</w:t>
            </w:r>
          </w:p>
        </w:tc>
        <w:tc>
          <w:tcPr>
            <w:tcW w:w="6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13,565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Notes offered hereby are shown at the amount of the public offering price, with all offering expenses (including underwriting discounts) shown as paid out of cash.</w:t>
      </w:r>
    </w:p>
    <w:p>
      <w:pPr>
        <w:ind w:left="460" w:right="12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$4.1 billion of our existing outstanding notes less net unamortized discount and debt issuance costs, less $1.0 billion representing the current portion of long-term debt. The net proceeds of this offering will be used to repay a portion of the notes due May 16, 2016 bearing interest at a fixed rate of 2.375%, which are recorded as a current liability.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will mature on May 15, 2022. The Notes will be issued in book-entry form only, in denominations of $2,000 and multiples of $1,000 thereafter. Interest on the Notes will accrue from May 6, 2016 at the rate per annum shown on the cover of this prospectus supplement. The Notes will be payable semi-annually on May 15 and November 15, commencing on November 15, 2016 to the persons in whose names the Notes are registered at the close of business on the preceding May 1 or November 1, as the case may be. Interest on the Notes will be paid to but excluding the relevant interest payment date. Interest on the Notes will be calculated on the basis of a 360-day year comprised of twelve 30-day months.</w:t>
      </w:r>
    </w:p>
    <w:p>
      <w:pPr>
        <w:spacing w:after="0" w:line="11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2015, Texas Instruments Incorporated had approximately $4.1 billion of outstanding indebtedness. As of December 31, 2015, we had approximately $6.3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December 31, 2015:</w:t>
      </w:r>
    </w:p>
    <w:p>
      <w:pPr>
        <w:spacing w:after="0" w:line="51" w:lineRule="exact"/>
        <w:rPr>
          <w:sz w:val="20"/>
          <w:szCs w:val="20"/>
          <w:color w:val="auto"/>
        </w:rPr>
      </w:pPr>
    </w:p>
    <w:p>
      <w:pPr>
        <w:ind w:left="900" w:right="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$3.6 billion of total long-term indebtedness (including the Notes), all of which would constitute senior and unsubordinated indebtedness;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would have had approximately $6.3 billion of total liabilities on a consolidated basis;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13" w:lineRule="exact"/>
        <w:rPr>
          <w:rFonts w:ascii="Arial" w:cs="Arial" w:eastAsia="Arial" w:hAnsi="Arial"/>
          <w:sz w:val="16"/>
          <w:szCs w:val="16"/>
          <w:color w:val="auto"/>
        </w:rPr>
      </w:pPr>
    </w:p>
    <w:p>
      <w:pPr>
        <w:ind w:left="900" w:right="5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$1.0 billion of liabilities (including trade payables but excluding intercompany debt) to which the Notes would have been structurally subordinated.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 xml:space="preserve">the same CUSIP number as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Notes for U.S. federal income tax purposes will be issued under a separate CUSIP number.</w:t>
      </w:r>
    </w:p>
    <w:p>
      <w:pPr>
        <w:spacing w:after="0" w:line="132"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Prior to April 15, 2022 (the date that is one month prior to the maturity date of the Notes), the Notes will be redeemable, in whole or in part at any time, or from time to time, at Texas Instruments Incorporated’s option, at a “make-whole premium” redemption price calculated by Texas Instruments Incorporated equal to the greater of:</w:t>
      </w:r>
    </w:p>
    <w:p>
      <w:pPr>
        <w:spacing w:after="0" w:line="59" w:lineRule="exact"/>
        <w:rPr>
          <w:sz w:val="20"/>
          <w:szCs w:val="20"/>
          <w:color w:val="auto"/>
        </w:rPr>
      </w:pPr>
    </w:p>
    <w:p>
      <w:pPr>
        <w:ind w:left="680" w:hanging="21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90" w:lineRule="exact"/>
        <w:rPr>
          <w:rFonts w:ascii="Arial" w:cs="Arial" w:eastAsia="Arial" w:hAnsi="Arial"/>
          <w:sz w:val="18"/>
          <w:szCs w:val="18"/>
          <w:color w:val="auto"/>
        </w:rPr>
      </w:pPr>
    </w:p>
    <w:p>
      <w:pPr>
        <w:jc w:val="both"/>
        <w:ind w:right="120" w:firstLine="464"/>
        <w:spacing w:after="0" w:line="256" w:lineRule="auto"/>
        <w:tabs>
          <w:tab w:leader="none" w:pos="7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the present values of the principal amount of such Notes and the scheduled payments of interest thereon (not including any portion of such payments of interest accrued as of the date of redemption) from the date of redemption to April 15, 2022 (the date that is one month prior to the maturity date of the Notes), in each case discounted to the date of redemption on a semi-annual basis (assuming a 360-day year consisting of twelve 30-day months) at the Treasury Rate (as defined below), plus 10 basis points;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any time on or after April 15, 2022 (the date that is one month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4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17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“Reference Treasury Dealer” means (i) Barclays Capital Inc., Merrill Lynch, Pierce, Fenner &amp; Smith Incorporated and Mizuho Securities USA Inc.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8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90" w:lineRule="exact"/>
        <w:rPr>
          <w:sz w:val="20"/>
          <w:szCs w:val="20"/>
          <w:color w:val="auto"/>
        </w:rPr>
      </w:pPr>
    </w:p>
    <w:p>
      <w:pPr>
        <w:ind w:left="900" w:right="18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4"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50" w:lineRule="exact"/>
        <w:rPr>
          <w:rFonts w:ascii="Arial" w:cs="Arial" w:eastAsia="Arial" w:hAnsi="Arial"/>
          <w:sz w:val="18"/>
          <w:szCs w:val="18"/>
          <w:color w:val="auto"/>
        </w:rPr>
      </w:pPr>
    </w:p>
    <w:p>
      <w:pPr>
        <w:ind w:left="900" w:right="100" w:hanging="446"/>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right="140" w:hanging="567"/>
        <w:spacing w:after="0" w:line="268"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9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for all or substantially all of its property,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 declaration of acceleration, the principal amount of and accrued interest, if any, on such debt securities shall be immediately due and payable.</w:t>
      </w:r>
    </w:p>
    <w:p>
      <w:pPr>
        <w:spacing w:after="0" w:line="19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A holder may not pursue any remedy with respect to the indenture or the Notes unless:</w:t>
      </w:r>
    </w:p>
    <w:p>
      <w:pPr>
        <w:spacing w:after="0" w:line="63"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4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1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2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or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4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 and an affiliate of the trustee is an underwriter of this offering.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0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5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32"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section applies to you if you are a U.S. Holder. You are a U.S. Holder if for U.S. federal income tax purposes you are a beneficial owner of a Note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8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United States federal income taxation regardless of its source.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8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9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commonly referred to as “FATCA” impose withholding of 30% on payments of interest on the Notes and (for dispositions after December 31, 2018) of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Barclays Capital Inc., Merrill Lynch, Pierce, Fenner &amp; Smith Incorporated and Mizuho Securities USA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6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w w:val="98"/>
              </w:rPr>
              <w:t>Principal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Underwriter</w:t>
            </w:r>
          </w:p>
        </w:tc>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6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14" w:lineRule="exact"/>
              <w:rPr>
                <w:sz w:val="20"/>
                <w:szCs w:val="20"/>
                <w:color w:val="auto"/>
              </w:rPr>
            </w:pPr>
            <w:r>
              <w:rPr>
                <w:rFonts w:ascii="Arial" w:cs="Arial" w:eastAsia="Arial" w:hAnsi="Arial"/>
                <w:sz w:val="12"/>
                <w:szCs w:val="12"/>
                <w:b w:val="1"/>
                <w:bCs w:val="1"/>
                <w:color w:val="auto"/>
                <w:w w:val="95"/>
              </w:rPr>
              <w:t>Notes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Barclays Capital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Merrill Lynch, Pierce, Fenner &amp; Smith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20" w:type="dxa"/>
            <w:vAlign w:val="bottom"/>
            <w:gridSpan w:val="2"/>
          </w:tcPr>
          <w:p>
            <w:pPr>
              <w:ind w:left="60"/>
              <w:spacing w:after="0"/>
              <w:rPr>
                <w:sz w:val="20"/>
                <w:szCs w:val="20"/>
                <w:color w:val="auto"/>
              </w:rPr>
            </w:pPr>
            <w:r>
              <w:rPr>
                <w:rFonts w:ascii="Arial" w:cs="Arial" w:eastAsia="Arial" w:hAnsi="Arial"/>
                <w:sz w:val="18"/>
                <w:szCs w:val="18"/>
                <w:color w:val="auto"/>
              </w:rPr>
              <w:t>Incorporated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95,000,000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Mitsubishi UFJ Securities (USA),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The Williams Capital Group, L.P.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gridSpan w:val="3"/>
          </w:tcPr>
          <w:p>
            <w:pPr>
              <w:ind w:left="9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5"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0.250% per Note. Any such securities dealers may resell any Notes purchased from the underwriters to certain other brokers or dealers at a discount from the initial public offering price not to exceed 0.125% per Note. If all the Notes are not sold at the initial offering price, the underwriters may change the offering price and the other selling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080" w:type="dxa"/>
            <w:vAlign w:val="bottom"/>
            <w:gridSpan w:val="3"/>
          </w:tcPr>
          <w:p>
            <w:pPr>
              <w:jc w:val="center"/>
              <w:ind w:left="2792"/>
              <w:spacing w:after="0"/>
              <w:rPr>
                <w:sz w:val="20"/>
                <w:szCs w:val="20"/>
                <w:color w:val="auto"/>
              </w:rPr>
            </w:pPr>
            <w:r>
              <w:rPr>
                <w:rFonts w:ascii="Arial" w:cs="Arial" w:eastAsia="Arial" w:hAnsi="Arial"/>
                <w:sz w:val="14"/>
                <w:szCs w:val="14"/>
                <w:b w:val="1"/>
                <w:bCs w:val="1"/>
                <w:color w:val="auto"/>
                <w:w w:val="83"/>
              </w:rPr>
              <w:t>Paid by Texas</w:t>
            </w:r>
          </w:p>
        </w:tc>
      </w:tr>
      <w:tr>
        <w:trPr>
          <w:trHeight w:val="149"/>
        </w:trPr>
        <w:tc>
          <w:tcPr>
            <w:tcW w:w="36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Instruments</w:t>
            </w:r>
          </w:p>
        </w:tc>
      </w:tr>
      <w:tr>
        <w:trPr>
          <w:trHeight w:val="161"/>
        </w:trPr>
        <w:tc>
          <w:tcPr>
            <w:tcW w:w="368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Incorporated</w:t>
            </w:r>
          </w:p>
        </w:tc>
        <w:tc>
          <w:tcPr>
            <w:tcW w:w="200" w:type="dxa"/>
            <w:vAlign w:val="bottom"/>
            <w:tcBorders>
              <w:bottom w:val="single" w:sz="8" w:color="CCEEFF"/>
            </w:tcBorders>
          </w:tcPr>
          <w:p>
            <w:pPr>
              <w:spacing w:after="0"/>
              <w:rPr>
                <w:sz w:val="14"/>
                <w:szCs w:val="14"/>
                <w:color w:val="auto"/>
              </w:rPr>
            </w:pPr>
          </w:p>
        </w:tc>
      </w:tr>
      <w:tr>
        <w:trPr>
          <w:trHeight w:val="210"/>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30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0.375%</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for this offering will be approximately $3 million, including underwriting discounts.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51" w:lineRule="exact"/>
        <w:rPr>
          <w:sz w:val="20"/>
          <w:szCs w:val="20"/>
          <w:color w:val="auto"/>
        </w:rPr>
      </w:pPr>
    </w:p>
    <w:p>
      <w:pPr>
        <w:ind w:left="5540" w:right="180" w:hanging="5086"/>
        <w:spacing w:after="0" w:line="440" w:lineRule="auto"/>
        <w:tabs>
          <w:tab w:leader="none" w:pos="8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 S-24</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three business days, unless the parties to a trade expressly agree otherwise. Accordingly, purchasers who wish to trade Notes on the date of pricing or the next succeeding business day will be required, by virtue of the fact that the Notes initially will settle in T+5, to specify alternative settlement arrangements to prevent a failed settlement.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 In addition, an affiliate of one of the underwriters is the trustee for the Notes and our other debt securities outstanding under the indenture.</w:t>
      </w:r>
    </w:p>
    <w:p>
      <w:pPr>
        <w:spacing w:after="0" w:line="12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relation to each member state of the European Economic Area (each, a relevant member state), with effect from and including the date on which the Prospectus Directive is implemented in that relevant member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state (the relevant implementation date), an offer of the Notes described in this prospectus supplement may not be made to the public in that relevant member state other than:</w:t>
      </w:r>
    </w:p>
    <w:p>
      <w:pPr>
        <w:spacing w:after="0" w:line="5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(as amended, including by Directive 2010/73/EU) and includes any relevant implementing measure in each relevant member state.</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3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 conflicts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of interest disclosure pertaining to “connected issuer” and/or “related issuer” relationships as would otherwise be required pursuant to subsection 2.1(1) of NI 33-105.</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9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 xml:space="preserve">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5"/>
          <w:szCs w:val="15"/>
          <w:i w:val="1"/>
          <w:iCs w:val="1"/>
          <w:color w:val="auto"/>
        </w:rPr>
        <w:t>Prospectus Exemptions</w:t>
      </w:r>
      <w:r>
        <w:rPr>
          <w:rFonts w:ascii="Arial" w:cs="Arial" w:eastAsia="Arial" w:hAnsi="Arial"/>
          <w:sz w:val="15"/>
          <w:szCs w:val="15"/>
          <w:color w:val="auto"/>
        </w:rPr>
        <w:t xml:space="preserve"> (“NI 45-106”) or, in Ontario, as such term is defined in section 73.3(1) of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and</w:t>
      </w:r>
    </w:p>
    <w:p>
      <w:pPr>
        <w:spacing w:after="0" w:line="3" w:lineRule="exact"/>
        <w:rPr>
          <w:sz w:val="20"/>
          <w:szCs w:val="20"/>
          <w:color w:val="auto"/>
        </w:rPr>
      </w:pPr>
    </w:p>
    <w:p>
      <w:pPr>
        <w:ind w:right="180" w:firstLine="8"/>
        <w:spacing w:after="0" w:line="261" w:lineRule="auto"/>
        <w:tabs>
          <w:tab w:leader="none" w:pos="3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is a “permitted client” as such term is defined in section 1.1 of National Instrument 31-103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90"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 Prospectus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 with a</w:t>
      </w:r>
      <w:r>
        <w:rPr>
          <w:rFonts w:ascii="Arial" w:cs="Arial" w:eastAsia="Arial" w:hAnsi="Arial"/>
          <w:sz w:val="16"/>
          <w:szCs w:val="16"/>
          <w:i w:val="1"/>
          <w:iCs w:val="1"/>
          <w:color w:val="auto"/>
        </w:rPr>
        <w:t xml:space="preserve"> </w:t>
      </w:r>
      <w:r>
        <w:rPr>
          <w:rFonts w:ascii="Arial" w:cs="Arial" w:eastAsia="Arial" w:hAnsi="Arial"/>
          <w:sz w:val="16"/>
          <w:szCs w:val="16"/>
          <w:color w:val="auto"/>
        </w:rPr>
        <w:t>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8"/>
          <w:szCs w:val="18"/>
          <w:i w:val="1"/>
          <w:iCs w:val="1"/>
          <w:color w:val="auto"/>
        </w:rPr>
        <w:t>Par</w:t>
      </w:r>
      <w:r>
        <w:rPr>
          <w:rFonts w:ascii="Arial" w:cs="Arial" w:eastAsia="Arial" w:hAnsi="Arial"/>
          <w:sz w:val="18"/>
          <w:szCs w:val="18"/>
          <w:color w:val="auto"/>
        </w:rPr>
        <w:t xml:space="preserve"> </w:t>
      </w:r>
      <w:r>
        <w:rPr>
          <w:rFonts w:ascii="Arial" w:cs="Arial" w:eastAsia="Arial" w:hAnsi="Arial"/>
          <w:sz w:val="18"/>
          <w:szCs w:val="18"/>
          <w:i w:val="1"/>
          <w:iCs w:val="1"/>
          <w:color w:val="auto"/>
        </w:rPr>
        <w:t>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3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90" w:lineRule="exact"/>
        <w:rPr>
          <w:sz w:val="20"/>
          <w:szCs w:val="20"/>
          <w:color w:val="auto"/>
        </w:rPr>
      </w:pPr>
    </w:p>
    <w:p>
      <w:pPr>
        <w:ind w:left="9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9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90" w:lineRule="exact"/>
        <w:rPr>
          <w:sz w:val="20"/>
          <w:szCs w:val="20"/>
          <w:color w:val="auto"/>
        </w:rPr>
      </w:pPr>
    </w:p>
    <w:p>
      <w:pPr>
        <w:ind w:left="900" w:right="16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3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 w:lineRule="exact"/>
        <w:rPr>
          <w:sz w:val="20"/>
          <w:szCs w:val="20"/>
          <w:color w:val="auto"/>
        </w:rPr>
      </w:pPr>
    </w:p>
    <w:p>
      <w:pPr>
        <w:ind w:left="900" w:right="140" w:hanging="446"/>
        <w:spacing w:after="0" w:line="25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00"/>
          </w:cols>
          <w:pgMar w:left="24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herein.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Exchange Act prior to the termination of the offering under this prospectus supplement.</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Units</w:t>
      </w:r>
    </w:p>
    <w:p>
      <w:pPr>
        <w:spacing w:after="0" w:line="128"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Maturity</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Redemption terms</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Liquidation amount</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Interest rate</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Listing on a security exchange</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w w:val="88"/>
              </w:rPr>
              <w:t>Subsidiary guarantees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Currency of payments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Amount payable at maturity</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Sinking fund terms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Conversion or exchange rights</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23, 2016, the reported last sale price on The NASDAQ Global Select Market for our common stock was $52.24.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24, 2016</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4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040" w:type="dxa"/>
            <w:vAlign w:val="bottom"/>
            <w:gridSpan w:val="2"/>
            <w:vMerge w:val="restart"/>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The Company</w:t>
              </w:r>
            </w:hyperlink>
          </w:p>
        </w:tc>
        <w:tc>
          <w:tcPr>
            <w:tcW w:w="3060" w:type="dxa"/>
            <w:vAlign w:val="bottom"/>
            <w:gridSpan w:val="12"/>
            <w:vMerge w:val="restart"/>
          </w:tcPr>
          <w:p>
            <w:pPr>
              <w:spacing w:after="0"/>
              <w:rPr>
                <w:sz w:val="24"/>
                <w:szCs w:val="24"/>
                <w:color w:val="auto"/>
              </w:rPr>
            </w:pPr>
          </w:p>
        </w:tc>
        <w:tc>
          <w:tcPr>
            <w:tcW w:w="69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0000EE"/>
            </w:tcBorders>
            <w:gridSpan w:val="2"/>
            <w:vMerge w:val="continue"/>
          </w:tcPr>
          <w:p>
            <w:pPr>
              <w:spacing w:after="0"/>
              <w:rPr>
                <w:sz w:val="13"/>
                <w:szCs w:val="13"/>
                <w:color w:val="auto"/>
              </w:rPr>
            </w:pPr>
          </w:p>
        </w:tc>
        <w:tc>
          <w:tcPr>
            <w:tcW w:w="3060" w:type="dxa"/>
            <w:vAlign w:val="bottom"/>
            <w:gridSpan w:val="12"/>
            <w:vMerge w:val="continue"/>
          </w:tcPr>
          <w:p>
            <w:pPr>
              <w:spacing w:after="0"/>
              <w:rPr>
                <w:sz w:val="13"/>
                <w:szCs w:val="13"/>
                <w:color w:val="auto"/>
              </w:rPr>
            </w:pPr>
          </w:p>
        </w:tc>
        <w:tc>
          <w:tcPr>
            <w:tcW w:w="694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0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Where You Can Find More Information</w:t>
              </w:r>
            </w:hyperlink>
          </w:p>
        </w:tc>
        <w:tc>
          <w:tcPr>
            <w:tcW w:w="1220" w:type="dxa"/>
            <w:vAlign w:val="bottom"/>
            <w:gridSpan w:val="2"/>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Notice Regarding Forward-Looking Statements</w:t>
              </w:r>
            </w:hyperlink>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0"/>
          </w:tcPr>
          <w:p>
            <w:pPr>
              <w:spacing w:after="0"/>
              <w:rPr>
                <w:sz w:val="17"/>
                <w:szCs w:val="17"/>
                <w:color w:val="auto"/>
              </w:rPr>
            </w:pPr>
          </w:p>
        </w:tc>
        <w:tc>
          <w:tcPr>
            <w:tcW w:w="660" w:type="dxa"/>
            <w:vAlign w:val="bottom"/>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Ratios of Earnings to Fixed Charges</w:t>
              </w:r>
            </w:hyperlink>
          </w:p>
        </w:tc>
        <w:tc>
          <w:tcPr>
            <w:tcW w:w="1480" w:type="dxa"/>
            <w:vAlign w:val="bottom"/>
            <w:gridSpan w:val="3"/>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Description of Debt Securities</w:t>
              </w:r>
            </w:hyperlink>
          </w:p>
        </w:tc>
        <w:tc>
          <w:tcPr>
            <w:tcW w:w="1900" w:type="dxa"/>
            <w:vAlign w:val="bottom"/>
            <w:gridSpan w:val="4"/>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Description of Warrants</w:t>
              </w:r>
            </w:hyperlink>
          </w:p>
        </w:tc>
        <w:tc>
          <w:tcPr>
            <w:tcW w:w="2360" w:type="dxa"/>
            <w:vAlign w:val="bottom"/>
            <w:gridSpan w:val="6"/>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Description of Units</w:t>
              </w:r>
            </w:hyperlink>
          </w:p>
        </w:tc>
        <w:tc>
          <w:tcPr>
            <w:tcW w:w="2620" w:type="dxa"/>
            <w:vAlign w:val="bottom"/>
            <w:gridSpan w:val="8"/>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Forms of Securities</w:t>
              </w:r>
            </w:hyperlink>
          </w:p>
        </w:tc>
        <w:tc>
          <w:tcPr>
            <w:tcW w:w="2680" w:type="dxa"/>
            <w:vAlign w:val="bottom"/>
            <w:gridSpan w:val="10"/>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Plan of Distribution</w:t>
              </w:r>
            </w:hyperlink>
          </w:p>
        </w:tc>
        <w:tc>
          <w:tcPr>
            <w:tcW w:w="2660" w:type="dxa"/>
            <w:vAlign w:val="bottom"/>
            <w:gridSpan w:val="9"/>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Validity of Securities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520" w:type="dxa"/>
            <w:vAlign w:val="bottom"/>
            <w:gridSpan w:val="7"/>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715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32715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40" w:firstLine="443"/>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ind w:left="200" w:firstLine="443"/>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24"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Securities Exchange Act of 1934, as amended (the “Exchange Act”) prior to the termination of the offering under this prospectus.</w:t>
      </w:r>
    </w:p>
    <w:p>
      <w:pPr>
        <w:spacing w:after="0" w:line="17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5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we, our customers or our suppliers operate;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29"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Instability in the global credit and financial markets that affects our ability to fund our daily operations, invest in our business, make strategic acquisitions, repurchase outstanding shares of our common stock, or make principal and interest payments on our debt;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27.3x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55.9x</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January 31, 2016, there were 1,008,975,790 shares of common stock outstanding which were held of record by 15,458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2 North LaSalle Street, Chicago, Illinois 60602.</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2016,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is first made.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71"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54"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Certain Definitions</w:t>
      </w:r>
      <w:r>
        <w:rPr>
          <w:rFonts w:ascii="Arial" w:cs="Arial" w:eastAsia="Arial" w:hAnsi="Arial"/>
          <w:sz w:val="17"/>
          <w:szCs w:val="17"/>
          <w:color w:val="auto"/>
        </w:rPr>
        <w:t>. The term “attributable debt” in respect of a sale and leaseback transaction means, at the time of determination, the lesser of (1)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 money borrowed (which, including guarantees of debt for borrowed money, we refer to as “debt”), if the debt is secured by a mortgage, pledge, lien or other encumbrance (which we refer to as a “mortgage”) upon any principal manufacturing property (whether such principal manufacturing property is now owned or subsequently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mortgages on property existing at the time of or within 120 days after acquisition of the property and certain purchase money mortgages;</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93"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Restrictions on Sale and Leaseback Transactions</w:t>
      </w:r>
      <w:r>
        <w:rPr>
          <w:rFonts w:ascii="Arial" w:cs="Arial" w:eastAsia="Arial" w:hAnsi="Arial"/>
          <w:sz w:val="17"/>
          <w:szCs w:val="17"/>
          <w:color w:val="auto"/>
        </w:rPr>
        <w:t>. The indenture provides that, unless as may otherwise be indicated by resolution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77" w:lineRule="exact"/>
        <w:rPr>
          <w:sz w:val="20"/>
          <w:szCs w:val="20"/>
          <w:color w:val="auto"/>
        </w:rPr>
      </w:pPr>
    </w:p>
    <w:p>
      <w:pPr>
        <w:ind w:left="900" w:right="14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and we elect to designate such amount as a credit against such transaction, or</w:t>
      </w:r>
    </w:p>
    <w:p>
      <w:pPr>
        <w:spacing w:after="0" w:line="142" w:lineRule="exact"/>
        <w:rPr>
          <w:rFonts w:ascii="Arial" w:cs="Arial" w:eastAsia="Arial" w:hAnsi="Arial"/>
          <w:sz w:val="17"/>
          <w:szCs w:val="17"/>
          <w:color w:val="auto"/>
        </w:rPr>
      </w:pPr>
    </w:p>
    <w:p>
      <w:pPr>
        <w:ind w:left="1460" w:right="260" w:hanging="547"/>
        <w:spacing w:after="0" w:line="27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76" w:lineRule="exact"/>
        <w:rPr>
          <w:sz w:val="20"/>
          <w:szCs w:val="20"/>
          <w:color w:val="auto"/>
        </w:rPr>
      </w:pPr>
    </w:p>
    <w:p>
      <w:pPr>
        <w:ind w:left="900" w:hanging="446"/>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900" w:right="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900" w:right="440" w:hanging="446"/>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5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53" w:lineRule="exact"/>
        <w:rPr>
          <w:rFonts w:ascii="Arial" w:cs="Arial" w:eastAsia="Arial" w:hAnsi="Arial"/>
          <w:sz w:val="16"/>
          <w:szCs w:val="16"/>
          <w:color w:val="auto"/>
        </w:rPr>
      </w:pPr>
    </w:p>
    <w:p>
      <w:pPr>
        <w:ind w:left="1460" w:right="40" w:hanging="547"/>
        <w:spacing w:after="0" w:line="277"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7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4"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900" w:right="2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92" w:lineRule="exact"/>
        <w:rPr>
          <w:sz w:val="20"/>
          <w:szCs w:val="20"/>
          <w:color w:val="auto"/>
        </w:rPr>
      </w:pPr>
    </w:p>
    <w:p>
      <w:pPr>
        <w:ind w:left="900" w:hanging="446"/>
        <w:spacing w:after="0" w:line="290"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71"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extends the stated maturity of the principal of, or the time of payment of any installment of interest on, any debt securities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waives a default in respect of a covenant or provision which cannot be modified or amended without the consent of each affected holder.</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securities based on the value, rate or price of one or more specified commodities, currencies, securities or indices, or any combination of the</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Registered Global Securities</w:t>
      </w:r>
      <w:r>
        <w:rPr>
          <w:rFonts w:ascii="Arial" w:cs="Arial" w:eastAsia="Arial" w:hAnsi="Arial"/>
          <w:sz w:val="17"/>
          <w:szCs w:val="17"/>
          <w:color w:val="auto"/>
        </w:rPr>
        <w:t>. We may issue the registered debt securities, warrants and units in the form of one or more fully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54"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into this prospectus and elsewhere in the registration statement.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1252220</wp:posOffset>
            </wp:positionV>
            <wp:extent cx="2864485" cy="660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$500,000,000 1.850%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1688465</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Barclays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BofA Merrill Lynch</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Mizuho Securities</w:t>
      </w:r>
    </w:p>
    <w:p>
      <w:pPr>
        <w:spacing w:after="0" w:line="152" w:lineRule="exact"/>
        <w:rPr>
          <w:sz w:val="20"/>
          <w:szCs w:val="20"/>
          <w:color w:val="auto"/>
        </w:rPr>
      </w:pPr>
    </w:p>
    <w:p>
      <w:pPr>
        <w:sectPr>
          <w:pgSz w:w="11900" w:h="16838" w:orient="portrait"/>
          <w:cols w:equalWidth="0" w:num="3">
            <w:col w:w="2520" w:space="720"/>
            <w:col w:w="4960" w:space="720"/>
            <w:col w:w="2500"/>
          </w:cols>
          <w:pgMar w:left="240" w:top="459" w:right="239" w:bottom="1440" w:gutter="0" w:footer="0" w:header="0"/>
          <w:type w:val="continuous"/>
        </w:sectPr>
      </w:pPr>
    </w:p>
    <w:p>
      <w:pPr>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Morgan Stanley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auto"/>
        </w:rPr>
        <w:t>MUFG</w:t>
      </w:r>
    </w:p>
    <w:p>
      <w:pPr>
        <w:spacing w:after="0" w:line="200" w:lineRule="exact"/>
        <w:rPr>
          <w:sz w:val="20"/>
          <w:szCs w:val="20"/>
          <w:color w:val="auto"/>
        </w:rPr>
      </w:pPr>
    </w:p>
    <w:p>
      <w:pPr>
        <w:sectPr>
          <w:pgSz w:w="11900" w:h="16838" w:orient="portrait"/>
          <w:cols w:equalWidth="0" w:num="4">
            <w:col w:w="2460" w:space="720"/>
            <w:col w:w="1820" w:space="720"/>
            <w:col w:w="3980" w:space="720"/>
            <w:col w:w="1000"/>
          </w:cols>
          <w:pgMar w:left="240" w:top="459" w:right="239" w:bottom="1440" w:gutter="0" w:footer="0" w:header="0"/>
          <w:type w:val="continuous"/>
        </w:sectPr>
      </w:pP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Co-Managers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Williams Capital Group, L.P.</w:t>
      </w:r>
    </w:p>
    <w:p>
      <w:pPr>
        <w:spacing w:after="0" w:line="4" w:lineRule="exact"/>
        <w:rPr>
          <w:sz w:val="20"/>
          <w:szCs w:val="20"/>
          <w:color w:val="auto"/>
        </w:rPr>
      </w:pPr>
    </w:p>
    <w:p>
      <w:pPr>
        <w:jc w:val="center"/>
        <w:ind w:left="520"/>
        <w:spacing w:after="0"/>
        <w:rPr>
          <w:sz w:val="20"/>
          <w:szCs w:val="20"/>
          <w:color w:val="auto"/>
        </w:rPr>
      </w:pPr>
      <w:r>
        <w:rPr>
          <w:rFonts w:ascii="Arial" w:cs="Arial" w:eastAsia="Arial" w:hAnsi="Arial"/>
          <w:sz w:val="22"/>
          <w:szCs w:val="22"/>
          <w:b w:val="1"/>
          <w:bCs w:val="1"/>
          <w:color w:val="auto"/>
        </w:rPr>
        <w:t>US Bancorp</w:t>
      </w:r>
    </w:p>
    <w:p>
      <w:pPr>
        <w:ind w:left="7860"/>
        <w:spacing w:after="0" w:line="230" w:lineRule="auto"/>
        <w:rPr>
          <w:sz w:val="20"/>
          <w:szCs w:val="20"/>
          <w:color w:val="auto"/>
        </w:rPr>
      </w:pPr>
      <w:r>
        <w:rPr>
          <w:rFonts w:ascii="Arial" w:cs="Arial" w:eastAsia="Arial" w:hAnsi="Arial"/>
          <w:sz w:val="22"/>
          <w:szCs w:val="22"/>
          <w:b w:val="1"/>
          <w:bCs w:val="1"/>
          <w:color w:val="auto"/>
        </w:rPr>
        <w:t>BNP PARIBAS</w:t>
      </w:r>
    </w:p>
    <w:p>
      <w:pPr>
        <w:spacing w:after="0" w:line="1" w:lineRule="exact"/>
        <w:rPr>
          <w:sz w:val="20"/>
          <w:szCs w:val="20"/>
          <w:color w:val="auto"/>
        </w:rPr>
      </w:pPr>
    </w:p>
    <w:p>
      <w:pPr>
        <w:jc w:val="right"/>
        <w:ind w:right="160"/>
        <w:spacing w:after="0"/>
        <w:rPr>
          <w:sz w:val="20"/>
          <w:szCs w:val="20"/>
          <w:color w:val="auto"/>
        </w:rPr>
      </w:pPr>
      <w:r>
        <w:rPr>
          <w:rFonts w:ascii="Arial" w:cs="Arial" w:eastAsia="Arial" w:hAnsi="Arial"/>
          <w:sz w:val="22"/>
          <w:szCs w:val="22"/>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939165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999490</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lowerRoman"/>
      <w:start w:val="1"/>
    </w:lvl>
  </w:abstractNum>
  <w:abstractNum w:abstractNumId="9">
    <w:nsid w:val="836C40E"/>
    <w:multiLevelType w:val="hybridMultilevel"/>
    <w:lvl w:ilvl="0">
      <w:lvlJc w:val="left"/>
      <w:lvlText w:val="•"/>
      <w:numFmt w:val="bullet"/>
      <w:start w:val="1"/>
    </w:lvl>
    <w:lvl w:ilvl="1">
      <w:lvlJc w:val="left"/>
      <w:lvlText w:val="(%2)"/>
      <w:numFmt w:val="decimal"/>
      <w:start w:val="1"/>
    </w:lvl>
  </w:abstractNum>
  <w:abstractNum w:abstractNumId="10">
    <w:nsid w:val="2901D82"/>
    <w:multiLevelType w:val="hybridMultilevel"/>
    <w:lvl w:ilvl="0">
      <w:lvlJc w:val="left"/>
      <w:lvlText w:val="•"/>
      <w:numFmt w:val="bullet"/>
      <w:start w:val="1"/>
    </w:lvl>
    <w:lvl w:ilvl="1">
      <w:lvlJc w:val="left"/>
      <w:lvlText w:val="(%2)"/>
      <w:numFmt w:val="decimal"/>
      <w:start w:val="1"/>
    </w:lvl>
  </w:abstractNum>
  <w:abstractNum w:abstractNumId="11">
    <w:nsid w:val="3A95F874"/>
    <w:multiLevelType w:val="hybridMultilevel"/>
    <w:lvl w:ilvl="0">
      <w:lvlJc w:val="left"/>
      <w:lvlText w:val="(%1)"/>
      <w:numFmt w:val="decimal"/>
      <w:start w:val="2"/>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lowerRoman"/>
      <w:start w:val="3"/>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lvl w:ilvl="1">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lvl w:ilvl="1">
      <w:lvlJc w:val="left"/>
      <w:lvlText w:val="•"/>
      <w:numFmt w:val="bullet"/>
      <w:start w:val="1"/>
    </w:lvl>
  </w:abstractNum>
  <w:abstractNum w:abstractNumId="39">
    <w:nsid w:val="1D4ED43B"/>
    <w:multiLevelType w:val="hybridMultilevel"/>
    <w:lvl w:ilvl="0">
      <w:lvlJc w:val="left"/>
      <w:lvlText w:val="•"/>
      <w:numFmt w:val="bullet"/>
      <w:start w:val="1"/>
    </w:lvl>
    <w:lvl w:ilvl="1">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2019-12-05T10:52:07Z</dcterms:created>
  <dcterms:modified xsi:type="dcterms:W3CDTF">2019-12-05T10:52:07Z</dcterms:modified>
</cp:coreProperties>
</file>