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63500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913,707,365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July 19, 2022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598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5,212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10,117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7,067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5,286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2,681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5,207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932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3,684</w:t>
            </w:r>
          </w:p>
        </w:tc>
      </w:tr>
      <w:tr>
        <w:trPr>
          <w:trHeight w:val="230"/>
        </w:trPr>
        <w:tc>
          <w:tcPr>
            <w:tcW w:w="6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6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4,473</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3,669</w:t>
            </w:r>
          </w:p>
        </w:tc>
      </w:tr>
      <w:tr>
        <w:trPr>
          <w:trHeight w:val="20"/>
        </w:trPr>
        <w:tc>
          <w:tcPr>
            <w:tcW w:w="6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$8 and ($5); $6 and ($7)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($4) and ($2); ($5)</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($5)</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losses, net of tax effect of $1 and $0; $2 and $0</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2,264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4,469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3,802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($12) and ($8)</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2,190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2,199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13,043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(2,894)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2,560</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48,280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June 30, 2022 – 826; December 31, 2021 – 817</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(38,532)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14,092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3,912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6,974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(4,298)</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3,802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71"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3,992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1,547</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5,212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10,117</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8,869</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5,286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4,152</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r>
      <w:tr>
        <w:trPr>
          <w:trHeight w:val="211"/>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Asia (a)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3,395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6,598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5,851</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5,212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10,117</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8,869</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0" w:hanging="332"/>
        <w:spacing w:after="0" w:line="262"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$2.8 billion and $2.5 billion in the second quarters of 2022 and 2021, respectively, and $5.3 billion and $4.8 billion in the first six months of 2022 and 2021, respectively, which includes shipments to customers that manufacture in China and then export end products to their customers around the world, as well as distributors that transship inventory through China to service other countries.</w:t>
      </w:r>
    </w:p>
    <w:p>
      <w:pPr>
        <w:spacing w:after="0" w:line="17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2021. The Consolidated Statements of Income, Comprehensive Income and Cash Flows for the periods ended June 30, 2022 and 2021, and the Consolidated Balance Sheet as of June 30, 2022,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2021. Certain amounts in prior periods' financial statements have been reclassified to conform to the current presentation. The results for the three- and six-month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Three Months Ended June 30,</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920</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Six Months Ended 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0"/>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Potentially dilutive securities representing 6 million and 2 million shares of common stock that were outstanding during the second quarters of 2022 and 2021, respectively, and 5 million and 3 million shares outstanding during the first six months of 2022 and 2021,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June 30, 2022.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2022, the carrying value of long-term debt, including the current portion, was $7.24 billion, and the estimated fair value was $ 6.72 billion. The estimated fair value is measured using broker-dealer quotes, which are Level 2 inputs. See Note 4 for a description of fair value and the definition of Level 2 inputs.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Six Months Ended</w:t>
            </w:r>
          </w:p>
        </w:tc>
      </w:tr>
      <w:tr>
        <w:trPr>
          <w:trHeight w:val="203"/>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5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24"/>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756</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597</w:t>
            </w:r>
          </w:p>
        </w:tc>
      </w:tr>
      <w:tr>
        <w:trPr>
          <w:trHeight w:val="230"/>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(100)</w:t>
            </w:r>
          </w:p>
        </w:tc>
      </w:tr>
      <w:tr>
        <w:trPr>
          <w:trHeight w:val="248"/>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715</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497</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available-for-sale debt investments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309</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3,080</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4,585</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3,802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4,585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of June 30, 2022, and December 31, 2021, unrealized gains and losses associated with our available-for-sale investments were not material. We did not recognize any credit losses related to available-for-sale investments for the first six months of 2022 and 2021.</w:t>
      </w:r>
    </w:p>
    <w:p>
      <w:pPr>
        <w:spacing w:after="0" w:line="15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Proceeds from sales, redemptions and maturities of short-term available-for-sale investments were $4.20 billion and $ 2.46 billion for the second quarters of 2022 and 2021, respectively, and $6.97 billion and $4.46 billion for the first six months of 2022 and 2021, respectively. Gross realized gains and losses from these sales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June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6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5,258</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100" w:hanging="329"/>
        <w:spacing w:after="0" w:line="256"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140" w:hanging="329"/>
        <w:spacing w:after="0" w:line="262"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June 30, 2022, our Level 3 assets and liabilities were not material. As of December 31, 2021, we had no Level 3 assets or liabilities.</w:t>
      </w:r>
    </w:p>
    <w:p>
      <w:pPr>
        <w:spacing w:after="0" w:line="17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24"/>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1,575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1,575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5,653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7,676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8,950</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842"/>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June 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w:t>
            </w: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DBDBDB"/>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720" w:type="dxa"/>
            <w:vAlign w:val="bottom"/>
            <w:tcBorders>
              <w:top w:val="single" w:sz="8" w:color="auto"/>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40" w:type="dxa"/>
            <w:vAlign w:val="bottom"/>
            <w:tcBorders>
              <w:top w:val="single" w:sz="8" w:color="auto"/>
              <w:bottom w:val="single" w:sz="8" w:color="auto"/>
            </w:tcBorders>
            <w:shd w:val="clear" w:color="auto" w:fill="DBDBDB"/>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gridSpan w:val="2"/>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Six Months Ended June 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(35)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w:t>
            </w: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DBDBDB"/>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1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720" w:type="dxa"/>
            <w:vAlign w:val="bottom"/>
            <w:tcBorders>
              <w:top w:val="single" w:sz="8" w:color="auto"/>
              <w:bottom w:val="single" w:sz="8" w:color="auto"/>
            </w:tcBorders>
            <w:shd w:val="clear" w:color="auto" w:fill="DBDBDB"/>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40" w:type="dxa"/>
            <w:vAlign w:val="bottom"/>
            <w:tcBorders>
              <w:top w:val="single" w:sz="8" w:color="auto"/>
              <w:bottom w:val="single" w:sz="8" w:color="auto"/>
            </w:tcBorders>
            <w:shd w:val="clear" w:color="auto" w:fill="DBDBDB"/>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2022, we had a variable-rate revolving credit facility from a consortium of investment-grade banks that allows us to borrow up to $1 billion until March 2023. The interest rate on borrowings under this credit facility, if drawn, is indexed to the applicable Term Secured Overnight Financing Rate (Term SOFR). As of June 30, 2022, our credit facility was undrawn, and we had no commercial paper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2022 at 1.85%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2023 at 2.25%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7,244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7,741</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6,745</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7,241</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Interest and debt expense was $49 million and $ 44 million for the second quarters of 2022 and 2021, respectively, and $101 million and $90 million for the first six months of 2022 and 2021, respectively. This was net of the amortized discounts, premiums and issuance costs. Capitalized interest was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2022</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($1.15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2,783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48,280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(38,532)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2020</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42,051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March 31, 2021</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42,860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(36,479)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2021</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43,846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During the second quarter and first six months of 2022, restructuring charges/other included $66 million and $132 million, respectively, related to integration charges at our Lehi, Utah, manufacturing facility. These costs are included in Other for segment reporting purposes.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second quarters and first six months of 2022 and 2021. The table below details where these transactions are recorded in our Consolidated Statements of Income.</w:t>
      </w:r>
    </w:p>
    <w:p>
      <w:pPr>
        <w:sectPr>
          <w:pgSz w:w="11900" w:h="16838" w:orient="portrait"/>
          <w:cols w:equalWidth="0" w:num="1">
            <w:col w:w="11220"/>
          </w:cols>
          <w:pgMar w:left="320" w:top="122" w:right="35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3860" w:type="dxa"/>
            <w:vAlign w:val="bottom"/>
          </w:tcPr>
          <w:p>
            <w:pPr>
              <w:spacing w:after="0"/>
              <w:rPr>
                <w:sz w:val="20"/>
                <w:szCs w:val="20"/>
                <w:color w:val="auto"/>
              </w:rPr>
            </w:pPr>
            <w:r>
              <w:rPr>
                <w:rFonts w:ascii="Arial" w:cs="Arial" w:eastAsia="Arial" w:hAnsi="Arial"/>
                <w:sz w:val="18"/>
                <w:szCs w:val="18"/>
                <w:color w:val="auto"/>
              </w:rPr>
              <w:t>Net actuarial losses of defined benefit plans: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60" w:type="dxa"/>
            <w:vAlign w:val="bottom"/>
          </w:tcPr>
          <w:p>
            <w:pPr>
              <w:ind w:left="120"/>
              <w:spacing w:after="0" w:line="181" w:lineRule="exact"/>
              <w:rPr>
                <w:sz w:val="20"/>
                <w:szCs w:val="20"/>
                <w:color w:val="auto"/>
              </w:rPr>
            </w:pPr>
            <w:r>
              <w:rPr>
                <w:rFonts w:ascii="Arial" w:cs="Arial" w:eastAsia="Arial" w:hAnsi="Arial"/>
                <w:sz w:val="18"/>
                <w:szCs w:val="18"/>
                <w:color w:val="auto"/>
              </w:rPr>
              <w:t>Recognized net actuarial loss and settlement</w:t>
            </w:r>
          </w:p>
        </w:tc>
        <w:tc>
          <w:tcPr>
            <w:tcW w:w="780" w:type="dxa"/>
            <w:vAlign w:val="bottom"/>
            <w:vMerge w:val="restart"/>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5"/>
                <w:szCs w:val="15"/>
                <w:color w:val="auto"/>
              </w:rPr>
            </w:pPr>
          </w:p>
        </w:tc>
        <w:tc>
          <w:tcPr>
            <w:tcW w:w="800" w:type="dxa"/>
            <w:vAlign w:val="bottom"/>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5"/>
        </w:trPr>
        <w:tc>
          <w:tcPr>
            <w:tcW w:w="3860" w:type="dxa"/>
            <w:vAlign w:val="bottom"/>
          </w:tcPr>
          <w:p>
            <w:pPr>
              <w:ind w:left="120"/>
              <w:spacing w:after="0"/>
              <w:rPr>
                <w:sz w:val="20"/>
                <w:szCs w:val="20"/>
                <w:color w:val="auto"/>
              </w:rPr>
            </w:pPr>
            <w:r>
              <w:rPr>
                <w:rFonts w:ascii="Arial" w:cs="Arial" w:eastAsia="Arial" w:hAnsi="Arial"/>
                <w:sz w:val="18"/>
                <w:szCs w:val="18"/>
                <w:color w:val="auto"/>
              </w:rPr>
              <w:t>losses (a)</w:t>
            </w:r>
          </w:p>
        </w:tc>
        <w:tc>
          <w:tcPr>
            <w:tcW w:w="78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3860" w:type="dxa"/>
            <w:vAlign w:val="bottom"/>
          </w:tcPr>
          <w:p>
            <w:pPr>
              <w:ind w:left="120"/>
              <w:spacing w:after="0"/>
              <w:rPr>
                <w:sz w:val="20"/>
                <w:szCs w:val="20"/>
                <w:color w:val="auto"/>
              </w:rPr>
            </w:pPr>
            <w:r>
              <w:rPr>
                <w:rFonts w:ascii="Arial" w:cs="Arial" w:eastAsia="Arial" w:hAnsi="Arial"/>
                <w:sz w:val="18"/>
                <w:szCs w:val="18"/>
                <w:color w:val="auto"/>
              </w:rPr>
              <w:t>Tax effect</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left="-179"/>
        <w:spacing w:after="0" w:line="273" w:lineRule="auto"/>
        <w:rPr>
          <w:sz w:val="20"/>
          <w:szCs w:val="20"/>
          <w:color w:val="auto"/>
        </w:rPr>
      </w:pPr>
      <w:r>
        <w:rPr>
          <w:rFonts w:ascii="Arial" w:cs="Arial" w:eastAsia="Arial" w:hAnsi="Arial"/>
          <w:sz w:val="14"/>
          <w:szCs w:val="14"/>
          <w:b w:val="1"/>
          <w:bCs w:val="1"/>
          <w:color w:val="auto"/>
        </w:rPr>
        <w:t>Impact to Related Statement of Income Lines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Decrease to OI&amp;E</w:t>
      </w:r>
    </w:p>
    <w:p>
      <w:pPr>
        <w:spacing w:after="0" w:line="3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Decrease to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1160" w:lineRule="exact"/>
        <w:rPr>
          <w:sz w:val="20"/>
          <w:szCs w:val="20"/>
          <w:color w:val="auto"/>
        </w:rPr>
      </w:pPr>
    </w:p>
    <w:p>
      <w:pPr>
        <w:sectPr>
          <w:pgSz w:w="11900" w:h="16838" w:orient="portrait"/>
          <w:cols w:equalWidth="0" w:num="2">
            <w:col w:w="8640" w:space="100"/>
            <w:col w:w="2480"/>
          </w:cols>
          <w:pgMar w:left="320" w:top="122" w:right="359" w:bottom="1440" w:gutter="0" w:footer="0" w:header="0"/>
          <w:type w:val="continuous"/>
        </w:sectPr>
      </w:pP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second quarter and first six months of 2022, 1 million and 2 million shares, respectively, were issued from treasury related to stock compensation.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left="1300" w:right="480" w:hanging="320"/>
        <w:spacing w:after="0" w:line="262"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$5.21 billion, net income was $2.29 billion and earnings per share (EPS) were $2.45.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 from the same quarter a year ago due to growth across markets.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cash flow from operations of $8.7 billion for the trailing 12 months again underscored the strength of our business model. Free cash flow for the same period was $5.9 billion and 30% of revenue. This reflects the quality of our product portfolio, as well as the efficiency of our manufacturing strategy, including the benefit of 300-millimeter production.</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Over the past 12 months we invested $3.2 billion in R&amp;D and SG&amp;A, invested $2.8 billion in capital expenditures and returned $6.2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2022 compared with second quarter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$5.21 billion increased $632 million, or 14%, due to higher revenue from Analog and, to a lesser extent, Embedded Processing.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benefited from higher prices and the mix of products shipped.</w:t>
      </w:r>
    </w:p>
    <w:p>
      <w:pPr>
        <w:spacing w:after="0" w:line="20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Gross profit of $3.63 billion was up $548 million, or 18%, primarily due to higher revenue. As a percentage of revenue, gross profit increased to 69.6% from 67.2%.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$836 million compared with $816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$66 million due to integration charges at our Lehi, Utah, manufacturing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$2.72 billion, or 52.2% of revenue, compared with $2.21 billion, or 48.3%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$7 million of income compared with $73 million of income.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provision for income taxes was $390 million compared with $311 million. This increase was primarily due to higher income before income taxes.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$2.29 billion compared with $1.93 billion. EPS was $2.45 compared with $2.05.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Second quarter 2022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2022</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3,992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55.8 %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821</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39.5 %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399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43.4 %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acquisition charges and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$63 million, and operating profit increased $50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2022 compared with first six months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$10.12 billion increased $1.25 billion, or 14%, due to higher revenue from Analog and, to a lesser extent, Embedded Processing.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benefited from higher prices and the mix of products shipped.</w:t>
      </w:r>
    </w:p>
    <w:p>
      <w:pPr>
        <w:spacing w:after="0" w:line="20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Gross profit of $7.07 billion was up $1.19 billion, or 20%, primarily due to higher revenue. As a percentage of revenue, gross profit increased to 69.9% from 66.2%.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$1.65 billion compared with $1.63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$132 million due to integration charges at our Lehi, Utah, manufacturing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$5.29 billion, or 52.2% of revenue, compared with $4.15 billion, or 46.8%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$22 million of income compared with $119 million of income.</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provision for income taxes was $715 million compared with $497 million. This increase was due to higher income before income taxes and lower discrete tax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$4.49 billion compared with $3.68 billion. EPS was $4.80 compared with $3.92.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7,808</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6,744</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4,376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56.0 %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50.8 %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1,603</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1,547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39.9 %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706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578</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38.4 %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acquisition charges and restructuring charges/other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$128 million, and operating profit increased $142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the end of the second quarter of 2022, total cash (cash and cash equivalents plus short-term investments) was $8.39 billion, a decrease of $1.35 billion from the end of 2021.</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Accounts receivable were $2.19 billion, an increase of $ 489 million compared with the end of 2021. Days sales outstanding for the second quarter of 2022 were 38 compared with 32 at the end of 2021.</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Inventory was $2.20 billion, an increase of $289 million from the end of 2021. Days of inventory for the second quarter of 2022 were 125 compared with 116 at the end of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 rate, revolving credit facility. As of June 30, 2022, our credit facility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undrawn, and we had no commercial paper outstanding. Cash flows from operating activities for the first six months of 2022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$3.91 billion, a decrease of $59 million from the year-ago period due to higher cash used for working capital, partially offset by higher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t>Investing activities for the first six months of 2022 used $443 million compared with $982 million in the year-ago period. Capital expenditures were $1.04 billion compared with $694 million in the year-ago period and were primarily for semiconductor manufacturing equipment and facilities in both periods. As we continue to invest to strengthen our competitive advantage in manufacturing and technology as part of our long-term capacity planning, we expect our capital expenditures to be higher than historical levels. Short-term investments provided cash of $525 million compared with using cash of $279 million in the year-ago period.</w:t>
      </w:r>
    </w:p>
    <w:p>
      <w:pPr>
        <w:spacing w:after="0" w:line="17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Financing activities for the first six months of 2022 used $ 4.30 billion compared with $2.45 billion in the year-ago period. In 2022, we retired maturing debt of $500 million compared with $550 million in the year-ago period. Dividends paid were $2.12 billion compared with</w:t>
      </w:r>
    </w:p>
    <w:p>
      <w:pPr>
        <w:spacing w:after="0" w:line="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$1.88 billion in the year-ago period, reflecting an increased dividend rate. We used $1.77 billion to repurchase 10.7 million shares of our common stock compared with $246 million used in the year-ago period to repurchase 1.4 million shares. Employee exercises of stock options provided cash proceeds of $113 million compared with $250 million in the year-ago period.</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had $3.80 billion of cash and cash equivalents and $4.59 billion of short-term investments as of June 30, 2022.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8,697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7,539</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(2,808)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5,889</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6,487</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DBDBDB"/>
            </w:tcBorders>
          </w:tcPr>
          <w:p>
            <w:pPr>
              <w:spacing w:after="0"/>
              <w:rPr>
                <w:sz w:val="14"/>
                <w:szCs w:val="14"/>
                <w:color w:val="auto"/>
              </w:rPr>
            </w:pPr>
          </w:p>
        </w:tc>
        <w:tc>
          <w:tcPr>
            <w:tcW w:w="1320" w:type="dxa"/>
            <w:vAlign w:val="bottom"/>
            <w:tcBorders>
              <w:bottom w:val="single" w:sz="8" w:color="DBDBDB"/>
            </w:tcBorders>
          </w:tcPr>
          <w:p>
            <w:pPr>
              <w:spacing w:after="0"/>
              <w:rPr>
                <w:sz w:val="14"/>
                <w:szCs w:val="14"/>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19,592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16,762</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44.4 %</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2021,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jc w:val="center"/>
        <w:ind w:right="20"/>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April 1, 2022 through April 30, 2022</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321,257</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171.86</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321,257</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9.46</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May 1, 2022 through May 31, 2022</w:t>
            </w:r>
          </w:p>
        </w:tc>
        <w:tc>
          <w:tcPr>
            <w:tcW w:w="1280" w:type="dxa"/>
            <w:vAlign w:val="bottom"/>
          </w:tcPr>
          <w:p>
            <w:pPr>
              <w:jc w:val="right"/>
              <w:spacing w:after="0"/>
              <w:rPr>
                <w:sz w:val="20"/>
                <w:szCs w:val="20"/>
                <w:color w:val="auto"/>
              </w:rPr>
            </w:pPr>
            <w:r>
              <w:rPr>
                <w:rFonts w:ascii="Arial" w:cs="Arial" w:eastAsia="Arial" w:hAnsi="Arial"/>
                <w:sz w:val="18"/>
                <w:szCs w:val="18"/>
                <w:color w:val="auto"/>
              </w:rPr>
              <w:t>2,769,034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2,764,737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June 1, 2022 through June 30, 2022</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4,723,935</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157.07</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4,723,935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8.25</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7,814,226</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162.11</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7,809,929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8.25</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34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79" w:lineRule="exact"/>
        <w:rPr>
          <w:rFonts w:ascii="Arial" w:cs="Arial" w:eastAsia="Arial" w:hAnsi="Arial"/>
          <w:sz w:val="18"/>
          <w:szCs w:val="18"/>
          <w:color w:val="auto"/>
        </w:rPr>
      </w:pPr>
    </w:p>
    <w:p>
      <w:pPr>
        <w:ind w:left="340" w:right="76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open-market purchases, 4,297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380" w:hanging="332"/>
        <w:spacing w:after="0" w:line="287"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June 30, 2022,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3" w:name="page24"/>
    <w:bookmarkEnd w:id="23"/>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43">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1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44" w:lineRule="exact"/>
        <w:rPr>
          <w:rFonts w:ascii="Arial" w:cs="Arial" w:eastAsia="Arial" w:hAnsi="Arial"/>
          <w:sz w:val="18"/>
          <w:szCs w:val="18"/>
          <w:color w:val="auto"/>
        </w:rPr>
      </w:pPr>
    </w:p>
    <w:p>
      <w:pPr>
        <w:ind w:left="620" w:right="3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0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ectPr>
          <w:pgSz w:w="11900" w:h="16838" w:orient="portrait"/>
          <w:cols w:equalWidth="0" w:num="1">
            <w:col w:w="11200"/>
          </w:cols>
          <w:pgMar w:left="320" w:top="890"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60" w:hanging="492"/>
        <w:spacing w:after="0" w:line="237"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6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Chairman, President</w:t>
      </w: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6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3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76" w:lineRule="exact"/>
        <w:rPr>
          <w:sz w:val="20"/>
          <w:szCs w:val="20"/>
          <w:color w:val="auto"/>
        </w:rPr>
      </w:pPr>
    </w:p>
    <w:p>
      <w:pPr>
        <w:ind w:right="160" w:firstLine="494"/>
        <w:spacing w:after="0" w:line="312" w:lineRule="auto"/>
        <w:tabs>
          <w:tab w:leader="none" w:pos="70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2022, as filed with the Securities and Exchange Commission on the date hereof (the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right="100" w:firstLine="494"/>
        <w:spacing w:after="0" w:line="532" w:lineRule="auto"/>
        <w:tabs>
          <w:tab w:leader="none" w:pos="7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July 27, 2022</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Chairman, President</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1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160" w:firstLine="494"/>
        <w:spacing w:after="0" w:line="312" w:lineRule="auto"/>
        <w:tabs>
          <w:tab w:leader="none" w:pos="70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2022, as filed with the Securities and Exchange Commission on the date hereof (the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right="100" w:firstLine="494"/>
        <w:spacing w:after="0" w:line="532" w:lineRule="auto"/>
        <w:tabs>
          <w:tab w:leader="none" w:pos="7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July 27, 2022</w:t>
      </w:r>
    </w:p>
    <w:p>
      <w:pPr>
        <w:spacing w:after="0" w:line="2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Senior Vice President and</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lvl w:ilvl="1">
      <w:lvlJc w:val="left"/>
      <w:lvlText w:val="%2."/>
      <w:numFmt w:val="lowerRoman"/>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lvl w:ilvl="1">
      <w:lvlJc w:val="left"/>
      <w:lvlText w:val="%2"/>
      <w:numFmt w:val="decimal"/>
      <w:start w:val="10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3" Type="http://schemas.openxmlformats.org/officeDocument/2006/relationships/hyperlink" Target="http://www.sec.gov/Archives/edgar/data/97476/000009747615000003/txn-12312014xexhibit3a.htm" TargetMode="External"/><Relationship Id="rId44"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2022-07-27T08:31:21Z</dcterms:created>
  <dcterms:modified xsi:type="dcterms:W3CDTF">2022-07-27T08:31:21Z</dcterms:modified>
</cp:coreProperties>
</file>