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17145</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45085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30480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21590</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1" w:lineRule="exact"/>
        <w:rPr>
          <w:sz w:val="24"/>
          <w:szCs w:val="24"/>
          <w:color w:val="auto"/>
        </w:rPr>
      </w:pPr>
    </w:p>
    <w:tbl>
      <w:tblPr>
        <w:tblLayout w:type="fixed"/>
        <w:tblInd w:w="940" w:type="dxa"/>
        <w:tblCellMar>
          <w:top w:w="0" w:type="dxa"/>
          <w:left w:w="0" w:type="dxa"/>
          <w:bottom w:w="0" w:type="dxa"/>
          <w:right w:w="0" w:type="dxa"/>
        </w:tblCellMar>
      </w:tblPr>
      <w:tr>
        <w:trPr>
          <w:trHeight w:val="227"/>
        </w:trPr>
        <w:tc>
          <w:tcPr>
            <w:tcW w:w="21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001-03761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6"/>
        </w:trPr>
        <w:tc>
          <w:tcPr>
            <w:tcW w:w="2140" w:type="dxa"/>
            <w:vAlign w:val="bottom"/>
            <w:gridSpan w:val="2"/>
          </w:tcPr>
          <w:p>
            <w:pPr>
              <w:jc w:val="center"/>
              <w:ind w:right="500"/>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20" w:type="dxa"/>
            <w:vAlign w:val="bottom"/>
          </w:tcPr>
          <w:p>
            <w:pPr>
              <w:jc w:val="center"/>
              <w:ind w:right="64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1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4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03"/>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120" w:type="dxa"/>
            <w:vAlign w:val="bottom"/>
          </w:tcPr>
          <w:p>
            <w:pPr>
              <w:spacing w:after="0"/>
              <w:rPr>
                <w:sz w:val="24"/>
                <w:szCs w:val="24"/>
                <w:color w:val="auto"/>
              </w:rPr>
            </w:pPr>
          </w:p>
        </w:tc>
      </w:tr>
      <w:tr>
        <w:trPr>
          <w:trHeight w:val="214"/>
        </w:trPr>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20" w:type="dxa"/>
            <w:vAlign w:val="bottom"/>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120" w:type="dxa"/>
            <w:vAlign w:val="bottom"/>
          </w:tcPr>
          <w:p>
            <w:pPr>
              <w:spacing w:after="0"/>
              <w:rPr>
                <w:sz w:val="18"/>
                <w:szCs w:val="18"/>
                <w:color w:val="auto"/>
              </w:rPr>
            </w:pPr>
          </w:p>
        </w:tc>
      </w:tr>
      <w:tr>
        <w:trPr>
          <w:trHeight w:val="190"/>
        </w:trPr>
        <w:tc>
          <w:tcPr>
            <w:tcW w:w="1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20" w:type="dxa"/>
            <w:vAlign w:val="bottom"/>
          </w:tcPr>
          <w:p>
            <w:pPr>
              <w:spacing w:after="0"/>
              <w:rPr>
                <w:sz w:val="16"/>
                <w:szCs w:val="16"/>
                <w:color w:val="auto"/>
              </w:rPr>
            </w:pPr>
          </w:p>
        </w:tc>
      </w:tr>
      <w:tr>
        <w:trPr>
          <w:trHeight w:val="392"/>
        </w:trPr>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20" w:type="dxa"/>
            <w:vAlign w:val="bottom"/>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120" w:type="dxa"/>
            <w:vAlign w:val="bottom"/>
          </w:tcPr>
          <w:p>
            <w:pPr>
              <w:spacing w:after="0"/>
              <w:rPr>
                <w:sz w:val="24"/>
                <w:szCs w:val="24"/>
                <w:color w:val="auto"/>
              </w:rPr>
            </w:pPr>
          </w:p>
        </w:tc>
      </w:tr>
      <w:tr>
        <w:trPr>
          <w:trHeight w:val="37"/>
        </w:trPr>
        <w:tc>
          <w:tcPr>
            <w:tcW w:w="14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5820" w:type="dxa"/>
            <w:vAlign w:val="bottom"/>
            <w:tcBorders>
              <w:bottom w:val="single" w:sz="8" w:color="auto"/>
            </w:tcBorders>
          </w:tcPr>
          <w:p>
            <w:pPr>
              <w:spacing w:after="0"/>
              <w:rPr>
                <w:sz w:val="3"/>
                <w:szCs w:val="3"/>
                <w:color w:val="auto"/>
              </w:rPr>
            </w:pPr>
          </w:p>
        </w:tc>
        <w:tc>
          <w:tcPr>
            <w:tcW w:w="1120" w:type="dxa"/>
            <w:vAlign w:val="bottom"/>
          </w:tcPr>
          <w:p>
            <w:pPr>
              <w:spacing w:after="0"/>
              <w:rPr>
                <w:sz w:val="3"/>
                <w:szCs w:val="3"/>
                <w:color w:val="auto"/>
              </w:rPr>
            </w:pPr>
          </w:p>
        </w:tc>
      </w:tr>
    </w:tbl>
    <w:p>
      <w:pPr>
        <w:spacing w:after="0" w:line="346"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2"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40" w:hanging="714"/>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3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60" w:type="dxa"/>
            <w:vAlign w:val="bottom"/>
            <w:gridSpan w:val="2"/>
          </w:tcPr>
          <w:p>
            <w:pPr>
              <w:jc w:val="center"/>
              <w:ind w:right="3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Trading</w:t>
            </w:r>
          </w:p>
        </w:tc>
        <w:tc>
          <w:tcPr>
            <w:tcW w:w="4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360" w:type="dxa"/>
            <w:vAlign w:val="bottom"/>
            <w:gridSpan w:val="2"/>
            <w:vMerge w:val="continue"/>
          </w:tcPr>
          <w:p>
            <w:pPr>
              <w:spacing w:after="0"/>
              <w:rPr>
                <w:sz w:val="21"/>
                <w:szCs w:val="21"/>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7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320" w:type="dxa"/>
            <w:vAlign w:val="bottom"/>
          </w:tcPr>
          <w:p>
            <w:pPr>
              <w:spacing w:after="0"/>
              <w:rPr>
                <w:sz w:val="20"/>
                <w:szCs w:val="20"/>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Select Market</w:t>
            </w:r>
          </w:p>
        </w:tc>
        <w:tc>
          <w:tcPr>
            <w:tcW w:w="0" w:type="dxa"/>
            <w:vAlign w:val="bottom"/>
          </w:tcPr>
          <w:p>
            <w:pPr>
              <w:spacing w:after="0"/>
              <w:rPr>
                <w:sz w:val="1"/>
                <w:szCs w:val="1"/>
                <w:color w:val="auto"/>
              </w:rPr>
            </w:pPr>
          </w:p>
        </w:tc>
      </w:tr>
    </w:tbl>
    <w:p>
      <w:pPr>
        <w:spacing w:after="0" w:line="27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133985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73660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2.02. Results of Operations and Financial Condition</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Registrant’s news release dated October 25, 2022, regarding its third-quarter results of operations and financial condition is attached hereto as Exhibit 99.</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9.01. Exhibits</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Designation</w:t>
      </w:r>
    </w:p>
    <w:p>
      <w:pPr>
        <w:ind w:left="340"/>
        <w:spacing w:after="0" w:line="206" w:lineRule="auto"/>
        <w:rPr>
          <w:sz w:val="20"/>
          <w:szCs w:val="20"/>
          <w:color w:val="auto"/>
        </w:rPr>
      </w:pPr>
      <w:r>
        <w:rPr>
          <w:rFonts w:ascii="Times New Roman" w:cs="Times New Roman" w:eastAsia="Times New Roman" w:hAnsi="Times New Roman"/>
          <w:sz w:val="14"/>
          <w:szCs w:val="14"/>
          <w:color w:val="auto"/>
        </w:rPr>
        <w:t>of Exhibit</w:t>
      </w:r>
    </w:p>
    <w:p>
      <w:pPr>
        <w:ind w:left="440"/>
        <w:spacing w:after="0" w:line="221" w:lineRule="auto"/>
        <w:rPr>
          <w:sz w:val="20"/>
          <w:szCs w:val="20"/>
          <w:color w:val="auto"/>
        </w:rPr>
      </w:pPr>
      <w:r>
        <w:rPr>
          <w:rFonts w:ascii="Times New Roman" w:cs="Times New Roman" w:eastAsia="Times New Roman" w:hAnsi="Times New Roman"/>
          <w:sz w:val="14"/>
          <w:szCs w:val="14"/>
          <w:color w:val="auto"/>
        </w:rPr>
        <w:t>in this</w:t>
      </w:r>
    </w:p>
    <w:p>
      <w:pPr>
        <w:spacing w:after="0" w:line="1"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4"/>
          <w:szCs w:val="14"/>
          <w:color w:val="auto"/>
        </w:rPr>
        <w:t>Report</w:t>
      </w:r>
      <w:r>
        <w:rPr>
          <w:sz w:val="20"/>
          <w:szCs w:val="20"/>
          <w:color w:val="auto"/>
        </w:rPr>
        <w:tab/>
      </w:r>
      <w:r>
        <w:rPr>
          <w:rFonts w:ascii="Times New Roman" w:cs="Times New Roman" w:eastAsia="Times New Roman" w:hAnsi="Times New Roman"/>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22225</wp:posOffset>
            </wp:positionV>
            <wp:extent cx="61290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255"/>
                    </a:xfrm>
                    <a:prstGeom prst="rect">
                      <a:avLst/>
                    </a:prstGeom>
                    <a:noFill/>
                  </pic:spPr>
                </pic:pic>
              </a:graphicData>
            </a:graphic>
          </wp:anchor>
        </w:drawing>
      </w:r>
    </w:p>
    <w:p>
      <w:pPr>
        <w:spacing w:after="0" w:line="280" w:lineRule="exact"/>
        <w:rPr>
          <w:sz w:val="20"/>
          <w:szCs w:val="20"/>
          <w:color w:val="auto"/>
        </w:rPr>
      </w:pPr>
    </w:p>
    <w:p>
      <w:pPr>
        <w:ind w:left="1600" w:hanging="1068"/>
        <w:spacing w:after="0"/>
        <w:tabs>
          <w:tab w:leader="none" w:pos="1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Registrant’s News Release</w:t>
      </w:r>
    </w:p>
    <w:p>
      <w:pPr>
        <w:spacing w:after="0" w:line="27" w:lineRule="exact"/>
        <w:rPr>
          <w:rFonts w:ascii="Times New Roman" w:cs="Times New Roman" w:eastAsia="Times New Roman" w:hAnsi="Times New Roman"/>
          <w:sz w:val="18"/>
          <w:szCs w:val="18"/>
          <w:color w:val="auto"/>
        </w:rPr>
      </w:pPr>
    </w:p>
    <w:p>
      <w:pPr>
        <w:ind w:left="1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October 25, 2022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32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45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25, 2022</w:t>
            </w:r>
          </w:p>
        </w:tc>
        <w:tc>
          <w:tcPr>
            <w:tcW w:w="30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Rafael R. Lizardi</w:t>
            </w:r>
          </w:p>
        </w:tc>
      </w:tr>
      <w:tr>
        <w:trPr>
          <w:trHeight w:val="218"/>
        </w:trPr>
        <w:tc>
          <w:tcPr>
            <w:tcW w:w="38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Rafael R. Lizardi</w:t>
            </w:r>
          </w:p>
        </w:tc>
      </w:tr>
      <w:tr>
        <w:trPr>
          <w:trHeight w:val="229"/>
        </w:trPr>
        <w:tc>
          <w:tcPr>
            <w:tcW w:w="388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w:t>
            </w:r>
          </w:p>
        </w:tc>
      </w:tr>
      <w:tr>
        <w:trPr>
          <w:trHeight w:val="234"/>
        </w:trPr>
        <w:tc>
          <w:tcPr>
            <w:tcW w:w="38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20"/>
          </w:cols>
          <w:pgMar w:left="320" w:top="89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third quarter 2022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DALLAS (Oct. 25, 2022) – Texas Instruments Incorporated (TI) (Nasdaq: TXN) today reported third quarter revenue of $5.24 billion, net income of $2.30 billion and earnings per share of $2.47. Earnings per share included a 2-cent benefit for items that were not in the company's original guidance.</w:t>
      </w:r>
    </w:p>
    <w:p>
      <w:pPr>
        <w:spacing w:after="0" w:line="17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Regarding the company's performance and returns to shareholders, Rich Templeton, TI's chairman, president and CEO, made the following comments:</w:t>
      </w:r>
    </w:p>
    <w:p>
      <w:pPr>
        <w:spacing w:after="0" w:line="153" w:lineRule="exact"/>
        <w:rPr>
          <w:sz w:val="20"/>
          <w:szCs w:val="20"/>
          <w:color w:val="auto"/>
        </w:rPr>
      </w:pPr>
    </w:p>
    <w:p>
      <w:pPr>
        <w:ind w:left="620" w:right="2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1% sequentially and increased 13% from the same quarter a year ago, about as expected. During the quarter we experienced expected weakness in personal electronics and expanding weakness across industrial.</w:t>
      </w:r>
    </w:p>
    <w:p>
      <w:pPr>
        <w:spacing w:after="0" w:line="152" w:lineRule="exact"/>
        <w:rPr>
          <w:rFonts w:ascii="Arial" w:cs="Arial" w:eastAsia="Arial" w:hAnsi="Arial"/>
          <w:sz w:val="18"/>
          <w:szCs w:val="18"/>
          <w:color w:val="auto"/>
        </w:rPr>
      </w:pPr>
    </w:p>
    <w:p>
      <w:pPr>
        <w:ind w:left="620" w:right="200" w:hanging="329"/>
        <w:spacing w:after="0" w:line="268"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$9.0 billion for the trailing 12 months again underscored the strength of our business model. Free cash flow for the same period was $5.9 billion and 29% of revenue. This reflects the quality of our product portfolio, as well as the efficiency of our manufacturing strategy, including the benefit of 300-mm production.</w:t>
      </w:r>
    </w:p>
    <w:p>
      <w:pPr>
        <w:spacing w:after="0" w:line="170"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$3.3 billion in R&amp;D and SG&amp;A, invested $3.1 billion in capital expenditures and returned $7.1 billion to owners.</w:t>
      </w:r>
    </w:p>
    <w:p>
      <w:pPr>
        <w:spacing w:after="0" w:line="152" w:lineRule="exact"/>
        <w:rPr>
          <w:rFonts w:ascii="Arial" w:cs="Arial" w:eastAsia="Arial" w:hAnsi="Arial"/>
          <w:sz w:val="18"/>
          <w:szCs w:val="18"/>
          <w:color w:val="auto"/>
        </w:rPr>
      </w:pPr>
    </w:p>
    <w:p>
      <w:pPr>
        <w:ind w:left="620" w:right="4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fourth quarter outlook is for revenue in the range of $4.40 billion to $4.80 billion and earnings per share between $1.83 and $2.11. We continue to expect our 2022 effective tax rate to be about 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Q3 2022</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6"/>
            <w:vMerge w:val="restart"/>
          </w:tcPr>
          <w:p>
            <w:pPr>
              <w:ind w:left="140"/>
              <w:spacing w:after="0"/>
              <w:rPr>
                <w:sz w:val="20"/>
                <w:szCs w:val="20"/>
                <w:color w:val="auto"/>
              </w:rPr>
            </w:pPr>
            <w:r>
              <w:rPr>
                <w:rFonts w:ascii="Arial" w:cs="Arial" w:eastAsia="Arial" w:hAnsi="Arial"/>
                <w:sz w:val="18"/>
                <w:szCs w:val="18"/>
                <w:color w:val="auto"/>
              </w:rPr>
              <w:t>Q3 2021</w:t>
            </w:r>
          </w:p>
        </w:tc>
        <w:tc>
          <w:tcPr>
            <w:tcW w:w="1540" w:type="dxa"/>
            <w:vAlign w:val="bottom"/>
            <w:vMerge w:val="restart"/>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6"/>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5,241</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gridSpan w:val="2"/>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4,643</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2,678</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2,295</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1,947</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585"/>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Q3 2022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Q3 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20"/>
              <w:spacing w:after="0"/>
              <w:rPr>
                <w:sz w:val="20"/>
                <w:szCs w:val="20"/>
                <w:color w:val="auto"/>
              </w:rPr>
            </w:pPr>
            <w:r>
              <w:rPr>
                <w:rFonts w:ascii="Arial" w:cs="Arial" w:eastAsia="Arial" w:hAnsi="Arial"/>
                <w:sz w:val="18"/>
                <w:szCs w:val="18"/>
                <w:color w:val="auto"/>
              </w:rPr>
              <w:t>Q3 2021</w:t>
            </w:r>
          </w:p>
        </w:tc>
        <w:tc>
          <w:tcPr>
            <w:tcW w:w="1540" w:type="dxa"/>
            <w:vAlign w:val="bottom"/>
          </w:tcPr>
          <w:p>
            <w:pPr>
              <w:ind w:lef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2,766</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9,035</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gridSpan w:val="3"/>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8,524</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3,112</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1,976</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5,923</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7,132</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29.3 %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40.6 %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Q3 2022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Q3 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60"/>
              <w:spacing w:after="0"/>
              <w:rPr>
                <w:sz w:val="20"/>
                <w:szCs w:val="20"/>
                <w:color w:val="auto"/>
              </w:rPr>
            </w:pPr>
            <w:r>
              <w:rPr>
                <w:rFonts w:ascii="Arial" w:cs="Arial" w:eastAsia="Arial" w:hAnsi="Arial"/>
                <w:sz w:val="18"/>
                <w:szCs w:val="18"/>
                <w:color w:val="auto"/>
              </w:rPr>
              <w:t>Q3 2021</w:t>
            </w:r>
          </w:p>
        </w:tc>
        <w:tc>
          <w:tcPr>
            <w:tcW w:w="1540" w:type="dxa"/>
            <w:vAlign w:val="bottom"/>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1,051</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4,236</w:t>
            </w: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gridSpan w:val="2"/>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3,761</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996</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2,909</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627 %</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2,047</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7,145</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4,161</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1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5,241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4,643</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1,624</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3,617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Acquisition charges</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Restructuring charges/other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2,678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2,658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363</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2,295</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2.47</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923</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1.15</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7720" w:type="dxa"/>
            <w:vAlign w:val="bottom"/>
            <w:tcBorders>
              <w:top w:val="single" w:sz="8" w:color="DBDBDB"/>
              <w:bottom w:val="single" w:sz="8" w:color="DBDBDB"/>
            </w:tcBorders>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391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363</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74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2,295</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1,947</w:t>
            </w:r>
          </w:p>
        </w:tc>
      </w:tr>
      <w:tr>
        <w:trPr>
          <w:trHeight w:val="230"/>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2,284</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1,938</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80" w:top="890" w:right="339"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9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3,169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5,663</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5,921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4,119</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($10) and ($9)</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2,040</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1,653</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1,347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1,034</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724</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2,404</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1,863</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238</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13,772</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13,585</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9,491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6,661</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(3,006)</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(2,640)</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6,485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4,021</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291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799</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656</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26,057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23,273</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499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780</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534</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734</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2,798</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2,413</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7,438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7,239</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1,153</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1,255</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11,550</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2,877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2,563</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49,519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44,847</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September 30, 2022 – 831; September 30, 2021 – 817</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(39,476)</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(36,687)</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14,507</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12,151</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26,057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23,273</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balance sheet have been reclassified to conform to the current presentation.</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890"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2,295</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249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acquisition-related intangibles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Gains on sales of assets</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150</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140</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56</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2,766</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2,428</w:t>
            </w:r>
          </w:p>
        </w:tc>
        <w:tc>
          <w:tcPr>
            <w:tcW w:w="0" w:type="dxa"/>
            <w:vAlign w:val="bottom"/>
          </w:tcPr>
          <w:p>
            <w:pPr>
              <w:spacing w:after="0"/>
              <w:rPr>
                <w:sz w:val="1"/>
                <w:szCs w:val="1"/>
                <w:color w:val="auto"/>
              </w:rPr>
            </w:pPr>
          </w:p>
        </w:tc>
      </w:tr>
      <w:tr>
        <w:trPr>
          <w:trHeight w:val="236"/>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(4,346)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3,033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(2,113)</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695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(1,051)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(996)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(1,286)</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36"/>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(633)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3,802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3,169</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5,663</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80" w:top="8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Q3 2022</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Q3 2021</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3,548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2,185</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1,871</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17 %</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13 %</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3"/>
        </w:trPr>
        <w:tc>
          <w:tcPr>
            <w:tcW w:w="6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9,035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8,524</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6 %</w:t>
            </w:r>
          </w:p>
        </w:tc>
      </w:tr>
      <w:tr>
        <w:trPr>
          <w:trHeight w:val="229"/>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(3,112)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spacing w:after="0"/>
              <w:rPr>
                <w:sz w:val="19"/>
                <w:szCs w:val="19"/>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5,923</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7,132</w:t>
            </w:r>
          </w:p>
        </w:tc>
        <w:tc>
          <w:tcPr>
            <w:tcW w:w="16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(17)%</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3"/>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20,190</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17,588</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4"/>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44.7 %</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48.5 %</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47"/>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29.3 %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40.6 %</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2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160" w:hanging="329"/>
        <w:spacing w:after="0" w:line="253"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duration and scope of the COVID-19 pandemic, government and other third-party responses to it and the consequences for the global economy, including to our business and the businesses of our suppliers, customers and distributors;</w:t>
      </w:r>
    </w:p>
    <w:p>
      <w:pPr>
        <w:ind w:left="620" w:right="3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ind w:left="620" w:right="4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vendors and other third parties;</w:t>
      </w:r>
    </w:p>
    <w:p>
      <w:pPr>
        <w:ind w:left="620" w:right="2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ind w:left="620" w:right="120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tests and sells analog and embedded processing chips for markets such as industrial, automotive, personal electronics, communications equipment and enterprise systems. Our passion to create a better world by making electronics more affordable through semiconductors is alive today, as each generation of innovation builds upon the last to make our technology smaller, more efficient, more reliable and more affordable – making it possible for semiconductors to go into electronics everywhere. We think of this as Engineering Progress. It's what we do and have been doing for decades.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9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2022-10-25T15:06:04Z</dcterms:created>
  <dcterms:modified xsi:type="dcterms:W3CDTF">2022-10-25T15:06:04Z</dcterms:modified>
</cp:coreProperties>
</file>