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February 24, 2016</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TEXAS INSTRUMENTS INCORPORATED</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4920" w:type="dxa"/>
            <w:vAlign w:val="bottom"/>
          </w:tcPr>
          <w:p>
            <w:pPr>
              <w:jc w:val="center"/>
              <w:ind w:right="2908"/>
              <w:spacing w:after="0"/>
              <w:rPr>
                <w:sz w:val="20"/>
                <w:szCs w:val="20"/>
                <w:color w:val="auto"/>
              </w:rPr>
            </w:pPr>
            <w:r>
              <w:rPr>
                <w:rFonts w:ascii="Arial" w:cs="Arial" w:eastAsia="Arial" w:hAnsi="Arial"/>
                <w:sz w:val="14"/>
                <w:szCs w:val="14"/>
                <w:b w:val="1"/>
                <w:bCs w:val="1"/>
                <w:color w:val="auto"/>
                <w:w w:val="94"/>
              </w:rPr>
              <w:t>Delaware</w:t>
            </w:r>
          </w:p>
        </w:tc>
        <w:tc>
          <w:tcPr>
            <w:tcW w:w="4420" w:type="dxa"/>
            <w:vAlign w:val="bottom"/>
          </w:tcPr>
          <w:p>
            <w:pPr>
              <w:jc w:val="center"/>
              <w:ind w:left="2888"/>
              <w:spacing w:after="0"/>
              <w:rPr>
                <w:sz w:val="20"/>
                <w:szCs w:val="20"/>
                <w:color w:val="auto"/>
              </w:rPr>
            </w:pPr>
            <w:r>
              <w:rPr>
                <w:rFonts w:ascii="Arial" w:cs="Arial" w:eastAsia="Arial" w:hAnsi="Arial"/>
                <w:sz w:val="14"/>
                <w:szCs w:val="14"/>
                <w:b w:val="1"/>
                <w:bCs w:val="1"/>
                <w:color w:val="auto"/>
                <w:w w:val="93"/>
              </w:rPr>
              <w:t>75-0289970</w:t>
            </w:r>
          </w:p>
        </w:tc>
      </w:tr>
      <w:tr>
        <w:trPr>
          <w:trHeight w:val="149"/>
        </w:trPr>
        <w:tc>
          <w:tcPr>
            <w:tcW w:w="4920" w:type="dxa"/>
            <w:vAlign w:val="bottom"/>
          </w:tcPr>
          <w:p>
            <w:pPr>
              <w:jc w:val="center"/>
              <w:ind w:right="2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20" w:type="dxa"/>
            <w:vAlign w:val="bottom"/>
          </w:tcPr>
          <w:p>
            <w:pPr>
              <w:jc w:val="center"/>
              <w:ind w:left="29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20" w:type="dxa"/>
            <w:vAlign w:val="bottom"/>
          </w:tcPr>
          <w:p>
            <w:pPr>
              <w:jc w:val="center"/>
              <w:ind w:right="2908"/>
              <w:spacing w:after="0"/>
              <w:rPr>
                <w:sz w:val="20"/>
                <w:szCs w:val="20"/>
                <w:color w:val="auto"/>
              </w:rPr>
            </w:pPr>
            <w:r>
              <w:rPr>
                <w:rFonts w:ascii="Arial" w:cs="Arial" w:eastAsia="Arial" w:hAnsi="Arial"/>
                <w:sz w:val="14"/>
                <w:szCs w:val="14"/>
                <w:b w:val="1"/>
                <w:bCs w:val="1"/>
                <w:color w:val="auto"/>
                <w:w w:val="95"/>
              </w:rPr>
              <w:t>Incorporation or Organization)</w:t>
            </w:r>
          </w:p>
        </w:tc>
        <w:tc>
          <w:tcPr>
            <w:tcW w:w="4420" w:type="dxa"/>
            <w:vAlign w:val="bottom"/>
          </w:tcPr>
          <w:p>
            <w:pPr>
              <w:jc w:val="center"/>
              <w:ind w:left="290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12500 TI Boulevard</w:t>
      </w:r>
    </w:p>
    <w:p>
      <w:pPr>
        <w:jc w:val="center"/>
        <w:spacing w:after="0" w:line="233" w:lineRule="auto"/>
        <w:rPr>
          <w:sz w:val="20"/>
          <w:szCs w:val="20"/>
          <w:color w:val="auto"/>
        </w:rPr>
      </w:pPr>
      <w:r>
        <w:rPr>
          <w:rFonts w:ascii="Arial" w:cs="Arial" w:eastAsia="Arial" w:hAnsi="Arial"/>
          <w:sz w:val="15"/>
          <w:szCs w:val="15"/>
          <w:b w:val="1"/>
          <w:bCs w:val="1"/>
          <w:color w:val="auto"/>
        </w:rPr>
        <w:t>Dallas, Texas 75243</w:t>
      </w:r>
    </w:p>
    <w:p>
      <w:pPr>
        <w:jc w:val="center"/>
        <w:spacing w:after="0" w:line="218" w:lineRule="auto"/>
        <w:rPr>
          <w:sz w:val="20"/>
          <w:szCs w:val="20"/>
          <w:color w:val="auto"/>
        </w:rPr>
      </w:pPr>
      <w:r>
        <w:rPr>
          <w:rFonts w:ascii="Arial" w:cs="Arial" w:eastAsia="Arial" w:hAnsi="Arial"/>
          <w:sz w:val="15"/>
          <w:szCs w:val="15"/>
          <w:b w:val="1"/>
          <w:bCs w:val="1"/>
          <w:color w:val="auto"/>
        </w:rPr>
        <w:t>(214) 479-3773</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Cynthia Hoff Trochu</w:t>
      </w:r>
    </w:p>
    <w:p>
      <w:pPr>
        <w:jc w:val="center"/>
        <w:spacing w:after="0" w:line="233" w:lineRule="auto"/>
        <w:rPr>
          <w:sz w:val="20"/>
          <w:szCs w:val="20"/>
          <w:color w:val="auto"/>
        </w:rPr>
      </w:pPr>
      <w:r>
        <w:rPr>
          <w:rFonts w:ascii="Arial" w:cs="Arial" w:eastAsia="Arial" w:hAnsi="Arial"/>
          <w:sz w:val="15"/>
          <w:szCs w:val="15"/>
          <w:b w:val="1"/>
          <w:bCs w:val="1"/>
          <w:color w:val="auto"/>
        </w:rPr>
        <w:t>Senior Vice President, Secretary and</w:t>
      </w:r>
    </w:p>
    <w:p>
      <w:pPr>
        <w:jc w:val="center"/>
        <w:spacing w:after="0" w:line="225" w:lineRule="auto"/>
        <w:rPr>
          <w:sz w:val="20"/>
          <w:szCs w:val="20"/>
          <w:color w:val="auto"/>
        </w:rPr>
      </w:pPr>
      <w:r>
        <w:rPr>
          <w:rFonts w:ascii="Arial" w:cs="Arial" w:eastAsia="Arial" w:hAnsi="Arial"/>
          <w:sz w:val="15"/>
          <w:szCs w:val="15"/>
          <w:b w:val="1"/>
          <w:bCs w:val="1"/>
          <w:color w:val="auto"/>
        </w:rPr>
        <w:t>General Counsel</w:t>
      </w:r>
    </w:p>
    <w:p>
      <w:pPr>
        <w:jc w:val="center"/>
        <w:spacing w:after="0" w:line="226" w:lineRule="auto"/>
        <w:rPr>
          <w:sz w:val="20"/>
          <w:szCs w:val="20"/>
          <w:color w:val="auto"/>
        </w:rPr>
      </w:pPr>
      <w:r>
        <w:rPr>
          <w:rFonts w:ascii="Arial" w:cs="Arial" w:eastAsia="Arial" w:hAnsi="Arial"/>
          <w:sz w:val="15"/>
          <w:szCs w:val="15"/>
          <w:b w:val="1"/>
          <w:bCs w:val="1"/>
          <w:color w:val="auto"/>
        </w:rPr>
        <w:t>Texas Instruments Incorporated</w:t>
      </w:r>
    </w:p>
    <w:p>
      <w:pPr>
        <w:jc w:val="center"/>
        <w:spacing w:after="0" w:line="225" w:lineRule="auto"/>
        <w:rPr>
          <w:sz w:val="20"/>
          <w:szCs w:val="20"/>
          <w:color w:val="auto"/>
        </w:rPr>
      </w:pPr>
      <w:r>
        <w:rPr>
          <w:rFonts w:ascii="Arial" w:cs="Arial" w:eastAsia="Arial" w:hAnsi="Arial"/>
          <w:sz w:val="15"/>
          <w:szCs w:val="15"/>
          <w:b w:val="1"/>
          <w:bCs w:val="1"/>
          <w:color w:val="auto"/>
        </w:rPr>
        <w:t>12500 TI Boulevard</w:t>
      </w:r>
    </w:p>
    <w:p>
      <w:pPr>
        <w:jc w:val="center"/>
        <w:spacing w:after="0" w:line="226" w:lineRule="auto"/>
        <w:rPr>
          <w:sz w:val="20"/>
          <w:szCs w:val="20"/>
          <w:color w:val="auto"/>
        </w:rPr>
      </w:pPr>
      <w:r>
        <w:rPr>
          <w:rFonts w:ascii="Arial" w:cs="Arial" w:eastAsia="Arial" w:hAnsi="Arial"/>
          <w:sz w:val="15"/>
          <w:szCs w:val="15"/>
          <w:b w:val="1"/>
          <w:bCs w:val="1"/>
          <w:color w:val="auto"/>
        </w:rPr>
        <w:t>Dallas, Texas 75243</w:t>
      </w:r>
    </w:p>
    <w:p>
      <w:pPr>
        <w:jc w:val="center"/>
        <w:spacing w:after="0" w:line="218" w:lineRule="auto"/>
        <w:rPr>
          <w:sz w:val="20"/>
          <w:szCs w:val="20"/>
          <w:color w:val="auto"/>
        </w:rPr>
      </w:pPr>
      <w:r>
        <w:rPr>
          <w:rFonts w:ascii="Arial" w:cs="Arial" w:eastAsia="Arial" w:hAnsi="Arial"/>
          <w:sz w:val="15"/>
          <w:szCs w:val="15"/>
          <w:b w:val="1"/>
          <w:bCs w:val="1"/>
          <w:color w:val="auto"/>
        </w:rPr>
        <w:t>(214) 479-3773</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Copy to:</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Bruce K. Dallas, Esq.</w:t>
      </w:r>
    </w:p>
    <w:p>
      <w:pPr>
        <w:jc w:val="center"/>
        <w:spacing w:after="0" w:line="233" w:lineRule="auto"/>
        <w:rPr>
          <w:sz w:val="20"/>
          <w:szCs w:val="20"/>
          <w:color w:val="auto"/>
        </w:rPr>
      </w:pPr>
      <w:r>
        <w:rPr>
          <w:rFonts w:ascii="Arial" w:cs="Arial" w:eastAsia="Arial" w:hAnsi="Arial"/>
          <w:sz w:val="15"/>
          <w:szCs w:val="15"/>
          <w:b w:val="1"/>
          <w:bCs w:val="1"/>
          <w:color w:val="auto"/>
        </w:rPr>
        <w:t>Davis Polk &amp; Wardwell LLP</w:t>
      </w:r>
    </w:p>
    <w:p>
      <w:pPr>
        <w:jc w:val="center"/>
        <w:spacing w:after="0" w:line="225" w:lineRule="auto"/>
        <w:rPr>
          <w:sz w:val="20"/>
          <w:szCs w:val="20"/>
          <w:color w:val="auto"/>
        </w:rPr>
      </w:pPr>
      <w:r>
        <w:rPr>
          <w:rFonts w:ascii="Arial" w:cs="Arial" w:eastAsia="Arial" w:hAnsi="Arial"/>
          <w:sz w:val="15"/>
          <w:szCs w:val="15"/>
          <w:b w:val="1"/>
          <w:bCs w:val="1"/>
          <w:color w:val="auto"/>
        </w:rPr>
        <w:t>1600 El Camino Real</w:t>
      </w:r>
    </w:p>
    <w:p>
      <w:pPr>
        <w:jc w:val="center"/>
        <w:spacing w:after="0" w:line="226" w:lineRule="auto"/>
        <w:rPr>
          <w:sz w:val="20"/>
          <w:szCs w:val="20"/>
          <w:color w:val="auto"/>
        </w:rPr>
      </w:pPr>
      <w:r>
        <w:rPr>
          <w:rFonts w:ascii="Arial" w:cs="Arial" w:eastAsia="Arial" w:hAnsi="Arial"/>
          <w:sz w:val="15"/>
          <w:szCs w:val="15"/>
          <w:b w:val="1"/>
          <w:bCs w:val="1"/>
          <w:color w:val="auto"/>
        </w:rPr>
        <w:t>Menlo Park, California 94025</w:t>
      </w:r>
    </w:p>
    <w:p>
      <w:pPr>
        <w:jc w:val="center"/>
        <w:spacing w:after="0"/>
        <w:rPr>
          <w:sz w:val="20"/>
          <w:szCs w:val="20"/>
          <w:color w:val="auto"/>
        </w:rPr>
      </w:pPr>
      <w:r>
        <w:rPr>
          <w:rFonts w:ascii="Arial" w:cs="Arial" w:eastAsia="Arial" w:hAnsi="Arial"/>
          <w:sz w:val="15"/>
          <w:szCs w:val="15"/>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this Registration Statement becomes effective.</w:t>
      </w:r>
    </w:p>
    <w:p>
      <w:pPr>
        <w:spacing w:after="0" w:line="58"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00" w:lineRule="exact"/>
        <w:rPr>
          <w:sz w:val="24"/>
          <w:szCs w:val="24"/>
          <w:color w:val="auto"/>
        </w:rPr>
      </w:pPr>
    </w:p>
    <w:p>
      <w:pPr>
        <w:ind w:right="140" w:firstLine="342"/>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right="44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7"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right="400" w:firstLine="342"/>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47" w:lineRule="exact"/>
        <w:rPr>
          <w:sz w:val="24"/>
          <w:szCs w:val="24"/>
          <w:color w:val="auto"/>
        </w:rPr>
      </w:pPr>
    </w:p>
    <w:p>
      <w:pPr>
        <w:ind w:right="220" w:firstLine="342"/>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54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224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00" w:type="dxa"/>
            <w:vAlign w:val="bottom"/>
            <w:gridSpan w:val="2"/>
          </w:tcPr>
          <w:p>
            <w:pPr>
              <w:ind w:left="860"/>
              <w:spacing w:after="0"/>
              <w:rPr>
                <w:sz w:val="20"/>
                <w:szCs w:val="20"/>
                <w:color w:val="auto"/>
              </w:rPr>
            </w:pPr>
            <w:r>
              <w:rPr>
                <w:rFonts w:ascii="Arial" w:cs="Arial" w:eastAsia="Arial" w:hAnsi="Arial"/>
                <w:sz w:val="15"/>
                <w:szCs w:val="15"/>
                <w:color w:val="auto"/>
                <w:w w:val="94"/>
              </w:rPr>
              <w:t>Accelerated filer</w:t>
            </w:r>
          </w:p>
        </w:tc>
        <w:tc>
          <w:tcPr>
            <w:tcW w:w="1080" w:type="dxa"/>
            <w:vAlign w:val="bottom"/>
          </w:tcPr>
          <w:p>
            <w:pPr>
              <w:spacing w:after="0"/>
              <w:rPr>
                <w:sz w:val="20"/>
                <w:szCs w:val="20"/>
                <w:color w:val="auto"/>
              </w:rPr>
            </w:pPr>
          </w:p>
        </w:tc>
        <w:tc>
          <w:tcPr>
            <w:tcW w:w="180" w:type="dxa"/>
            <w:vAlign w:val="bottom"/>
          </w:tcPr>
          <w:p>
            <w:pPr>
              <w:ind w:left="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5360" w:type="dxa"/>
            <w:vAlign w:val="bottom"/>
            <w:gridSpan w:val="5"/>
          </w:tcPr>
          <w:p>
            <w:pPr>
              <w:ind w:left="1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1360" w:type="dxa"/>
            <w:vAlign w:val="bottom"/>
          </w:tcPr>
          <w:p>
            <w:pPr>
              <w:spacing w:after="0"/>
              <w:rPr>
                <w:sz w:val="22"/>
                <w:szCs w:val="22"/>
                <w:color w:val="auto"/>
              </w:rPr>
            </w:pPr>
          </w:p>
        </w:tc>
        <w:tc>
          <w:tcPr>
            <w:tcW w:w="2980" w:type="dxa"/>
            <w:vAlign w:val="bottom"/>
            <w:gridSpan w:val="3"/>
          </w:tcPr>
          <w:p>
            <w:pPr>
              <w:ind w:left="860"/>
              <w:spacing w:after="0"/>
              <w:rPr>
                <w:sz w:val="20"/>
                <w:szCs w:val="20"/>
                <w:color w:val="auto"/>
              </w:rPr>
            </w:pPr>
            <w:r>
              <w:rPr>
                <w:rFonts w:ascii="Arial" w:cs="Arial" w:eastAsia="Arial" w:hAnsi="Arial"/>
                <w:sz w:val="15"/>
                <w:szCs w:val="15"/>
                <w:color w:val="auto"/>
              </w:rPr>
              <w:t>Smaller reporting company</w:t>
            </w:r>
          </w:p>
        </w:tc>
        <w:tc>
          <w:tcPr>
            <w:tcW w:w="180" w:type="dxa"/>
            <w:vAlign w:val="bottom"/>
          </w:tcPr>
          <w:p>
            <w:pPr>
              <w:ind w:left="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80" w:type="dxa"/>
            <w:vAlign w:val="bottom"/>
            <w:gridSpan w:val="5"/>
          </w:tcPr>
          <w:p>
            <w:pPr>
              <w:ind w:left="460"/>
              <w:spacing w:after="0"/>
              <w:rPr>
                <w:sz w:val="20"/>
                <w:szCs w:val="20"/>
                <w:color w:val="auto"/>
              </w:rPr>
            </w:pPr>
            <w:r>
              <w:rPr>
                <w:rFonts w:ascii="Arial" w:cs="Arial" w:eastAsia="Arial" w:hAnsi="Arial"/>
                <w:sz w:val="15"/>
                <w:szCs w:val="15"/>
                <w:b w:val="1"/>
                <w:bCs w:val="1"/>
                <w:color w:val="auto"/>
              </w:rPr>
              <w:t>CALCULATION OF REGISTRATION FEE</w:t>
            </w:r>
          </w:p>
        </w:tc>
        <w:tc>
          <w:tcPr>
            <w:tcW w:w="1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7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8"/>
              <w:spacing w:after="0" w:line="106" w:lineRule="exact"/>
              <w:rPr>
                <w:sz w:val="20"/>
                <w:szCs w:val="20"/>
                <w:color w:val="auto"/>
              </w:rPr>
            </w:pPr>
            <w:r>
              <w:rPr>
                <w:rFonts w:ascii="Arial" w:cs="Arial" w:eastAsia="Arial" w:hAnsi="Arial"/>
                <w:sz w:val="12"/>
                <w:szCs w:val="12"/>
                <w:b w:val="1"/>
                <w:bCs w:val="1"/>
                <w:color w:val="auto"/>
              </w:rPr>
              <w:t>Proposed</w:t>
            </w: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Title of Each Class of</w:t>
            </w:r>
          </w:p>
        </w:tc>
        <w:tc>
          <w:tcPr>
            <w:tcW w:w="7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9"/>
              </w:rPr>
              <w:t>Maximum</w:t>
            </w:r>
          </w:p>
        </w:tc>
        <w:tc>
          <w:tcPr>
            <w:tcW w:w="3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Aggregate</w:t>
            </w: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Securities to be Registered</w:t>
            </w: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Offering Price</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Common Stock</w:t>
            </w:r>
          </w:p>
        </w:tc>
        <w:tc>
          <w:tcPr>
            <w:tcW w:w="2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5"/>
                <w:szCs w:val="15"/>
                <w:color w:val="auto"/>
              </w:rPr>
              <w:t>Preferred Stock</w:t>
            </w:r>
          </w:p>
        </w:tc>
        <w:tc>
          <w:tcPr>
            <w:tcW w:w="2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5"/>
                <w:szCs w:val="15"/>
                <w:color w:val="auto"/>
              </w:rPr>
              <w:t>Debt Securities</w:t>
            </w:r>
          </w:p>
        </w:tc>
        <w:tc>
          <w:tcPr>
            <w:tcW w:w="2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5"/>
                <w:szCs w:val="15"/>
                <w:color w:val="auto"/>
              </w:rPr>
              <w:t>Warrants</w:t>
            </w:r>
          </w:p>
        </w:tc>
        <w:tc>
          <w:tcPr>
            <w:tcW w:w="2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5"/>
                <w:szCs w:val="15"/>
                <w:color w:val="auto"/>
              </w:rPr>
              <w:t>Units</w:t>
            </w:r>
          </w:p>
        </w:tc>
        <w:tc>
          <w:tcPr>
            <w:tcW w:w="2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360" w:hanging="332"/>
        <w:spacing w:after="0" w:line="255"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4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4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Notice Regarding Forward-Looking Statements</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Capital Stock</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Validity of Securities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24"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Amount to be</w:t>
            </w:r>
          </w:p>
        </w:tc>
      </w:tr>
      <w:tr>
        <w:trPr>
          <w:trHeight w:val="185"/>
        </w:trPr>
        <w:tc>
          <w:tcPr>
            <w:tcW w:w="66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Paid</w:t>
            </w:r>
          </w:p>
        </w:tc>
        <w:tc>
          <w:tcPr>
            <w:tcW w:w="320" w:type="dxa"/>
            <w:vAlign w:val="bottom"/>
            <w:tcBorders>
              <w:bottom w:val="single" w:sz="8" w:color="auto"/>
            </w:tcBorders>
          </w:tcPr>
          <w:p>
            <w:pPr>
              <w:spacing w:after="0"/>
              <w:rPr>
                <w:sz w:val="16"/>
                <w:szCs w:val="16"/>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Printing</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Rating agency fees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Miscellaneous</w:t>
            </w: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2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These fees and expenses depend on the securities offered and the number of issuances, and accordingly cannot be estimated at this time.</w:t>
      </w:r>
    </w:p>
    <w:p>
      <w:pPr>
        <w:spacing w:after="0" w:line="3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Section II of the Registrant’s By-Laws provides for indemnification by the Registrant of its directors, officers and employees to the fullest extent permitted by the Delaware General Corporation Law.</w:t>
      </w:r>
    </w:p>
    <w:p>
      <w:pPr>
        <w:spacing w:after="0" w:line="17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640" w:type="dxa"/>
            <w:vAlign w:val="bottom"/>
            <w:gridSpan w:val="4"/>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38"/>
        </w:trPr>
        <w:tc>
          <w:tcPr>
            <w:tcW w:w="11360" w:type="dxa"/>
            <w:vAlign w:val="bottom"/>
            <w:gridSpan w:val="5"/>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405"/>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r>
      <w:tr>
        <w:trPr>
          <w:trHeight w:val="304"/>
        </w:trPr>
        <w:tc>
          <w:tcPr>
            <w:tcW w:w="7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5080" w:type="dxa"/>
            <w:vAlign w:val="bottom"/>
          </w:tcPr>
          <w:p>
            <w:pPr>
              <w:ind w:left="540"/>
              <w:spacing w:after="0"/>
              <w:rPr>
                <w:sz w:val="20"/>
                <w:szCs w:val="20"/>
                <w:color w:val="auto"/>
              </w:rPr>
            </w:pPr>
            <w:r>
              <w:rPr>
                <w:rFonts w:ascii="Arial" w:cs="Arial" w:eastAsia="Arial" w:hAnsi="Arial"/>
                <w:sz w:val="18"/>
                <w:szCs w:val="18"/>
                <w:color w:val="auto"/>
              </w:rPr>
              <w:t>Form of Underwriting Agreement</w:t>
            </w:r>
          </w:p>
        </w:tc>
        <w:tc>
          <w:tcPr>
            <w:tcW w:w="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w w:val="91"/>
              </w:rPr>
              <w:t>Restated Certificate of Incorporation of the Registrant, dated April 18, 1985, as amended (incorporated by reference to Exhibit 3(a) of</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the Registrant’s Annual Report on Form 10-K for the year ended December 31, 2014)</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w w:val="94"/>
              </w:rPr>
              <w:t>By-Laws of the Registrant (incorporated by reference to Exhibit 3(b) to the Registrant’s Annual Report on Form 10-K for the year</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ended December 31, 2014)</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Specimen Preferred Stock Certificate*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w w:val="94"/>
              </w:rPr>
              <w:t>Indenture dated as of May 23, 2011 between Texas Instruments Incorporated, a Delaware corporation, as Issuer and U.S. Bank</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w w:val="92"/>
              </w:rPr>
              <w:t>National Association, a National Association, as Trustee (incorporated by reference to Exhibit 4.2 to the Registrant’s Current Report</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on Form 8-K filed May 23, 2011)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Form of Note (included in Exhibit 4.3)</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Opinion of Davis Polk &amp; Wardwell LLP</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w w:val="91"/>
              </w:rPr>
              <w:t>Statement regarding computation of Consolidated Ratio of Earnings to Fixed Charges (incorporated by reference to Exhibit 12 of the</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Registrant’s Annual Report on Form 10-K for the year ended December 31, 2015)</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440" w:type="dxa"/>
            <w:vAlign w:val="bottom"/>
          </w:tcPr>
          <w:p>
            <w:pPr>
              <w:spacing w:after="0"/>
              <w:rPr>
                <w:sz w:val="24"/>
                <w:szCs w:val="24"/>
                <w:color w:val="auto"/>
              </w:rPr>
            </w:pPr>
          </w:p>
        </w:tc>
        <w:tc>
          <w:tcPr>
            <w:tcW w:w="10200" w:type="dxa"/>
            <w:vAlign w:val="bottom"/>
            <w:gridSpan w:val="3"/>
          </w:tcPr>
          <w:p>
            <w:pPr>
              <w:ind w:left="540"/>
              <w:spacing w:after="0"/>
              <w:rPr>
                <w:sz w:val="20"/>
                <w:szCs w:val="20"/>
                <w:color w:val="auto"/>
              </w:rPr>
            </w:pPr>
            <w:r>
              <w:rPr>
                <w:rFonts w:ascii="Arial" w:cs="Arial" w:eastAsia="Arial" w:hAnsi="Arial"/>
                <w:sz w:val="18"/>
                <w:szCs w:val="18"/>
                <w:color w:val="auto"/>
              </w:rPr>
              <w:t>Statement of Eligibility on Form T-1 of U.S. Bank National Association</w:t>
            </w: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10200" w:type="dxa"/>
            <w:vAlign w:val="bottom"/>
            <w:gridSpan w:val="3"/>
          </w:tcPr>
          <w:p>
            <w:pPr>
              <w:spacing w:after="0"/>
              <w:rPr>
                <w:sz w:val="11"/>
                <w:szCs w:val="11"/>
                <w:color w:val="auto"/>
              </w:rPr>
            </w:pPr>
          </w:p>
        </w:tc>
      </w:tr>
      <w:tr>
        <w:trPr>
          <w:trHeight w:val="250"/>
        </w:trPr>
        <w:tc>
          <w:tcPr>
            <w:tcW w:w="11360" w:type="dxa"/>
            <w:vAlign w:val="bottom"/>
            <w:gridSpan w:val="5"/>
          </w:tcPr>
          <w:p>
            <w:pPr>
              <w:spacing w:after="0"/>
              <w:rPr>
                <w:sz w:val="20"/>
                <w:szCs w:val="20"/>
                <w:color w:val="auto"/>
              </w:rPr>
            </w:pPr>
            <w:r>
              <w:rPr>
                <w:rFonts w:ascii="Arial" w:cs="Arial" w:eastAsia="Arial" w:hAnsi="Arial"/>
                <w:sz w:val="18"/>
                <w:szCs w:val="18"/>
                <w:color w:val="auto"/>
              </w:rPr>
              <w:t>*  To be filed by amendment.</w:t>
            </w:r>
          </w:p>
        </w:tc>
      </w:tr>
      <w:tr>
        <w:trPr>
          <w:trHeight w:val="581"/>
        </w:trPr>
        <w:tc>
          <w:tcPr>
            <w:tcW w:w="7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10640" w:type="dxa"/>
            <w:vAlign w:val="bottom"/>
            <w:gridSpan w:val="4"/>
          </w:tcPr>
          <w:p>
            <w:pPr>
              <w:ind w:left="320"/>
              <w:spacing w:after="0"/>
              <w:rPr>
                <w:sz w:val="20"/>
                <w:szCs w:val="20"/>
                <w:color w:val="auto"/>
              </w:rPr>
            </w:pPr>
            <w:r>
              <w:rPr>
                <w:rFonts w:ascii="Arial" w:cs="Arial" w:eastAsia="Arial" w:hAnsi="Arial"/>
                <w:sz w:val="18"/>
                <w:szCs w:val="18"/>
                <w:b w:val="1"/>
                <w:bCs w:val="1"/>
                <w:i w:val="1"/>
                <w:iCs w:val="1"/>
                <w:color w:val="auto"/>
              </w:rPr>
              <w:t>Undertakings</w:t>
            </w:r>
          </w:p>
        </w:tc>
      </w:tr>
    </w:tbl>
    <w:p>
      <w:pPr>
        <w:spacing w:after="0" w:line="10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460" w:right="720" w:firstLine="443"/>
        <w:spacing w:after="0" w:line="277" w:lineRule="auto"/>
        <w:tabs>
          <w:tab w:leader="none" w:pos="11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180" w:firstLine="421"/>
        <w:spacing w:after="0" w:line="297" w:lineRule="auto"/>
        <w:tabs>
          <w:tab w:leader="none" w:pos="1605"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aggregate, the changes in volume and price represent no more than a 20 percent change in the maximum aggregate offering price set forth in the “Calculation of Registration Fee” table in the effective registration statement;</w:t>
      </w:r>
    </w:p>
    <w:p>
      <w:pPr>
        <w:spacing w:after="0" w:line="62" w:lineRule="exact"/>
        <w:rPr>
          <w:sz w:val="20"/>
          <w:szCs w:val="20"/>
          <w:color w:val="auto"/>
        </w:rPr>
      </w:pPr>
    </w:p>
    <w:p>
      <w:pPr>
        <w:ind w:left="920" w:firstLine="421"/>
        <w:spacing w:after="0" w:line="277" w:lineRule="auto"/>
        <w:tabs>
          <w:tab w:leader="none" w:pos="1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79" w:lineRule="exact"/>
        <w:rPr>
          <w:sz w:val="20"/>
          <w:szCs w:val="20"/>
          <w:color w:val="auto"/>
        </w:rPr>
      </w:pPr>
    </w:p>
    <w:p>
      <w:pPr>
        <w:ind w:left="460" w:right="20" w:firstLine="443"/>
        <w:spacing w:after="0" w:line="264"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2" w:lineRule="exact"/>
        <w:rPr>
          <w:sz w:val="20"/>
          <w:szCs w:val="20"/>
          <w:color w:val="auto"/>
        </w:rPr>
      </w:pPr>
    </w:p>
    <w:p>
      <w:pPr>
        <w:ind w:left="460" w:right="180" w:firstLine="443"/>
        <w:spacing w:after="0" w:line="25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560" w:hanging="219"/>
        <w:spacing w:after="0"/>
        <w:tabs>
          <w:tab w:leader="none" w:pos="15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920" w:right="140" w:firstLine="421"/>
        <w:spacing w:after="0" w:line="277" w:lineRule="auto"/>
        <w:tabs>
          <w:tab w:leader="none" w:pos="16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40" w:firstLine="421"/>
        <w:spacing w:after="0" w:line="277" w:lineRule="auto"/>
        <w:tabs>
          <w:tab w:leader="none" w:pos="16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77"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as of February 24,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Senior Vice President, Chief Accounting Officer and</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Richard K. Templeton, Kevin P. March and Cynthia Hoff Trochu,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ectPr>
          <w:pgSz w:w="11900" w:h="16838" w:orient="portrait"/>
          <w:cols w:equalWidth="0" w:num="1">
            <w:col w:w="11360"/>
          </w:cols>
          <w:pgMar w:left="240" w:top="459" w:right="299" w:bottom="1440" w:gutter="0" w:footer="0" w:header="0"/>
        </w:sectPr>
      </w:pPr>
    </w:p>
    <w:p>
      <w:pPr>
        <w:spacing w:after="0" w:line="189" w:lineRule="exact"/>
        <w:rPr>
          <w:sz w:val="20"/>
          <w:szCs w:val="20"/>
          <w:color w:val="auto"/>
        </w:rPr>
      </w:pPr>
    </w:p>
    <w:p>
      <w:pPr>
        <w:jc w:val="center"/>
        <w:ind w:left="620"/>
        <w:spacing w:after="0"/>
        <w:rPr>
          <w:sz w:val="20"/>
          <w:szCs w:val="20"/>
          <w:color w:val="auto"/>
        </w:rPr>
      </w:pPr>
      <w:r>
        <w:rPr>
          <w:rFonts w:ascii="Arial" w:cs="Arial" w:eastAsia="Arial" w:hAnsi="Arial"/>
          <w:sz w:val="13"/>
          <w:szCs w:val="13"/>
          <w:b w:val="1"/>
          <w:bCs w:val="1"/>
          <w:u w:val="single" w:color="auto"/>
          <w:color w:val="auto"/>
        </w:rPr>
        <w:t>Signature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K. Templeton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P. March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Ralph W. Babb, Jr.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A. Blinn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A. Carp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Janet F. Clark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Carrie S. Cox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Kirk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Pamela H. Patsley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56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7"/>
              </w:rPr>
              <w:t>Title</w:t>
            </w:r>
          </w:p>
        </w:tc>
        <w:tc>
          <w:tcPr>
            <w:tcW w:w="1440" w:type="dxa"/>
            <w:vAlign w:val="bottom"/>
            <w:gridSpan w:val="3"/>
          </w:tcPr>
          <w:p>
            <w:pPr>
              <w:ind w:left="1000"/>
              <w:spacing w:after="0"/>
              <w:rPr>
                <w:sz w:val="20"/>
                <w:szCs w:val="20"/>
                <w:color w:val="auto"/>
              </w:rPr>
            </w:pPr>
            <w:r>
              <w:rPr>
                <w:rFonts w:ascii="Arial" w:cs="Arial" w:eastAsia="Arial" w:hAnsi="Arial"/>
                <w:sz w:val="14"/>
                <w:szCs w:val="14"/>
                <w:b w:val="1"/>
                <w:bCs w:val="1"/>
                <w:color w:val="auto"/>
              </w:rPr>
              <w:t>Date</w:t>
            </w:r>
          </w:p>
        </w:tc>
      </w:tr>
      <w:tr>
        <w:trPr>
          <w:trHeight w:val="20"/>
        </w:trPr>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3"/>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Chairman of the Board, Director, President and Chief Executive</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230"/>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Senior Vice President, Chief Accounting Officer and Chief</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230"/>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Financial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47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89"/>
              </w:rPr>
              <w:t>February 24, 2016</w:t>
            </w:r>
          </w:p>
        </w:tc>
      </w:tr>
      <w:tr>
        <w:trPr>
          <w:trHeight w:val="486"/>
        </w:trPr>
        <w:tc>
          <w:tcPr>
            <w:tcW w:w="4720" w:type="dxa"/>
            <w:vAlign w:val="bottom"/>
            <w:gridSpan w:val="3"/>
          </w:tcPr>
          <w:p>
            <w:pPr>
              <w:ind w:left="1080"/>
              <w:spacing w:after="0"/>
              <w:rPr>
                <w:sz w:val="20"/>
                <w:szCs w:val="20"/>
                <w:color w:val="auto"/>
              </w:rPr>
            </w:pPr>
            <w:r>
              <w:rPr>
                <w:rFonts w:ascii="Arial" w:cs="Arial" w:eastAsia="Arial" w:hAnsi="Arial"/>
                <w:sz w:val="18"/>
                <w:szCs w:val="18"/>
                <w:color w:val="auto"/>
              </w:rPr>
              <w:t>II-5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2">
            <w:col w:w="3780" w:space="720"/>
            <w:col w:w="6860"/>
          </w:cols>
          <w:pgMar w:left="240" w:top="459" w:right="2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60"/>
        <w:spacing w:after="0"/>
        <w:rPr>
          <w:sz w:val="20"/>
          <w:szCs w:val="20"/>
          <w:color w:val="auto"/>
        </w:rPr>
      </w:pPr>
      <w:r>
        <w:rPr>
          <w:rFonts w:ascii="Arial" w:cs="Arial" w:eastAsia="Arial" w:hAnsi="Arial"/>
          <w:sz w:val="14"/>
          <w:szCs w:val="14"/>
          <w:b w:val="1"/>
          <w:bCs w:val="1"/>
          <w:u w:val="single" w:color="auto"/>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E. Sanchez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Wayne R. Sanders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Ruth J. Simmons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8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Christine Todd Whitman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15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7"/>
              </w:rPr>
              <w:t>Title</w:t>
            </w:r>
          </w:p>
        </w:tc>
        <w:tc>
          <w:tcPr>
            <w:tcW w:w="2440" w:type="dxa"/>
            <w:vAlign w:val="bottom"/>
            <w:gridSpan w:val="3"/>
          </w:tcPr>
          <w:p>
            <w:pPr>
              <w:ind w:left="2000"/>
              <w:spacing w:after="0"/>
              <w:rPr>
                <w:sz w:val="20"/>
                <w:szCs w:val="20"/>
                <w:color w:val="auto"/>
              </w:rPr>
            </w:pPr>
            <w:r>
              <w:rPr>
                <w:rFonts w:ascii="Arial" w:cs="Arial" w:eastAsia="Arial" w:hAnsi="Arial"/>
                <w:sz w:val="14"/>
                <w:szCs w:val="14"/>
                <w:b w:val="1"/>
                <w:bCs w:val="1"/>
                <w:color w:val="auto"/>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172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ind w:left="1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172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ind w:left="1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172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ind w:left="1100"/>
              <w:spacing w:after="0"/>
              <w:rPr>
                <w:sz w:val="20"/>
                <w:szCs w:val="20"/>
                <w:color w:val="auto"/>
              </w:rPr>
            </w:pPr>
            <w:r>
              <w:rPr>
                <w:rFonts w:ascii="Arial" w:cs="Arial" w:eastAsia="Arial" w:hAnsi="Arial"/>
                <w:sz w:val="18"/>
                <w:szCs w:val="18"/>
                <w:color w:val="auto"/>
                <w:w w:val="89"/>
              </w:rPr>
              <w:t>February 24, 2016</w:t>
            </w:r>
          </w:p>
        </w:tc>
      </w:tr>
      <w:tr>
        <w:trPr>
          <w:trHeight w:val="567"/>
        </w:trPr>
        <w:tc>
          <w:tcPr>
            <w:tcW w:w="1720" w:type="dxa"/>
            <w:vAlign w:val="bottom"/>
            <w:gridSpan w:val="3"/>
          </w:tcPr>
          <w:p>
            <w:pPr>
              <w:jc w:val="center"/>
              <w:ind w:right="112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ind w:left="1100"/>
              <w:spacing w:after="0"/>
              <w:rPr>
                <w:sz w:val="20"/>
                <w:szCs w:val="20"/>
                <w:color w:val="auto"/>
              </w:rPr>
            </w:pPr>
            <w:r>
              <w:rPr>
                <w:rFonts w:ascii="Arial" w:cs="Arial" w:eastAsia="Arial" w:hAnsi="Arial"/>
                <w:sz w:val="18"/>
                <w:szCs w:val="18"/>
                <w:color w:val="auto"/>
                <w:w w:val="89"/>
              </w:rPr>
              <w:t>February 24,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-2005965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860" w:space="720"/>
            <w:col w:w="5080"/>
          </w:cols>
          <w:pgMar w:left="240" w:top="459" w:right="9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64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5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r>
      <w:tr>
        <w:trPr>
          <w:trHeight w:val="304"/>
        </w:trPr>
        <w:tc>
          <w:tcPr>
            <w:tcW w:w="7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w:t>
            </w:r>
          </w:p>
        </w:tc>
        <w:tc>
          <w:tcPr>
            <w:tcW w:w="5520" w:type="dxa"/>
            <w:vAlign w:val="bottom"/>
          </w:tcPr>
          <w:p>
            <w:pPr>
              <w:ind w:left="980"/>
              <w:spacing w:after="0"/>
              <w:rPr>
                <w:sz w:val="20"/>
                <w:szCs w:val="20"/>
                <w:color w:val="auto"/>
              </w:rPr>
            </w:pPr>
            <w:r>
              <w:rPr>
                <w:rFonts w:ascii="Arial" w:cs="Arial" w:eastAsia="Arial" w:hAnsi="Arial"/>
                <w:sz w:val="18"/>
                <w:szCs w:val="18"/>
                <w:color w:val="auto"/>
              </w:rPr>
              <w:t>Form of Underwriting Agreement</w:t>
            </w:r>
          </w:p>
        </w:tc>
        <w:tc>
          <w:tcPr>
            <w:tcW w:w="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1"/>
              </w:rPr>
              <w:t>Restated Certificate of Incorporation of the Registrant, dated April 18, 1985, as amended (incorporated by reference to Exhibit 3(a) of</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the Registrant’s Annual Report on Form 10-K for the year ended December 31, 2014)</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4"/>
              </w:rPr>
              <w:t>By-Laws of the Registrant (incorporated by reference to Exhibit 3(b) to the Registrant’s Annual Report on Form 10-K for the year</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ended December 31, 2014)</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Specimen Preferred Stock Certificate*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4"/>
              </w:rPr>
              <w:t>Indenture dated as of May 23, 2011 between Texas Instruments Incorporated, a Delaware corporation, as Issuer and U.S. Bank</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2"/>
              </w:rPr>
              <w:t>National Association, a National Association, as Trustee (incorporated by reference to Exhibit 4.2 to the Registrant’s Current Report</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on Form 8-K filed May 23, 2011)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Form of Note (included in Exhibit 4.3)</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Opinion of Davis Polk &amp; Wardwell LLP</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1"/>
              </w:rPr>
              <w:t>Statement regarding computation of Consolidated Ratio of Earnings to Fixed Charges (incorporated by reference to Exhibit 12 of the</w:t>
            </w:r>
          </w:p>
        </w:tc>
      </w:tr>
      <w:tr>
        <w:trPr>
          <w:trHeight w:val="230"/>
        </w:trPr>
        <w:tc>
          <w:tcPr>
            <w:tcW w:w="720" w:type="dxa"/>
            <w:vAlign w:val="bottom"/>
          </w:tcPr>
          <w:p>
            <w:pPr>
              <w:spacing w:after="0"/>
              <w:rPr>
                <w:sz w:val="20"/>
                <w:szCs w:val="20"/>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Registrant’s Annual Report on Form 10-K for the year ended December 31, 2015)</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Statement of Eligibility on Form T-1 of U.S. Bank National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60"/>
          </w:cols>
          <w:pgMar w:left="240" w:top="459"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the [</w:t>
      </w:r>
      <w:r>
        <w:rPr>
          <w:rFonts w:ascii="Arial" w:cs="Arial" w:eastAsia="Arial" w:hAnsi="Arial"/>
          <w:sz w:val="18"/>
          <w:szCs w:val="18"/>
          <w:i w:val="1"/>
          <w:iCs w:val="1"/>
          <w:color w:val="auto"/>
        </w:rPr>
        <w:t>indicate number/principal amount of each type of security to be sold</w:t>
      </w:r>
      <w:r>
        <w:rPr>
          <w:rFonts w:ascii="Arial" w:cs="Arial" w:eastAsia="Arial" w:hAnsi="Arial"/>
          <w:sz w:val="18"/>
          <w:szCs w:val="18"/>
          <w:color w:val="auto"/>
        </w:rPr>
        <w:t>]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Include the following paragraphs if issuing Debt Securities, Warrants or Units, as applicable:</w:t>
      </w:r>
    </w:p>
    <w:p>
      <w:pPr>
        <w:spacing w:after="0" w:line="11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Offered Securities will be issued pursuant to an Indenture dated as of May 23, 2011, between the Company and U.S. Bank National Association, as trustee.]</w:t>
      </w:r>
    </w:p>
    <w:p>
      <w:pPr>
        <w:spacing w:after="0" w:line="58" w:lineRule="exact"/>
        <w:rPr>
          <w:sz w:val="20"/>
          <w:szCs w:val="20"/>
          <w:color w:val="auto"/>
        </w:rPr>
      </w:pPr>
    </w:p>
    <w:p>
      <w:pPr>
        <w:ind w:left="460" w:right="640"/>
        <w:spacing w:after="0" w:line="282" w:lineRule="auto"/>
        <w:rPr>
          <w:sz w:val="20"/>
          <w:szCs w:val="20"/>
          <w:color w:val="auto"/>
        </w:rPr>
      </w:pPr>
      <w:r>
        <w:rPr>
          <w:rFonts w:ascii="Arial" w:cs="Arial" w:eastAsia="Arial" w:hAnsi="Arial"/>
          <w:sz w:val="18"/>
          <w:szCs w:val="18"/>
          <w:color w:val="auto"/>
        </w:rPr>
        <w:t>[The Offered Securities will be issued pursuant to [an/the]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[to be] dated as of [●] between the Company and [●], as Warrant Agent.]</w:t>
      </w:r>
    </w:p>
    <w:p>
      <w:pPr>
        <w:spacing w:after="0" w:line="54" w:lineRule="exact"/>
        <w:rPr>
          <w:sz w:val="20"/>
          <w:szCs w:val="20"/>
          <w:color w:val="auto"/>
        </w:rPr>
      </w:pPr>
    </w:p>
    <w:p>
      <w:pPr>
        <w:ind w:left="460" w:right="40"/>
        <w:spacing w:after="0" w:line="303" w:lineRule="auto"/>
        <w:rPr>
          <w:sz w:val="20"/>
          <w:szCs w:val="20"/>
          <w:color w:val="auto"/>
        </w:rPr>
      </w:pPr>
      <w:r>
        <w:rPr>
          <w:rFonts w:ascii="Arial" w:cs="Arial" w:eastAsia="Arial" w:hAnsi="Arial"/>
          <w:sz w:val="16"/>
          <w:szCs w:val="16"/>
          <w:color w:val="auto"/>
        </w:rPr>
        <w:t>[The Offered Securities will be issued pursuant to [an/the] Unit Agreement (the “</w:t>
      </w:r>
      <w:r>
        <w:rPr>
          <w:rFonts w:ascii="Arial" w:cs="Arial" w:eastAsia="Arial" w:hAnsi="Arial"/>
          <w:sz w:val="16"/>
          <w:szCs w:val="16"/>
          <w:b w:val="1"/>
          <w:bCs w:val="1"/>
          <w:color w:val="auto"/>
        </w:rPr>
        <w:t>Unit Agreement</w:t>
      </w:r>
      <w:r>
        <w:rPr>
          <w:rFonts w:ascii="Arial" w:cs="Arial" w:eastAsia="Arial" w:hAnsi="Arial"/>
          <w:sz w:val="16"/>
          <w:szCs w:val="16"/>
          <w:color w:val="auto"/>
        </w:rPr>
        <w:t>”) [to be] dated as of [●] among the Company, [●], as Unit Agent, and the holders from time to time of the Units. [The Debt Securities included in the Offered Securities will be issued pursuant to an Indenture dated as of [●] between the Company and U.S. Bank National Association, as trustee.] [The Warrants included in the Offered Securities will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dated as of [●] between the Company and [●], as Warrant Agent.]]</w:t>
      </w:r>
    </w:p>
    <w:p>
      <w:pPr>
        <w:spacing w:after="0" w:line="15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 [A.M./P.M.] (New York time) on the date hereof.</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w:t>
      </w:r>
    </w:p>
    <w:p>
      <w:pPr>
        <w:sectPr>
          <w:pgSz w:w="11900" w:h="16838" w:orient="portrait"/>
          <w:cols w:equalWidth="0" w:num="1">
            <w:col w:w="11420"/>
          </w:cols>
          <w:pgMar w:left="240" w:top="121" w:right="23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with respect to the purchase of the Offered Securities shall be delivered by the parties at the offices of counsel for the Underwriters, [●] at 10:00 A.M. (New York time) on [●] or at such other time, not later than [●] as shall be designated by the Manager.</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24, 2016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as used therein, shall, for purposes of this Agreement, mean [and , whose authority hereunder may be exercised by them jointly or by alone].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2" w:name="page33"/>
    <w:bookmarkEnd w:id="32"/>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listed in Schedule II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274" w:right="599" w:bottom="1440" w:gutter="0" w:footer="0" w:header="0"/>
        </w:sectPr>
      </w:pPr>
    </w:p>
    <w:bookmarkStart w:id="33" w:name="page34"/>
    <w:bookmarkEnd w:id="3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34" w:name="page35"/>
    <w:bookmarkEnd w:id="3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0" w:right="1440" w:bottom="1440" w:gutter="0" w:footer="0" w:header="0"/>
        </w:sectPr>
      </w:pPr>
    </w:p>
    <w:bookmarkStart w:id="35" w:name="page36"/>
    <w:bookmarkEnd w:id="3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19"/>
          </w:cols>
          <w:pgMar w:left="240" w:top="270"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Subject to Overallotment Option: $</w:t>
      </w:r>
    </w:p>
    <w:p>
      <w:pPr>
        <w:spacing w:after="0" w:line="117" w:lineRule="exact"/>
        <w:rPr>
          <w:sz w:val="20"/>
          <w:szCs w:val="20"/>
          <w:color w:val="auto"/>
        </w:rPr>
      </w:pPr>
    </w:p>
    <w:p>
      <w:pPr>
        <w:spacing w:after="0"/>
        <w:tabs>
          <w:tab w:leader="none" w:pos="1660" w:val="left"/>
          <w:tab w:leader="none" w:pos="6540" w:val="left"/>
        </w:tabs>
        <w:rPr>
          <w:sz w:val="20"/>
          <w:szCs w:val="20"/>
          <w:color w:val="auto"/>
        </w:rPr>
      </w:pPr>
      <w:r>
        <w:rPr>
          <w:rFonts w:ascii="Arial" w:cs="Arial" w:eastAsia="Arial" w:hAnsi="Arial"/>
          <w:sz w:val="18"/>
          <w:szCs w:val="18"/>
          <w:color w:val="auto"/>
        </w:rPr>
        <w:t>Purchase Price: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920" w:val="left"/>
          <w:tab w:leader="none" w:pos="6800" w:val="left"/>
        </w:tabs>
        <w:rPr>
          <w:sz w:val="20"/>
          <w:szCs w:val="20"/>
          <w:color w:val="auto"/>
        </w:rPr>
      </w:pPr>
      <w:r>
        <w:rPr>
          <w:rFonts w:ascii="Arial" w:cs="Arial" w:eastAsia="Arial" w:hAnsi="Arial"/>
          <w:sz w:val="18"/>
          <w:szCs w:val="18"/>
          <w:color w:val="auto"/>
        </w:rPr>
        <w:t>Price to the Public: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17" w:lineRule="exact"/>
        <w:rPr>
          <w:sz w:val="20"/>
          <w:szCs w:val="20"/>
          <w:color w:val="auto"/>
        </w:rPr>
      </w:pPr>
    </w:p>
    <w:p>
      <w:pPr>
        <w:spacing w:after="0"/>
        <w:tabs>
          <w:tab w:leader="none" w:pos="2360" w:val="left"/>
          <w:tab w:leader="none" w:pos="3360" w:val="left"/>
          <w:tab w:leader="none" w:pos="508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6"/>
          <w:szCs w:val="16"/>
          <w:color w:val="auto"/>
        </w:rPr>
        <w:t>] (Interest accrues from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54" w:lineRule="exact"/>
        <w:rPr>
          <w:sz w:val="20"/>
          <w:szCs w:val="20"/>
          <w:color w:val="auto"/>
        </w:rPr>
      </w:pPr>
    </w:p>
    <w:p>
      <w:pPr>
        <w:sectPr>
          <w:pgSz w:w="11900" w:h="16838" w:orient="portrait"/>
          <w:cols w:equalWidth="0" w:num="2">
            <w:col w:w="6940" w:space="500"/>
            <w:col w:w="2779"/>
          </w:cols>
          <w:pgMar w:left="240" w:top="270"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270" w:right="1440" w:bottom="1440" w:gutter="0" w:footer="0" w:header="0"/>
          <w:type w:val="continuous"/>
        </w:sectPr>
      </w:pPr>
    </w:p>
    <w:bookmarkStart w:id="36" w:name="page37"/>
    <w:bookmarkEnd w:id="3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80" w:type="dxa"/>
            <w:vAlign w:val="bottom"/>
          </w:tcPr>
          <w:p>
            <w:pPr>
              <w:jc w:val="center"/>
              <w:ind w:right="650"/>
              <w:spacing w:after="0"/>
              <w:rPr>
                <w:sz w:val="20"/>
                <w:szCs w:val="20"/>
                <w:color w:val="auto"/>
              </w:rPr>
            </w:pPr>
            <w:r>
              <w:rPr>
                <w:rFonts w:ascii="Arial" w:cs="Arial" w:eastAsia="Arial" w:hAnsi="Arial"/>
                <w:sz w:val="18"/>
                <w:szCs w:val="18"/>
                <w:b w:val="1"/>
                <w:bCs w:val="1"/>
                <w:color w:val="auto"/>
              </w:rPr>
              <w:t>SCHEDULE I</w:t>
            </w:r>
          </w:p>
        </w:tc>
        <w:tc>
          <w:tcPr>
            <w:tcW w:w="24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8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rPr>
              <w:t>TO UNDERWRITING AGREEMENT</w:t>
            </w:r>
          </w:p>
        </w:tc>
        <w:tc>
          <w:tcPr>
            <w:tcW w:w="24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8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(UNITS)</w:t>
            </w:r>
          </w:p>
        </w:tc>
        <w:tc>
          <w:tcPr>
            <w:tcW w:w="240" w:type="dxa"/>
            <w:vAlign w:val="bottom"/>
          </w:tcPr>
          <w:p>
            <w:pPr>
              <w:spacing w:after="0"/>
              <w:rPr>
                <w:sz w:val="20"/>
                <w:szCs w:val="20"/>
                <w:color w:val="auto"/>
              </w:rPr>
            </w:pP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Purchase Price per Unit:</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w w:val="99"/>
              </w:rPr>
              <w:t>Price to the Public per Unit:</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00"/>
        </w:trPr>
        <w:tc>
          <w:tcPr>
            <w:tcW w:w="3140" w:type="dxa"/>
            <w:vAlign w:val="bottom"/>
            <w:gridSpan w:val="3"/>
          </w:tcPr>
          <w:p>
            <w:pPr>
              <w:spacing w:after="0"/>
              <w:rPr>
                <w:sz w:val="20"/>
                <w:szCs w:val="20"/>
                <w:color w:val="auto"/>
              </w:rPr>
            </w:pPr>
            <w:r>
              <w:rPr>
                <w:rFonts w:ascii="Arial" w:cs="Arial" w:eastAsia="Arial" w:hAnsi="Arial"/>
                <w:sz w:val="18"/>
                <w:szCs w:val="18"/>
                <w:color w:val="auto"/>
                <w:w w:val="93"/>
              </w:rPr>
              <w:t>Terms of Debt Securities included in Units</w:t>
            </w: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5"/>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Principal Amount included per Unit: $[</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Maturity Date:</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Interest Rate:</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Redemption Provisions: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Interest Payment Dates: [</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 and [</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 commencing [</w:t>
            </w:r>
          </w:p>
        </w:tc>
        <w:tc>
          <w:tcPr>
            <w:tcW w:w="2480" w:type="dxa"/>
            <w:vAlign w:val="bottom"/>
          </w:tcPr>
          <w:p>
            <w:pPr>
              <w:ind w:left="260"/>
              <w:spacing w:after="0"/>
              <w:rPr>
                <w:sz w:val="20"/>
                <w:szCs w:val="20"/>
                <w:color w:val="auto"/>
              </w:rPr>
            </w:pPr>
            <w:r>
              <w:rPr>
                <w:rFonts w:ascii="Arial" w:cs="Arial" w:eastAsia="Arial" w:hAnsi="Arial"/>
                <w:sz w:val="18"/>
                <w:szCs w:val="18"/>
                <w:color w:val="auto"/>
              </w:rPr>
              <w:t>] (Interest accrues from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Form and Denomination:</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Ranking:</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Conversion Provisions: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Other Terms: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Terms of Warrants included in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 per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0"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number of Warrants exercisable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74"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color w:val="auto"/>
                <w:w w:val="96"/>
              </w:rPr>
              <w:t>[Number/Principal Amount of Offered</w:t>
            </w:r>
          </w:p>
        </w:tc>
      </w:tr>
      <w:tr>
        <w:trPr>
          <w:trHeight w:val="181"/>
        </w:trPr>
        <w:tc>
          <w:tcPr>
            <w:tcW w:w="582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Underwriter</w:t>
            </w:r>
          </w:p>
        </w:tc>
        <w:tc>
          <w:tcPr>
            <w:tcW w:w="1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Securities to be Purchased]</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[Term sheet reflecting the terms on Schedule I or , if there is no term sheet, orally conveyed pricing information]</w:t>
      </w:r>
    </w:p>
    <w:p>
      <w:pPr>
        <w:spacing w:after="0" w:line="248" w:lineRule="exact"/>
        <w:rPr>
          <w:sz w:val="20"/>
          <w:szCs w:val="20"/>
          <w:color w:val="auto"/>
        </w:rPr>
      </w:pPr>
    </w:p>
    <w:p>
      <w:pPr>
        <w:ind w:left="5620" w:right="4079" w:hanging="5618"/>
        <w:spacing w:after="0" w:line="536" w:lineRule="auto"/>
        <w:rPr>
          <w:sz w:val="20"/>
          <w:szCs w:val="20"/>
          <w:color w:val="auto"/>
        </w:rPr>
      </w:pPr>
      <w:r>
        <w:rPr>
          <w:rFonts w:ascii="Arial" w:cs="Arial" w:eastAsia="Arial" w:hAnsi="Arial"/>
          <w:sz w:val="16"/>
          <w:szCs w:val="16"/>
          <w:color w:val="auto"/>
        </w:rPr>
        <w:t>[List any other free writing prospectus to be included in the Time of Sale Prospectus] 11</w:t>
      </w:r>
    </w:p>
    <w:p>
      <w:pPr>
        <w:sectPr>
          <w:pgSz w:w="11900" w:h="16838" w:orient="portrait"/>
          <w:cols w:equalWidth="0" w:num="1">
            <w:col w:w="10219"/>
          </w:cols>
          <w:pgMar w:left="240" w:top="270" w:right="1440" w:bottom="1440" w:gutter="0" w:footer="0" w:header="0"/>
        </w:sectPr>
      </w:pPr>
    </w:p>
    <w:bookmarkStart w:id="41" w:name="page42"/>
    <w:bookmarkEnd w:id="41"/>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270" w:right="6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2016</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 $1.00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43" w:name="page44"/>
    <w:bookmarkEnd w:id="4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44" w:name="page45"/>
    <w:bookmarkEnd w:id="44"/>
    <w:p>
      <w:pPr>
        <w:ind w:right="100" w:firstLine="443"/>
        <w:spacing w:after="0" w:line="277"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460" w:right="540" w:firstLine="421"/>
        <w:spacing w:after="0" w:line="277" w:lineRule="auto"/>
        <w:tabs>
          <w:tab w:leader="none" w:pos="10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ind w:left="460" w:firstLine="421"/>
        <w:spacing w:after="0" w:line="286" w:lineRule="auto"/>
        <w:tabs>
          <w:tab w:leader="none" w:pos="11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460" w:right="540" w:firstLine="421"/>
        <w:spacing w:after="0" w:line="277" w:lineRule="auto"/>
        <w:tabs>
          <w:tab w:leader="none" w:pos="11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460" w:right="60" w:firstLine="421"/>
        <w:spacing w:after="0" w:line="264" w:lineRule="auto"/>
        <w:tabs>
          <w:tab w:leader="none" w:pos="118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720" w:hanging="291"/>
        <w:spacing w:after="0"/>
        <w:tabs>
          <w:tab w:leader="none" w:pos="17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1040" w:firstLine="389"/>
        <w:spacing w:after="0" w:line="311" w:lineRule="auto"/>
        <w:tabs>
          <w:tab w:leader="none" w:pos="1722"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jc w:val="both"/>
        <w:ind w:left="460" w:firstLine="421"/>
        <w:spacing w:after="0" w:line="259" w:lineRule="auto"/>
        <w:tabs>
          <w:tab w:leader="none" w:pos="11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78" w:lineRule="exact"/>
        <w:rPr>
          <w:rFonts w:ascii="Arial" w:cs="Arial" w:eastAsia="Arial" w:hAnsi="Arial"/>
          <w:sz w:val="18"/>
          <w:szCs w:val="18"/>
          <w:color w:val="auto"/>
        </w:rPr>
      </w:pPr>
    </w:p>
    <w:p>
      <w:pPr>
        <w:ind w:left="460" w:right="260" w:firstLine="421"/>
        <w:spacing w:after="0" w:line="277" w:lineRule="auto"/>
        <w:tabs>
          <w:tab w:leader="none" w:pos="118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45" w:name="page46"/>
    <w:bookmarkEnd w:id="4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9" w:lineRule="exact"/>
        <w:rPr>
          <w:sz w:val="20"/>
          <w:szCs w:val="20"/>
          <w:color w:val="auto"/>
        </w:rPr>
      </w:pPr>
    </w:p>
    <w:p>
      <w:pPr>
        <w:ind w:firstLine="421"/>
        <w:spacing w:after="0" w:line="302" w:lineRule="auto"/>
        <w:tabs>
          <w:tab w:leader="none" w:pos="7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46" w:lineRule="exact"/>
        <w:rPr>
          <w:rFonts w:ascii="Arial" w:cs="Arial" w:eastAsia="Arial" w:hAnsi="Arial"/>
          <w:sz w:val="16"/>
          <w:szCs w:val="16"/>
          <w:color w:val="auto"/>
        </w:rPr>
      </w:pPr>
    </w:p>
    <w:p>
      <w:pPr>
        <w:ind w:right="220" w:firstLine="421"/>
        <w:spacing w:after="0" w:line="277" w:lineRule="auto"/>
        <w:tabs>
          <w:tab w:leader="none" w:pos="8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580" w:right="160" w:firstLine="389"/>
        <w:spacing w:after="0" w:line="255" w:lineRule="auto"/>
        <w:tabs>
          <w:tab w:leader="none" w:pos="12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rFonts w:ascii="Arial" w:cs="Arial" w:eastAsia="Arial" w:hAnsi="Arial"/>
          <w:sz w:val="18"/>
          <w:szCs w:val="18"/>
          <w:color w:val="auto"/>
        </w:rPr>
      </w:pPr>
    </w:p>
    <w:p>
      <w:pPr>
        <w:ind w:left="580" w:right="240" w:firstLine="389"/>
        <w:spacing w:after="0" w:line="302" w:lineRule="auto"/>
        <w:tabs>
          <w:tab w:leader="none" w:pos="12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46" w:lineRule="exact"/>
        <w:rPr>
          <w:rFonts w:ascii="Arial" w:cs="Arial" w:eastAsia="Arial" w:hAnsi="Arial"/>
          <w:sz w:val="16"/>
          <w:szCs w:val="16"/>
          <w:color w:val="auto"/>
        </w:rPr>
      </w:pPr>
    </w:p>
    <w:p>
      <w:pPr>
        <w:ind w:left="580" w:right="100" w:firstLine="389"/>
        <w:spacing w:after="0" w:line="277" w:lineRule="auto"/>
        <w:tabs>
          <w:tab w:leader="none" w:pos="12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40"/>
          </w:cols>
          <w:pgMar w:left="1160" w:top="274" w:right="299" w:bottom="1440" w:gutter="0" w:footer="0" w:header="0"/>
        </w:sectPr>
      </w:pPr>
    </w:p>
    <w:bookmarkStart w:id="46" w:name="page47"/>
    <w:bookmarkEnd w:id="46"/>
    <w:p>
      <w:pPr>
        <w:ind w:left="1040"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6" w:lineRule="exact"/>
        <w:rPr>
          <w:sz w:val="20"/>
          <w:szCs w:val="20"/>
          <w:color w:val="auto"/>
        </w:rPr>
      </w:pPr>
    </w:p>
    <w:p>
      <w:pPr>
        <w:ind w:left="1040" w:firstLine="389"/>
        <w:spacing w:after="0" w:line="279" w:lineRule="auto"/>
        <w:tabs>
          <w:tab w:leader="none" w:pos="1732" w:val="left"/>
        </w:tabs>
        <w:numPr>
          <w:ilvl w:val="2"/>
          <w:numId w:val="34"/>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right="320" w:firstLine="443"/>
        <w:spacing w:after="0" w:line="277" w:lineRule="auto"/>
        <w:tabs>
          <w:tab w:leader="none" w:pos="6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200" w:firstLine="421"/>
        <w:spacing w:after="0" w:line="264" w:lineRule="auto"/>
        <w:tabs>
          <w:tab w:leader="none" w:pos="10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1040" w:right="120" w:firstLine="389"/>
        <w:spacing w:after="0" w:line="255" w:lineRule="auto"/>
        <w:tabs>
          <w:tab w:leader="none" w:pos="1732" w:val="left"/>
        </w:tabs>
        <w:numPr>
          <w:ilvl w:val="2"/>
          <w:numId w:val="35"/>
        </w:numPr>
        <w:rPr>
          <w:rFonts w:ascii="Arial" w:cs="Arial" w:eastAsia="Arial" w:hAnsi="Arial"/>
          <w:sz w:val="18"/>
          <w:szCs w:val="18"/>
          <w:color w:val="auto"/>
        </w:rPr>
      </w:pPr>
      <w:r>
        <w:rPr>
          <w:rFonts w:ascii="Arial" w:cs="Arial" w:eastAsia="Arial" w:hAnsi="Arial"/>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 provided that such counsel need not express any opinion as to the validity, legally binding effect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that permits holders to collect any portion of stated principal amount upon acceleration of such securities to the extent determined to constitute unearned interest;</w:t>
      </w:r>
    </w:p>
    <w:p>
      <w:pPr>
        <w:spacing w:after="0" w:line="81" w:lineRule="exact"/>
        <w:rPr>
          <w:rFonts w:ascii="Arial" w:cs="Arial" w:eastAsia="Arial" w:hAnsi="Arial"/>
          <w:sz w:val="18"/>
          <w:szCs w:val="18"/>
          <w:color w:val="auto"/>
        </w:rPr>
      </w:pPr>
    </w:p>
    <w:p>
      <w:pPr>
        <w:ind w:left="1040" w:right="320" w:firstLine="389"/>
        <w:spacing w:after="0" w:line="277" w:lineRule="auto"/>
        <w:tabs>
          <w:tab w:leader="none" w:pos="1722"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47" w:name="page48"/>
    <w:bookmarkEnd w:id="47"/>
    <w:p>
      <w:pPr>
        <w:ind w:left="980" w:hanging="291"/>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460" w:hanging="319"/>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300" w:firstLine="389"/>
        <w:spacing w:after="0" w:line="312" w:lineRule="auto"/>
        <w:tabs>
          <w:tab w:leader="none" w:pos="9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500" w:firstLine="389"/>
        <w:spacing w:after="0" w:line="277" w:lineRule="auto"/>
        <w:tabs>
          <w:tab w:leader="none" w:pos="9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300" w:right="240" w:firstLine="389"/>
        <w:spacing w:after="0" w:line="312" w:lineRule="auto"/>
        <w:tabs>
          <w:tab w:leader="none" w:pos="9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760" w:firstLine="389"/>
        <w:spacing w:after="0" w:line="277" w:lineRule="auto"/>
        <w:tabs>
          <w:tab w:leader="none" w:pos="9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80" w:right="140" w:firstLine="421"/>
        <w:spacing w:after="0" w:line="264" w:lineRule="auto"/>
        <w:tabs>
          <w:tab w:leader="none" w:pos="4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left="-280" w:right="380" w:firstLine="421"/>
        <w:spacing w:after="0" w:line="308" w:lineRule="auto"/>
        <w:tabs>
          <w:tab w:leader="none" w:pos="4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00"/>
          </w:cols>
          <w:pgMar w:left="1440" w:top="274" w:right="259" w:bottom="1440" w:gutter="0" w:footer="0" w:header="0"/>
        </w:sectPr>
      </w:pPr>
    </w:p>
    <w:bookmarkStart w:id="48" w:name="page49"/>
    <w:bookmarkEnd w:id="48"/>
    <w:p>
      <w:pPr>
        <w:ind w:left="-280" w:right="560" w:firstLine="421"/>
        <w:spacing w:after="0" w:line="282" w:lineRule="auto"/>
        <w:tabs>
          <w:tab w:leader="none" w:pos="54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220" w:firstLine="421"/>
        <w:spacing w:after="0" w:line="312" w:lineRule="auto"/>
        <w:tabs>
          <w:tab w:leader="none" w:pos="4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8" w:lineRule="exact"/>
        <w:rPr>
          <w:rFonts w:ascii="Arial" w:cs="Arial" w:eastAsia="Arial" w:hAnsi="Arial"/>
          <w:sz w:val="16"/>
          <w:szCs w:val="16"/>
          <w:color w:val="auto"/>
        </w:rPr>
      </w:pPr>
    </w:p>
    <w:p>
      <w:pPr>
        <w:jc w:val="both"/>
        <w:ind w:left="-280" w:right="20" w:firstLine="421"/>
        <w:spacing w:after="0" w:line="286" w:lineRule="auto"/>
        <w:tabs>
          <w:tab w:leader="none" w:pos="3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7" w:lineRule="exact"/>
        <w:rPr>
          <w:rFonts w:ascii="Arial" w:cs="Arial" w:eastAsia="Arial" w:hAnsi="Arial"/>
          <w:sz w:val="17"/>
          <w:szCs w:val="17"/>
          <w:color w:val="auto"/>
        </w:rPr>
      </w:pPr>
    </w:p>
    <w:p>
      <w:pPr>
        <w:ind w:left="-280" w:right="100" w:firstLine="421"/>
        <w:spacing w:after="0" w:line="279" w:lineRule="auto"/>
        <w:tabs>
          <w:tab w:leader="none" w:pos="4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63" w:lineRule="exact"/>
        <w:rPr>
          <w:rFonts w:ascii="Arial" w:cs="Arial" w:eastAsia="Arial" w:hAnsi="Arial"/>
          <w:sz w:val="17"/>
          <w:szCs w:val="17"/>
          <w:color w:val="auto"/>
        </w:rPr>
      </w:pPr>
    </w:p>
    <w:p>
      <w:pPr>
        <w:ind w:left="-280" w:right="300" w:firstLine="421"/>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300" w:firstLine="389"/>
        <w:spacing w:after="0" w:line="273" w:lineRule="auto"/>
        <w:tabs>
          <w:tab w:leader="none" w:pos="992"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0" w:lineRule="exact"/>
        <w:rPr>
          <w:rFonts w:ascii="Arial" w:cs="Arial" w:eastAsia="Arial" w:hAnsi="Arial"/>
          <w:sz w:val="17"/>
          <w:szCs w:val="17"/>
          <w:color w:val="auto"/>
        </w:rPr>
      </w:pPr>
    </w:p>
    <w:p>
      <w:pPr>
        <w:ind w:left="980" w:hanging="291"/>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1440" w:top="270" w:right="259" w:bottom="1440" w:gutter="0" w:footer="0" w:header="0"/>
        </w:sectPr>
      </w:pPr>
    </w:p>
    <w:bookmarkStart w:id="49" w:name="page50"/>
    <w:bookmarkEnd w:id="49"/>
    <w:p>
      <w:pPr>
        <w:ind w:left="150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3" w:lineRule="exact"/>
        <w:rPr>
          <w:sz w:val="20"/>
          <w:szCs w:val="20"/>
          <w:color w:val="auto"/>
        </w:rPr>
      </w:pPr>
    </w:p>
    <w:p>
      <w:pPr>
        <w:ind w:left="1500" w:firstLine="389"/>
        <w:spacing w:after="0" w:line="302" w:lineRule="auto"/>
        <w:tabs>
          <w:tab w:leader="none" w:pos="2182"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920" w:right="520" w:firstLine="421"/>
        <w:spacing w:after="0" w:line="277" w:lineRule="auto"/>
        <w:tabs>
          <w:tab w:leader="none" w:pos="17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460" w:right="60" w:firstLine="443"/>
        <w:spacing w:after="0" w:line="259"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been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50" w:name="page51"/>
    <w:bookmarkEnd w:id="50"/>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57" w:lineRule="exact"/>
        <w:rPr>
          <w:sz w:val="20"/>
          <w:szCs w:val="20"/>
          <w:color w:val="auto"/>
        </w:rPr>
      </w:pPr>
    </w:p>
    <w:p>
      <w:pPr>
        <w:ind w:right="20" w:firstLine="443"/>
        <w:spacing w:after="0" w:line="259" w:lineRule="auto"/>
        <w:tabs>
          <w:tab w:leader="none" w:pos="6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20" w:firstLine="443"/>
        <w:spacing w:after="0" w:line="312" w:lineRule="auto"/>
        <w:tabs>
          <w:tab w:leader="none" w:pos="6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20" w:firstLine="443"/>
        <w:spacing w:after="0" w:line="259"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200" w:firstLine="443"/>
        <w:spacing w:after="0" w:line="277" w:lineRule="auto"/>
        <w:tabs>
          <w:tab w:leader="none" w:pos="68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80" w:firstLine="443"/>
        <w:spacing w:after="0" w:line="264" w:lineRule="auto"/>
        <w:tabs>
          <w:tab w:leader="none" w:pos="68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51" w:name="page52"/>
    <w:bookmarkEnd w:id="5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43"/>
        <w:spacing w:after="0" w:line="287" w:lineRule="auto"/>
        <w:tabs>
          <w:tab w:leader="none" w:pos="6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40" w:firstLine="443"/>
        <w:spacing w:after="0" w:line="342" w:lineRule="auto"/>
        <w:tabs>
          <w:tab w:leader="none" w:pos="69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220" w:firstLine="443"/>
        <w:spacing w:after="0" w:line="279" w:lineRule="auto"/>
        <w:tabs>
          <w:tab w:leader="none" w:pos="69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52" w:name="page53"/>
    <w:bookmarkEnd w:id="52"/>
    <w:p>
      <w:pPr>
        <w:ind w:firstLine="443"/>
        <w:spacing w:after="0" w:line="259"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87" w:lineRule="auto"/>
        <w:tabs>
          <w:tab w:leader="none" w:pos="6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60" w:lineRule="exact"/>
        <w:rPr>
          <w:rFonts w:ascii="Arial" w:cs="Arial" w:eastAsia="Arial" w:hAnsi="Arial"/>
          <w:sz w:val="16"/>
          <w:szCs w:val="16"/>
          <w:color w:val="auto"/>
        </w:rPr>
      </w:pPr>
    </w:p>
    <w:p>
      <w:pPr>
        <w:ind w:right="100" w:firstLine="443"/>
        <w:spacing w:after="0" w:line="259" w:lineRule="auto"/>
        <w:tabs>
          <w:tab w:leader="none" w:pos="7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53" w:name="page54"/>
    <w:bookmarkEnd w:id="53"/>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out-of-pocket expenses (including the fees and disbursements of their counsel) reasonably incurred by such Underwriters in connection with this Agreement or the offering of the Securities contemplated hereby.</w:t>
      </w:r>
    </w:p>
    <w:p>
      <w:pPr>
        <w:spacing w:after="0" w:line="62" w:lineRule="exact"/>
        <w:rPr>
          <w:sz w:val="20"/>
          <w:szCs w:val="20"/>
          <w:color w:val="auto"/>
        </w:rPr>
      </w:pPr>
    </w:p>
    <w:p>
      <w:pPr>
        <w:ind w:firstLine="443"/>
        <w:spacing w:after="0" w:line="283" w:lineRule="auto"/>
        <w:tabs>
          <w:tab w:leader="none" w:pos="6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Arial" w:cs="Arial" w:eastAsia="Arial" w:hAnsi="Arial"/>
          <w:sz w:val="16"/>
          <w:szCs w:val="16"/>
          <w:color w:val="auto"/>
        </w:rPr>
      </w:pPr>
    </w:p>
    <w:p>
      <w:pPr>
        <w:ind w:firstLine="4"/>
        <w:spacing w:after="0" w:line="253" w:lineRule="auto"/>
        <w:tabs>
          <w:tab w:leader="none" w:pos="3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80" w:firstLine="443"/>
        <w:spacing w:after="0" w:line="302" w:lineRule="auto"/>
        <w:tabs>
          <w:tab w:leader="none" w:pos="6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54" w:name="page55"/>
    <w:bookmarkEnd w:id="54"/>
    <w:p>
      <w:pPr>
        <w:ind w:firstLine="443"/>
        <w:spacing w:after="0" w:line="285" w:lineRule="auto"/>
        <w:tabs>
          <w:tab w:leader="none" w:pos="693"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62" w:lineRule="exact"/>
        <w:rPr>
          <w:rFonts w:ascii="Arial" w:cs="Arial" w:eastAsia="Arial" w:hAnsi="Arial"/>
          <w:sz w:val="16"/>
          <w:szCs w:val="16"/>
          <w:color w:val="auto"/>
        </w:rPr>
      </w:pPr>
    </w:p>
    <w:p>
      <w:pPr>
        <w:ind w:right="40" w:firstLine="443"/>
        <w:spacing w:after="0" w:line="257" w:lineRule="auto"/>
        <w:tabs>
          <w:tab w:leader="none" w:pos="6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55" w:name="page56"/>
    <w:bookmarkEnd w:id="55"/>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right="60" w:firstLine="443"/>
        <w:spacing w:after="0" w:line="257"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firstLine="443"/>
        <w:spacing w:after="0" w:line="264" w:lineRule="auto"/>
        <w:tabs>
          <w:tab w:leader="none" w:pos="6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6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right="100" w:firstLine="443"/>
        <w:spacing w:after="0" w:line="276" w:lineRule="auto"/>
        <w:tabs>
          <w:tab w:leader="none" w:pos="6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right="120" w:firstLine="443"/>
        <w:spacing w:after="0" w:line="277"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56" w:name="page57"/>
    <w:bookmarkEnd w:id="56"/>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57" w:lineRule="exact"/>
        <w:rPr>
          <w:sz w:val="20"/>
          <w:szCs w:val="20"/>
          <w:color w:val="auto"/>
        </w:rPr>
      </w:pPr>
    </w:p>
    <w:p>
      <w:pPr>
        <w:ind w:left="660" w:hanging="217"/>
        <w:spacing w:after="0"/>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69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right="20" w:firstLine="443"/>
        <w:spacing w:after="0" w:line="264" w:lineRule="auto"/>
        <w:tabs>
          <w:tab w:leader="none" w:pos="6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7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57" w:name="page58"/>
    <w:bookmarkEnd w:id="57"/>
    <w:p>
      <w:pPr>
        <w:ind w:left="460" w:right="60" w:firstLine="443"/>
        <w:spacing w:after="0" w:line="276" w:lineRule="auto"/>
        <w:tabs>
          <w:tab w:leader="none" w:pos="1153"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58" w:name="page59"/>
    <w:bookmarkEnd w:id="58"/>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1"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59" w:name="page60"/>
    <w:bookmarkEnd w:id="59"/>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60" w:name="page61"/>
    <w:bookmarkEnd w:id="60"/>
    <w:p>
      <w:pPr>
        <w:ind w:left="1140" w:hanging="237"/>
        <w:spacing w:after="0"/>
        <w:tabs>
          <w:tab w:leader="none" w:pos="1140" w:val="left"/>
        </w:tabs>
        <w:numPr>
          <w:ilvl w:val="1"/>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460" w:right="20" w:firstLine="443"/>
        <w:spacing w:after="0" w:line="288" w:lineRule="auto"/>
        <w:tabs>
          <w:tab w:leader="none" w:pos="1153"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62" w:name="page63"/>
    <w:bookmarkEnd w:id="62"/>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or equitable right, remedy or claim under or in respect of this Agreement or any provision contained herein. No purchaser of Securities from any Underwriter shall be deemed to be a successor merely by reason of such purchase.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33</w:t>
      </w:r>
    </w:p>
    <w:p>
      <w:pPr>
        <w:sectPr>
          <w:pgSz w:w="11900" w:h="16838" w:orient="portrait"/>
          <w:cols w:equalWidth="0" w:num="1">
            <w:col w:w="11360"/>
          </w:cols>
          <w:pgMar w:left="240" w:top="274"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149"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New York</w:t>
      </w:r>
    </w:p>
    <w:p>
      <w:pPr>
        <w:ind w:left="6800"/>
        <w:spacing w:after="0" w:line="226" w:lineRule="auto"/>
        <w:rPr>
          <w:sz w:val="20"/>
          <w:szCs w:val="20"/>
          <w:color w:val="auto"/>
        </w:rPr>
      </w:pPr>
      <w:r>
        <w:rPr>
          <w:rFonts w:ascii="Arial" w:cs="Arial" w:eastAsia="Arial" w:hAnsi="Arial"/>
          <w:sz w:val="14"/>
          <w:szCs w:val="14"/>
          <w:b w:val="1"/>
          <w:bCs w:val="1"/>
          <w:color w:val="auto"/>
        </w:rPr>
        <w:t>Menlo Park</w:t>
      </w:r>
    </w:p>
    <w:p>
      <w:pPr>
        <w:ind w:left="6800"/>
        <w:spacing w:after="0"/>
        <w:rPr>
          <w:sz w:val="20"/>
          <w:szCs w:val="20"/>
          <w:color w:val="auto"/>
        </w:rPr>
      </w:pPr>
      <w:r>
        <w:rPr>
          <w:rFonts w:ascii="Arial" w:cs="Arial" w:eastAsia="Arial" w:hAnsi="Arial"/>
          <w:sz w:val="13"/>
          <w:szCs w:val="13"/>
          <w:b w:val="1"/>
          <w:bCs w:val="1"/>
          <w:color w:val="auto"/>
        </w:rPr>
        <w:t>Washington DC</w:t>
      </w:r>
    </w:p>
    <w:p>
      <w:pPr>
        <w:ind w:left="6800"/>
        <w:spacing w:after="0" w:line="221" w:lineRule="auto"/>
        <w:rPr>
          <w:sz w:val="20"/>
          <w:szCs w:val="20"/>
          <w:color w:val="auto"/>
        </w:rPr>
      </w:pPr>
      <w:r>
        <w:rPr>
          <w:rFonts w:ascii="Arial" w:cs="Arial" w:eastAsia="Arial" w:hAnsi="Arial"/>
          <w:sz w:val="14"/>
          <w:szCs w:val="14"/>
          <w:b w:val="1"/>
          <w:bCs w:val="1"/>
          <w:color w:val="auto"/>
        </w:rPr>
        <w:t>São Paulo</w:t>
      </w:r>
    </w:p>
    <w:p>
      <w:pPr>
        <w:ind w:left="680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38938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8938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0"/>
          <w:szCs w:val="20"/>
          <w:color w:val="auto"/>
        </w:rPr>
      </w:pPr>
    </w:p>
    <w:p>
      <w:pPr>
        <w:sectPr>
          <w:pgSz w:w="11900" w:h="16838" w:orient="portrait"/>
          <w:cols w:equalWidth="0" w:num="2">
            <w:col w:w="7780" w:space="620"/>
            <w:col w:w="30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color w:val="auto"/>
              </w:rPr>
              <w:t xml:space="preserve">Davis Polk &amp; Wardwell </w:t>
            </w:r>
            <w:r>
              <w:rPr>
                <w:rFonts w:ascii="Arial" w:cs="Arial" w:eastAsia="Arial" w:hAnsi="Arial"/>
                <w:sz w:val="11"/>
                <w:szCs w:val="11"/>
                <w:color w:val="auto"/>
              </w:rPr>
              <w:t>LLP</w:t>
            </w:r>
          </w:p>
        </w:tc>
        <w:tc>
          <w:tcPr>
            <w:tcW w:w="1740" w:type="dxa"/>
            <w:vAlign w:val="bottom"/>
          </w:tcPr>
          <w:p>
            <w:pPr>
              <w:ind w:left="740"/>
              <w:spacing w:after="0"/>
              <w:rPr>
                <w:sz w:val="20"/>
                <w:szCs w:val="20"/>
                <w:color w:val="auto"/>
              </w:rPr>
            </w:pPr>
            <w:r>
              <w:rPr>
                <w:rFonts w:ascii="Arial" w:cs="Arial" w:eastAsia="Arial" w:hAnsi="Arial"/>
                <w:sz w:val="14"/>
                <w:szCs w:val="14"/>
                <w:color w:val="auto"/>
                <w:w w:val="93"/>
              </w:rPr>
              <w:t>650 752 2000 tel</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1600 El Camino Real</w:t>
            </w:r>
          </w:p>
        </w:tc>
        <w:tc>
          <w:tcPr>
            <w:tcW w:w="1740" w:type="dxa"/>
            <w:vAlign w:val="bottom"/>
          </w:tcPr>
          <w:p>
            <w:pPr>
              <w:ind w:left="740"/>
              <w:spacing w:after="0" w:line="149" w:lineRule="exact"/>
              <w:rPr>
                <w:sz w:val="20"/>
                <w:szCs w:val="20"/>
                <w:color w:val="auto"/>
              </w:rPr>
            </w:pPr>
            <w:r>
              <w:rPr>
                <w:rFonts w:ascii="Arial" w:cs="Arial" w:eastAsia="Arial" w:hAnsi="Arial"/>
                <w:sz w:val="14"/>
                <w:szCs w:val="14"/>
                <w:color w:val="auto"/>
                <w:w w:val="90"/>
              </w:rPr>
              <w:t>650 752 2111 fax</w:t>
            </w: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Menlo Park, CA 94025</w:t>
            </w:r>
          </w:p>
        </w:tc>
        <w:tc>
          <w:tcPr>
            <w:tcW w:w="1740" w:type="dxa"/>
            <w:vAlign w:val="bottom"/>
          </w:tcPr>
          <w:p>
            <w:pPr>
              <w:spacing w:after="0"/>
              <w:rPr>
                <w:sz w:val="15"/>
                <w:szCs w:val="15"/>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 shares of common stock, par value $1.00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(b) shares of preferred stock, par value $25.00 per share (the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of the Company; (c) the Company’s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issued pursuant to an indenture dated May 23, 2011</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and U.S. Bank National Association, a National Association, as trustee (the “</w:t>
      </w:r>
      <w:r>
        <w:rPr>
          <w:rFonts w:ascii="Arial" w:cs="Arial" w:eastAsia="Arial" w:hAnsi="Arial"/>
          <w:sz w:val="16"/>
          <w:szCs w:val="16"/>
          <w:b w:val="1"/>
          <w:bCs w:val="1"/>
          <w:color w:val="auto"/>
        </w:rPr>
        <w:t>Debt 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(d) Warrants of the Company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under one or more warrant agreements (each, a “</w:t>
      </w:r>
      <w:r>
        <w:rPr>
          <w:rFonts w:ascii="Arial" w:cs="Arial" w:eastAsia="Arial" w:hAnsi="Arial"/>
          <w:sz w:val="16"/>
          <w:szCs w:val="16"/>
          <w:b w:val="1"/>
          <w:bCs w:val="1"/>
          <w:color w:val="auto"/>
        </w:rPr>
        <w:t>Warrant Agreement</w:t>
      </w:r>
      <w:r>
        <w:rPr>
          <w:rFonts w:ascii="Arial" w:cs="Arial" w:eastAsia="Arial" w:hAnsi="Arial"/>
          <w:sz w:val="16"/>
          <w:szCs w:val="16"/>
          <w:color w:val="auto"/>
        </w:rPr>
        <w:t>”) to be entered into between the Company and the warrant agent to be named therein; and (e) Common Stock, Preferred Stock, Debt Securities, and Warrants or any combination thereof that may be offered in the form of units (the “</w:t>
      </w:r>
      <w:r>
        <w:rPr>
          <w:rFonts w:ascii="Arial" w:cs="Arial" w:eastAsia="Arial" w:hAnsi="Arial"/>
          <w:sz w:val="16"/>
          <w:szCs w:val="16"/>
          <w:b w:val="1"/>
          <w:bCs w:val="1"/>
          <w:color w:val="auto"/>
        </w:rPr>
        <w:t>Units</w:t>
      </w:r>
      <w:r>
        <w:rPr>
          <w:rFonts w:ascii="Arial" w:cs="Arial" w:eastAsia="Arial" w:hAnsi="Arial"/>
          <w:sz w:val="16"/>
          <w:szCs w:val="16"/>
          <w:color w:val="auto"/>
        </w:rPr>
        <w:t>”)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tabs>
          <w:tab w:leader="none" w:pos="590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00" w:right="140" w:hanging="446"/>
        <w:spacing w:after="0" w:line="272"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83" w:lineRule="exact"/>
        <w:rPr>
          <w:rFonts w:ascii="Arial" w:cs="Arial" w:eastAsia="Arial" w:hAnsi="Arial"/>
          <w:sz w:val="17"/>
          <w:szCs w:val="17"/>
          <w:color w:val="auto"/>
        </w:rPr>
      </w:pPr>
    </w:p>
    <w:p>
      <w:pPr>
        <w:ind w:left="900" w:right="40" w:hanging="446"/>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98" w:lineRule="exact"/>
        <w:rPr>
          <w:rFonts w:ascii="Arial" w:cs="Arial" w:eastAsia="Arial" w:hAnsi="Arial"/>
          <w:sz w:val="18"/>
          <w:szCs w:val="18"/>
          <w:color w:val="auto"/>
        </w:rPr>
      </w:pPr>
    </w:p>
    <w:p>
      <w:pPr>
        <w:ind w:left="900" w:right="20" w:hanging="446"/>
        <w:spacing w:after="0" w:line="283"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the validity, legally binding effect or enforceability of any section of any supplemental indenture that requires or relates to adjustments to the conversion rate at a rate or in an amount that a court would determine in the circumstances under applicable law to be commercially unreasonable or a penalty or forfeiture or</w:t>
      </w:r>
    </w:p>
    <w:p>
      <w:pPr>
        <w:spacing w:after="0" w:line="5" w:lineRule="exact"/>
        <w:rPr>
          <w:rFonts w:ascii="Arial" w:cs="Arial" w:eastAsia="Arial" w:hAnsi="Arial"/>
          <w:sz w:val="16"/>
          <w:szCs w:val="16"/>
          <w:color w:val="auto"/>
        </w:rPr>
      </w:pPr>
    </w:p>
    <w:p>
      <w:pPr>
        <w:ind w:left="900" w:right="400"/>
        <w:spacing w:after="0" w:line="261" w:lineRule="auto"/>
        <w:rPr>
          <w:rFonts w:ascii="Arial" w:cs="Arial" w:eastAsia="Arial" w:hAnsi="Arial"/>
          <w:sz w:val="16"/>
          <w:szCs w:val="16"/>
          <w:color w:val="auto"/>
        </w:rPr>
      </w:pPr>
      <w:r>
        <w:rPr>
          <w:rFonts w:ascii="Arial" w:cs="Arial" w:eastAsia="Arial" w:hAnsi="Arial"/>
          <w:sz w:val="18"/>
          <w:szCs w:val="18"/>
          <w:color w:val="auto"/>
        </w:rPr>
        <w:t>(z)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89" w:lineRule="exact"/>
        <w:rPr>
          <w:rFonts w:ascii="Arial" w:cs="Arial" w:eastAsia="Arial" w:hAnsi="Arial"/>
          <w:sz w:val="16"/>
          <w:szCs w:val="16"/>
          <w:color w:val="auto"/>
        </w:rPr>
      </w:pPr>
    </w:p>
    <w:p>
      <w:pPr>
        <w:ind w:left="900" w:right="30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w:t>
      </w:r>
    </w:p>
    <w:p>
      <w:pPr>
        <w:sectPr>
          <w:pgSz w:w="11900" w:h="16838" w:orient="portrait"/>
          <w:cols w:equalWidth="0" w:num="1">
            <w:col w:w="11420"/>
          </w:cols>
          <w:pgMar w:left="240" w:top="422" w:right="239" w:bottom="1440" w:gutter="0" w:footer="0" w:header="0"/>
        </w:sectPr>
      </w:pPr>
    </w:p>
    <w:bookmarkStart w:id="65" w:name="page66"/>
    <w:bookmarkEnd w:id="65"/>
    <w:p>
      <w:pPr>
        <w:spacing w:after="0"/>
        <w:tabs>
          <w:tab w:leader="none" w:pos="590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February 24, 2016</w:t>
      </w:r>
    </w:p>
    <w:p>
      <w:pPr>
        <w:spacing w:after="0" w:line="200" w:lineRule="exact"/>
        <w:rPr>
          <w:sz w:val="20"/>
          <w:szCs w:val="20"/>
          <w:color w:val="auto"/>
        </w:rPr>
      </w:pPr>
    </w:p>
    <w:p>
      <w:pPr>
        <w:spacing w:after="0" w:line="295"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92" w:lineRule="exact"/>
        <w:rPr>
          <w:sz w:val="20"/>
          <w:szCs w:val="20"/>
          <w:color w:val="auto"/>
        </w:rPr>
      </w:pPr>
    </w:p>
    <w:p>
      <w:pPr>
        <w:ind w:left="900" w:right="100" w:hanging="446"/>
        <w:spacing w:after="0" w:line="273"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 (iv) the Indenture, the Debt Securities, the Warrant Agreement and the Unit Agreement shall each be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the Company.</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members of the Bars of the State of New York and the State of California and the foregoing opinion is limited to the laws of the State of New York and the General Corporation Law of the State of Delaware.</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42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Texas Instruments Incorporated for the registration of common stock, preferred stock, debt securities, warrants, and units and to the incorporation by reference therein of our reports dated February 24, 2016, with respect to the consolidated financial statements of Texas Instruments Incorporated, and the effectiveness of internal control over financial reporting of Texas Instruments Incorporated, included in its Annual Report (Form 10-K) for the year ended December 31, 2015,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6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2"/>
              </w:rPr>
              <w:t>800 Nicollet Mall</w:t>
            </w:r>
          </w:p>
        </w:tc>
        <w:tc>
          <w:tcPr>
            <w:tcW w:w="1060" w:type="dxa"/>
            <w:vAlign w:val="bottom"/>
          </w:tcPr>
          <w:p>
            <w:pPr>
              <w:spacing w:after="0"/>
              <w:rPr>
                <w:sz w:val="18"/>
                <w:szCs w:val="18"/>
                <w:color w:val="auto"/>
              </w:rPr>
            </w:pPr>
          </w:p>
        </w:tc>
      </w:tr>
      <w:tr>
        <w:trPr>
          <w:trHeight w:val="225"/>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1"/>
              </w:rPr>
              <w:t>Minneapolis, Minnesota</w:t>
            </w:r>
          </w:p>
        </w:tc>
        <w:tc>
          <w:tcPr>
            <w:tcW w:w="106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6220" w:type="dxa"/>
            <w:vAlign w:val="bottom"/>
          </w:tcPr>
          <w:p>
            <w:pPr>
              <w:jc w:val="center"/>
              <w:ind w:right="37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93"/>
              </w:rPr>
              <w:t>Mauri J. Cowen</w:t>
            </w:r>
          </w:p>
        </w:tc>
        <w:tc>
          <w:tcPr>
            <w:tcW w:w="1060" w:type="dxa"/>
            <w:vAlign w:val="bottom"/>
          </w:tcPr>
          <w:p>
            <w:pPr>
              <w:spacing w:after="0"/>
              <w:rPr>
                <w:sz w:val="24"/>
                <w:szCs w:val="24"/>
                <w:color w:val="auto"/>
              </w:rPr>
            </w:pPr>
          </w:p>
        </w:tc>
      </w:tr>
      <w:tr>
        <w:trPr>
          <w:trHeight w:val="216"/>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89"/>
              </w:rPr>
              <w:t>U.S. Bank National Association</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89"/>
              </w:rPr>
              <w:t>5555 San Felipe, #1150</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87"/>
              </w:rPr>
              <w:t>Houston, Texas 77056</w:t>
            </w:r>
          </w:p>
        </w:tc>
        <w:tc>
          <w:tcPr>
            <w:tcW w:w="1060" w:type="dxa"/>
            <w:vAlign w:val="bottom"/>
          </w:tcPr>
          <w:p>
            <w:pPr>
              <w:spacing w:after="0"/>
              <w:rPr>
                <w:sz w:val="18"/>
                <w:szCs w:val="18"/>
                <w:color w:val="auto"/>
              </w:rPr>
            </w:pPr>
          </w:p>
        </w:tc>
      </w:tr>
      <w:tr>
        <w:trPr>
          <w:trHeight w:val="212"/>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90"/>
              </w:rPr>
              <w:t>(713) 235-9206</w:t>
            </w:r>
          </w:p>
        </w:tc>
        <w:tc>
          <w:tcPr>
            <w:tcW w:w="1060" w:type="dxa"/>
            <w:vAlign w:val="bottom"/>
          </w:tcPr>
          <w:p>
            <w:pPr>
              <w:spacing w:after="0"/>
              <w:rPr>
                <w:sz w:val="18"/>
                <w:szCs w:val="18"/>
                <w:color w:val="auto"/>
              </w:rPr>
            </w:pPr>
          </w:p>
        </w:tc>
      </w:tr>
      <w:tr>
        <w:trPr>
          <w:trHeight w:val="186"/>
        </w:trPr>
        <w:tc>
          <w:tcPr>
            <w:tcW w:w="6220" w:type="dxa"/>
            <w:vAlign w:val="bottom"/>
          </w:tcPr>
          <w:p>
            <w:pPr>
              <w:jc w:val="center"/>
              <w:ind w:left="1714"/>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4"/>
                <w:szCs w:val="14"/>
                <w:b w:val="1"/>
                <w:bCs w:val="1"/>
                <w:color w:val="auto"/>
                <w:w w:val="90"/>
              </w:rPr>
              <w:t>(Issuer with respect to the Securities)</w:t>
            </w:r>
          </w:p>
        </w:tc>
      </w:tr>
      <w:tr>
        <w:trPr>
          <w:trHeight w:val="32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70"/>
        </w:trPr>
        <w:tc>
          <w:tcPr>
            <w:tcW w:w="452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Delaware</w:t>
            </w:r>
          </w:p>
        </w:tc>
        <w:tc>
          <w:tcPr>
            <w:tcW w:w="6900" w:type="dxa"/>
            <w:vAlign w:val="bottom"/>
            <w:gridSpan w:val="2"/>
          </w:tcPr>
          <w:p>
            <w:pPr>
              <w:jc w:val="right"/>
              <w:ind w:right="2268"/>
              <w:spacing w:after="0"/>
              <w:rPr>
                <w:sz w:val="20"/>
                <w:szCs w:val="20"/>
                <w:color w:val="auto"/>
              </w:rPr>
            </w:pPr>
            <w:r>
              <w:rPr>
                <w:rFonts w:ascii="Arial" w:cs="Arial" w:eastAsia="Arial" w:hAnsi="Arial"/>
                <w:sz w:val="18"/>
                <w:szCs w:val="18"/>
                <w:b w:val="1"/>
                <w:bCs w:val="1"/>
                <w:color w:val="auto"/>
              </w:rPr>
              <w:t>75-0289970</w:t>
            </w:r>
          </w:p>
        </w:tc>
      </w:tr>
      <w:tr>
        <w:trPr>
          <w:trHeight w:val="149"/>
        </w:trPr>
        <w:tc>
          <w:tcPr>
            <w:tcW w:w="4520" w:type="dxa"/>
            <w:vAlign w:val="bottom"/>
          </w:tcPr>
          <w:p>
            <w:pPr>
              <w:jc w:val="center"/>
              <w:ind w:left="1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452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left="1199"/>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52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12500 TI Boulevard</w:t>
            </w: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5"/>
        </w:trPr>
        <w:tc>
          <w:tcPr>
            <w:tcW w:w="452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Dallas, Texas</w:t>
            </w:r>
          </w:p>
        </w:tc>
        <w:tc>
          <w:tcPr>
            <w:tcW w:w="6900" w:type="dxa"/>
            <w:vAlign w:val="bottom"/>
            <w:gridSpan w:val="2"/>
          </w:tcPr>
          <w:p>
            <w:pPr>
              <w:jc w:val="right"/>
              <w:ind w:right="2468"/>
              <w:spacing w:after="0"/>
              <w:rPr>
                <w:sz w:val="20"/>
                <w:szCs w:val="20"/>
                <w:color w:val="auto"/>
              </w:rPr>
            </w:pPr>
            <w:r>
              <w:rPr>
                <w:rFonts w:ascii="Arial" w:cs="Arial" w:eastAsia="Arial" w:hAnsi="Arial"/>
                <w:sz w:val="18"/>
                <w:szCs w:val="18"/>
                <w:b w:val="1"/>
                <w:bCs w:val="1"/>
                <w:color w:val="auto"/>
              </w:rPr>
              <w:t>75243</w:t>
            </w:r>
          </w:p>
        </w:tc>
      </w:tr>
      <w:tr>
        <w:trPr>
          <w:trHeight w:val="186"/>
        </w:trPr>
        <w:tc>
          <w:tcPr>
            <w:tcW w:w="4520" w:type="dxa"/>
            <w:vAlign w:val="bottom"/>
          </w:tcPr>
          <w:p>
            <w:pPr>
              <w:jc w:val="center"/>
              <w:ind w:left="1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452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Arial" w:cs="Arial" w:eastAsia="Arial" w:hAnsi="Arial"/>
                <w:sz w:val="18"/>
                <w:szCs w:val="18"/>
                <w:b w:val="1"/>
                <w:bCs w:val="1"/>
                <w:color w:val="auto"/>
                <w:w w:val="88"/>
              </w:rPr>
              <w:t>Debt Securities</w:t>
            </w:r>
          </w:p>
        </w:tc>
      </w:tr>
      <w:tr>
        <w:trPr>
          <w:trHeight w:val="186"/>
        </w:trPr>
        <w:tc>
          <w:tcPr>
            <w:tcW w:w="4520" w:type="dxa"/>
            <w:vAlign w:val="bottom"/>
          </w:tcPr>
          <w:p>
            <w:pPr>
              <w:spacing w:after="0"/>
              <w:rPr>
                <w:sz w:val="16"/>
                <w:szCs w:val="16"/>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right="6220" w:hanging="1046"/>
        <w:spacing w:after="0" w:line="277" w:lineRule="auto"/>
        <w:tabs>
          <w:tab w:leader="none" w:pos="908"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2015 published pursuant to law or the requirements of its supervising or examining authority, attached as Exhibit 7.</w:t>
      </w:r>
    </w:p>
    <w:p>
      <w:pPr>
        <w:spacing w:after="0" w:line="143"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7"/>
          <w:szCs w:val="17"/>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22</w:t>
      </w:r>
      <w:r>
        <w:rPr>
          <w:rFonts w:ascii="Arial" w:cs="Arial" w:eastAsia="Arial" w:hAnsi="Arial"/>
          <w:sz w:val="14"/>
          <w:szCs w:val="14"/>
          <w:color w:val="auto"/>
        </w:rPr>
        <w:t>nd</w:t>
      </w:r>
      <w:r>
        <w:rPr>
          <w:rFonts w:ascii="Arial" w:cs="Arial" w:eastAsia="Arial" w:hAnsi="Arial"/>
          <w:sz w:val="17"/>
          <w:szCs w:val="17"/>
          <w:color w:val="auto"/>
        </w:rPr>
        <w:t xml:space="preserve"> of February, 2016.</w:t>
      </w:r>
    </w:p>
    <w:p>
      <w:pPr>
        <w:spacing w:after="0" w:line="19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Mauri J. Cowen</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0" w:name="page71"/>
    <w:bookmarkEnd w:id="70"/>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00355" cy="334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0355" cy="3346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Washington, DC 20219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-116205</wp:posOffset>
            </wp:positionV>
            <wp:extent cx="69462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5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117" w:lineRule="exact"/>
        <w:rPr>
          <w:sz w:val="20"/>
          <w:szCs w:val="20"/>
          <w:color w:val="auto"/>
        </w:rPr>
      </w:pPr>
    </w:p>
    <w:p>
      <w:pPr>
        <w:ind w:right="8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IN TESTIMONY WHEREOF, today,</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December 4, 2015, I have hereunto</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subscribed my name and caused my seal</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 office to be affixed to these presents at</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the U.S. Department of the Treasury, in</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the City of Washington, District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286510" cy="1252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6510" cy="125222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760730</wp:posOffset>
            </wp:positionV>
            <wp:extent cx="2675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Comptroller of the Currency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270" w:right="4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00355" cy="334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0355" cy="3346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Washington, DC 20219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69462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117" w:lineRule="exact"/>
        <w:rPr>
          <w:sz w:val="20"/>
          <w:szCs w:val="20"/>
          <w:color w:val="auto"/>
        </w:rPr>
      </w:pPr>
    </w:p>
    <w:p>
      <w:pPr>
        <w:ind w:right="22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firstLine="8"/>
        <w:spacing w:after="0" w:line="26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IN TESTIMONY WHEREOF, today,</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December 4, 2015, I have hereunto</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subscribed my name and caused my seal of</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 to be affixed to these presents at the</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U.S. Department of the Treasury, in the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252220" cy="12522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52220" cy="125222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238125</wp:posOffset>
            </wp:positionV>
            <wp:extent cx="2675890" cy="643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758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Comptroller of the Currency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2016</w:t>
      </w:r>
    </w:p>
    <w:p>
      <w:pPr>
        <w:spacing w:after="0" w:line="25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Mauri J. Cowen</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4"/>
          </w:tcPr>
          <w:p>
            <w:pPr>
              <w:jc w:val="center"/>
              <w:ind w:right="267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40" w:type="dxa"/>
            <w:vAlign w:val="bottom"/>
            <w:gridSpan w:val="4"/>
          </w:tcPr>
          <w:p>
            <w:pPr>
              <w:jc w:val="center"/>
              <w:ind w:right="267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40" w:type="dxa"/>
            <w:vAlign w:val="bottom"/>
            <w:gridSpan w:val="4"/>
          </w:tcPr>
          <w:p>
            <w:pPr>
              <w:jc w:val="center"/>
              <w:ind w:right="2690"/>
              <w:spacing w:after="0"/>
              <w:rPr>
                <w:sz w:val="20"/>
                <w:szCs w:val="20"/>
                <w:color w:val="auto"/>
              </w:rPr>
            </w:pPr>
            <w:r>
              <w:rPr>
                <w:rFonts w:ascii="Arial" w:cs="Arial" w:eastAsia="Arial" w:hAnsi="Arial"/>
                <w:sz w:val="18"/>
                <w:szCs w:val="18"/>
                <w:b w:val="1"/>
                <w:bCs w:val="1"/>
                <w:color w:val="auto"/>
                <w:w w:val="89"/>
              </w:rPr>
              <w:t>As of 12/31/2015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Cash and Balances Due From</w:t>
            </w:r>
          </w:p>
        </w:tc>
        <w:tc>
          <w:tcPr>
            <w:tcW w:w="6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11,116,460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Depository Institutions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105,221,515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Loans &amp; Lease Financing Receivables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259,137,459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24,420,027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417,458,234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6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310,443,288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 Funds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Treasury Demand Notes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 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Other Borrowed Money</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46,198,790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Acceptances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Subordinated Notes and Debentures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12,012,892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374,412,269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Common and Preferred Stock</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Surplus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Undivided Profits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27,904,230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 in Subsidiaries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tcPr>
          <w:p>
            <w:pPr>
              <w:ind w:left="700"/>
              <w:spacing w:after="0"/>
              <w:rPr>
                <w:sz w:val="20"/>
                <w:szCs w:val="20"/>
                <w:color w:val="auto"/>
              </w:rPr>
            </w:pPr>
            <w:r>
              <w:rPr>
                <w:rFonts w:ascii="Arial" w:cs="Arial" w:eastAsia="Arial" w:hAnsi="Arial"/>
                <w:sz w:val="18"/>
                <w:szCs w:val="18"/>
                <w:b w:val="1"/>
                <w:bCs w:val="1"/>
                <w:color w:val="auto"/>
              </w:rPr>
              <w:t>Total Equity Capital</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43,045,965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6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417,458,234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8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lvl w:ilvl="1">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4B588F54"/>
    <w:multiLevelType w:val="hybridMultilevel"/>
    <w:lvl w:ilvl="0">
      <w:lvlJc w:val="left"/>
      <w:lvlText w:val="(%1)"/>
      <w:numFmt w:val="lowerRoman"/>
      <w:start w:val="3"/>
    </w:lvl>
  </w:abstractNum>
  <w:abstractNum w:abstractNumId="26">
    <w:nsid w:val="542289EC"/>
    <w:multiLevelType w:val="hybridMultilevel"/>
    <w:lvl w:ilvl="0">
      <w:lvlJc w:val="left"/>
      <w:lvlText w:val="(%1)"/>
      <w:numFmt w:val="decimal"/>
      <w:start w:val="2"/>
    </w:lvl>
    <w:lvl w:ilvl="1">
      <w:lvlJc w:val="left"/>
      <w:lvlText w:val="(%2)"/>
      <w:numFmt w:val="upperLetter"/>
      <w:start w:val="1"/>
    </w:lvl>
  </w:abstractNum>
  <w:abstractNum w:abstractNumId="27">
    <w:nsid w:val="6DE91B18"/>
    <w:multiLevelType w:val="hybridMultilevel"/>
    <w:lvl w:ilvl="0">
      <w:lvlJc w:val="left"/>
      <w:lvlText w:val="(%1)"/>
      <w:numFmt w:val="decimal"/>
      <w:start w:val="5"/>
    </w:lvl>
    <w:lvl w:ilvl="1">
      <w:lvlJc w:val="left"/>
      <w:lvlText w:val="(%2)"/>
      <w:numFmt w:val="lowerRoman"/>
      <w:start w:val="1"/>
    </w:lvl>
  </w:abstractNum>
  <w:abstractNum w:abstractNumId="28">
    <w:nsid w:val="38437FDB"/>
    <w:multiLevelType w:val="hybridMultilevel"/>
    <w:lvl w:ilvl="0">
      <w:lvlJc w:val="left"/>
      <w:lvlText w:val="%1"/>
      <w:numFmt w:val="lowerLetter"/>
      <w:start w:val="1"/>
    </w:lvl>
    <w:lvl w:ilvl="1">
      <w:lvlJc w:val="left"/>
      <w:lvlText w:val="(%2)"/>
      <w:numFmt w:val="lowerRoman"/>
      <w:start w:val="3"/>
    </w:lvl>
  </w:abstractNum>
  <w:abstractNum w:abstractNumId="29">
    <w:nsid w:val="7644A45C"/>
    <w:multiLevelType w:val="hybridMultilevel"/>
    <w:lvl w:ilvl="0">
      <w:lvlJc w:val="left"/>
      <w:lvlText w:val="(%1)"/>
      <w:numFmt w:val="lowerLetter"/>
      <w:start w:val="2"/>
    </w:lvl>
    <w:lvl w:ilvl="1">
      <w:lvlJc w:val="left"/>
      <w:lvlText w:val="%2"/>
      <w:numFmt w:val="lowerRoman"/>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
    <w:nsid w:val="579478FE"/>
    <w:multiLevelType w:val="hybridMultilevel"/>
    <w:lvl w:ilvl="0">
      <w:lvlJc w:val="left"/>
      <w:lvlText w:val="(%1)"/>
      <w:numFmt w:val="lowerRoman"/>
      <w:start w:val="7"/>
    </w:lvl>
    <w:lvl w:ilvl="1">
      <w:lvlJc w:val="left"/>
      <w:lvlText w:val="(%2)"/>
      <w:numFmt w:val="upperLetter"/>
      <w:start w:val="1"/>
    </w:lvl>
  </w:abstractNum>
  <w:abstractNum w:abstractNumId="33">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4">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5">
    <w:nsid w:val="1BA026FA"/>
    <w:multiLevelType w:val="hybridMultilevel"/>
    <w:lvl w:ilvl="0">
      <w:lvlJc w:val="left"/>
      <w:lvlText w:val="%1"/>
      <w:numFmt w:val="lowerRoman"/>
      <w:start w:val="1"/>
    </w:lvl>
    <w:lvl w:ilvl="1">
      <w:lvlJc w:val="left"/>
      <w:lvlText w:val="(%2)"/>
      <w:numFmt w:val="upperLetter"/>
      <w:start w:val="3"/>
    </w:lvl>
  </w:abstractNum>
  <w:abstractNum w:abstractNumId="36">
    <w:nsid w:val="79A1DEAA"/>
    <w:multiLevelType w:val="hybridMultilevel"/>
    <w:lvl w:ilvl="0">
      <w:lvlJc w:val="left"/>
      <w:lvlText w:val="(%1)"/>
      <w:numFmt w:val="lowerRoman"/>
      <w:start w:val="3"/>
    </w:lvl>
    <w:lvl w:ilvl="1">
      <w:lvlJc w:val="left"/>
      <w:lvlText w:val="(%2)"/>
      <w:numFmt w:val="upperLetter"/>
      <w:start w:val="1"/>
    </w:lvl>
  </w:abstractNum>
  <w:abstractNum w:abstractNumId="37">
    <w:nsid w:val="75C6C33A"/>
    <w:multiLevelType w:val="hybridMultilevel"/>
    <w:lvl w:ilvl="0">
      <w:lvlJc w:val="left"/>
      <w:lvlText w:val="(%1)"/>
      <w:numFmt w:val="lowerRoman"/>
      <w:start w:val="8"/>
    </w:lvl>
    <w:lvl w:ilvl="1">
      <w:lvlJc w:val="left"/>
      <w:lvlText w:val="(%2)"/>
      <w:numFmt w:val="upperLetter"/>
      <w:start w:val="1"/>
    </w:lvl>
  </w:abstractNum>
  <w:abstractNum w:abstractNumId="38">
    <w:nsid w:val="12E6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9">
    <w:nsid w:val="70C6A529"/>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40">
    <w:nsid w:val="520EEDD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1">
    <w:nsid w:val="374A3FE6"/>
    <w:multiLevelType w:val="hybridMultilevel"/>
    <w:lvl w:ilvl="0">
      <w:lvlJc w:val="left"/>
      <w:lvlText w:val="(%1)"/>
      <w:numFmt w:val="lowerLetter"/>
      <w:start w:val="5"/>
    </w:lvl>
  </w:abstractNum>
  <w:abstractNum w:abstractNumId="42">
    <w:nsid w:val="4F4EF005"/>
    <w:multiLevelType w:val="hybridMultilevel"/>
    <w:lvl w:ilvl="0">
      <w:lvlJc w:val="left"/>
      <w:lvlText w:val="(%1)"/>
      <w:numFmt w:val="lowerLetter"/>
      <w:start w:val="7"/>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6"/>
    </w:lvl>
  </w:abstractNum>
  <w:abstractNum w:abstractNumId="45">
    <w:nsid w:val="275AC794"/>
    <w:multiLevelType w:val="hybridMultilevel"/>
    <w:lvl w:ilvl="0">
      <w:lvlJc w:val="left"/>
      <w:lvlText w:val="(%1)"/>
      <w:numFmt w:val="lowerLetter"/>
      <w:start w:val="9"/>
    </w:lvl>
  </w:abstractNum>
  <w:abstractNum w:abstractNumId="46">
    <w:nsid w:val="39386575"/>
    <w:multiLevelType w:val="hybridMultilevel"/>
    <w:lvl w:ilvl="0">
      <w:lvlJc w:val="left"/>
      <w:lvlText w:val="%1"/>
      <w:numFmt w:val="lowerRoman"/>
      <w:start w:val="1"/>
    </w:lvl>
    <w:lvl w:ilvl="1">
      <w:lvlJc w:val="left"/>
      <w:lvlText w:val="(%2)"/>
      <w:numFmt w:val="lowerLetter"/>
      <w:start w:val="14"/>
    </w:lvl>
  </w:abstractNum>
  <w:abstractNum w:abstractNumId="47">
    <w:nsid w:val="1CF10FD8"/>
    <w:multiLevelType w:val="hybridMultilevel"/>
    <w:lvl w:ilvl="0">
      <w:lvlJc w:val="left"/>
      <w:lvlText w:val="(%1)"/>
      <w:numFmt w:val="lowerRoman"/>
      <w:start w:val="7"/>
    </w:lvl>
    <w:lvl w:ilvl="1">
      <w:lvlJc w:val="left"/>
      <w:lvlText w:val="%2"/>
      <w:numFmt w:val="lowerLetter"/>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2"/>
    </w:lvl>
  </w:abstractNum>
  <w:abstractNum w:abstractNumId="50">
    <w:nsid w:val="47398C89"/>
    <w:multiLevelType w:val="hybridMultilevel"/>
    <w:lvl w:ilvl="0">
      <w:lvlJc w:val="left"/>
      <w:lvlText w:val="(%1)"/>
      <w:numFmt w:val="lowerLetter"/>
      <w:start w:val="4"/>
    </w:lvl>
  </w:abstractNum>
  <w:abstractNum w:abstractNumId="51">
    <w:nsid w:val="354FE9F9"/>
    <w:multiLevelType w:val="hybridMultilevel"/>
    <w:lvl w:ilvl="0">
      <w:lvlJc w:val="left"/>
      <w:lvlText w:val="%1"/>
      <w:numFmt w:val="lowerRoman"/>
      <w:start w:val="1"/>
    </w:lvl>
    <w:lvl w:ilvl="1">
      <w:lvlJc w:val="left"/>
      <w:lvlText w:val="(%2)"/>
      <w:numFmt w:val="lowerLetter"/>
      <w:start w:val="9"/>
    </w:lvl>
  </w:abstractNum>
  <w:abstractNum w:abstractNumId="52">
    <w:nsid w:val="15B5AF5C"/>
    <w:multiLevelType w:val="hybridMultilevel"/>
    <w:lvl w:ilvl="0">
      <w:lvlJc w:val="left"/>
      <w:lvlText w:val="(%1)"/>
      <w:numFmt w:val="lowerRoman"/>
      <w:start w:val="4"/>
    </w:lvl>
    <w:lvl w:ilvl="1">
      <w:lvlJc w:val="left"/>
      <w:lvlText w:val="(%2)"/>
      <w:numFmt w:val="lowerLetter"/>
      <w:start w:val="12"/>
    </w:lvl>
  </w:abstractNum>
  <w:abstractNum w:abstractNumId="53">
    <w:nsid w:val="741226BB"/>
    <w:multiLevelType w:val="hybridMultilevel"/>
    <w:lvl w:ilvl="0">
      <w:lvlJc w:val="left"/>
      <w:lvlText w:val="(%1)"/>
      <w:numFmt w:val="lowerLetter"/>
      <w:start w:val="14"/>
    </w:lvl>
  </w:abstractNum>
  <w:abstractNum w:abstractNumId="54">
    <w:nsid w:val="D34B6A8"/>
    <w:multiLevelType w:val="hybridMultilevel"/>
    <w:lvl w:ilvl="0">
      <w:lvlJc w:val="left"/>
      <w:lvlText w:val="%1"/>
      <w:numFmt w:val="lowerLetter"/>
      <w:start w:val="1"/>
    </w:lvl>
    <w:lvl w:ilvl="1">
      <w:lvlJc w:val="left"/>
      <w:lvlText w:val="(%2)"/>
      <w:numFmt w:val="lowerLetter"/>
      <w:start w:val="1"/>
    </w:lvl>
  </w:abstractNum>
  <w:abstractNum w:abstractNumId="55">
    <w:nsid w:val="10233C99"/>
    <w:multiLevelType w:val="hybridMultilevel"/>
    <w:lvl w:ilvl="0">
      <w:lvlJc w:val="left"/>
      <w:lvlText w:val="(%1)"/>
      <w:numFmt w:val="lowerLetter"/>
      <w:start w:val="35"/>
    </w:lvl>
    <w:lvl w:ilvl="1">
      <w:lvlJc w:val="left"/>
      <w:lvlText w:val="%2"/>
      <w:numFmt w:val="lowerLetter"/>
      <w:start w:val="1"/>
    </w:lvl>
  </w:abstractNum>
  <w:abstractNum w:abstractNumId="56">
    <w:nsid w:val="3F6AB60F"/>
    <w:multiLevelType w:val="hybridMultilevel"/>
    <w:lvl w:ilvl="0">
      <w:lvlJc w:val="left"/>
      <w:lvlText w:val="(%1)"/>
      <w:numFmt w:val="lowerRoman"/>
      <w:start w:val="5"/>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5"/>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
      <w:numFmt w:val="bullet"/>
      <w:start w:val="1"/>
    </w:lvl>
    <w:lvl w:ilvl="1">
      <w:lvlJc w:val="left"/>
      <w:lvlText w:val="%2."/>
      <w:numFmt w:val="decimal"/>
      <w:start w:val="1"/>
    </w:lvl>
  </w:abstractNum>
  <w:abstractNum w:abstractNumId="63">
    <w:nsid w:val="2F305DEF"/>
    <w:multiLevelType w:val="hybridMultilevel"/>
    <w:lvl w:ilvl="0">
      <w:lvlJc w:val="left"/>
      <w:lvlText w:val="**"/>
      <w:numFmt w:val="bullet"/>
      <w:start w:val="1"/>
    </w:lvl>
    <w:lvl w:ilvl="1">
      <w:lvlJc w:val="left"/>
      <w:lvlText w:val="%2"/>
      <w:numFmt w:val="decimal"/>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2019-12-05T10:51:28Z</dcterms:created>
  <dcterms:modified xsi:type="dcterms:W3CDTF">2019-12-05T10:51:28Z</dcterms:modified>
</cp:coreProperties>
</file>