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201930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229870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6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240665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210820</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240665</wp:posOffset>
            </wp:positionV>
            <wp:extent cx="2186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10480"/>
        <w:spacing w:after="0"/>
        <w:rPr>
          <w:sz w:val="20"/>
          <w:szCs w:val="20"/>
          <w:color w:val="auto"/>
        </w:rPr>
      </w:pPr>
      <w:r>
        <w:rPr>
          <w:rFonts w:ascii="Arial" w:cs="Arial" w:eastAsia="Arial" w:hAnsi="Arial"/>
          <w:sz w:val="18"/>
          <w:szCs w:val="18"/>
          <w:color w:val="auto"/>
        </w:rPr>
        <w:t>Yes x  No o</w:t>
      </w:r>
    </w:p>
    <w:p>
      <w:pPr>
        <w:spacing w:after="0" w:line="25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6" w:right="239" w:bottom="1440" w:gutter="0" w:footer="0" w:header="0"/>
        </w:sectPr>
      </w:pPr>
    </w:p>
    <w:p>
      <w:pPr>
        <w:spacing w:after="0" w:line="174" w:lineRule="exact"/>
        <w:rPr>
          <w:sz w:val="24"/>
          <w:szCs w:val="24"/>
          <w:color w:val="auto"/>
        </w:rPr>
      </w:pPr>
    </w:p>
    <w:p>
      <w:pPr>
        <w:ind w:right="5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3" w:lineRule="exact"/>
        <w:rPr>
          <w:sz w:val="24"/>
          <w:szCs w:val="24"/>
          <w:color w:val="auto"/>
        </w:rPr>
      </w:pPr>
    </w:p>
    <w:p>
      <w:pPr>
        <w:sectPr>
          <w:pgSz w:w="11900" w:h="16838" w:orient="portrait"/>
          <w:cols w:equalWidth="0" w:num="5">
            <w:col w:w="2160" w:space="720"/>
            <w:col w:w="80" w:space="480"/>
            <w:col w:w="3840" w:space="720"/>
            <w:col w:w="2140" w:space="720"/>
            <w:col w:w="560"/>
          </w:cols>
          <w:pgMar w:left="240" w:top="3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1,161,168,787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501015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700" w:type="dxa"/>
            <w:vAlign w:val="bottom"/>
            <w:gridSpan w:val="7"/>
          </w:tcPr>
          <w:p>
            <w:pPr>
              <w:ind w:left="3840"/>
              <w:spacing w:after="0"/>
              <w:rPr>
                <w:sz w:val="20"/>
                <w:szCs w:val="20"/>
                <w:color w:val="auto"/>
              </w:rPr>
            </w:pPr>
            <w:r>
              <w:rPr>
                <w:rFonts w:ascii="Arial" w:cs="Arial" w:eastAsia="Arial" w:hAnsi="Arial"/>
                <w:sz w:val="18"/>
                <w:szCs w:val="18"/>
                <w:b w:val="1"/>
                <w:bCs w:val="1"/>
                <w:color w:val="auto"/>
                <w:w w:val="94"/>
              </w:rPr>
              <w:t>For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60" w:type="dxa"/>
            <w:vAlign w:val="bottom"/>
            <w:gridSpan w:val="2"/>
            <w:shd w:val="clear" w:color="auto" w:fill="CCEEFF"/>
          </w:tcPr>
          <w:p>
            <w:pPr>
              <w:ind w:left="38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3,392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w:t>
            </w:r>
          </w:p>
        </w:tc>
        <w:tc>
          <w:tcPr>
            <w:tcW w:w="38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1,664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1,728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422</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Restructuring expense</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38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profit</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908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8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4660" w:type="dxa"/>
            <w:vAlign w:val="bottom"/>
            <w:gridSpan w:val="2"/>
          </w:tcPr>
          <w:p>
            <w:pPr>
              <w:ind w:left="38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666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660" w:type="dxa"/>
            <w:vAlign w:val="bottom"/>
            <w:gridSpan w:val="2"/>
            <w:shd w:val="clear" w:color="auto" w:fill="CCEEFF"/>
          </w:tcPr>
          <w:p>
            <w:pPr>
              <w:ind w:left="38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4660" w:type="dxa"/>
            <w:vAlign w:val="bottom"/>
            <w:gridSpan w:val="2"/>
          </w:tcPr>
          <w:p>
            <w:pPr>
              <w:ind w:left="38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1,167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1,194</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660" w:type="dxa"/>
            <w:vAlign w:val="bottom"/>
            <w:gridSpan w:val="2"/>
          </w:tcPr>
          <w:p>
            <w:pPr>
              <w:ind w:left="38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3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2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840" w:type="dxa"/>
            <w:vAlign w:val="bottom"/>
          </w:tcPr>
          <w:p>
            <w:pPr>
              <w:ind w:left="960"/>
              <w:spacing w:after="0"/>
              <w:rPr>
                <w:sz w:val="20"/>
                <w:szCs w:val="20"/>
                <w:color w:val="auto"/>
              </w:rPr>
            </w:pPr>
            <w:r>
              <w:rPr>
                <w:rFonts w:ascii="Arial" w:cs="Arial" w:eastAsia="Arial" w:hAnsi="Arial"/>
                <w:sz w:val="14"/>
                <w:szCs w:val="14"/>
                <w:color w:val="auto"/>
              </w:rPr>
              <w:t>2</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980" w:type="dxa"/>
            <w:vAlign w:val="bottom"/>
            <w:gridSpan w:val="7"/>
          </w:tcPr>
          <w:p>
            <w:pPr>
              <w:ind w:left="2120"/>
              <w:spacing w:after="0"/>
              <w:rPr>
                <w:sz w:val="20"/>
                <w:szCs w:val="20"/>
                <w:color w:val="auto"/>
              </w:rPr>
            </w:pPr>
            <w:r>
              <w:rPr>
                <w:rFonts w:ascii="Arial" w:cs="Arial" w:eastAsia="Arial" w:hAnsi="Arial"/>
                <w:sz w:val="18"/>
                <w:szCs w:val="18"/>
                <w:b w:val="1"/>
                <w:bCs w:val="1"/>
                <w:color w:val="auto"/>
                <w:w w:val="94"/>
              </w:rPr>
              <w:t>For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20" w:type="dxa"/>
            <w:vAlign w:val="bottom"/>
            <w:gridSpan w:val="2"/>
            <w:shd w:val="clear" w:color="auto" w:fill="CCEEFF"/>
          </w:tcPr>
          <w:p>
            <w:pPr>
              <w:ind w:left="2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Unrealized gains, net of taxes</w:t>
            </w: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Adjustment, net of taxes</w:t>
            </w:r>
          </w:p>
        </w:tc>
        <w:tc>
          <w:tcPr>
            <w:tcW w:w="2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020" w:type="dxa"/>
            <w:vAlign w:val="bottom"/>
            <w:gridSpan w:val="2"/>
            <w:shd w:val="clear" w:color="auto" w:fill="CCEEFF"/>
          </w:tcPr>
          <w:p>
            <w:pPr>
              <w:ind w:left="2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($20) and ($18)</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Long-term investments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13,310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000" w:type="dxa"/>
            <w:vAlign w:val="bottom"/>
            <w:tcBorders>
              <w:top w:val="single" w:sz="8" w:color="CCEEFF"/>
            </w:tcBorders>
          </w:tcPr>
          <w:p>
            <w:pPr>
              <w:spacing w:after="0"/>
              <w:rPr>
                <w:sz w:val="24"/>
                <w:szCs w:val="24"/>
                <w:color w:val="auto"/>
              </w:rPr>
            </w:pPr>
          </w:p>
        </w:tc>
        <w:tc>
          <w:tcPr>
            <w:tcW w:w="3800" w:type="dxa"/>
            <w:vAlign w:val="bottom"/>
            <w:tcBorders>
              <w:top w:val="single" w:sz="8" w:color="CCEEFF"/>
            </w:tcBorders>
          </w:tcPr>
          <w:p>
            <w:pPr>
              <w:jc w:val="right"/>
              <w:ind w:right="2994"/>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00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March 31, 2011 -- 1,740,394,740;</w:t>
            </w: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December 31, 2010 -- 1,740,166,101</w:t>
            </w:r>
          </w:p>
        </w:tc>
        <w:tc>
          <w:tcPr>
            <w:tcW w:w="3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Less treasury common stock at cost. Shares: March 31, 2011 -- 579,225,953; December 31, 2010 -- 572,722,397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(16,738)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13,310</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840" w:type="dxa"/>
            <w:vAlign w:val="bottom"/>
            <w:gridSpan w:val="6"/>
          </w:tcPr>
          <w:p>
            <w:pPr>
              <w:spacing w:after="0"/>
              <w:rPr>
                <w:sz w:val="20"/>
                <w:szCs w:val="20"/>
                <w:color w:val="auto"/>
              </w:rPr>
            </w:pPr>
            <w:r>
              <w:rPr>
                <w:rFonts w:ascii="Arial" w:cs="Arial" w:eastAsia="Arial" w:hAnsi="Arial"/>
                <w:sz w:val="18"/>
                <w:szCs w:val="18"/>
                <w:b w:val="1"/>
                <w:bCs w:val="1"/>
                <w:color w:val="auto"/>
                <w:w w:val="93"/>
              </w:rPr>
              <w:t>For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(281)</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(194)</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Sales, redemptions and maturities of short-term investments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1,111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(153)</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(555)</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1,319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1,343</w:t>
            </w: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240" w:hanging="233"/>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about 80,000 customers all over the world buy our products.</w:t>
      </w:r>
    </w:p>
    <w:p>
      <w:pPr>
        <w:spacing w:after="0" w:line="197" w:lineRule="exact"/>
        <w:rPr>
          <w:rFonts w:ascii="Arial" w:cs="Arial" w:eastAsia="Arial" w:hAnsi="Arial"/>
          <w:sz w:val="18"/>
          <w:szCs w:val="18"/>
          <w:color w:val="auto"/>
        </w:rPr>
      </w:pPr>
    </w:p>
    <w:p>
      <w:pPr>
        <w:ind w:left="24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2010. The consolidated statements of income, statements of comprehensive income and statements of cash flows for the periods ended March 31, 2011 and 2010, and the balance sheet as of March 31, 2011, are not audited but reflect all adjustments that are of a normal recurring nature and are necessary for a fair statement of the results of the periods shown. The consolidated balance sheet as of December 31, 2010,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2010. The results for the three-month period are not necessarily indicative of a full year’s results.</w:t>
      </w:r>
    </w:p>
    <w:p>
      <w:pPr>
        <w:spacing w:after="0" w:line="199" w:lineRule="exact"/>
        <w:rPr>
          <w:rFonts w:ascii="Arial" w:cs="Arial" w:eastAsia="Arial" w:hAnsi="Arial"/>
          <w:sz w:val="18"/>
          <w:szCs w:val="18"/>
          <w:color w:val="auto"/>
        </w:rPr>
      </w:pPr>
    </w:p>
    <w:p>
      <w:pPr>
        <w:ind w:left="240" w:right="26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08" w:lineRule="exact"/>
        <w:rPr>
          <w:rFonts w:ascii="Arial" w:cs="Arial" w:eastAsia="Arial" w:hAnsi="Arial"/>
          <w:sz w:val="18"/>
          <w:szCs w:val="18"/>
          <w:color w:val="auto"/>
        </w:rPr>
      </w:pPr>
    </w:p>
    <w:p>
      <w:pPr>
        <w:ind w:left="240" w:right="2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 Cost – </w:t>
      </w:r>
      <w:r>
        <w:rPr>
          <w:rFonts w:ascii="Arial" w:cs="Arial" w:eastAsia="Arial" w:hAnsi="Arial"/>
          <w:sz w:val="18"/>
          <w:szCs w:val="18"/>
          <w:color w:val="auto"/>
        </w:rPr>
        <w:t>During the first quarter of 2011, we incurred $2 million of acquisition-related expenses associated with the announced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National Semiconductor.</w:t>
      </w:r>
    </w:p>
    <w:p>
      <w:pPr>
        <w:spacing w:after="0" w:line="197" w:lineRule="exact"/>
        <w:rPr>
          <w:rFonts w:ascii="Arial" w:cs="Arial" w:eastAsia="Arial" w:hAnsi="Arial"/>
          <w:sz w:val="18"/>
          <w:szCs w:val="18"/>
          <w:color w:val="auto"/>
        </w:rPr>
      </w:pPr>
    </w:p>
    <w:p>
      <w:pPr>
        <w:ind w:left="240"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Use of Derivatives and Hedging </w:t>
      </w:r>
      <w:r>
        <w:rPr>
          <w:rFonts w:ascii="Arial" w:cs="Arial" w:eastAsia="Arial" w:hAnsi="Arial"/>
          <w:sz w:val="17"/>
          <w:szCs w:val="17"/>
          <w:color w:val="auto"/>
        </w:rPr>
        <w:t>– We use derivative financial instruments to manage exposure to foreign exchange risk. These instruments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derivatives for speculative or trading purposes. We do not apply hedge accounting to our foreign currency derivative instruments.</w:t>
      </w:r>
    </w:p>
    <w:p>
      <w:pPr>
        <w:spacing w:after="0" w:line="199" w:lineRule="exact"/>
        <w:rPr>
          <w:rFonts w:ascii="Arial" w:cs="Arial" w:eastAsia="Arial" w:hAnsi="Arial"/>
          <w:sz w:val="18"/>
          <w:szCs w:val="18"/>
          <w:color w:val="auto"/>
        </w:rPr>
      </w:pPr>
    </w:p>
    <w:p>
      <w:pPr>
        <w:jc w:val="both"/>
        <w:ind w:left="24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March 31, 2011.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short-term investments and certain long-term investments are carried at fair value and are discussed in Note 5. The carrying values for other current financial assets and liabilities, such as accounts receivable and accounts payable, approximate fair value due to the short maturity of such instruments.</w:t>
      </w:r>
    </w:p>
    <w:p>
      <w:pPr>
        <w:spacing w:after="0" w:line="213" w:lineRule="exact"/>
        <w:rPr>
          <w:rFonts w:ascii="Arial" w:cs="Arial" w:eastAsia="Arial" w:hAnsi="Arial"/>
          <w:sz w:val="18"/>
          <w:szCs w:val="18"/>
          <w:color w:val="auto"/>
        </w:rPr>
      </w:pPr>
    </w:p>
    <w:p>
      <w:pPr>
        <w:ind w:left="240" w:right="4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Accounting Standards Adopted – </w:t>
      </w:r>
      <w:r>
        <w:rPr>
          <w:rFonts w:ascii="Arial" w:cs="Arial" w:eastAsia="Arial" w:hAnsi="Arial"/>
          <w:sz w:val="18"/>
          <w:szCs w:val="18"/>
          <w:color w:val="auto"/>
        </w:rPr>
        <w:t>In October 2009, the Financial Accounting Standards Board (FASB) concurrently issued the following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Updates (ASUs):</w:t>
      </w:r>
    </w:p>
    <w:p>
      <w:pPr>
        <w:spacing w:after="0" w:line="197" w:lineRule="exact"/>
        <w:rPr>
          <w:rFonts w:ascii="Arial" w:cs="Arial" w:eastAsia="Arial" w:hAnsi="Arial"/>
          <w:sz w:val="18"/>
          <w:szCs w:val="18"/>
          <w:color w:val="auto"/>
        </w:rPr>
      </w:pPr>
    </w:p>
    <w:p>
      <w:pPr>
        <w:ind w:left="560" w:right="260" w:hanging="4"/>
        <w:spacing w:after="0" w:line="288" w:lineRule="auto"/>
        <w:tabs>
          <w:tab w:leader="none" w:pos="668"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ASU No. 2009 – 14 -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This standard removes tangible products from the scope of software revenue recognition guidance and also provides guidance on determining whether software deliverables in an arrangement that includes a tangible product, such as embedded software, are within the scope of the software revenue guidance.</w:t>
      </w:r>
    </w:p>
    <w:p>
      <w:pPr>
        <w:ind w:left="560" w:right="60" w:hanging="4"/>
        <w:spacing w:after="0" w:line="253" w:lineRule="auto"/>
        <w:tabs>
          <w:tab w:leader="none" w:pos="668"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ASU No. 2009 – 13 - </w:t>
      </w:r>
      <w:r>
        <w:rPr>
          <w:rFonts w:ascii="Arial" w:cs="Arial" w:eastAsia="Arial" w:hAnsi="Arial"/>
          <w:sz w:val="18"/>
          <w:szCs w:val="18"/>
          <w:i w:val="1"/>
          <w:iCs w:val="1"/>
          <w:color w:val="auto"/>
        </w:rPr>
        <w:t>Revenue Recognition (Topic 605): Multiple-Deliverable Revenue Arrangements</w:t>
      </w:r>
      <w:r>
        <w:rPr>
          <w:rFonts w:ascii="Arial" w:cs="Arial" w:eastAsia="Arial" w:hAnsi="Arial"/>
          <w:sz w:val="18"/>
          <w:szCs w:val="18"/>
          <w:color w:val="auto"/>
        </w:rPr>
        <w:t>. This standard modifies the revenue recognition guidance for arrangements that involve the delivery of multiple elements, such as product, software, services and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w:t>
      </w:r>
    </w:p>
    <w:p>
      <w:pPr>
        <w:spacing w:after="0" w:line="218" w:lineRule="exact"/>
        <w:rPr>
          <w:sz w:val="20"/>
          <w:szCs w:val="20"/>
          <w:color w:val="auto"/>
        </w:rPr>
      </w:pPr>
    </w:p>
    <w:p>
      <w:pPr>
        <w:ind w:left="240" w:right="160"/>
        <w:spacing w:after="0" w:line="342" w:lineRule="auto"/>
        <w:rPr>
          <w:sz w:val="20"/>
          <w:szCs w:val="20"/>
          <w:color w:val="auto"/>
        </w:rPr>
      </w:pPr>
      <w:r>
        <w:rPr>
          <w:rFonts w:ascii="Arial" w:cs="Arial" w:eastAsia="Arial" w:hAnsi="Arial"/>
          <w:sz w:val="16"/>
          <w:szCs w:val="16"/>
          <w:color w:val="auto"/>
        </w:rPr>
        <w:t>We adopted these standards in the first quarter of 2011 by applying them on a prospective basis to revenue arrangements entered into or materially modified beginning January 1, 2011. The adoption of these standards did not have a significant impact on our financial position or results of operations.</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513" w:right="239" w:bottom="1440" w:gutter="0" w:footer="0" w:header="0"/>
        </w:sectPr>
      </w:pPr>
    </w:p>
    <w:bookmarkStart w:id="7" w:name="page8"/>
    <w:bookmarkEnd w:id="7"/>
    <w:p>
      <w:pPr>
        <w:ind w:left="332" w:right="220" w:hanging="332"/>
        <w:spacing w:after="0" w:line="26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Losses associated with the events in Japan</w:t>
      </w:r>
      <w:r>
        <w:rPr>
          <w:rFonts w:ascii="Arial" w:cs="Arial" w:eastAsia="Arial" w:hAnsi="Arial"/>
          <w:sz w:val="18"/>
          <w:szCs w:val="18"/>
          <w:color w:val="auto"/>
        </w:rPr>
        <w:t>. On March 11, 2011, a magnitude 9.0 earthquake struck near two of our three semiconductor wafer manufacturing facilities in Japan. Our manufacturing site in Miho suffered substantial damage during the earthquake, our facility in Aizu experienced significantly less damage, and our site in Hiji was undamaged.</w:t>
      </w:r>
    </w:p>
    <w:p>
      <w:pPr>
        <w:spacing w:after="0" w:line="208" w:lineRule="exact"/>
        <w:rPr>
          <w:rFonts w:ascii="Arial" w:cs="Arial" w:eastAsia="Arial" w:hAnsi="Arial"/>
          <w:sz w:val="18"/>
          <w:szCs w:val="18"/>
          <w:color w:val="auto"/>
        </w:rPr>
      </w:pPr>
    </w:p>
    <w:p>
      <w:pPr>
        <w:ind w:left="332" w:right="80"/>
        <w:spacing w:after="0" w:line="264" w:lineRule="auto"/>
        <w:rPr>
          <w:rFonts w:ascii="Arial" w:cs="Arial" w:eastAsia="Arial" w:hAnsi="Arial"/>
          <w:sz w:val="18"/>
          <w:szCs w:val="18"/>
          <w:color w:val="auto"/>
        </w:rPr>
      </w:pPr>
      <w:r>
        <w:rPr>
          <w:rFonts w:ascii="Arial" w:cs="Arial" w:eastAsia="Arial" w:hAnsi="Arial"/>
          <w:sz w:val="18"/>
          <w:szCs w:val="18"/>
          <w:color w:val="auto"/>
        </w:rPr>
        <w:t>Assessment and recovery efforts began immediately at TI’s facilities. Aizu has since resumed full production. Initial production at Miho resumed in mid-April, with full production loadings on schedule for the third quarter. Production recovery schedules assume a stable source of electrical power and no additional complications from the earthquake or its aftermath.</w:t>
      </w:r>
    </w:p>
    <w:p>
      <w:pPr>
        <w:spacing w:after="0" w:line="208" w:lineRule="exact"/>
        <w:rPr>
          <w:rFonts w:ascii="Arial" w:cs="Arial" w:eastAsia="Arial" w:hAnsi="Arial"/>
          <w:sz w:val="18"/>
          <w:szCs w:val="18"/>
          <w:color w:val="auto"/>
        </w:rPr>
      </w:pPr>
    </w:p>
    <w:p>
      <w:pPr>
        <w:ind w:left="332"/>
        <w:spacing w:after="0" w:line="264" w:lineRule="auto"/>
        <w:rPr>
          <w:rFonts w:ascii="Arial" w:cs="Arial" w:eastAsia="Arial" w:hAnsi="Arial"/>
          <w:sz w:val="18"/>
          <w:szCs w:val="18"/>
          <w:color w:val="auto"/>
        </w:rPr>
      </w:pPr>
      <w:r>
        <w:rPr>
          <w:rFonts w:ascii="Arial" w:cs="Arial" w:eastAsia="Arial" w:hAnsi="Arial"/>
          <w:sz w:val="18"/>
          <w:szCs w:val="18"/>
          <w:color w:val="auto"/>
        </w:rPr>
        <w:t>The Miho fab produced about 10 percent of TI’s wafer output as measured by revenue in 2010; more than a third of this revenue was for DLP® products, with the remainder for Analog products. During the first quarter of 2011, loss of revenue associated with the events in Japan was estimated to be about $20 million.</w:t>
      </w:r>
    </w:p>
    <w:p>
      <w:pPr>
        <w:spacing w:after="0" w:line="208" w:lineRule="exact"/>
        <w:rPr>
          <w:rFonts w:ascii="Arial" w:cs="Arial" w:eastAsia="Arial" w:hAnsi="Arial"/>
          <w:sz w:val="18"/>
          <w:szCs w:val="18"/>
          <w:color w:val="auto"/>
        </w:rPr>
      </w:pPr>
    </w:p>
    <w:p>
      <w:pPr>
        <w:ind w:left="332" w:right="80"/>
        <w:spacing w:after="0" w:line="264" w:lineRule="auto"/>
        <w:rPr>
          <w:rFonts w:ascii="Arial" w:cs="Arial" w:eastAsia="Arial" w:hAnsi="Arial"/>
          <w:sz w:val="18"/>
          <w:szCs w:val="18"/>
          <w:color w:val="auto"/>
        </w:rPr>
      </w:pPr>
      <w:r>
        <w:rPr>
          <w:rFonts w:ascii="Arial" w:cs="Arial" w:eastAsia="Arial" w:hAnsi="Arial"/>
          <w:sz w:val="18"/>
          <w:szCs w:val="18"/>
          <w:color w:val="auto"/>
        </w:rPr>
        <w:t>As of March 31, 2011, we recorded total expenses of about $30 million based on a preliminary estimate of the costs of property damages incurred and costs associated with business interruption. Virtually all of these costs are included in cost of revenue in the statement of income and are reported in our Other segment.</w:t>
      </w:r>
    </w:p>
    <w:p>
      <w:pPr>
        <w:spacing w:after="0" w:line="208" w:lineRule="exact"/>
        <w:rPr>
          <w:rFonts w:ascii="Arial" w:cs="Arial" w:eastAsia="Arial" w:hAnsi="Arial"/>
          <w:sz w:val="18"/>
          <w:szCs w:val="18"/>
          <w:color w:val="auto"/>
        </w:rPr>
      </w:pPr>
    </w:p>
    <w:p>
      <w:pPr>
        <w:ind w:left="332" w:right="20"/>
        <w:spacing w:after="0" w:line="264" w:lineRule="auto"/>
        <w:rPr>
          <w:rFonts w:ascii="Arial" w:cs="Arial" w:eastAsia="Arial" w:hAnsi="Arial"/>
          <w:sz w:val="18"/>
          <w:szCs w:val="18"/>
          <w:color w:val="auto"/>
        </w:rPr>
      </w:pPr>
      <w:r>
        <w:rPr>
          <w:rFonts w:ascii="Arial" w:cs="Arial" w:eastAsia="Arial" w:hAnsi="Arial"/>
          <w:sz w:val="18"/>
          <w:szCs w:val="18"/>
          <w:color w:val="auto"/>
        </w:rPr>
        <w:t>TI maintains earthquake insurance policies in Japan for property damages and business interruption losses. Although we are not able to determine an estimate of the final loss or a range of loss, it is reasonably possible that the final losses may exceed the limits of the insurance policies. Additionally, we cannot estimate the timing and amount of proceeds we will ultimately receive from these policies.</w:t>
      </w:r>
    </w:p>
    <w:p>
      <w:pPr>
        <w:spacing w:after="0" w:line="208" w:lineRule="exact"/>
        <w:rPr>
          <w:rFonts w:ascii="Arial" w:cs="Arial" w:eastAsia="Arial" w:hAnsi="Arial"/>
          <w:sz w:val="18"/>
          <w:szCs w:val="18"/>
          <w:color w:val="auto"/>
        </w:rPr>
      </w:pPr>
    </w:p>
    <w:p>
      <w:pPr>
        <w:ind w:left="332" w:right="120" w:hanging="332"/>
        <w:spacing w:after="0" w:line="264"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As of March 31, 2011, the estimated annual effective tax rate for 2011 is about 28 percent, which differs from the 35 percent statutory corporate tax rate primarily due to the effects of non-U.S. tax rates.</w:t>
      </w:r>
    </w:p>
    <w:p>
      <w:pPr>
        <w:spacing w:after="0" w:line="208" w:lineRule="exact"/>
        <w:rPr>
          <w:rFonts w:ascii="Arial" w:cs="Arial" w:eastAsia="Arial" w:hAnsi="Arial"/>
          <w:sz w:val="18"/>
          <w:szCs w:val="18"/>
          <w:color w:val="auto"/>
        </w:rPr>
      </w:pPr>
    </w:p>
    <w:p>
      <w:pPr>
        <w:ind w:left="332" w:hanging="332"/>
        <w:spacing w:after="0" w:line="259"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358"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2"/>
              </w:rPr>
              <w:t>March 31, 2011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2010</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666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860" w:type="dxa"/>
            <w:vAlign w:val="bottom"/>
            <w:vMerge w:val="restart"/>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656</w:t>
            </w:r>
          </w:p>
        </w:tc>
        <w:tc>
          <w:tcPr>
            <w:tcW w:w="120" w:type="dxa"/>
            <w:vAlign w:val="bottom"/>
            <w:vMerge w:val="restart"/>
            <w:shd w:val="clear" w:color="auto" w:fill="CCEEFF"/>
          </w:tcPr>
          <w:p>
            <w:pPr>
              <w:spacing w:after="0"/>
              <w:rPr>
                <w:sz w:val="17"/>
                <w:szCs w:val="17"/>
                <w:color w:val="auto"/>
              </w:rPr>
            </w:pPr>
          </w:p>
        </w:tc>
        <w:tc>
          <w:tcPr>
            <w:tcW w:w="15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1,167</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860" w:type="dxa"/>
            <w:vAlign w:val="bottom"/>
            <w:vMerge w:val="continue"/>
            <w:shd w:val="clear" w:color="auto" w:fill="CCEEFF"/>
          </w:tcPr>
          <w:p>
            <w:pPr>
              <w:spacing w:after="0"/>
              <w:rPr>
                <w:sz w:val="23"/>
                <w:szCs w:val="23"/>
                <w:color w:val="auto"/>
              </w:rPr>
            </w:pPr>
          </w:p>
        </w:tc>
        <w:tc>
          <w:tcPr>
            <w:tcW w:w="300" w:type="dxa"/>
            <w:vAlign w:val="bottom"/>
            <w:vMerge w:val="continue"/>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1500" w:type="dxa"/>
            <w:vAlign w:val="bottom"/>
            <w:gridSpan w:val="3"/>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666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8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860" w:type="dxa"/>
            <w:vAlign w:val="bottom"/>
            <w:vMerge w:val="restart"/>
            <w:shd w:val="clear" w:color="auto" w:fill="CCEEFF"/>
          </w:tcPr>
          <w:p>
            <w:pPr>
              <w:jc w:val="right"/>
              <w:ind w:right="702"/>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656</w:t>
            </w:r>
          </w:p>
        </w:tc>
        <w:tc>
          <w:tcPr>
            <w:tcW w:w="12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860" w:type="dxa"/>
            <w:vAlign w:val="bottom"/>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Options to purchase 17 million and 101 million shares of common stock that were outstanding during the first quarters of 2011 and 2010, respectively, were not included in the computation of diluted earnings per share because their exercise price was greater than the average market price of the common shares and, therefore, the effect would be anti-dilutive.</w:t>
      </w:r>
    </w:p>
    <w:p>
      <w:pPr>
        <w:spacing w:after="0" w:line="181" w:lineRule="exact"/>
        <w:rPr>
          <w:sz w:val="20"/>
          <w:szCs w:val="20"/>
          <w:color w:val="auto"/>
        </w:rPr>
      </w:pPr>
    </w:p>
    <w:p>
      <w:pPr>
        <w:ind w:left="340" w:right="6540" w:hanging="332"/>
        <w:spacing w:after="0" w:line="53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75" w:lineRule="exact"/>
        <w:rPr>
          <w:rFonts w:ascii="Arial" w:cs="Arial" w:eastAsia="Arial" w:hAnsi="Arial"/>
          <w:sz w:val="18"/>
          <w:szCs w:val="18"/>
          <w:color w:val="auto"/>
        </w:rPr>
      </w:pPr>
    </w:p>
    <w:p>
      <w:pPr>
        <w:ind w:left="340" w:right="10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and all other unrealized gains and losses as an increase or decrease, net of taxes, in accumulated other comprehensive income (AOCI).</w:t>
      </w:r>
    </w:p>
    <w:p>
      <w:pPr>
        <w:spacing w:after="0" w:line="213" w:lineRule="exact"/>
        <w:rPr>
          <w:rFonts w:ascii="Arial" w:cs="Arial" w:eastAsia="Arial" w:hAnsi="Arial"/>
          <w:sz w:val="18"/>
          <w:szCs w:val="18"/>
          <w:color w:val="auto"/>
        </w:rPr>
      </w:pPr>
    </w:p>
    <w:p>
      <w:pPr>
        <w:ind w:left="340" w:right="180"/>
        <w:spacing w:after="0" w:line="286" w:lineRule="auto"/>
        <w:rPr>
          <w:rFonts w:ascii="Arial" w:cs="Arial" w:eastAsia="Arial" w:hAnsi="Arial"/>
          <w:sz w:val="18"/>
          <w:szCs w:val="18"/>
          <w:color w:val="auto"/>
        </w:rPr>
      </w:pPr>
      <w:r>
        <w:rPr>
          <w:rFonts w:ascii="Arial" w:cs="Arial" w:eastAsia="Arial" w:hAnsi="Arial"/>
          <w:sz w:val="17"/>
          <w:szCs w:val="17"/>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expense.</w:t>
      </w:r>
    </w:p>
    <w:p>
      <w:pPr>
        <w:spacing w:after="0" w:line="192" w:lineRule="exact"/>
        <w:rPr>
          <w:rFonts w:ascii="Arial" w:cs="Arial" w:eastAsia="Arial" w:hAnsi="Arial"/>
          <w:sz w:val="18"/>
          <w:szCs w:val="18"/>
          <w:color w:val="auto"/>
        </w:rPr>
      </w:pPr>
    </w:p>
    <w:p>
      <w:pPr>
        <w:ind w:left="340" w:right="180"/>
        <w:spacing w:after="0" w:line="302" w:lineRule="auto"/>
        <w:rPr>
          <w:rFonts w:ascii="Arial" w:cs="Arial" w:eastAsia="Arial" w:hAnsi="Arial"/>
          <w:sz w:val="18"/>
          <w:szCs w:val="18"/>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2"/>
              </w:rPr>
              <w:t>March 31, 2011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Cash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5"/>
              </w:rPr>
              <w:t>Cash and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Long-Term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Equivalents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Measured at fair value:</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Treasury securities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1,343</w:t>
            </w: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As of March 31, 2011, about 41 percent of our investments in the corporate obligations shown above are insured by either the Federal Deposit Insurance Corporation (FDIC) or the U.K. government.</w:t>
      </w:r>
    </w:p>
    <w:p>
      <w:pPr>
        <w:spacing w:after="0" w:line="197" w:lineRule="exact"/>
        <w:rPr>
          <w:sz w:val="20"/>
          <w:szCs w:val="20"/>
          <w:color w:val="auto"/>
        </w:rPr>
      </w:pPr>
    </w:p>
    <w:p>
      <w:pPr>
        <w:ind w:left="340" w:right="60"/>
        <w:spacing w:after="0" w:line="302" w:lineRule="auto"/>
        <w:rPr>
          <w:sz w:val="20"/>
          <w:szCs w:val="20"/>
          <w:color w:val="auto"/>
        </w:rPr>
      </w:pPr>
      <w:r>
        <w:rPr>
          <w:rFonts w:ascii="Arial" w:cs="Arial" w:eastAsia="Arial" w:hAnsi="Arial"/>
          <w:sz w:val="16"/>
          <w:szCs w:val="16"/>
          <w:color w:val="auto"/>
        </w:rPr>
        <w:t>As of March 31, 2011, and December 31, 2010, unrealized losses included in AOCI were associated with auction-rate securities. We have determined that our available-for-sale investments with unrealized losses are not other-than-temporarily impaired. We expect to recover the entire cost basis of these securities. We do not intend to sell these investments, nor do we expect to be required to sell these investments before a recovery of the cost basis. For the three months ended March 31, 2011 and 2010, we did not recognize in earnings any credit losses related to these investments.</w:t>
      </w:r>
    </w:p>
    <w:p>
      <w:pPr>
        <w:spacing w:after="0" w:line="181" w:lineRule="exact"/>
        <w:rPr>
          <w:sz w:val="20"/>
          <w:szCs w:val="20"/>
          <w:color w:val="auto"/>
        </w:rPr>
      </w:pPr>
    </w:p>
    <w:p>
      <w:pPr>
        <w:ind w:left="340" w:right="340"/>
        <w:spacing w:after="0" w:line="342" w:lineRule="auto"/>
        <w:rPr>
          <w:sz w:val="20"/>
          <w:szCs w:val="20"/>
          <w:color w:val="auto"/>
        </w:rPr>
      </w:pPr>
      <w:r>
        <w:rPr>
          <w:rFonts w:ascii="Arial" w:cs="Arial" w:eastAsia="Arial" w:hAnsi="Arial"/>
          <w:sz w:val="16"/>
          <w:szCs w:val="16"/>
          <w:color w:val="auto"/>
        </w:rPr>
        <w:t>For the three months ended March 31, 2011 and 2010, the proceeds from sales, redemptions and maturities of short-term available-for-sale securities, excluding cash equivalents, were $1.11 billion and $768 million, respectively. Gross realized gains and losses from these sales were not significant.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maturities of investments in money market funds and other debt securities classified as available-for-sale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2011:</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900" w:type="dxa"/>
            <w:vAlign w:val="bottom"/>
          </w:tcPr>
          <w:p>
            <w:pPr>
              <w:ind w:left="4280"/>
              <w:spacing w:after="0"/>
              <w:rPr>
                <w:sz w:val="20"/>
                <w:szCs w:val="20"/>
                <w:color w:val="auto"/>
              </w:rPr>
            </w:pPr>
            <w:r>
              <w:rPr>
                <w:rFonts w:ascii="Arial" w:cs="Arial" w:eastAsia="Arial" w:hAnsi="Arial"/>
                <w:sz w:val="18"/>
                <w:szCs w:val="18"/>
                <w:b w:val="1"/>
                <w:bCs w:val="1"/>
                <w:color w:val="auto"/>
              </w:rPr>
              <w:t>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One to three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340" w:right="60"/>
        <w:spacing w:after="0" w:line="272"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similar assets in active markets.</w:t>
      </w:r>
    </w:p>
    <w:p>
      <w:pPr>
        <w:spacing w:after="0" w:line="205" w:lineRule="exact"/>
        <w:rPr>
          <w:sz w:val="20"/>
          <w:szCs w:val="20"/>
          <w:color w:val="auto"/>
        </w:rPr>
      </w:pPr>
    </w:p>
    <w:p>
      <w:pPr>
        <w:ind w:left="340" w:right="38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74" w:lineRule="exact"/>
        <w:rPr>
          <w:sz w:val="20"/>
          <w:szCs w:val="20"/>
          <w:color w:val="auto"/>
        </w:rPr>
      </w:pPr>
    </w:p>
    <w:p>
      <w:pPr>
        <w:ind w:left="340" w:right="20"/>
        <w:spacing w:after="0" w:line="288" w:lineRule="auto"/>
        <w:rPr>
          <w:sz w:val="20"/>
          <w:szCs w:val="20"/>
          <w:color w:val="auto"/>
        </w:rPr>
      </w:pPr>
      <w:r>
        <w:rPr>
          <w:rFonts w:ascii="Arial" w:cs="Arial" w:eastAsia="Arial" w:hAnsi="Arial"/>
          <w:sz w:val="16"/>
          <w:szCs w:val="16"/>
          <w:color w:val="auto"/>
        </w:rPr>
        <w:t>We own auction-rate securities that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196" w:lineRule="exact"/>
        <w:rPr>
          <w:sz w:val="20"/>
          <w:szCs w:val="20"/>
          <w:color w:val="auto"/>
        </w:rPr>
      </w:pPr>
    </w:p>
    <w:p>
      <w:pPr>
        <w:ind w:left="340" w:right="60"/>
        <w:spacing w:after="0" w:line="289" w:lineRule="auto"/>
        <w:rPr>
          <w:sz w:val="20"/>
          <w:szCs w:val="20"/>
          <w:color w:val="auto"/>
        </w:rPr>
      </w:pPr>
      <w:r>
        <w:rPr>
          <w:rFonts w:ascii="Arial" w:cs="Arial" w:eastAsia="Arial" w:hAnsi="Arial"/>
          <w:sz w:val="16"/>
          <w:szCs w:val="16"/>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24 to 36 years. All of our auction-rate securities are backed by pools of student loans substantially guaranteed by the U.S. Department of Education and we continue to believe that the credit quality of these securities is high based on this guarantee. As of March 31, 2011, all of these securities were rated AAA or Aaa by at least one of the major rating agencies. Although most of these securities are dual rated AAA/Aaa, one ($25 million par value) is rated AAA/B3 and one ($12 million par value) is rated AAA/Baa1.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194"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March 31, 2011 and December 31, 2010. These tables do not include cash on hand, assets held by our postretirement plans or assets and liabilities that are measured at historical cost or any basis other than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1,498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Liabilities (a):</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7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jc w:val="right"/>
              <w:ind w:right="214"/>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 (a):</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8"/>
        <w:spacing w:after="0" w:line="27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liabilities above are a component of Accrued expenses and other liabilities or Deferred credits and other liabilities on our balance sheets, depending on the expected timing of payment.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w w:val="98"/>
              </w:rPr>
              <w:t>The following table provides a reconciliation of changes in the fair values for Level 3 assets and liabilities.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8"/>
              </w:rPr>
              <w:t>Auction-rate</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Contingent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securities</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consideration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Reduction in unrealized loss - included in AOCI</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Redemptions at par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2010</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Reduction in unrealized loss - included in AOCI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Redemptions at par</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Transfers into Level 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2010</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Reduction in unrealized loss - included in AOCI</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Redemptions at par</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Ending Balance, March 31, 2011</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jc w:val="right"/>
              <w:ind w:right="2390"/>
              <w:spacing w:after="0"/>
              <w:rPr>
                <w:sz w:val="20"/>
                <w:szCs w:val="20"/>
                <w:color w:val="auto"/>
              </w:rPr>
            </w:pPr>
            <w:r>
              <w:rPr>
                <w:rFonts w:ascii="Arial" w:cs="Arial" w:eastAsia="Arial" w:hAnsi="Arial"/>
                <w:sz w:val="14"/>
                <w:szCs w:val="14"/>
                <w:color w:val="auto"/>
              </w:rPr>
              <w:t>12</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82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U.S.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9"/>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Defined Benefit</w:t>
            </w:r>
          </w:p>
        </w:tc>
        <w:tc>
          <w:tcPr>
            <w:tcW w:w="240" w:type="dxa"/>
            <w:vAlign w:val="bottom"/>
          </w:tcPr>
          <w:p>
            <w:pPr>
              <w:spacing w:after="0"/>
              <w:rPr>
                <w:sz w:val="20"/>
                <w:szCs w:val="20"/>
                <w:color w:val="auto"/>
              </w:rPr>
            </w:pPr>
          </w:p>
        </w:tc>
        <w:tc>
          <w:tcPr>
            <w:tcW w:w="19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Retiree Health Care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March 31,</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340" w:right="2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19" w:lineRule="exact"/>
        <w:rPr>
          <w:rFonts w:ascii="Arial" w:cs="Arial" w:eastAsia="Arial" w:hAnsi="Arial"/>
          <w:sz w:val="18"/>
          <w:szCs w:val="18"/>
          <w:color w:val="auto"/>
        </w:rPr>
      </w:pPr>
    </w:p>
    <w:p>
      <w:pPr>
        <w:ind w:left="340" w:right="2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3" w:lineRule="exact"/>
        <w:rPr>
          <w:rFonts w:ascii="Arial" w:cs="Arial" w:eastAsia="Arial" w:hAnsi="Arial"/>
          <w:sz w:val="18"/>
          <w:szCs w:val="18"/>
          <w:color w:val="auto"/>
        </w:rPr>
      </w:pPr>
    </w:p>
    <w:p>
      <w:pPr>
        <w:ind w:left="340" w:right="2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operations indemnity – </w:t>
      </w:r>
      <w:r>
        <w:rPr>
          <w:rFonts w:ascii="Arial" w:cs="Arial" w:eastAsia="Arial" w:hAnsi="Arial"/>
          <w:sz w:val="18"/>
          <w:szCs w:val="18"/>
          <w:color w:val="auto"/>
        </w:rPr>
        <w:t>In connection with the 2006 sale of the former Sensors &amp; Controls business, we have agreed to indemnify Sensata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future periods.</w:t>
      </w:r>
    </w:p>
    <w:p>
      <w:pPr>
        <w:spacing w:after="0" w:line="220" w:lineRule="exact"/>
        <w:rPr>
          <w:rFonts w:ascii="Arial" w:cs="Arial" w:eastAsia="Arial" w:hAnsi="Arial"/>
          <w:sz w:val="18"/>
          <w:szCs w:val="18"/>
          <w:color w:val="auto"/>
        </w:rPr>
      </w:pPr>
    </w:p>
    <w:p>
      <w:pPr>
        <w:ind w:left="340" w:right="10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 reverse termination fee – </w:t>
      </w:r>
      <w:r>
        <w:rPr>
          <w:rFonts w:ascii="Arial" w:cs="Arial" w:eastAsia="Arial" w:hAnsi="Arial"/>
          <w:sz w:val="18"/>
          <w:szCs w:val="18"/>
          <w:color w:val="auto"/>
        </w:rPr>
        <w:t>In connection with our recently announced agreement to acquire National Semiconductor, if we are unable to close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due to our inability to obtain regulatory approvals in various jurisdictions, we may be required to pay National Semiconductor a reverse termination fee of $350 million.</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800" w:type="dxa"/>
            <w:vAlign w:val="bottom"/>
            <w:gridSpan w:val="7"/>
          </w:tcPr>
          <w:p>
            <w:pPr>
              <w:ind w:left="4940"/>
              <w:spacing w:after="0"/>
              <w:rPr>
                <w:sz w:val="20"/>
                <w:szCs w:val="20"/>
                <w:color w:val="auto"/>
              </w:rPr>
            </w:pPr>
            <w:r>
              <w:rPr>
                <w:rFonts w:ascii="Arial" w:cs="Arial" w:eastAsia="Arial" w:hAnsi="Arial"/>
                <w:sz w:val="18"/>
                <w:szCs w:val="18"/>
                <w:b w:val="1"/>
                <w:bCs w:val="1"/>
                <w:color w:val="auto"/>
                <w:w w:val="94"/>
              </w:rPr>
              <w:t>For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4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5760" w:type="dxa"/>
            <w:vAlign w:val="bottom"/>
            <w:gridSpan w:val="2"/>
            <w:shd w:val="clear" w:color="auto" w:fill="CCEEFF"/>
          </w:tcPr>
          <w:p>
            <w:pPr>
              <w:ind w:left="49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1,536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Embedded Processing</w:t>
            </w:r>
          </w:p>
        </w:tc>
        <w:tc>
          <w:tcPr>
            <w:tcW w:w="4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533</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49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760" w:type="dxa"/>
            <w:vAlign w:val="bottom"/>
            <w:gridSpan w:val="2"/>
            <w:shd w:val="clear" w:color="auto" w:fill="CCEEFF"/>
          </w:tcPr>
          <w:p>
            <w:pPr>
              <w:ind w:left="49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3,392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4940" w:type="dxa"/>
            <w:vAlign w:val="bottom"/>
            <w:tcBorders>
              <w:top w:val="single" w:sz="8" w:color="CCEEFF"/>
            </w:tcBorders>
          </w:tcPr>
          <w:p>
            <w:pPr>
              <w:jc w:val="right"/>
              <w:ind w:right="2694"/>
              <w:spacing w:after="0"/>
              <w:rPr>
                <w:sz w:val="20"/>
                <w:szCs w:val="20"/>
                <w:color w:val="auto"/>
              </w:rPr>
            </w:pPr>
            <w:r>
              <w:rPr>
                <w:rFonts w:ascii="Arial" w:cs="Arial" w:eastAsia="Arial" w:hAnsi="Arial"/>
                <w:sz w:val="14"/>
                <w:szCs w:val="14"/>
                <w:color w:val="auto"/>
              </w:rPr>
              <w:t>13</w:t>
            </w: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49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600" w:type="dxa"/>
            <w:vAlign w:val="bottom"/>
            <w:gridSpan w:val="7"/>
          </w:tcPr>
          <w:p>
            <w:pPr>
              <w:ind w:left="4740"/>
              <w:spacing w:after="0"/>
              <w:rPr>
                <w:sz w:val="20"/>
                <w:szCs w:val="20"/>
                <w:color w:val="auto"/>
              </w:rPr>
            </w:pPr>
            <w:r>
              <w:rPr>
                <w:rFonts w:ascii="Arial" w:cs="Arial" w:eastAsia="Arial" w:hAnsi="Arial"/>
                <w:sz w:val="18"/>
                <w:szCs w:val="18"/>
                <w:b w:val="1"/>
                <w:bCs w:val="1"/>
                <w:color w:val="auto"/>
                <w:w w:val="94"/>
              </w:rPr>
              <w:t>For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w:t>
            </w:r>
          </w:p>
        </w:tc>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5640" w:type="dxa"/>
            <w:vAlign w:val="bottom"/>
            <w:gridSpan w:val="2"/>
            <w:shd w:val="clear" w:color="auto" w:fill="CCEEFF"/>
          </w:tcPr>
          <w:p>
            <w:pPr>
              <w:ind w:left="47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Embedded Processing</w:t>
            </w:r>
          </w:p>
        </w:tc>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47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5640" w:type="dxa"/>
            <w:vAlign w:val="bottom"/>
            <w:gridSpan w:val="2"/>
            <w:shd w:val="clear" w:color="auto" w:fill="CCEEFF"/>
          </w:tcPr>
          <w:p>
            <w:pPr>
              <w:ind w:left="47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800" w:type="dxa"/>
            <w:vAlign w:val="bottom"/>
            <w:tcBorders>
              <w:top w:val="single" w:sz="8" w:color="CCEEFF"/>
            </w:tcBorders>
          </w:tcPr>
          <w:p>
            <w:pPr>
              <w:spacing w:after="0"/>
              <w:rPr>
                <w:sz w:val="24"/>
                <w:szCs w:val="24"/>
                <w:color w:val="auto"/>
              </w:rPr>
            </w:pPr>
          </w:p>
        </w:tc>
        <w:tc>
          <w:tcPr>
            <w:tcW w:w="4740" w:type="dxa"/>
            <w:vAlign w:val="bottom"/>
            <w:tcBorders>
              <w:top w:val="single" w:sz="8" w:color="CCEEFF"/>
            </w:tcBorders>
          </w:tcPr>
          <w:p>
            <w:pPr>
              <w:jc w:val="right"/>
              <w:ind w:right="2694"/>
              <w:spacing w:after="0"/>
              <w:rPr>
                <w:sz w:val="20"/>
                <w:szCs w:val="20"/>
                <w:color w:val="auto"/>
              </w:rPr>
            </w:pPr>
            <w:r>
              <w:rPr>
                <w:rFonts w:ascii="Arial" w:cs="Arial" w:eastAsia="Arial" w:hAnsi="Arial"/>
                <w:sz w:val="14"/>
                <w:szCs w:val="14"/>
                <w:color w:val="auto"/>
              </w:rPr>
              <w:t>14</w:t>
            </w:r>
          </w:p>
        </w:tc>
        <w:tc>
          <w:tcPr>
            <w:tcW w:w="9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7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were the world’s fourth largest semiconductor company in 2010 as measured by revenue, according to an external source. Additionally, we sell calculators and related products.</w:t>
      </w:r>
    </w:p>
    <w:p>
      <w:pPr>
        <w:spacing w:after="0" w:line="1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April 4, 2011, we announced that we had entered into an agreement to acquire National Semiconductor Corporation (“National”). Under the terms of the agreement, National stockholders will receive $25 in cash for each share of National common stock they hold at the time of closing. TI expects to fund the transaction with a combination of existing cash balances and new debt issuance. The acquisition is subject to customary closing conditions, including review by U.S. and international regulators and approval by National’s shareholders. TI expects the transaction to close sometime in 2011. The National acquisition will bring to TI a portfolio of 12,000 analog products and strong customer design tools, and is consistent with our strategy to grow our Analog business. Upon the close of the transaction, National will become part of TI’s Analog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80,000 customers generated 43 percent of our revenue in 2010. According to external sources, the worldwide market for analog semiconductors was about $42 billion in 2010. Our Analog segment’s revenue in 2010 was about $6 billion, or about 14 percent of this market, the leading position. We believe that we are well positioned to increase our market share over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nearly 16,000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21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15 percent of our revenue in 2010. According to external sources, the worldwide market for embedded processors was about $18 billion in</w:t>
      </w:r>
    </w:p>
    <w:p>
      <w:pPr>
        <w:ind w:right="300"/>
        <w:spacing w:after="0" w:line="261" w:lineRule="auto"/>
        <w:rPr>
          <w:sz w:val="20"/>
          <w:szCs w:val="20"/>
          <w:color w:val="auto"/>
        </w:rPr>
      </w:pPr>
      <w:r>
        <w:rPr>
          <w:rFonts w:ascii="Arial" w:cs="Arial" w:eastAsia="Arial" w:hAnsi="Arial"/>
          <w:sz w:val="18"/>
          <w:szCs w:val="18"/>
          <w:color w:val="auto"/>
        </w:rPr>
        <w:t>2010. Our Embedded Processing segment’s revenue in 2010 was about $2 billion, or about 11 percent of this fragmented market. We believe we are well positioned to increase our market share over time.</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Growth in the wireless handset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the fastest growing wireless segment. Smartphones and tablets also use other semiconductors to enable connectivity through means other than the cellular network (such as Bluetooth® devices, WiFi networks, GPS location services, and Near Field Communication (NFC)).</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and our Wireless portfolio includes both standard products and custom products. Sales of Wireless products generated about $3 billion, or 21 percent of our revenue, in 2010, with a significant portion of those sales to a single customer.</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Wireless investments are concentrated on our connectivity products and OMAP applications processors, areas we believe offer significant growth opportunities and which will enable us to take advantage of the increasing demand for more powerful and more functional mobile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$1.7 billion in 2010, to cease by the end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entered into in connection with acquisitions and divestitures.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$3 billion, or 21 percent of our revenue, in 2010.</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2010, external foundries provided 60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2011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$3.39 billion, net income was $666 million and earnings per share (EPS) were 55 cents.</w:t>
      </w:r>
    </w:p>
    <w:p>
      <w:pPr>
        <w:spacing w:after="0" w:line="252"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color w:val="auto"/>
        </w:rPr>
        <w:t>2011 started strong, with customer demand in January and February tracking our expectations for a first quarter of above-seasonal growth. Later in the quarter, revenue from Wireless baseband chips was substantially below our expectations as a result of lower demand from a single customer. To a lesser extent, revenue was also affected by the March 11 earthquake in Japan and its aftermath, which disrupted demand and impaired operations at two of our factories there. The lower revenue combined with expenses resulting from the earthquake affected EPS. New orders, however, were strong through the quarter, indicative of the underlying strength in our markets.</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Recovery of our operations in Japan is progressing well. One of our factories has resumed full production, and the other has restarted initial processing of wafers and is on schedule for full loadings in the third quarter. Nonetheless, many of our Japanese customers remain in the early stages of reopening their own factories, and we and our customers face potential supply chain disruptions. We expect growth in the second quarter, though it will be pressured by the situation in Japan. We expect that our second-quarter EPS will be negatively impacted by a combination of lower output at our Japan factories, lower local Japan demand and potential supply chain disruptions, as well as by earthquake-related costs we expect to recognize in the second quarter. Provided consumer and enterprise demand remain strong, we expect a good second half of the year.</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92"/>
              </w:rPr>
              <w:t>For Three Months Ended</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Mar. 31,</w:t>
            </w:r>
          </w:p>
        </w:tc>
        <w:tc>
          <w:tcPr>
            <w:tcW w:w="22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1,728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422</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 / divestiture (gain)</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profit</w:t>
            </w:r>
          </w:p>
        </w:tc>
        <w:tc>
          <w:tcPr>
            <w:tcW w:w="1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918</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1,194</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R&amp;D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Operating profit</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26.8%</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$10 million, $8 million and $14 million for the quarters ending March 31, 2011, March 31, 2010 and December 31,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Revenue for the first quarter of 2011 was $3.39 billion, an increase of $187 million, or 6 percent, from the year-ago quarter due to higher revenue from our core businesses consisting of Analog and Embedded Processing and the part of our Wireless segment that is focused on smartphones and tablet computers. Compared with the prior quarter, revenue decreased $133 million, or 4 percent, primarily due to lower revenue from the baseband portion of Wireless. During the first quarter of 2011, loss of revenue associated with the events in Japan was estimated to be about $20 million.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profit for the first quarter of 2011 was $1.73 billion, or 50.9 percent of revenue, an increase of $39 million, or 2 percent, from the year-ago quarter and a decrease of $141 million, or 8 percent, from the prior quarter. The change in gross profit in both comparisons was primarily due to the change in revenue. Included in results for the first quarter of 2011 are about $30 million of costs resulting from the events in Japan. See Note 2 to the Financial Statements for more details.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expenses for the first quarter of 2011 were $422 million for R&amp;D and $396 million for SG&amp;A. R&amp;D expense increased $52 million, or 14 percent, from the year-ago quarter due to higher product development costs, particularly for our core businesses and, to a lesser extent, higher compensation-related costs. R&amp;D expense increased $29 million, or 7 percent, from the prior quarter due to higher compensation-related costs and, to a lesser extent, higher product development costs. SG&amp;A expense increased $37 million, or 10 percent, from the year-ago quarter, due to higher compensation-related costs and, to a lesser extent, increased investments in sales and marketing activities. Compared with the prior quarter, SG&amp;A expense increased $7 million, or 2 percent, due to higher compensation-related costs.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9" w:name="page20"/>
    <w:bookmarkEnd w:id="19"/>
    <w:p>
      <w:pPr>
        <w:ind w:right="400"/>
        <w:spacing w:after="0" w:line="342" w:lineRule="auto"/>
        <w:rPr>
          <w:sz w:val="20"/>
          <w:szCs w:val="20"/>
          <w:color w:val="auto"/>
        </w:rPr>
      </w:pPr>
      <w:r>
        <w:rPr>
          <w:rFonts w:ascii="Arial" w:cs="Arial" w:eastAsia="Arial" w:hAnsi="Arial"/>
          <w:sz w:val="16"/>
          <w:szCs w:val="16"/>
          <w:color w:val="auto"/>
        </w:rPr>
        <w:t>In the first quarter of 2011, we incurred $2 million of acquisition-related transaction costs associated with the announced agreement to acquire National Semiconductor. In the prior quarter, we recorded a $144 million pretax gain from divestiture of a product line previously included in our Other segment.</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first quarter of 2011, our operating profit was $908 million, or 26.8 percent of revenue, compared with $950 million, or 29.7 percent of revenue, for the year-ago quarter. The decrease in operating profit from the year-ago quarter was due to higher operating expenses that more than offset higher gross profit. Compared with the prior quarter, operating profit decreased $322 million, or 26 percent, due to the combination of lower gross profit and last quarter’s gain on sale of a product line.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2011, our estimated annual effective tax rate for 2011 is about 28 percent. See Note 3 to the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2011, our tax provision was $252 million compared with $299 million in the year-ago quarter and $306 million in the prior</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quarter. The decrease in the tax provision from the year-ago quarter was due, in decreasing order, to the effects of non-U.S. tax rates, the federal research tax credit and lower income before income taxes. The decrease in the tax provision from the prior quarter was due to lower income before income taxes, partially offset by the cumulative effect of the reinstatement of the federal research tax credit in the prior quarter.</w:t>
      </w:r>
    </w:p>
    <w:p>
      <w:pPr>
        <w:spacing w:after="0" w:line="2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first quarter of 2011, our net income was $666 million compared with net income of $658 million for the year-ago quarter and $942 million for the prior quarter. EPS was $0.55, compared with $0.52 for the year-ago quarter and $0.78 for the prior quarter.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Orders in the first quarter were $3.58 billion, a decrease of 2 percent from the year-ago quarter and an increase of 14 percent from the prior quarter.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Segment results</w:t>
            </w: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0"/>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1Q11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1Q11</w:t>
            </w:r>
          </w:p>
        </w:tc>
      </w:t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1Q10</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vs. 1Q10</w:t>
            </w: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4Q10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4Q10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1,536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398</w:t>
            </w:r>
          </w:p>
        </w:tc>
        <w:tc>
          <w:tcPr>
            <w:tcW w:w="9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Analog revenue increased 12 percent from the year-ago quarter due to increased shipments of high-performance analog products and, to a lesser extent, increased shipments of power management and high-volume analog &amp; logic products. Compared with the prior quarter, revenue was about even as an increase in shipments of power management products was partially offset by a decrease in shipments of high-performance analog products. Revenue from high-volume analog &amp; logic products was about even. Compared with the year-ago quarter, operating profit increased due to higher revenue and associated gross profit partially offset by increased operating expenses. Operating profit decreased 14 percent from the prior quarter due to lower gross profit and higher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1Q11</w:t>
            </w: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1Q10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4Q10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4Q10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55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ind w:right="160"/>
        <w:spacing w:after="0" w:line="297" w:lineRule="auto"/>
        <w:rPr>
          <w:sz w:val="20"/>
          <w:szCs w:val="20"/>
          <w:color w:val="auto"/>
        </w:rPr>
      </w:pPr>
      <w:r>
        <w:rPr>
          <w:rFonts w:ascii="Arial" w:cs="Arial" w:eastAsia="Arial" w:hAnsi="Arial"/>
          <w:sz w:val="16"/>
          <w:szCs w:val="16"/>
          <w:color w:val="auto"/>
        </w:rPr>
        <w:t>Embedded Processing revenue increased 21 percent from the year-ago quarter due to increased shipments of catalog products and, to a lesser extent, shipments of products sold into communications infrastructure and automotive applications. Compared with the prior quarter, due to changes in the product mix, revenue was about even as increased shipments of products sold into automotive applications were offset by lower revenue from communications infrastructure and catalog products. Compared with the year-ago quarter, operating profit increased due to higher revenue and associated gross profit. Operating profit was 29 percent lower than the prior quarter due to lower gross profit and, to a lesser extent, higher 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1Q11</w:t>
            </w: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1Q10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4Q10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4Q10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Wireless revenue decreased 8 percent from the year-ago quarter due to decreased shipments of baseband products to a single customer. Revenue from connectivity products increased due to increased product shipments. Revenue from applications processors was about even. Baseband revenue for the first quarter of 2011 was $334 million, a decrease of $90 million, or 21 percent, from the year-ago quarter. The decrease in Wireless operating profit compared with the year-ago quarter was due to higher operating expenses and, to a lesser extent, lower revenue and associated gross profit. Compared with the prior quarter, Wireless revenue declined 14 percent due to decreased shipments of baseband products to a single customer. Baseband revenue declined $101 million, or 23 percent, from the prior quarter. Revenue from applications processors declined due to a decrease in product shipments. Revenue from connectivity products increased as a decline in product shipments was offset by the impact of a higher proportion of shipments of higher-priced</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products. Operating profit declined 22 percent from the prior quarter due to lower revenue and associated gross profit, partially offset by decreased 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1Q11</w:t>
            </w: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1Q10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4Q10</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vs. 4Q10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421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Other revenue decreased 2 percent from the year-ago quarter, primarily due to lower royalties, which were mostly offset by increased revenue from transitional supply agreements and DLP products. Compared with the prior quarter, revenue declined 5 percent due about equally to decreased shipments of custom ASIC products and lower royalties and, to a lesser extent, decreased revenue from transitional supply agreements; revenue from calculators and DLP products partially offset these decreases. Included in operating profit for the first quarter of 2011 are about $30 million of costs resulting from the events in Japan and $2 million of acquisition-related costs associated with the announced agreement to acquire National Semiconductor. The prior quarter included a $144 million gain from the divestiture of a product line. Operating profit for the first quarter of 2011 decreased from the year-ago quarter due to lower revenue and the costs resulting from the events in Japan. Operating profit decreased sequentially due to the gain from the divestiture of a product line in the prior quarter and the costs resulting from the events in Japan.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the end of the first quarter of 2011, total cash (cash and cash equivalents plus short-term investments) was $2.86 billion. This was $215 million lower than at the end of 2010.</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Accounts receivable were $1.57 billion at the end of the first quarter. This was an increase of $50 million from the end of 2010. Days sales outstanding were 42 at the end of the quarter compared with 39 at the end of 2010. The increase in accounts receivable was primarily the result of higher revenue in the last month of the first quarter of 2011 compared with the fourth quarter of 2010.</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Inventory was $1.68 billion at the end of the first quarter. This was an increase of $158 million from the end of 2010. Days of inventory at the end of the first quarter were 91 compared with 83 at the end of 2010. Most of the inventory increase was due to building inventory to help support high customer service levels. About one-third of the sequential inventory increase was Wireless baseband inventory that resulted from weaker than expected demand from a single customer.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9"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Our primary source of liquidity is cash flow from operations. Other sources of liquidity are our cash and cash equivalents, short-term investments and revolving credit facilities. Cash flow from operations for the first quarter of 2011 was $516 million, a decrease of $194 million from the year-ago period. This decrease was due to changes in working capital, primarily for increased compensation payments and higher inventory levels.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had $1.34 billion of cash and cash equivalents and $1.51 billion of short-term investments as of March 31, 2011. We have a variable-rate revolving credit facility that allows us to borrow up to $1 billion until August 2011 and up to $920 million from August 2011 until August 2012. As of March 31, 2011, this credit facility was not being utilized.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 provided cash of $63 million for the first three months of 2011, compared with $51 million used in the year-ago period. Sales,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redemptions and maturities of short-term investments, net of purchases, provided cash of $239 million compared with $169 million in the year-ago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quarter. Capital expenditures in the first quarter of 2011 totaled $194 million compared with $219 million in the year-ago quarter. These expenditures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for assembly/test equipment, and to a lesser extent, for analog wafer manufacturing equipment.</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was $555 million compared with $624 million in the year-ago period. We used $771 million of cash in the first quarter of 2011 to repurchase 21.9 million shares of our common stock and paid dividends of $153 million. In the same period last year we used $504 million of cash to repurchase 20.6 million shares of common stock and paid $149 million in dividends. Employee exercises of TI stock options provided cash proceeds of $350 million compared with $29 million for the year-ago quarter.</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expect our acquisition of National Semiconductor for $25 per share, or approximately $6.5 billion, to close sometime in 2011. We expect to finance the acquisition through a combination of existing cash balances and new debt issuance. In connection with the announced acquisition agreement, we obtained commitments for an unsecured bridge loan term facility and a revolving credit facility. The aggregate amount of these facilities is $3.5 billion. Each facility has a 364-day term.</w:t>
      </w:r>
    </w:p>
    <w:p>
      <w:pPr>
        <w:spacing w:after="0" w:line="21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9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2011, we expect approximately: an annual effective tax rate of 28 percent; R&amp;D expense of $1.7 billion; capital expenditures of $0.9 billion; and depreciation of $0.9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2010,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Total Number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of Shares</w:t>
            </w:r>
          </w:p>
        </w:tc>
        <w:tc>
          <w:tcPr>
            <w:tcW w:w="13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Purchased as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Part of</w:t>
            </w:r>
          </w:p>
        </w:tc>
        <w:tc>
          <w:tcPr>
            <w:tcW w:w="1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Publicly</w:t>
            </w:r>
          </w:p>
        </w:tc>
        <w:tc>
          <w:tcPr>
            <w:tcW w:w="1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jc w:val="center"/>
              <w:ind w:left="1450"/>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Average</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60" w:type="dxa"/>
            <w:vAlign w:val="bottom"/>
          </w:tcPr>
          <w:p>
            <w:pPr>
              <w:jc w:val="center"/>
              <w:ind w:left="1430"/>
              <w:spacing w:after="0"/>
              <w:rPr>
                <w:sz w:val="20"/>
                <w:szCs w:val="20"/>
                <w:color w:val="auto"/>
              </w:rPr>
            </w:pPr>
            <w:r>
              <w:rPr>
                <w:rFonts w:ascii="Arial" w:cs="Arial" w:eastAsia="Arial" w:hAnsi="Arial"/>
                <w:sz w:val="18"/>
                <w:szCs w:val="18"/>
                <w:b w:val="1"/>
                <w:bCs w:val="1"/>
                <w:color w:val="auto"/>
                <w:w w:val="85"/>
              </w:rPr>
              <w:t>of Shares</w:t>
            </w: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Price Paid per</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Plans or</w:t>
            </w:r>
          </w:p>
        </w:tc>
        <w:tc>
          <w:tcPr>
            <w:tcW w:w="1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Plans or</w:t>
            </w:r>
          </w:p>
        </w:tc>
      </w:tr>
      <w:tr>
        <w:trPr>
          <w:trHeight w:val="241"/>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86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Pr>
          <w:p>
            <w:pPr>
              <w:spacing w:after="0"/>
              <w:rPr>
                <w:sz w:val="20"/>
                <w:szCs w:val="20"/>
                <w:color w:val="auto"/>
              </w:rPr>
            </w:pPr>
          </w:p>
        </w:tc>
        <w:tc>
          <w:tcPr>
            <w:tcW w:w="1200" w:type="dxa"/>
            <w:vAlign w:val="bottom"/>
          </w:tcPr>
          <w:p>
            <w:pPr>
              <w:jc w:val="center"/>
              <w:ind w:right="130"/>
              <w:spacing w:after="0" w:line="234"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5"/>
                <w:szCs w:val="25"/>
                <w:b w:val="1"/>
                <w:bCs w:val="1"/>
                <w:color w:val="auto"/>
                <w:w w:val="85"/>
                <w:vertAlign w:val="superscript"/>
              </w:rPr>
              <w:t>(1)</w:t>
            </w:r>
          </w:p>
        </w:tc>
      </w:tr>
      <w:tr>
        <w:trPr>
          <w:trHeight w:val="216"/>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through January 31, 2011</w:t>
            </w:r>
          </w:p>
        </w:tc>
        <w:tc>
          <w:tcPr>
            <w:tcW w:w="2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2,179,400</w:t>
            </w:r>
          </w:p>
        </w:tc>
        <w:tc>
          <w:tcPr>
            <w:tcW w:w="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34.41</w:t>
            </w:r>
          </w:p>
        </w:tc>
        <w:tc>
          <w:tcPr>
            <w:tcW w:w="14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2,179,400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7.57 billion</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February 1 through February 28, 2011</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11,373,917</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35.54</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11,373,917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220"/>
              <w:spacing w:after="0"/>
              <w:rPr>
                <w:sz w:val="20"/>
                <w:szCs w:val="20"/>
                <w:color w:val="auto"/>
              </w:rPr>
            </w:pPr>
            <w:r>
              <w:rPr>
                <w:rFonts w:ascii="Arial" w:cs="Arial" w:eastAsia="Arial" w:hAnsi="Arial"/>
                <w:sz w:val="18"/>
                <w:szCs w:val="18"/>
                <w:color w:val="auto"/>
              </w:rPr>
              <w:t>7.17 billion</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through March 31, 2011</w:t>
            </w:r>
          </w:p>
        </w:tc>
        <w:tc>
          <w:tcPr>
            <w:tcW w:w="2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8,343,018</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34.93</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8,343,018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6.87 billion</w:t>
            </w:r>
          </w:p>
        </w:tc>
      </w:tr>
      <w:tr>
        <w:trPr>
          <w:trHeight w:val="195"/>
        </w:trPr>
        <w:tc>
          <w:tcPr>
            <w:tcW w:w="2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28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21,896,335</w:t>
            </w:r>
          </w:p>
        </w:tc>
        <w:tc>
          <w:tcPr>
            <w:tcW w:w="280" w:type="dxa"/>
            <w:vAlign w:val="bottom"/>
          </w:tcPr>
          <w:p>
            <w:pPr>
              <w:ind w:left="120"/>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35.19</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21,896,335</w:t>
            </w:r>
            <w:r>
              <w:rPr>
                <w:rFonts w:ascii="Arial" w:cs="Arial" w:eastAsia="Arial" w:hAnsi="Arial"/>
                <w:sz w:val="12"/>
                <w:szCs w:val="12"/>
                <w:color w:val="auto"/>
              </w:rPr>
              <w:t>(2)</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ind w:left="220"/>
              <w:spacing w:after="0" w:line="195" w:lineRule="exact"/>
              <w:rPr>
                <w:sz w:val="20"/>
                <w:szCs w:val="20"/>
                <w:color w:val="auto"/>
              </w:rPr>
            </w:pPr>
            <w:r>
              <w:rPr>
                <w:rFonts w:ascii="Arial" w:cs="Arial" w:eastAsia="Arial" w:hAnsi="Arial"/>
                <w:sz w:val="18"/>
                <w:szCs w:val="18"/>
                <w:color w:val="auto"/>
                <w:w w:val="95"/>
              </w:rPr>
              <w:t>6.87 billion</w:t>
            </w:r>
            <w:r>
              <w:rPr>
                <w:rFonts w:ascii="Arial" w:cs="Arial" w:eastAsia="Arial" w:hAnsi="Arial"/>
                <w:sz w:val="12"/>
                <w:szCs w:val="12"/>
                <w:color w:val="auto"/>
                <w:w w:val="95"/>
              </w:rPr>
              <w:t>(3)</w:t>
            </w:r>
          </w:p>
        </w:tc>
      </w:tr>
      <w:tr>
        <w:trPr>
          <w:trHeight w:val="260"/>
        </w:trPr>
        <w:tc>
          <w:tcPr>
            <w:tcW w:w="4420" w:type="dxa"/>
            <w:vAlign w:val="bottom"/>
            <w:gridSpan w:val="2"/>
          </w:tcPr>
          <w:p>
            <w:pPr>
              <w:spacing w:after="0"/>
              <w:rPr>
                <w:sz w:val="20"/>
                <w:szCs w:val="20"/>
                <w:color w:val="auto"/>
              </w:rPr>
            </w:pPr>
            <w:r>
              <w:rPr>
                <w:rFonts w:ascii="Arial" w:cs="Arial" w:eastAsia="Arial" w:hAnsi="Arial"/>
                <w:sz w:val="22"/>
                <w:szCs w:val="22"/>
                <w:color w:val="auto"/>
              </w:rPr>
              <w:t>_________</w:t>
            </w:r>
          </w:p>
        </w:tc>
        <w:tc>
          <w:tcPr>
            <w:tcW w:w="2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ind w:left="340" w:right="100" w:hanging="332"/>
        <w:spacing w:after="0" w:line="223"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either under the authorization from our board of directors to purchase up to $5 billion of additional shares of TI common stock announced on September 21, 2007 (of which approximately $145 million was available on January 1, 2011), or under the $7.5 billion authorization announced on September 16, 2010.</w:t>
      </w:r>
    </w:p>
    <w:p>
      <w:pPr>
        <w:spacing w:after="0" w:line="172"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28" w:lineRule="exact"/>
        <w:rPr>
          <w:rFonts w:ascii="Arial" w:cs="Arial" w:eastAsia="Arial" w:hAnsi="Arial"/>
          <w:sz w:val="25"/>
          <w:szCs w:val="25"/>
          <w:color w:val="auto"/>
          <w:vertAlign w:val="superscript"/>
        </w:rPr>
      </w:pPr>
    </w:p>
    <w:p>
      <w:pPr>
        <w:ind w:left="340" w:right="6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March 31, 2011, this amount consisted of the remaining portion of the $7.5 billion authorization announced on September 16, 2010. No expiration date was specified for this authorization.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7"/>
              </w:rPr>
              <w:t>ITEM 6. Exhibits.</w:t>
            </w:r>
          </w:p>
        </w:tc>
        <w:tc>
          <w:tcPr>
            <w:tcW w:w="9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7"/>
              </w:rPr>
              <w:t>Designation of</w:t>
            </w: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Exhibits in This</w:t>
            </w: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Report</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26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26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26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by Chief Executive Officer of Periodic Report Pursuant to 18 U.S.C. Section 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3"/>
            <w:shd w:val="clear" w:color="auto" w:fill="CCEEFF"/>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26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Certification by Chief Financial Officer of Periodic Report Pursuant to 18 U.S.C. Section 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shd w:val="clear" w:color="auto" w:fill="CCEEFF"/>
          </w:tcPr>
          <w:p>
            <w:pPr>
              <w:jc w:val="center"/>
              <w:ind w:right="280"/>
              <w:spacing w:after="0"/>
              <w:rPr>
                <w:sz w:val="20"/>
                <w:szCs w:val="20"/>
                <w:color w:val="auto"/>
              </w:rPr>
            </w:pPr>
            <w:r>
              <w:rPr>
                <w:rFonts w:ascii="Arial" w:cs="Arial" w:eastAsia="Arial" w:hAnsi="Arial"/>
                <w:sz w:val="18"/>
                <w:szCs w:val="18"/>
                <w:color w:val="auto"/>
                <w:w w:val="89"/>
              </w:rPr>
              <w:t>101.ins</w:t>
            </w: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9"/>
              </w:rPr>
              <w:t>101.def</w:t>
            </w: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shd w:val="clear" w:color="auto" w:fill="CCEEFF"/>
          </w:tcPr>
          <w:p>
            <w:pPr>
              <w:jc w:val="center"/>
              <w:ind w:right="280"/>
              <w:spacing w:after="0"/>
              <w:rPr>
                <w:sz w:val="20"/>
                <w:szCs w:val="20"/>
                <w:color w:val="auto"/>
              </w:rPr>
            </w:pPr>
            <w:r>
              <w:rPr>
                <w:rFonts w:ascii="Arial" w:cs="Arial" w:eastAsia="Arial" w:hAnsi="Arial"/>
                <w:sz w:val="18"/>
                <w:szCs w:val="18"/>
                <w:color w:val="auto"/>
                <w:w w:val="88"/>
              </w:rPr>
              <w:t>101.sch</w:t>
            </w: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shd w:val="clear" w:color="auto" w:fill="CCEEFF"/>
          </w:tcPr>
          <w:p>
            <w:pPr>
              <w:jc w:val="center"/>
              <w:ind w:right="280"/>
              <w:spacing w:after="0"/>
              <w:rPr>
                <w:sz w:val="20"/>
                <w:szCs w:val="20"/>
                <w:color w:val="auto"/>
              </w:rPr>
            </w:pPr>
            <w:r>
              <w:rPr>
                <w:rFonts w:ascii="Arial" w:cs="Arial" w:eastAsia="Arial" w:hAnsi="Arial"/>
                <w:sz w:val="18"/>
                <w:szCs w:val="18"/>
                <w:color w:val="auto"/>
                <w:w w:val="89"/>
              </w:rPr>
              <w:t>101.cal</w:t>
            </w: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91"/>
              </w:rPr>
              <w:t>101.lab</w:t>
            </w: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101.pre</w:t>
            </w: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Furnished, not filed, herewith.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63"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TI specifically notes that circumstances arising out of the recent earthquakes and tsunami in Japan, including disruptions and increased costs of TI’s production, disruptions in our supply chain (including utilities) and reduced or delayed demand from customers, could cause actual results to differ from the expectations of TI or its management.</w:t>
      </w: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10-Q are made only as of the date of this report, and we undertake no obligation to update the forward-looking statements to reflect subsequent events or circumstances.</w:t>
      </w: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25" w:name="page26"/>
    <w:bookmarkEnd w:id="25"/>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656"/>
        <w:spacing w:after="0" w:line="264"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20" w:hanging="4"/>
        <w:spacing w:after="0" w:line="264" w:lineRule="auto"/>
        <w:tabs>
          <w:tab w:leader="none" w:pos="8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80" w:hanging="4"/>
        <w:spacing w:after="0" w:line="342" w:lineRule="auto"/>
        <w:tabs>
          <w:tab w:leader="none" w:pos="8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hanging="4"/>
        <w:spacing w:after="0" w:line="264"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656"/>
        <w:spacing w:after="0" w:line="27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0" w:lineRule="exact"/>
        <w:rPr>
          <w:sz w:val="20"/>
          <w:szCs w:val="20"/>
          <w:color w:val="auto"/>
        </w:rPr>
      </w:pPr>
    </w:p>
    <w:p>
      <w:pPr>
        <w:ind w:left="660" w:right="260" w:hanging="4"/>
        <w:spacing w:after="0" w:line="277" w:lineRule="auto"/>
        <w:tabs>
          <w:tab w:leader="none" w:pos="8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20" w:hanging="4"/>
        <w:spacing w:after="0" w:line="277" w:lineRule="auto"/>
        <w:tabs>
          <w:tab w:leader="none" w:pos="8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25"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656"/>
        <w:spacing w:after="0" w:line="264"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660" w:right="20" w:hanging="4"/>
        <w:spacing w:after="0" w:line="264" w:lineRule="auto"/>
        <w:tabs>
          <w:tab w:leader="none" w:pos="8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8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80" w:hanging="4"/>
        <w:spacing w:after="0" w:line="342" w:lineRule="auto"/>
        <w:tabs>
          <w:tab w:leader="none" w:pos="8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hanging="4"/>
        <w:spacing w:after="0" w:line="264" w:lineRule="auto"/>
        <w:tabs>
          <w:tab w:leader="none" w:pos="8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656"/>
        <w:spacing w:after="0" w:line="277"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0" w:lineRule="exact"/>
        <w:rPr>
          <w:sz w:val="20"/>
          <w:szCs w:val="20"/>
          <w:color w:val="auto"/>
        </w:rPr>
      </w:pPr>
    </w:p>
    <w:p>
      <w:pPr>
        <w:ind w:left="660" w:right="260" w:hanging="4"/>
        <w:spacing w:after="0" w:line="277" w:lineRule="auto"/>
        <w:tabs>
          <w:tab w:leader="none" w:pos="8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20" w:hanging="4"/>
        <w:spacing w:after="0" w:line="277" w:lineRule="auto"/>
        <w:tabs>
          <w:tab w:leader="none" w:pos="8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34" w:lineRule="exact"/>
        <w:rPr>
          <w:sz w:val="20"/>
          <w:szCs w:val="20"/>
          <w:color w:val="auto"/>
        </w:rPr>
      </w:pPr>
    </w:p>
    <w:p>
      <w:pPr>
        <w:ind w:left="660" w:right="40" w:hanging="4"/>
        <w:spacing w:after="0" w:line="342" w:lineRule="auto"/>
        <w:tabs>
          <w:tab w:leader="none" w:pos="8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20" w:firstLine="656"/>
        <w:spacing w:after="0" w:line="501" w:lineRule="auto"/>
        <w:tabs>
          <w:tab w:leader="none" w:pos="9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5, 2011</w:t>
      </w: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47" w:lineRule="exact"/>
        <w:rPr>
          <w:sz w:val="20"/>
          <w:szCs w:val="20"/>
          <w:color w:val="auto"/>
        </w:rPr>
      </w:pPr>
    </w:p>
    <w:p>
      <w:pPr>
        <w:ind w:left="660" w:right="40" w:hanging="4"/>
        <w:spacing w:after="0" w:line="342" w:lineRule="auto"/>
        <w:tabs>
          <w:tab w:leader="none" w:pos="8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20" w:firstLine="656"/>
        <w:spacing w:after="0" w:line="528" w:lineRule="auto"/>
        <w:tabs>
          <w:tab w:leader="none" w:pos="9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5, 2011</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lvl w:ilvl="1">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2019-12-10T04:16:14Z</dcterms:created>
  <dcterms:modified xsi:type="dcterms:W3CDTF">2019-12-10T04:16:14Z</dcterms:modified>
</cp:coreProperties>
</file>