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62"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143510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sectPr>
      </w:pPr>
    </w:p>
    <w:p>
      <w:pPr>
        <w:spacing w:after="0" w:line="133"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4">
            <w:col w:w="1760" w:space="720"/>
            <w:col w:w="4440" w:space="720"/>
            <w:col w:w="2920" w:space="720"/>
            <w:col w:w="140"/>
          </w:cols>
          <w:pgMar w:left="240" w:top="449" w:right="239" w:bottom="1440" w:gutter="0" w:footer="0" w:header="0"/>
          <w:type w:val="continuous"/>
        </w:sectPr>
      </w:pPr>
    </w:p>
    <w:p>
      <w:pPr>
        <w:spacing w:after="0" w:line="196" w:lineRule="exact"/>
        <w:tabs>
          <w:tab w:leader="none" w:pos="836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5"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1,003,209,756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842010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w w:val="93"/>
              </w:rPr>
              <w:t>For Three Months Ended</w:t>
            </w:r>
          </w:p>
        </w:tc>
        <w:tc>
          <w:tcPr>
            <w:tcW w:w="240" w:type="dxa"/>
            <w:vAlign w:val="bottom"/>
          </w:tcPr>
          <w:p>
            <w:pPr>
              <w:spacing w:after="0"/>
              <w:rPr>
                <w:sz w:val="18"/>
                <w:szCs w:val="18"/>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7"/>
              </w:rPr>
              <w:t>For Six Months Ended</w:t>
            </w:r>
          </w:p>
        </w:tc>
      </w:tr>
      <w:tr>
        <w:trPr>
          <w:trHeight w:val="219"/>
        </w:trPr>
        <w:tc>
          <w:tcPr>
            <w:tcW w:w="64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9"/>
                <w:szCs w:val="19"/>
                <w:color w:val="auto"/>
              </w:rPr>
            </w:pPr>
          </w:p>
        </w:tc>
        <w:tc>
          <w:tcPr>
            <w:tcW w:w="13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3,273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6,281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6,382</w:t>
            </w:r>
          </w:p>
        </w:tc>
        <w:tc>
          <w:tcPr>
            <w:tcW w:w="120" w:type="dxa"/>
            <w:vAlign w:val="bottom"/>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1,270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2,454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2,685</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2,003</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3,827</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345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671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908</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20" w:type="dxa"/>
            <w:vAlign w:val="bottom"/>
            <w:shd w:val="clear" w:color="auto" w:fill="CCEEFF"/>
          </w:tcPr>
          <w:p>
            <w:pPr>
              <w:spacing w:after="0"/>
              <w:rPr>
                <w:sz w:val="19"/>
                <w:szCs w:val="19"/>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r>
      <w:tr>
        <w:trPr>
          <w:trHeight w:val="207"/>
        </w:trPr>
        <w:tc>
          <w:tcPr>
            <w:tcW w:w="64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1,117</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2,085</w:t>
            </w: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1,968</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1,102</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2,052</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323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605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577</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1,016</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1,017</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4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(10)</w:t>
            </w:r>
          </w:p>
        </w:tc>
        <w:tc>
          <w:tcPr>
            <w:tcW w:w="4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(19)</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4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7"/>
              </w:rPr>
              <w:t>For Six Months Ended</w:t>
            </w:r>
          </w:p>
        </w:tc>
        <w:tc>
          <w:tcPr>
            <w:tcW w:w="0" w:type="dxa"/>
            <w:vAlign w:val="bottom"/>
          </w:tcPr>
          <w:p>
            <w:pPr>
              <w:spacing w:after="0"/>
              <w:rPr>
                <w:sz w:val="1"/>
                <w:szCs w:val="1"/>
                <w:color w:val="auto"/>
              </w:rPr>
            </w:pPr>
          </w:p>
        </w:tc>
      </w:tr>
      <w:tr>
        <w:trPr>
          <w:trHeight w:val="219"/>
        </w:trPr>
        <w:tc>
          <w:tcPr>
            <w:tcW w:w="654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4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gains (losses) of defined benefit plans: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(18)</w:t>
            </w: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(30)</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Arial" w:cs="Arial" w:eastAsia="Arial" w:hAnsi="Arial"/>
                <w:sz w:val="16"/>
                <w:szCs w:val="16"/>
                <w:color w:val="auto"/>
              </w:rPr>
              <w:t>Prior service (cost) credit of defined benefit plans: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40" w:type="dxa"/>
            <w:vAlign w:val="bottom"/>
            <w:gridSpan w:val="3"/>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774</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4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1,443</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2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79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($20) and ($7)</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826</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1,876</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926</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6,689</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5,152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(2,595)</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2,557</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15,693</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637</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2,975</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5,731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1,681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31,850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June 30, 2016 – 737,467,669; December 31, 2015 – 729,547,527</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(24,774)</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(536)</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9,962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15,693</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8"/>
              </w:rPr>
              <w:t>For Six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9"/>
                <w:szCs w:val="19"/>
                <w:color w:val="auto"/>
              </w:rPr>
            </w:pPr>
          </w:p>
        </w:tc>
        <w:tc>
          <w:tcPr>
            <w:tcW w:w="1280" w:type="dxa"/>
            <w:vAlign w:val="bottom"/>
            <w:gridSpan w:val="4"/>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1,447</w:t>
            </w:r>
          </w:p>
        </w:tc>
        <w:tc>
          <w:tcPr>
            <w:tcW w:w="220" w:type="dxa"/>
            <w:vAlign w:val="bottom"/>
          </w:tcPr>
          <w:p>
            <w:pPr>
              <w:spacing w:after="0"/>
              <w:rPr>
                <w:sz w:val="18"/>
                <w:szCs w:val="18"/>
                <w:color w:val="auto"/>
              </w:rPr>
            </w:pP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Gains on sales of assets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(1,193)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(1,157)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Excess tax benefit from share-based payments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information</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62" w:lineRule="exact"/>
        <w:rPr>
          <w:sz w:val="20"/>
          <w:szCs w:val="20"/>
          <w:color w:val="auto"/>
        </w:rPr>
      </w:pPr>
    </w:p>
    <w:p>
      <w:pPr>
        <w:ind w:left="1040" w:right="2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product lines: High Volume Analog &amp; Logic, Power Management, High Performance Analog and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Analog.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product lines: Microcontrollers, Processors and Connectivity.</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 products, calculators, custom ASICs and royalties received from agreements involving license rights to our patent portfolio.</w:t>
      </w:r>
    </w:p>
    <w:p>
      <w:pPr>
        <w:spacing w:after="0" w:line="20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232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2,044</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3,923</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755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1,484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474</w:t>
            </w:r>
          </w:p>
        </w:tc>
        <w:tc>
          <w:tcPr>
            <w:tcW w:w="4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874</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0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3,273</w:t>
            </w:r>
          </w:p>
        </w:tc>
        <w:tc>
          <w:tcPr>
            <w:tcW w:w="460" w:type="dxa"/>
            <w:vAlign w:val="bottom"/>
          </w:tcPr>
          <w:p>
            <w:pPr>
              <w:spacing w:after="0"/>
              <w:rPr>
                <w:sz w:val="21"/>
                <w:szCs w:val="21"/>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3,232</w:t>
            </w:r>
          </w:p>
        </w:tc>
        <w:tc>
          <w:tcPr>
            <w:tcW w:w="440" w:type="dxa"/>
            <w:vAlign w:val="bottom"/>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6,281</w:t>
            </w:r>
          </w:p>
        </w:tc>
        <w:tc>
          <w:tcPr>
            <w:tcW w:w="460" w:type="dxa"/>
            <w:vAlign w:val="bottom"/>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771</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1,450</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4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00" w:type="dxa"/>
            <w:vAlign w:val="bottom"/>
            <w:gridSpan w:val="2"/>
          </w:tcPr>
          <w:p>
            <w:pPr>
              <w:spacing w:after="0"/>
              <w:rPr>
                <w:sz w:val="20"/>
                <w:szCs w:val="20"/>
                <w:color w:val="auto"/>
              </w:rPr>
            </w:pPr>
            <w:r>
              <w:rPr>
                <w:rFonts w:ascii="Arial" w:cs="Arial" w:eastAsia="Arial" w:hAnsi="Arial"/>
                <w:sz w:val="16"/>
                <w:szCs w:val="16"/>
                <w:color w:val="auto"/>
              </w:rPr>
              <w:t>Total operating profit</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1,117</w:t>
            </w:r>
          </w:p>
        </w:tc>
        <w:tc>
          <w:tcPr>
            <w:tcW w:w="46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44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2,085</w:t>
            </w:r>
          </w:p>
        </w:tc>
        <w:tc>
          <w:tcPr>
            <w:tcW w:w="46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Basis of presentation and 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2015. The Consolidated Statements of Income, Comprehensive Income and Cash Flows for the periods ended June 30, 2016 and 2015, and the Consolidated Balance Sheet as of June 30, 2016,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2015. The results for the three- and six-month periods are not necessarily indicative of a full year’s results.</w:t>
      </w:r>
    </w:p>
    <w:p>
      <w:pPr>
        <w:spacing w:after="0" w:line="1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7"/>
          </w:tcPr>
          <w:p>
            <w:pPr>
              <w:ind w:left="240"/>
              <w:spacing w:after="0"/>
              <w:rPr>
                <w:sz w:val="20"/>
                <w:szCs w:val="20"/>
                <w:color w:val="auto"/>
              </w:rPr>
            </w:pPr>
            <w:r>
              <w:rPr>
                <w:rFonts w:ascii="Arial" w:cs="Arial" w:eastAsia="Arial" w:hAnsi="Arial"/>
                <w:sz w:val="16"/>
                <w:szCs w:val="16"/>
                <w:b w:val="1"/>
                <w:bCs w:val="1"/>
                <w:color w:val="auto"/>
              </w:rPr>
              <w:t>For Three Months Ended June 30,</w:t>
            </w: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Net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Net</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Income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Arial" w:cs="Arial" w:eastAsia="Arial" w:hAnsi="Arial"/>
                <w:sz w:val="16"/>
                <w:szCs w:val="16"/>
                <w:b w:val="1"/>
                <w:bCs w:val="1"/>
                <w:color w:val="auto"/>
              </w:rPr>
              <w:t>EPS</w:t>
            </w:r>
          </w:p>
        </w:tc>
        <w:tc>
          <w:tcPr>
            <w:tcW w:w="200" w:type="dxa"/>
            <w:vAlign w:val="bottom"/>
          </w:tcPr>
          <w:p>
            <w:pPr>
              <w:spacing w:after="0"/>
              <w:rPr>
                <w:sz w:val="19"/>
                <w:szCs w:val="19"/>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Income</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779</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769</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1,004</w:t>
            </w:r>
          </w:p>
        </w:tc>
        <w:tc>
          <w:tcPr>
            <w:tcW w:w="320" w:type="dxa"/>
            <w:vAlign w:val="bottom"/>
            <w:gridSpan w:val="2"/>
          </w:tcPr>
          <w:p>
            <w:pPr>
              <w:ind w:left="24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220" w:type="dxa"/>
            <w:vAlign w:val="bottom"/>
          </w:tcPr>
          <w:p>
            <w:pPr>
              <w:spacing w:after="0"/>
              <w:rPr>
                <w:sz w:val="22"/>
                <w:szCs w:val="22"/>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686</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1,038</w:t>
            </w:r>
          </w:p>
        </w:tc>
        <w:tc>
          <w:tcPr>
            <w:tcW w:w="220" w:type="dxa"/>
            <w:vAlign w:val="bottom"/>
          </w:tcPr>
          <w:p>
            <w:pPr>
              <w:spacing w:after="0"/>
              <w:rPr>
                <w:sz w:val="22"/>
                <w:szCs w:val="22"/>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779</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6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769</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1,016</w:t>
            </w:r>
          </w:p>
        </w:tc>
        <w:tc>
          <w:tcPr>
            <w:tcW w:w="320" w:type="dxa"/>
            <w:vAlign w:val="bottom"/>
            <w:gridSpan w:val="2"/>
          </w:tcPr>
          <w:p>
            <w:pPr>
              <w:ind w:left="24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1,051</w:t>
            </w:r>
          </w:p>
        </w:tc>
        <w:tc>
          <w:tcPr>
            <w:tcW w:w="2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6"/>
                <w:szCs w:val="16"/>
                <w:b w:val="1"/>
                <w:bCs w:val="1"/>
                <w:color w:val="auto"/>
                <w:w w:val="91"/>
              </w:rPr>
              <w:t>For Six Months Ended June 30,</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Net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Net</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Income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Arial" w:cs="Arial" w:eastAsia="Arial" w:hAnsi="Arial"/>
                <w:sz w:val="16"/>
                <w:szCs w:val="16"/>
                <w:b w:val="1"/>
                <w:bCs w:val="1"/>
                <w:color w:val="auto"/>
              </w:rPr>
              <w:t>EPS</w:t>
            </w:r>
          </w:p>
        </w:tc>
        <w:tc>
          <w:tcPr>
            <w:tcW w:w="200" w:type="dxa"/>
            <w:vAlign w:val="bottom"/>
          </w:tcPr>
          <w:p>
            <w:pPr>
              <w:spacing w:after="0"/>
              <w:rPr>
                <w:sz w:val="19"/>
                <w:szCs w:val="19"/>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Income</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Shares</w:t>
            </w: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1,447</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1,428</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1,005</w:t>
            </w:r>
          </w:p>
        </w:tc>
        <w:tc>
          <w:tcPr>
            <w:tcW w:w="320" w:type="dxa"/>
            <w:vAlign w:val="bottom"/>
            <w:gridSpan w:val="2"/>
          </w:tcPr>
          <w:p>
            <w:pPr>
              <w:ind w:left="24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220" w:type="dxa"/>
            <w:vAlign w:val="bottom"/>
          </w:tcPr>
          <w:p>
            <w:pPr>
              <w:spacing w:after="0"/>
              <w:rPr>
                <w:sz w:val="22"/>
                <w:szCs w:val="22"/>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1,333</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1,042</w:t>
            </w:r>
          </w:p>
        </w:tc>
        <w:tc>
          <w:tcPr>
            <w:tcW w:w="220" w:type="dxa"/>
            <w:vAlign w:val="bottom"/>
          </w:tcPr>
          <w:p>
            <w:pPr>
              <w:spacing w:after="0"/>
              <w:rPr>
                <w:sz w:val="22"/>
                <w:szCs w:val="22"/>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1,447</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1,352</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w:t>
            </w: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1,428</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1,017</w:t>
            </w:r>
          </w:p>
        </w:tc>
        <w:tc>
          <w:tcPr>
            <w:tcW w:w="320" w:type="dxa"/>
            <w:vAlign w:val="bottom"/>
            <w:gridSpan w:val="2"/>
          </w:tcPr>
          <w:p>
            <w:pPr>
              <w:ind w:left="24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2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1,056</w:t>
            </w:r>
          </w:p>
        </w:tc>
        <w:tc>
          <w:tcPr>
            <w:tcW w:w="22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Potentially dilutive securities representing 9 million shares of common stock that were outstanding during the second quarters of 2016 and 2015, and 16 million and 12 million shares outstanding during the first six months of 2016 and 2015, respectively, were excluded from the computation of diluted earnings per common share for these periods because their effect would have been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connection with the issuance of long-term debt, we occasionally use financial derivatives such as treasury rate lock agreements that are recognized in AOCI and amortized over the life of the related debt. The results of these derivative transactions have not been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values of our derivative financial instruments were not material as of June 30, 2016. Our investments in cash equivalents, short-term investments and certain long-term investments, as well as our postretirement plan assets and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5 for the definition of Level 2 inputs.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This standard provides a single set of guidelines for revenue recognition to be used across all industries and requires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disclosures, and is effective for annual and interim reporting periods beginning after December 15, 2017. This standard permits early adoption, but not before December 15, 2016, and permits the use of either the retrospective or cumulative effect transition method. We are currently evaluating the potential impact of this standard on our financial position and results of operations, as well as our selected transition method. Based on our preliminary assessment, we believe the new standard will not have a material impact on our financial position and results of operations, as we do not expect to change the manner or timing of recognizing revenue on a majority of our revenue transactions. We recognize revenue on sales to customers and distributors upon satisfaction of our performance obligations when the goods are shipped. For consignment sales, we recognize revenue when the goods are pulled from consignment inventory. In April 2016, the FASB issued an amendment to this guidance, ASU 2016-10, </w:t>
      </w:r>
      <w:r>
        <w:rPr>
          <w:rFonts w:ascii="Arial" w:cs="Arial" w:eastAsia="Arial" w:hAnsi="Arial"/>
          <w:sz w:val="16"/>
          <w:szCs w:val="16"/>
          <w:i w:val="1"/>
          <w:iCs w:val="1"/>
          <w:color w:val="auto"/>
        </w:rPr>
        <w:t>Revenue from Contracts with Customers (Topic 606): Identifying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 and Licensing</w:t>
      </w:r>
      <w:r>
        <w:rPr>
          <w:rFonts w:ascii="Arial" w:cs="Arial" w:eastAsia="Arial" w:hAnsi="Arial"/>
          <w:sz w:val="16"/>
          <w:szCs w:val="16"/>
          <w:color w:val="auto"/>
        </w:rPr>
        <w:t>, which, among other things, provides clarification about whether revenue related to a distinct license of intellectual property is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over time or at a point in time. We are assessing the impact of this amendment.</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Under this standard, all equity investments except those accounted for under the equity method are required to be measured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Equity investments that do not have a readily determinable fair value may, as a practical expedient, be measured at cost, adjusted for changes in observable prices minus impairment. This standard is effective for our interim and annual periods beginning January 1, 2018. This standard must be applied using a cumulative-effect adjustment in net income to the beginning of the fiscal year of adoption, except for equity investments without a readily determinable fair value, which are to be applied prospectively to equity investments as of the adoption date. We do not expect this standard to have a material impact on our financial position and results of operations, as nearly all of our equity investments are already recorded at fair value or under the equity method.</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to leases existing at, or entered into after, the beginning of the earliest comparative period presented in the financial statements. Early adoption is permitted. We are currently evaluating the timing of adoption and the potential impact of this standard on our financial position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standard provides for several changes to the accounting for share-based awards. Among other changes, this standard will require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income tax effects of awards in net income in the period in which the awards are settled or vested, rather than through additional paid-in capital in the equity section of the balance sheet. The standard also changes the presentation of excess tax benefits and statutory tax withholdings in the statement of cash flows. This standard will be effective for our interim and annual periods beginning January 1, 2017; however, early adoption is permitted. Each of the various provisions within this standard has its own specified transition method; some will be applied prospectively and others will be applied on a retrospective or modified retrospective basis. We are currently evaluating the timing of adoption and the potential impact of this standard on our financial position and results of operations.</w:t>
      </w:r>
    </w:p>
    <w:p>
      <w:pPr>
        <w:spacing w:after="0" w:line="19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This standard requires entities to use a current lifetime expected credit loss methodology to measure impairments of certain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this methodology will result in earlier recognition of losses than under the current incurred loss approach, which required waiting to recognize a loss until it is probable of having been incurred. There are other provisions within the standard affecting how impairments of other financial assets may be recorded and presented, as well as expanded disclosures. This standard will be effective for our interim and annual periods beginning after December 15, 2019, and permits earlier application but not before December 15, 2018. The standard will be applied using a modified retrospective approach. We are currently evaluating the potential impact of this standard, but we expect it will not have a material impact on our financial position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Restructuring charges/other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recognized in Other for segment reporting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the three and six months ended June 30, 2016, we incurred restructuring charges of $2 million and $4 million, respectively, related to our plans to phase out a manufacturing facility in Greenock, Scotland, through the end of 2018. These charges were comprised of severance and benefits costs, as well as accelerated depreciation. Total restructuring charges, primarily severance and related benefit costs, are estimated to be about $40 million, of which $21 million has been recognized through June 30, 2016. The remaining charges are expected to be recognized through the end of 2018. As of June 30, 2016, no payments have been made related to the phase-out of the Scotland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balances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restructuring accrual balances are primarily reported as a component of either Accrued expenses and other liabilities or Deferred credits and other liabilities on our Consolidated Balance Sheets, depending on the expected timing of payment. The $32 million balance as of December 31, 2015, was composed of $17 million related to the Scotland facility and $15 million related to prior actions. The $25 million balance as of June 30, 2016, is composed of $17 million related to the Scotland facility and $8 million related to prior actions.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2015</w:t>
            </w:r>
          </w:p>
        </w:tc>
        <w:tc>
          <w:tcPr>
            <w:tcW w:w="62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r>
      <w:tr>
        <w:trPr>
          <w:trHeight w:val="210"/>
        </w:trPr>
        <w:tc>
          <w:tcPr>
            <w:tcW w:w="996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r>
      <w:tr>
        <w:trPr>
          <w:trHeight w:val="222"/>
        </w:trPr>
        <w:tc>
          <w:tcPr>
            <w:tcW w:w="9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Payments</w:t>
            </w:r>
          </w:p>
        </w:tc>
        <w:tc>
          <w:tcPr>
            <w:tcW w:w="6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w:t>
            </w:r>
          </w:p>
        </w:tc>
      </w:tr>
      <w:tr>
        <w:trPr>
          <w:trHeight w:val="213"/>
        </w:trPr>
        <w:tc>
          <w:tcPr>
            <w:tcW w:w="9960" w:type="dxa"/>
            <w:vAlign w:val="bottom"/>
          </w:tcPr>
          <w:p>
            <w:pPr>
              <w:spacing w:after="0"/>
              <w:rPr>
                <w:sz w:val="20"/>
                <w:szCs w:val="20"/>
                <w:color w:val="auto"/>
              </w:rPr>
            </w:pPr>
            <w:r>
              <w:rPr>
                <w:rFonts w:ascii="Arial" w:cs="Arial" w:eastAsia="Arial" w:hAnsi="Arial"/>
                <w:sz w:val="16"/>
                <w:szCs w:val="16"/>
                <w:b w:val="1"/>
                <w:bCs w:val="1"/>
                <w:color w:val="auto"/>
              </w:rPr>
              <w:t>Non-cash items (a)</w:t>
            </w:r>
          </w:p>
        </w:tc>
        <w:tc>
          <w:tcPr>
            <w:tcW w:w="6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w:t>
            </w:r>
          </w:p>
        </w:tc>
      </w:tr>
      <w:tr>
        <w:trPr>
          <w:trHeight w:val="210"/>
        </w:trPr>
        <w:tc>
          <w:tcPr>
            <w:tcW w:w="9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June 30, 2016</w:t>
            </w:r>
          </w:p>
        </w:tc>
        <w:tc>
          <w:tcPr>
            <w:tcW w:w="620" w:type="dxa"/>
            <w:vAlign w:val="bottom"/>
            <w:tcBorders>
              <w:top w:val="single" w:sz="8" w:color="auto"/>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Reflects charges for impacts of accelerated depreciation and changes in exchange rates.</w:t>
      </w:r>
    </w:p>
    <w:p>
      <w:pPr>
        <w:spacing w:after="0" w:line="212"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Federal income taxes for the interim periods presented have been included in the accompanying financial statements on the basis of an estimated annual effective tax rate. As of June 30, 2016, the estimated annual effective tax rate for 2016 is about 30 percent, which differs from the 35 percent statutory corporate tax rate due to lower statutory tax rates applicable to our operations in many of the jurisdictions in which we operate and from U.S. tax benefits.</w:t>
      </w:r>
    </w:p>
    <w:p>
      <w:pPr>
        <w:spacing w:after="0" w:line="33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Available-for-sale and trading securities are stated at fair value, which is generally based on market prices or broker quotes. See the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June 30, 2016</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 2015</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Short-Term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Investments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U.S. Government agency and Treasury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1,030</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1,304</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1,235</w:t>
            </w:r>
          </w:p>
        </w:tc>
        <w:tc>
          <w:tcPr>
            <w:tcW w:w="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1,304</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June 30, 2016, and December 31, 2015, unrealized gains and losses associated with our available-for-sale investments were not material. We did not recognize any credit losses related to available-for-sale investments for the six months ended June 30, 2016, and June 30, 2015.</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six months ended June 30, 2016, and June 30, 2015, the proceeds from sales, redemptions and maturities of short-term available-for-sale investments were $2.11 billion and $1.48 billion, respectively. Gross realized gains and losses from these sales were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as of June 30,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r>
      <w:tr>
        <w:trPr>
          <w:trHeight w:val="210"/>
        </w:trPr>
        <w:tc>
          <w:tcPr>
            <w:tcW w:w="968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2,304</w:t>
            </w:r>
          </w:p>
        </w:tc>
        <w:tc>
          <w:tcPr>
            <w:tcW w:w="100" w:type="dxa"/>
            <w:vAlign w:val="bottom"/>
          </w:tcPr>
          <w:p>
            <w:pPr>
              <w:spacing w:after="0"/>
              <w:rPr>
                <w:sz w:val="18"/>
                <w:szCs w:val="18"/>
                <w:color w:val="auto"/>
              </w:rPr>
            </w:pPr>
          </w:p>
        </w:tc>
      </w:tr>
      <w:tr>
        <w:trPr>
          <w:trHeight w:val="219"/>
        </w:trPr>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to two years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Other-than-temporary declines and impairments in the values of long-term investments recognized in OI&amp;E were not material in the six months ended June 30, 2016, and June 30,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43" w:lineRule="exact"/>
        <w:rPr>
          <w:sz w:val="20"/>
          <w:szCs w:val="20"/>
          <w:color w:val="auto"/>
        </w:rPr>
      </w:pPr>
    </w:p>
    <w:p>
      <w:pPr>
        <w:jc w:val="both"/>
        <w:ind w:left="1040" w:right="220" w:hanging="519"/>
        <w:spacing w:after="0" w:line="31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June 30, 2016, and December 31, 2015, we had no Level 3 assets or liabilities, other than certain assets held by our postretirement plans.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June 30, 2016, and December 31, 2015. These tables do not include cash on hand, assets held by our postretirement plans, or assets and liabilities that are measured at historical cost or any basis other than fair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w w:val="90"/>
              </w:rPr>
              <w:t>June 30, 2016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w w:val="91"/>
              </w:rPr>
              <w:t>December 31, 2015</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b w:val="1"/>
                <w:bCs w:val="1"/>
                <w:color w:val="auto"/>
                <w:w w:val="83"/>
              </w:rPr>
              <w:t>Total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Level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533</w:t>
            </w: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533</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395</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427</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427</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1,374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4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2,524</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687</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3,177</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2,410</w:t>
            </w:r>
          </w:p>
        </w:tc>
        <w:tc>
          <w:tcPr>
            <w:tcW w:w="3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6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206</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198</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198</w:t>
            </w:r>
          </w:p>
        </w:tc>
        <w:tc>
          <w:tcPr>
            <w:tcW w:w="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Goodwill, net, was $4.36 billion as of June 30, 2016, and December 31, 2015. There was no impairment of goodwill during the six months ended June 30, 2016, or June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net,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1260"/>
              <w:spacing w:after="0"/>
              <w:rPr>
                <w:sz w:val="20"/>
                <w:szCs w:val="20"/>
                <w:color w:val="auto"/>
              </w:rPr>
            </w:pPr>
            <w:r>
              <w:rPr>
                <w:rFonts w:ascii="Arial" w:cs="Arial" w:eastAsia="Arial" w:hAnsi="Arial"/>
                <w:sz w:val="16"/>
                <w:szCs w:val="16"/>
                <w:b w:val="1"/>
                <w:bCs w:val="1"/>
                <w:color w:val="auto"/>
              </w:rPr>
              <w:t>June 30, 2016</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rPr>
              <w:t>December 31, 2015</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Gross Carrying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Net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Net</w:t>
            </w:r>
          </w:p>
        </w:tc>
        <w:tc>
          <w:tcPr>
            <w:tcW w:w="100" w:type="dxa"/>
            <w:vAlign w:val="bottom"/>
            <w:tcBorders>
              <w:bottom w:val="single" w:sz="8" w:color="CCEEFF"/>
            </w:tcBorders>
          </w:tcPr>
          <w:p>
            <w:pPr>
              <w:spacing w:after="0"/>
              <w:rPr>
                <w:sz w:val="19"/>
                <w:szCs w:val="19"/>
                <w:color w:val="auto"/>
              </w:rPr>
            </w:pPr>
          </w:p>
        </w:tc>
      </w:tr>
      <w:tr>
        <w:trPr>
          <w:trHeight w:val="213"/>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7 - 10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8"/>
                <w:szCs w:val="18"/>
                <w:color w:val="auto"/>
              </w:rPr>
            </w:pPr>
          </w:p>
        </w:tc>
      </w:tr>
      <w:tr>
        <w:trPr>
          <w:trHeight w:val="213"/>
        </w:trPr>
        <w:tc>
          <w:tcPr>
            <w:tcW w:w="216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r>
      <w:tr>
        <w:trPr>
          <w:trHeight w:val="219"/>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n/a</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6"/>
                <w:szCs w:val="16"/>
                <w:color w:val="auto"/>
              </w:rPr>
              <w:t>Total</w:t>
            </w: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2,941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1,517</w:t>
            </w:r>
          </w:p>
        </w:tc>
        <w:tc>
          <w:tcPr>
            <w:tcW w:w="16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1,424</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2,944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1,361</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Amortization of acquisition-related intangibles was $79 million and $80 million for the second quarters of 2016 and 2015, respectively, and $159 million and $160 million for the first six months of 2016 and 2015, respectively, primarily related to developed technology. Fully amortized assets are written off against accumulated amortization.</w:t>
      </w:r>
    </w:p>
    <w:p>
      <w:pPr>
        <w:spacing w:after="0" w:line="37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w w:val="89"/>
              </w:rPr>
              <w:t>U.S.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6"/>
                <w:szCs w:val="16"/>
                <w:b w:val="1"/>
                <w:bCs w:val="1"/>
                <w:color w:val="auto"/>
              </w:rPr>
              <w:t>Retiree Health Care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37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June 30,</w:t>
            </w:r>
          </w:p>
        </w:tc>
        <w:tc>
          <w:tcPr>
            <w:tcW w:w="10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Borders>
              <w:bottom w:val="single" w:sz="8" w:color="CCEEFF"/>
            </w:tcBorders>
          </w:tcPr>
          <w:p>
            <w:pPr>
              <w:spacing w:after="0"/>
              <w:rPr>
                <w:sz w:val="18"/>
                <w:szCs w:val="18"/>
                <w:color w:val="auto"/>
              </w:rPr>
            </w:pPr>
          </w:p>
        </w:tc>
      </w:tr>
      <w:tr>
        <w:trPr>
          <w:trHeight w:val="212"/>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Interest cost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374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0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0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3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7"/>
                <w:szCs w:val="17"/>
                <w:color w:val="auto"/>
              </w:rPr>
            </w:pPr>
          </w:p>
        </w:tc>
        <w:tc>
          <w:tcPr>
            <w:tcW w:w="620" w:type="dxa"/>
            <w:vAlign w:val="bottom"/>
            <w:gridSpan w:val="2"/>
          </w:tcPr>
          <w:p>
            <w:pPr>
              <w:jc w:val="right"/>
              <w:ind w:right="439"/>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Retiree Health Care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Six Months Ended June 30,</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(21)</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(10)</w:t>
            </w: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(11)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(34)</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2016, we had a variable-rate revolving credit facility from a consortium of investment-grade banks that allows us to borrow up to $2 billion until March 2021. The interest rate on borrowings under this credit facility, if drawn, is indexed to the applicable London Interbank Offered Rate (LIBOR). As of June 30, 2016, our credit facility was undrawn and we had no commercial paper outstanding.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May 2016, we issued a principal amount of $500 million of fixed-rate long-term debt due in 2022. We incurred $3 million of issuance and other related costs, which are amortized to Interest and debt expense over the term of the debt. The proceeds of the offering were $499 million, net of the original issuance discount, and were used toward the repayment of a portion of $1.0 billion of maturing debt retired in May.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as of June 30, 2016, and December 31, 2015,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780" w:type="dxa"/>
            <w:vAlign w:val="bottom"/>
          </w:tcPr>
          <w:p>
            <w:pPr>
              <w:spacing w:after="0"/>
              <w:rPr>
                <w:sz w:val="19"/>
                <w:szCs w:val="19"/>
                <w:color w:val="auto"/>
              </w:rPr>
            </w:pPr>
          </w:p>
        </w:tc>
        <w:tc>
          <w:tcPr>
            <w:tcW w:w="23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r>
      <w:tr>
        <w:trPr>
          <w:trHeight w:val="213"/>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due 2016 at 2.375%</w:t>
            </w:r>
          </w:p>
        </w:tc>
        <w:tc>
          <w:tcPr>
            <w:tcW w:w="1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2017 at 0.875%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250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375</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2018 at 1.00%</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2019 at 1.65%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2020 at 1.75%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2021 at 2.75%</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2022 at 1.85%</w:t>
            </w: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2023 at 2.25%</w:t>
            </w:r>
          </w:p>
        </w:tc>
        <w:tc>
          <w:tcPr>
            <w:tcW w:w="14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w:t>
            </w: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w w:val="89"/>
              </w:rPr>
              <w:t>3,625</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(13)</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14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3,612</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(637)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Long-term debt</w:t>
            </w:r>
          </w:p>
        </w:tc>
        <w:tc>
          <w:tcPr>
            <w:tcW w:w="14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2,975</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3,120</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Interest and debt expense was $21 million and $24 million for the second quarters of 2016 and 2015, respectively, and $43 million and $46 million for the first six months of 2016 and 2015, respectively. This was net of the amortization of the debt discounts, premiums and other debt issuance costs. Capitalized interest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117"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Typically, our warranties for semiconductor products obligate us to repair, replace or credit the purchase price of a covered product back to the buyer. Product claims may exceed the price of our products.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incurred various costs as a result of the 2011 acquisition of National Semiconductor Corporation (National) that are included in Other for segment reporting purposes, consistent with how management measures the performance of its segments. For the three and six months ended June 30, 2016, and June 30, 2015, Acquisition charges were primarily from the ongoing amortization of intangible assets resulting from the National acquisition. See Note 6 for additional information.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periods ended June 30, 2016, and June 30, 2015. The table below details where in the Consolidated Statements of Income these transactions are recorded.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For Six Months Ended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6"/>
                <w:szCs w:val="16"/>
                <w:b w:val="1"/>
                <w:bCs w:val="1"/>
                <w:color w:val="auto"/>
                <w:w w:val="96"/>
              </w:rPr>
              <w:t>June 30,</w:t>
            </w: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ind w:left="1000"/>
              <w:spacing w:after="0"/>
              <w:rPr>
                <w:sz w:val="20"/>
                <w:szCs w:val="20"/>
                <w:color w:val="auto"/>
              </w:rPr>
            </w:pPr>
            <w:r>
              <w:rPr>
                <w:rFonts w:ascii="Arial" w:cs="Arial" w:eastAsia="Arial" w:hAnsi="Arial"/>
                <w:sz w:val="16"/>
                <w:szCs w:val="16"/>
                <w:b w:val="1"/>
                <w:bCs w:val="1"/>
                <w:color w:val="auto"/>
              </w:rPr>
              <w:t>Impact to Related</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83"/>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ind w:left="660"/>
              <w:spacing w:after="0"/>
              <w:rPr>
                <w:sz w:val="20"/>
                <w:szCs w:val="20"/>
                <w:color w:val="auto"/>
              </w:rPr>
            </w:pPr>
            <w:r>
              <w:rPr>
                <w:rFonts w:ascii="Arial" w:cs="Arial" w:eastAsia="Arial" w:hAnsi="Arial"/>
                <w:sz w:val="16"/>
                <w:szCs w:val="16"/>
                <w:b w:val="1"/>
                <w:bCs w:val="1"/>
                <w:color w:val="auto"/>
              </w:rPr>
              <w:t>Statements of Income Lines</w:t>
            </w:r>
          </w:p>
        </w:tc>
        <w:tc>
          <w:tcPr>
            <w:tcW w:w="0" w:type="dxa"/>
            <w:vAlign w:val="bottom"/>
          </w:tcPr>
          <w:p>
            <w:pPr>
              <w:spacing w:after="0"/>
              <w:rPr>
                <w:sz w:val="1"/>
                <w:szCs w:val="1"/>
                <w:color w:val="auto"/>
              </w:rPr>
            </w:pPr>
          </w:p>
        </w:tc>
      </w:tr>
      <w:tr>
        <w:trPr>
          <w:trHeight w:val="201"/>
        </w:trPr>
        <w:tc>
          <w:tcPr>
            <w:tcW w:w="3280" w:type="dxa"/>
            <w:vAlign w:val="bottom"/>
          </w:tcPr>
          <w:p>
            <w:pPr>
              <w:spacing w:after="0"/>
              <w:rPr>
                <w:sz w:val="20"/>
                <w:szCs w:val="20"/>
                <w:color w:val="auto"/>
              </w:rPr>
            </w:pPr>
            <w:r>
              <w:rPr>
                <w:rFonts w:ascii="Arial" w:cs="Arial" w:eastAsia="Arial" w:hAnsi="Arial"/>
                <w:sz w:val="16"/>
                <w:szCs w:val="16"/>
                <w:b w:val="1"/>
                <w:bCs w:val="1"/>
                <w:color w:val="auto"/>
                <w:w w:val="94"/>
              </w:rPr>
              <w:t>Net actuarial gains (losses) of defined benefit</w:t>
            </w: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b w:val="1"/>
                <w:bCs w:val="1"/>
                <w:color w:val="auto"/>
              </w:rPr>
              <w:t>plans: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Recognized net actuarial loss and Settlement</w:t>
            </w:r>
          </w:p>
        </w:tc>
        <w:tc>
          <w:tcPr>
            <w:tcW w:w="900" w:type="dxa"/>
            <w:vAlign w:val="bottom"/>
            <w:gridSpan w:val="2"/>
            <w:vMerge w:val="restart"/>
            <w:shd w:val="clear" w:color="auto" w:fill="CCEEFF"/>
          </w:tcPr>
          <w:p>
            <w:pPr>
              <w:jc w:val="right"/>
              <w:ind w:right="562"/>
              <w:spacing w:after="0"/>
              <w:rPr>
                <w:sz w:val="20"/>
                <w:szCs w:val="20"/>
                <w:color w:val="auto"/>
              </w:rPr>
            </w:pPr>
            <w:r>
              <w:rPr>
                <w:rFonts w:ascii="Arial" w:cs="Arial" w:eastAsia="Arial" w:hAnsi="Arial"/>
                <w:sz w:val="16"/>
                <w:szCs w:val="16"/>
                <w:b w:val="1"/>
                <w:bCs w:val="1"/>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w:t>
            </w:r>
          </w:p>
        </w:tc>
        <w:tc>
          <w:tcPr>
            <w:tcW w:w="90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w:t>
            </w:r>
          </w:p>
        </w:tc>
        <w:tc>
          <w:tcPr>
            <w:tcW w:w="16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Increase to Pension expense (b)</w:t>
            </w:r>
          </w:p>
        </w:tc>
        <w:tc>
          <w:tcPr>
            <w:tcW w:w="0" w:type="dxa"/>
            <w:vAlign w:val="bottom"/>
          </w:tcPr>
          <w:p>
            <w:pPr>
              <w:spacing w:after="0"/>
              <w:rPr>
                <w:sz w:val="1"/>
                <w:szCs w:val="1"/>
                <w:color w:val="auto"/>
              </w:rPr>
            </w:pP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Tax effect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w:t>
            </w:r>
          </w:p>
        </w:tc>
        <w:tc>
          <w:tcPr>
            <w:tcW w:w="8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(13)</w:t>
            </w:r>
          </w:p>
        </w:tc>
        <w:tc>
          <w:tcPr>
            <w:tcW w:w="7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3240" w:type="dxa"/>
            <w:vAlign w:val="bottom"/>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1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ind w:right="56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w w:val="98"/>
              </w:rPr>
              <w:t>Prior service (cost) credit of defined benefit</w:t>
            </w: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b w:val="1"/>
                <w:bCs w:val="1"/>
                <w:color w:val="auto"/>
              </w:rPr>
              <w:t>plans: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cost (credit) (a)</w:t>
            </w:r>
          </w:p>
        </w:tc>
        <w:tc>
          <w:tcPr>
            <w:tcW w:w="900" w:type="dxa"/>
            <w:vAlign w:val="bottom"/>
            <w:gridSpan w:val="2"/>
            <w:shd w:val="clear" w:color="auto" w:fill="CCEEFF"/>
          </w:tcPr>
          <w:p>
            <w:pPr>
              <w:jc w:val="right"/>
              <w:ind w:right="562"/>
              <w:spacing w:after="0"/>
              <w:rPr>
                <w:sz w:val="20"/>
                <w:szCs w:val="20"/>
                <w:color w:val="auto"/>
              </w:rPr>
            </w:pPr>
            <w:r>
              <w:rPr>
                <w:rFonts w:ascii="Arial" w:cs="Arial" w:eastAsia="Arial" w:hAnsi="Arial"/>
                <w:sz w:val="16"/>
                <w:szCs w:val="16"/>
                <w:b w:val="1"/>
                <w:bCs w:val="1"/>
                <w:color w:val="auto"/>
              </w:rPr>
              <w:t>$</w:t>
            </w:r>
          </w:p>
        </w:tc>
        <w:tc>
          <w:tcPr>
            <w:tcW w:w="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(Decrease) increase to Pension expense (b)</w:t>
            </w:r>
          </w:p>
        </w:tc>
        <w:tc>
          <w:tcPr>
            <w:tcW w:w="0" w:type="dxa"/>
            <w:vAlign w:val="bottom"/>
          </w:tcPr>
          <w:p>
            <w:pPr>
              <w:spacing w:after="0"/>
              <w:rPr>
                <w:sz w:val="1"/>
                <w:szCs w:val="1"/>
                <w:color w:val="auto"/>
              </w:rPr>
            </w:pP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Tax effect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3240" w:type="dxa"/>
            <w:vAlign w:val="bottom"/>
          </w:tcPr>
          <w:p>
            <w:pPr>
              <w:spacing w:after="0"/>
              <w:rPr>
                <w:sz w:val="20"/>
                <w:szCs w:val="20"/>
                <w:color w:val="auto"/>
              </w:rPr>
            </w:pPr>
            <w:r>
              <w:rPr>
                <w:rFonts w:ascii="Arial" w:cs="Arial" w:eastAsia="Arial" w:hAnsi="Arial"/>
                <w:sz w:val="16"/>
                <w:szCs w:val="16"/>
                <w:color w:val="auto"/>
                <w:w w:val="91"/>
              </w:rPr>
              <w:t>Increase (decrease) to Provision for income taxes</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1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(Increase) decrease to Net income</w:t>
            </w: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ind w:right="56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Detailed in Note 7.</w:t>
      </w:r>
    </w:p>
    <w:p>
      <w:pPr>
        <w:spacing w:after="0" w:line="22" w:lineRule="exact"/>
        <w:rPr>
          <w:rFonts w:ascii="Arial" w:cs="Arial" w:eastAsia="Arial" w:hAnsi="Arial"/>
          <w:sz w:val="16"/>
          <w:szCs w:val="16"/>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Pension expense is included in COR, R&amp;D and SG&amp;A in the Consolidated Statements of Income.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40" w:right="2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design engineers need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one, and most times multiple, chips for their 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40" w:right="60" w:hanging="519"/>
        <w:spacing w:after="0" w:line="25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technology and low-cost production. </w:t>
      </w:r>
      <w:r>
        <w:rPr>
          <w:rFonts w:ascii="Arial" w:cs="Arial" w:eastAsia="Arial" w:hAnsi="Arial"/>
          <w:sz w:val="18"/>
          <w:szCs w:val="18"/>
          <w:color w:val="auto"/>
        </w:rPr>
        <w:t>We invest in manufacturing technologies that differentiate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2015, we produced approximately 25 percent of our Analog semiconductors on 300-millimeter wafers, the industry’s largest wafers, which have a 40 percent cost advantage per unpackaged chip over 200-millimeter wafers. The majority of our future Analog growth will be produced on 300-millimeter wafers, which will be meaningful to the growth of our margins and cash flow over the long term.</w:t>
      </w:r>
    </w:p>
    <w:p>
      <w:pPr>
        <w:spacing w:after="0" w:line="89" w:lineRule="exact"/>
        <w:rPr>
          <w:rFonts w:ascii="Arial" w:cs="Arial" w:eastAsia="Arial" w:hAnsi="Arial"/>
          <w:sz w:val="18"/>
          <w:szCs w:val="18"/>
          <w:color w:val="auto"/>
        </w:rPr>
      </w:pPr>
    </w:p>
    <w:p>
      <w:pPr>
        <w:ind w:left="1040" w:right="2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and the breadth of our portfolio attracts tens</w:t>
      </w:r>
      <w:r>
        <w:rPr>
          <w:rFonts w:ascii="Arial" w:cs="Arial" w:eastAsia="Arial" w:hAnsi="Arial"/>
          <w:sz w:val="18"/>
          <w:szCs w:val="18"/>
          <w:i w:val="1"/>
          <w:iCs w:val="1"/>
          <w:color w:val="auto"/>
        </w:rPr>
        <w:t xml:space="preserve"> </w:t>
      </w:r>
      <w:r>
        <w:rPr>
          <w:rFonts w:ascii="Arial" w:cs="Arial" w:eastAsia="Arial" w:hAnsi="Arial"/>
          <w:sz w:val="18"/>
          <w:szCs w:val="18"/>
          <w:color w:val="auto"/>
        </w:rPr>
        <w:t>of millions of visits to our web site each year where customers often begin their initial product searches and design-in journey. These capabilities combine to provide us unique access to more than 100,000 customers.</w:t>
      </w:r>
    </w:p>
    <w:p>
      <w:pPr>
        <w:spacing w:after="0" w:line="73"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combined effect of these attributes is that we have consistently grown free cash flow and gained market share in Analog and Embedded Processing.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attributes put us in a unique class of companies with the ability to grow, generate cash, and return that cash to shareholders.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540" w:right="6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New products tend not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540" w:right="120" w:hanging="513"/>
        <w:spacing w:after="0" w:line="302"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46"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15" w:name="page16"/>
    <w:bookmarkEnd w:id="15"/>
    <w:p>
      <w:pPr>
        <w:ind w:left="1040" w:right="2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 time, we have been reallocating resources from areas like manufacturing support and SG&amp;A into R&amp;D activities. As a result of this reallocation, R&amp;D expense will continue increasing into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revenue was $3.27 billion, net income was $779 million and earnings per share (EPS) were $0.76.</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and EPS for the quarter were solidly in the upper half of our expected range. Compared with a year ago, demand for our products continued to be strong in the automotive market, and grew in the industrial and communications equipment markets. Despite sequential growth, demand in the personal electronics market was down from a year ago.</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core businesses, Embedded Processing revenue grew 9 percent and Analog revenue was about even with the same quarter a year ago. Operating margin increased in both businesses.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Gross margin of 61.2 percent reflected the quality of our product portfolio, as well as the efficiency of our manufacturing strategy, including the benefit of 300-millimeter Analog production.</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Our cash flow from operations of $4.5 billion for the trailing 12 months again underscored the strength of our business model. Free cash flow for the trailing 12 months was up 7 percent from a year ago to $3.9 billion, and this represents 30.0 percent of revenue, up from 27.4 percent a year ago.</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returned $4.1 billion to shareholders in the past 12 months through stock repurchases and dividends.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balance sheet remains strong with $2.5 billion of cash and short-term investments at the end of the quarter, about 80 percent of which was owned by the company’s U.S. entities. Inventory ended the quarter at 133 days.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Free cash flow is a non-GAAP financial measure. For reconciliation to GAAP and an explanation of the reason for providing this non-GAAP measure, see the Non-GAAP financial information section after the Liquidity and capital resources section.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 second-quarter 2016 compared with second-quarter 2015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Revenue increased $41 million due to higher revenue from Embedded Processing. Analog revenue was about even while Other revenue declined.</w:t>
      </w: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profit of $2.00 billion was up $122 million, or 6 percent, primarily due to lower manufacturing costs. As a percentage of revenue, gross profit was 61.2 percent compared with 58.2 percent.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expenses were $345 million for R&amp;D and $460 million for SG&amp;A. R&amp;D expense increased $25 million, or 8 percent, due to a combination of our ongoing reallocation of resources into R&amp;D activities and higher compensation-related costs. SG&amp;A expense decreased $10 million, or 2 percent, due to savings from the completed restructuring action in Embedded Processing.</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$79 million compared with $82 million. These non-cash charges were from the ongoing amortization of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$1.12 billion, or 34.1 percent of revenue, compared with $1.01 billion, or 31.3 percent of revenue.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Quarterly income taxes are calculated using the estimated annual effective tax rate. At the end of the second quarter, our estimated annual effective tax rate for 2016 was about 30 percent. Our annual effective tax rate benefits from lower tax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w:t>
      </w: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449" w:right="479" w:bottom="1440" w:gutter="0" w:footer="0" w:header="0"/>
        </w:sectPr>
      </w:pPr>
    </w:p>
    <w:bookmarkStart w:id="16" w:name="page17"/>
    <w:bookmarkEnd w:id="16"/>
    <w:p>
      <w:pPr>
        <w:ind w:right="140"/>
        <w:spacing w:after="0" w:line="264" w:lineRule="auto"/>
        <w:rPr>
          <w:sz w:val="20"/>
          <w:szCs w:val="20"/>
          <w:color w:val="auto"/>
        </w:rPr>
      </w:pPr>
      <w:r>
        <w:rPr>
          <w:rFonts w:ascii="Arial" w:cs="Arial" w:eastAsia="Arial" w:hAnsi="Arial"/>
          <w:sz w:val="18"/>
          <w:szCs w:val="18"/>
          <w:color w:val="auto"/>
        </w:rPr>
        <w:t>Our tax provision was $323 million compared with $293 million. The increase was due to higher income before income taxes, and to a lesser extent, a lower benefit from non-U.S. tax rates. The tax provision also included the effect of the federal research tax credit, which was not included in the year-ago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$779 million compared with $696 million, and EPS was $0.76 compared with $0.65.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2016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Analog (includes High Volume Analog &amp; Logic (HVAL), Power Management (Power), High Performance Analog (HPA) and Silicon Valley Analog (SVA)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lines)</w:t>
      </w:r>
    </w:p>
    <w:p>
      <w:pPr>
        <w:spacing w:after="0" w:line="18" w:lineRule="exact"/>
        <w:rPr>
          <w:sz w:val="20"/>
          <w:szCs w:val="20"/>
          <w:color w:val="auto"/>
        </w:rPr>
      </w:pPr>
    </w:p>
    <w:tbl>
      <w:tblPr>
        <w:tblLayout w:type="fixed"/>
        <w:tblInd w:w="246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2Q16</w:t>
            </w: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2Q15</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88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980" w:type="dxa"/>
            <w:vAlign w:val="bottom"/>
            <w:tcBorders>
              <w:top w:val="single" w:sz="8" w:color="auto"/>
            </w:tcBorders>
            <w:shd w:val="clear" w:color="auto" w:fill="CFF0FC"/>
          </w:tcPr>
          <w:p>
            <w:pPr>
              <w:jc w:val="center"/>
              <w:ind w:right="272"/>
              <w:spacing w:after="0"/>
              <w:rPr>
                <w:sz w:val="20"/>
                <w:szCs w:val="20"/>
                <w:color w:val="auto"/>
              </w:rPr>
            </w:pPr>
            <w:r>
              <w:rPr>
                <w:rFonts w:ascii="Arial" w:cs="Arial" w:eastAsia="Arial" w:hAnsi="Arial"/>
                <w:sz w:val="16"/>
                <w:szCs w:val="16"/>
                <w:b w:val="1"/>
                <w:bCs w:val="1"/>
                <w:color w:val="auto"/>
                <w:w w:val="99"/>
              </w:rPr>
              <w:t xml:space="preserve">$ </w:t>
            </w:r>
            <w:r>
              <w:rPr>
                <w:rFonts w:ascii="Arial" w:cs="Arial" w:eastAsia="Arial" w:hAnsi="Arial"/>
                <w:sz w:val="18"/>
                <w:szCs w:val="18"/>
                <w:b w:val="1"/>
                <w:bCs w:val="1"/>
                <w:color w:val="auto"/>
                <w:w w:val="99"/>
              </w:rPr>
              <w:t>2,044</w:t>
            </w:r>
          </w:p>
        </w:tc>
        <w:tc>
          <w:tcPr>
            <w:tcW w:w="34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312"/>
              <w:spacing w:after="0"/>
              <w:rPr>
                <w:sz w:val="20"/>
                <w:szCs w:val="20"/>
                <w:color w:val="auto"/>
              </w:rPr>
            </w:pPr>
            <w:r>
              <w:rPr>
                <w:rFonts w:ascii="Arial" w:cs="Arial" w:eastAsia="Arial" w:hAnsi="Arial"/>
                <w:sz w:val="16"/>
                <w:szCs w:val="16"/>
                <w:color w:val="auto"/>
                <w:w w:val="99"/>
              </w:rPr>
              <w:t xml:space="preserve">$ </w:t>
            </w:r>
            <w:r>
              <w:rPr>
                <w:rFonts w:ascii="Arial" w:cs="Arial" w:eastAsia="Arial" w:hAnsi="Arial"/>
                <w:sz w:val="18"/>
                <w:szCs w:val="18"/>
                <w:color w:val="auto"/>
                <w:w w:val="99"/>
              </w:rPr>
              <w:t>2,049</w:t>
            </w:r>
          </w:p>
        </w:tc>
        <w:tc>
          <w:tcPr>
            <w:tcW w:w="20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rPr>
              <w:t>0%</w:t>
            </w:r>
          </w:p>
        </w:tc>
      </w:tr>
      <w:tr>
        <w:trPr>
          <w:trHeight w:val="243"/>
        </w:trPr>
        <w:tc>
          <w:tcPr>
            <w:tcW w:w="288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771</w:t>
            </w:r>
          </w:p>
        </w:tc>
        <w:tc>
          <w:tcPr>
            <w:tcW w:w="340" w:type="dxa"/>
            <w:vAlign w:val="bottom"/>
          </w:tcPr>
          <w:p>
            <w:pPr>
              <w:spacing w:after="0"/>
              <w:rPr>
                <w:sz w:val="21"/>
                <w:szCs w:val="21"/>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21"/>
                <w:szCs w:val="21"/>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color w:val="auto"/>
              </w:rPr>
              <w:t>6%</w:t>
            </w:r>
          </w:p>
        </w:tc>
      </w:tr>
      <w:tr>
        <w:trPr>
          <w:trHeight w:val="243"/>
        </w:trPr>
        <w:tc>
          <w:tcPr>
            <w:tcW w:w="288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980" w:type="dxa"/>
            <w:vAlign w:val="bottom"/>
            <w:shd w:val="clear" w:color="auto" w:fill="CFF0FC"/>
          </w:tcPr>
          <w:p>
            <w:pPr>
              <w:jc w:val="right"/>
              <w:ind w:right="212"/>
              <w:spacing w:after="0"/>
              <w:rPr>
                <w:sz w:val="20"/>
                <w:szCs w:val="20"/>
                <w:color w:val="auto"/>
              </w:rPr>
            </w:pPr>
            <w:r>
              <w:rPr>
                <w:rFonts w:ascii="Arial" w:cs="Arial" w:eastAsia="Arial" w:hAnsi="Arial"/>
                <w:sz w:val="18"/>
                <w:szCs w:val="18"/>
                <w:b w:val="1"/>
                <w:bCs w:val="1"/>
                <w:color w:val="auto"/>
              </w:rPr>
              <w:t>37.7%</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Analog revenue was about even as increases in HPA and SVA were offset by decreases in HVAL and Power. Operating profit increased primarily due to higher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Processors and Connectivity product lines)</w:t>
      </w:r>
    </w:p>
    <w:p>
      <w:pPr>
        <w:spacing w:after="0" w:line="32" w:lineRule="exact"/>
        <w:rPr>
          <w:sz w:val="20"/>
          <w:szCs w:val="20"/>
          <w:color w:val="auto"/>
        </w:rPr>
      </w:pPr>
    </w:p>
    <w:tbl>
      <w:tblPr>
        <w:tblLayout w:type="fixed"/>
        <w:tblInd w:w="250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2Q16</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2Q15</w:t>
            </w: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88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980" w:type="dxa"/>
            <w:vAlign w:val="bottom"/>
            <w:tcBorders>
              <w:top w:val="single" w:sz="8" w:color="auto"/>
            </w:tcBorders>
            <w:shd w:val="clear" w:color="auto" w:fill="CFF0FC"/>
          </w:tcPr>
          <w:p>
            <w:pPr>
              <w:jc w:val="right"/>
              <w:ind w:right="432"/>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755</w:t>
            </w:r>
          </w:p>
        </w:tc>
        <w:tc>
          <w:tcPr>
            <w:tcW w:w="34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45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690</w:t>
            </w:r>
          </w:p>
        </w:tc>
        <w:tc>
          <w:tcPr>
            <w:tcW w:w="26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9%</w:t>
            </w:r>
          </w:p>
        </w:tc>
      </w:tr>
      <w:tr>
        <w:trPr>
          <w:trHeight w:val="243"/>
        </w:trPr>
        <w:tc>
          <w:tcPr>
            <w:tcW w:w="288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189</w:t>
            </w:r>
          </w:p>
        </w:tc>
        <w:tc>
          <w:tcPr>
            <w:tcW w:w="340" w:type="dxa"/>
            <w:vAlign w:val="bottom"/>
          </w:tcPr>
          <w:p>
            <w:pPr>
              <w:spacing w:after="0"/>
              <w:rPr>
                <w:sz w:val="21"/>
                <w:szCs w:val="21"/>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1"/>
                <w:szCs w:val="21"/>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rPr>
              <w:t>40%</w:t>
            </w:r>
          </w:p>
        </w:tc>
      </w:tr>
      <w:tr>
        <w:trPr>
          <w:trHeight w:val="243"/>
        </w:trPr>
        <w:tc>
          <w:tcPr>
            <w:tcW w:w="288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980" w:type="dxa"/>
            <w:vAlign w:val="bottom"/>
            <w:shd w:val="clear" w:color="auto" w:fill="CFF0FC"/>
          </w:tcPr>
          <w:p>
            <w:pPr>
              <w:jc w:val="right"/>
              <w:ind w:right="212"/>
              <w:spacing w:after="0"/>
              <w:rPr>
                <w:sz w:val="20"/>
                <w:szCs w:val="20"/>
                <w:color w:val="auto"/>
              </w:rPr>
            </w:pPr>
            <w:r>
              <w:rPr>
                <w:rFonts w:ascii="Arial" w:cs="Arial" w:eastAsia="Arial" w:hAnsi="Arial"/>
                <w:sz w:val="18"/>
                <w:szCs w:val="18"/>
                <w:b w:val="1"/>
                <w:bCs w:val="1"/>
                <w:color w:val="auto"/>
              </w:rPr>
              <w:t>25.0%</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Embedded Processing revenue increased in all three product lines, led by Processors. The increase in Microcontrollers revenue was due to the mix of products shipped.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custom ASICs and royalties)</w:t>
      </w:r>
    </w:p>
    <w:p>
      <w:pPr>
        <w:spacing w:after="0" w:line="32" w:lineRule="exact"/>
        <w:rPr>
          <w:sz w:val="20"/>
          <w:szCs w:val="20"/>
          <w:color w:val="auto"/>
        </w:rPr>
      </w:pPr>
    </w:p>
    <w:tbl>
      <w:tblPr>
        <w:tblLayout w:type="fixed"/>
        <w:tblInd w:w="250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2Q16</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2Q15</w:t>
            </w: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88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980" w:type="dxa"/>
            <w:vAlign w:val="bottom"/>
            <w:tcBorders>
              <w:top w:val="single" w:sz="8" w:color="auto"/>
            </w:tcBorders>
            <w:shd w:val="clear" w:color="auto" w:fill="CFF0FC"/>
          </w:tcPr>
          <w:p>
            <w:pPr>
              <w:jc w:val="right"/>
              <w:ind w:right="432"/>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474</w:t>
            </w:r>
          </w:p>
        </w:tc>
        <w:tc>
          <w:tcPr>
            <w:tcW w:w="34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45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493</w:t>
            </w:r>
          </w:p>
        </w:tc>
        <w:tc>
          <w:tcPr>
            <w:tcW w:w="26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-4%</w:t>
            </w:r>
          </w:p>
        </w:tc>
      </w:tr>
      <w:tr>
        <w:trPr>
          <w:trHeight w:val="243"/>
        </w:trPr>
        <w:tc>
          <w:tcPr>
            <w:tcW w:w="288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157</w:t>
            </w:r>
          </w:p>
        </w:tc>
        <w:tc>
          <w:tcPr>
            <w:tcW w:w="340" w:type="dxa"/>
            <w:vAlign w:val="bottom"/>
          </w:tcPr>
          <w:p>
            <w:pPr>
              <w:spacing w:after="0"/>
              <w:rPr>
                <w:sz w:val="21"/>
                <w:szCs w:val="21"/>
                <w:color w:val="auto"/>
              </w:rPr>
            </w:pPr>
          </w:p>
        </w:tc>
        <w:tc>
          <w:tcPr>
            <w:tcW w:w="1000" w:type="dxa"/>
            <w:vAlign w:val="bottom"/>
          </w:tcPr>
          <w:p>
            <w:pPr>
              <w:jc w:val="right"/>
              <w:ind w:right="452"/>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1"/>
                <w:szCs w:val="21"/>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rPr>
              <w:t>7%</w:t>
            </w:r>
          </w:p>
        </w:tc>
      </w:tr>
      <w:tr>
        <w:trPr>
          <w:trHeight w:val="243"/>
        </w:trPr>
        <w:tc>
          <w:tcPr>
            <w:tcW w:w="288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980" w:type="dxa"/>
            <w:vAlign w:val="bottom"/>
            <w:shd w:val="clear" w:color="auto" w:fill="CFF0FC"/>
          </w:tcPr>
          <w:p>
            <w:pPr>
              <w:jc w:val="right"/>
              <w:ind w:right="212"/>
              <w:spacing w:after="0"/>
              <w:rPr>
                <w:sz w:val="20"/>
                <w:szCs w:val="20"/>
                <w:color w:val="auto"/>
              </w:rPr>
            </w:pPr>
            <w:r>
              <w:rPr>
                <w:rFonts w:ascii="Arial" w:cs="Arial" w:eastAsia="Arial" w:hAnsi="Arial"/>
                <w:sz w:val="18"/>
                <w:szCs w:val="18"/>
                <w:b w:val="1"/>
                <w:bCs w:val="1"/>
                <w:color w:val="auto"/>
              </w:rPr>
              <w:t>33.1%</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Other revenue declined due to, in decreasing order, calculators, royalties and custom ASICs, partially offset by an increase in revenue from DLP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increased $10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six months of 2016 compared with first six months of 2015</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of $6.28 billion decreased $101 million, or 2 percent, as lower revenue from Analog and, to a lesser extent, Other more than offset higher revenue from Embedded Processing. Analog and Embedded Processing comprised 86 percent of revenue compared with 85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of $3.83 billion was up $130 million, or 4 percent, despite lower revenue, primarily due to lower manufacturing costs.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R&amp;D expense was $671 million, an increase of $13 million, due to a combination of our ongoing reallocation of resources to R&amp;D activities and higher compensation-related costs. These increases were partially offset by savings from the completed restructuring action in Embedded Processing. SG&amp;A expense of $908 million was about even as savings from the completed restructuring action offset higher compensation-related costs.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7" w:right="4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Acquisition charges were $159 million compared with $165 million. These non-cash charges were from the ongoing amortization of intangible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$2.09 billion, or 33.2 percent of revenue, compared with $1.97 billion, or 30.8 percent of revenue.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tax provision increased to $605 million from $577 million primarily due to higher income before income taxes, and to a lesser extent, a lower benefit from non-U.S. tax rates. The increase was partially offset by the effect of the federal research tax credit for the first six months of 2016, which was not included in the year-ago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$1.45 billion compared with $1.35 billion. EPS was $1.40 compared with $1.26.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Year-to-date segment results</w:t>
            </w:r>
          </w:p>
        </w:tc>
        <w:tc>
          <w:tcPr>
            <w:tcW w:w="35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53"/>
        </w:trPr>
        <w:tc>
          <w:tcPr>
            <w:tcW w:w="5580" w:type="dxa"/>
            <w:vAlign w:val="bottom"/>
            <w:gridSpan w:val="3"/>
          </w:tcPr>
          <w:p>
            <w:pPr>
              <w:spacing w:after="0"/>
              <w:rPr>
                <w:sz w:val="20"/>
                <w:szCs w:val="20"/>
                <w:color w:val="auto"/>
              </w:rPr>
            </w:pPr>
            <w:r>
              <w:rPr>
                <w:rFonts w:ascii="Arial" w:cs="Arial" w:eastAsia="Arial" w:hAnsi="Arial"/>
                <w:sz w:val="18"/>
                <w:szCs w:val="18"/>
                <w:color w:val="auto"/>
                <w:w w:val="98"/>
              </w:rPr>
              <w:t>Our segment results compared with the year-ago period are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5580" w:type="dxa"/>
            <w:vAlign w:val="bottom"/>
            <w:gridSpan w:val="3"/>
          </w:tcPr>
          <w:p>
            <w:pPr>
              <w:spacing w:after="0"/>
              <w:rPr>
                <w:sz w:val="20"/>
                <w:szCs w:val="20"/>
                <w:color w:val="auto"/>
              </w:rPr>
            </w:pPr>
            <w:r>
              <w:rPr>
                <w:rFonts w:ascii="Arial" w:cs="Arial" w:eastAsia="Arial" w:hAnsi="Arial"/>
                <w:sz w:val="18"/>
                <w:szCs w:val="18"/>
                <w:i w:val="1"/>
                <w:iCs w:val="1"/>
                <w:color w:val="auto"/>
              </w:rPr>
              <w:t>Analog</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9"/>
        </w:trPr>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YTD 2016</w:t>
            </w: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YTD 2015</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top w:val="single" w:sz="8" w:color="auto"/>
            </w:tcBorders>
            <w:shd w:val="clear" w:color="auto" w:fill="CFF0FC"/>
          </w:tcPr>
          <w:p>
            <w:pPr>
              <w:jc w:val="right"/>
              <w:ind w:right="292"/>
              <w:spacing w:after="0"/>
              <w:rPr>
                <w:sz w:val="20"/>
                <w:szCs w:val="20"/>
                <w:color w:val="auto"/>
              </w:rPr>
            </w:pPr>
            <w:r>
              <w:rPr>
                <w:rFonts w:ascii="Arial" w:cs="Arial" w:eastAsia="Arial" w:hAnsi="Arial"/>
                <w:sz w:val="16"/>
                <w:szCs w:val="16"/>
                <w:b w:val="1"/>
                <w:bCs w:val="1"/>
                <w:color w:val="auto"/>
                <w:w w:val="95"/>
              </w:rPr>
              <w:t xml:space="preserve">$ </w:t>
            </w:r>
            <w:r>
              <w:rPr>
                <w:rFonts w:ascii="Arial" w:cs="Arial" w:eastAsia="Arial" w:hAnsi="Arial"/>
                <w:sz w:val="18"/>
                <w:szCs w:val="18"/>
                <w:b w:val="1"/>
                <w:bCs w:val="1"/>
                <w:color w:val="auto"/>
                <w:w w:val="95"/>
              </w:rPr>
              <w:t>3,923</w:t>
            </w:r>
          </w:p>
        </w:tc>
        <w:tc>
          <w:tcPr>
            <w:tcW w:w="16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292"/>
              <w:spacing w:after="0"/>
              <w:rPr>
                <w:sz w:val="20"/>
                <w:szCs w:val="20"/>
                <w:color w:val="auto"/>
              </w:rPr>
            </w:pPr>
            <w:r>
              <w:rPr>
                <w:rFonts w:ascii="Arial" w:cs="Arial" w:eastAsia="Arial" w:hAnsi="Arial"/>
                <w:sz w:val="16"/>
                <w:szCs w:val="16"/>
                <w:color w:val="auto"/>
                <w:w w:val="99"/>
              </w:rPr>
              <w:t xml:space="preserve">$ </w:t>
            </w:r>
            <w:r>
              <w:rPr>
                <w:rFonts w:ascii="Arial" w:cs="Arial" w:eastAsia="Arial" w:hAnsi="Arial"/>
                <w:sz w:val="18"/>
                <w:szCs w:val="18"/>
                <w:color w:val="auto"/>
                <w:w w:val="99"/>
              </w:rPr>
              <w:t>4,084</w:t>
            </w: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-4%</w:t>
            </w:r>
          </w:p>
        </w:tc>
      </w:tr>
      <w:tr>
        <w:trPr>
          <w:trHeight w:val="243"/>
        </w:trPr>
        <w:tc>
          <w:tcPr>
            <w:tcW w:w="2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color w:val="auto"/>
              </w:rPr>
              <w:t>1,450</w:t>
            </w:r>
          </w:p>
        </w:tc>
        <w:tc>
          <w:tcPr>
            <w:tcW w:w="160" w:type="dxa"/>
            <w:vAlign w:val="bottom"/>
          </w:tcPr>
          <w:p>
            <w:pPr>
              <w:spacing w:after="0"/>
              <w:rPr>
                <w:sz w:val="21"/>
                <w:szCs w:val="21"/>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1,449</w:t>
            </w:r>
          </w:p>
        </w:tc>
        <w:tc>
          <w:tcPr>
            <w:tcW w:w="160" w:type="dxa"/>
            <w:vAlign w:val="bottom"/>
          </w:tcPr>
          <w:p>
            <w:pPr>
              <w:spacing w:after="0"/>
              <w:rPr>
                <w:sz w:val="21"/>
                <w:szCs w:val="21"/>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43"/>
        </w:trPr>
        <w:tc>
          <w:tcPr>
            <w:tcW w:w="2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960" w:type="dxa"/>
            <w:vAlign w:val="bottom"/>
            <w:shd w:val="clear" w:color="auto" w:fill="CFF0FC"/>
          </w:tcPr>
          <w:p>
            <w:pPr>
              <w:jc w:val="right"/>
              <w:ind w:right="212"/>
              <w:spacing w:after="0"/>
              <w:rPr>
                <w:sz w:val="20"/>
                <w:szCs w:val="20"/>
                <w:color w:val="auto"/>
              </w:rPr>
            </w:pPr>
            <w:r>
              <w:rPr>
                <w:rFonts w:ascii="Arial" w:cs="Arial" w:eastAsia="Arial" w:hAnsi="Arial"/>
                <w:sz w:val="18"/>
                <w:szCs w:val="18"/>
                <w:b w:val="1"/>
                <w:bCs w:val="1"/>
                <w:color w:val="auto"/>
              </w:rPr>
              <w:t>37.0%</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Analog revenue decreased due to HVAL and, to a lesser extent, Power. SVA and HPA revenue increased due to the mix of products shipped. Operating profit was about even, despite lower revenue, primarily due to higher gross profit, mostly offset by higher operating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1"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YTD 2016</w:t>
            </w: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YTD 2015</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9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top w:val="single" w:sz="8" w:color="auto"/>
            </w:tcBorders>
            <w:shd w:val="clear" w:color="auto" w:fill="CFF0FC"/>
          </w:tcPr>
          <w:p>
            <w:pPr>
              <w:jc w:val="right"/>
              <w:ind w:right="292"/>
              <w:spacing w:after="0"/>
              <w:rPr>
                <w:sz w:val="20"/>
                <w:szCs w:val="20"/>
                <w:color w:val="auto"/>
              </w:rPr>
            </w:pPr>
            <w:r>
              <w:rPr>
                <w:rFonts w:ascii="Arial" w:cs="Arial" w:eastAsia="Arial" w:hAnsi="Arial"/>
                <w:sz w:val="16"/>
                <w:szCs w:val="16"/>
                <w:b w:val="1"/>
                <w:bCs w:val="1"/>
                <w:color w:val="auto"/>
                <w:w w:val="95"/>
              </w:rPr>
              <w:t xml:space="preserve">$ </w:t>
            </w:r>
            <w:r>
              <w:rPr>
                <w:rFonts w:ascii="Arial" w:cs="Arial" w:eastAsia="Arial" w:hAnsi="Arial"/>
                <w:sz w:val="18"/>
                <w:szCs w:val="18"/>
                <w:b w:val="1"/>
                <w:bCs w:val="1"/>
                <w:color w:val="auto"/>
                <w:w w:val="95"/>
              </w:rPr>
              <w:t>1,484</w:t>
            </w:r>
          </w:p>
        </w:tc>
        <w:tc>
          <w:tcPr>
            <w:tcW w:w="16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292"/>
              <w:spacing w:after="0"/>
              <w:rPr>
                <w:sz w:val="20"/>
                <w:szCs w:val="20"/>
                <w:color w:val="auto"/>
              </w:rPr>
            </w:pPr>
            <w:r>
              <w:rPr>
                <w:rFonts w:ascii="Arial" w:cs="Arial" w:eastAsia="Arial" w:hAnsi="Arial"/>
                <w:sz w:val="16"/>
                <w:szCs w:val="16"/>
                <w:color w:val="auto"/>
                <w:w w:val="99"/>
              </w:rPr>
              <w:t xml:space="preserve">$ </w:t>
            </w:r>
            <w:r>
              <w:rPr>
                <w:rFonts w:ascii="Arial" w:cs="Arial" w:eastAsia="Arial" w:hAnsi="Arial"/>
                <w:sz w:val="18"/>
                <w:szCs w:val="18"/>
                <w:color w:val="auto"/>
                <w:w w:val="99"/>
              </w:rPr>
              <w:t>1,362</w:t>
            </w: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9%</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371</w:t>
            </w:r>
          </w:p>
        </w:tc>
        <w:tc>
          <w:tcPr>
            <w:tcW w:w="160" w:type="dxa"/>
            <w:vAlign w:val="bottom"/>
          </w:tcPr>
          <w:p>
            <w:pPr>
              <w:spacing w:after="0"/>
              <w:rPr>
                <w:sz w:val="21"/>
                <w:szCs w:val="21"/>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1"/>
                <w:szCs w:val="21"/>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44%</w:t>
            </w:r>
          </w:p>
        </w:tc>
      </w:tr>
      <w:tr>
        <w:trPr>
          <w:trHeight w:val="243"/>
        </w:trPr>
        <w:tc>
          <w:tcPr>
            <w:tcW w:w="2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96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25.0%</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Embedded Processing revenue increased in all three product lines, led by Processors. Processors and Microcontrollers revenue increased due to the mix of products shipped.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5"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YTD 2016</w:t>
            </w: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YTD 2015</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37"/>
        </w:trPr>
        <w:tc>
          <w:tcPr>
            <w:tcW w:w="29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top w:val="single" w:sz="8" w:color="auto"/>
            </w:tcBorders>
            <w:shd w:val="clear" w:color="auto" w:fill="CFF0FC"/>
          </w:tcPr>
          <w:p>
            <w:pPr>
              <w:jc w:val="right"/>
              <w:ind w:right="432"/>
              <w:spacing w:after="0"/>
              <w:rPr>
                <w:sz w:val="20"/>
                <w:szCs w:val="20"/>
                <w:color w:val="auto"/>
              </w:rPr>
            </w:pPr>
            <w:r>
              <w:rPr>
                <w:rFonts w:ascii="Arial" w:cs="Arial" w:eastAsia="Arial" w:hAnsi="Arial"/>
                <w:sz w:val="16"/>
                <w:szCs w:val="16"/>
                <w:b w:val="1"/>
                <w:bCs w:val="1"/>
                <w:color w:val="auto"/>
                <w:w w:val="96"/>
              </w:rPr>
              <w:t xml:space="preserve">$ </w:t>
            </w:r>
            <w:r>
              <w:rPr>
                <w:rFonts w:ascii="Arial" w:cs="Arial" w:eastAsia="Arial" w:hAnsi="Arial"/>
                <w:sz w:val="18"/>
                <w:szCs w:val="18"/>
                <w:b w:val="1"/>
                <w:bCs w:val="1"/>
                <w:color w:val="auto"/>
                <w:w w:val="96"/>
              </w:rPr>
              <w:t>874</w:t>
            </w:r>
          </w:p>
        </w:tc>
        <w:tc>
          <w:tcPr>
            <w:tcW w:w="160" w:type="dxa"/>
            <w:vAlign w:val="bottom"/>
            <w:tcBorders>
              <w:top w:val="single" w:sz="8" w:color="CFF0FC"/>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43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936</w:t>
            </w:r>
          </w:p>
        </w:tc>
        <w:tc>
          <w:tcPr>
            <w:tcW w:w="16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-7%</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960" w:type="dxa"/>
            <w:vAlign w:val="bottom"/>
          </w:tcPr>
          <w:p>
            <w:pPr>
              <w:jc w:val="right"/>
              <w:ind w:right="432"/>
              <w:spacing w:after="0"/>
              <w:rPr>
                <w:sz w:val="20"/>
                <w:szCs w:val="20"/>
                <w:color w:val="auto"/>
              </w:rPr>
            </w:pPr>
            <w:r>
              <w:rPr>
                <w:rFonts w:ascii="Arial" w:cs="Arial" w:eastAsia="Arial" w:hAnsi="Arial"/>
                <w:sz w:val="18"/>
                <w:szCs w:val="18"/>
                <w:b w:val="1"/>
                <w:bCs w:val="1"/>
                <w:color w:val="auto"/>
              </w:rPr>
              <w:t>264</w:t>
            </w:r>
          </w:p>
        </w:tc>
        <w:tc>
          <w:tcPr>
            <w:tcW w:w="160" w:type="dxa"/>
            <w:vAlign w:val="bottom"/>
          </w:tcPr>
          <w:p>
            <w:pPr>
              <w:spacing w:after="0"/>
              <w:rPr>
                <w:sz w:val="21"/>
                <w:szCs w:val="21"/>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1"/>
                <w:szCs w:val="21"/>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1%</w:t>
            </w:r>
          </w:p>
        </w:tc>
      </w:tr>
      <w:tr>
        <w:trPr>
          <w:trHeight w:val="243"/>
        </w:trPr>
        <w:tc>
          <w:tcPr>
            <w:tcW w:w="2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960" w:type="dxa"/>
            <w:vAlign w:val="bottom"/>
            <w:shd w:val="clear" w:color="auto" w:fill="CFF0FC"/>
          </w:tcPr>
          <w:p>
            <w:pPr>
              <w:jc w:val="right"/>
              <w:ind w:right="212"/>
              <w:spacing w:after="0"/>
              <w:rPr>
                <w:sz w:val="20"/>
                <w:szCs w:val="20"/>
                <w:color w:val="auto"/>
              </w:rPr>
            </w:pPr>
            <w:r>
              <w:rPr>
                <w:rFonts w:ascii="Arial" w:cs="Arial" w:eastAsia="Arial" w:hAnsi="Arial"/>
                <w:sz w:val="18"/>
                <w:szCs w:val="18"/>
                <w:b w:val="1"/>
                <w:bCs w:val="1"/>
                <w:color w:val="auto"/>
              </w:rPr>
              <w:t>30.2%</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revenue declined due to, in decreasing order, calculators, custom ASICs and royalties. The decrease was partially offset by DLP products, which increased due to the mix of products shipped. Operating profit increased $3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the end of the second quarter of 2016, Cash and cash equivalents plus Short-term investments was $2.54 billion, a decrease of $679 million from the end of 2015.</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557" w:right="539" w:bottom="1440" w:gutter="0" w:footer="0" w:header="0"/>
        </w:sectPr>
      </w:pPr>
    </w:p>
    <w:bookmarkStart w:id="18" w:name="page19"/>
    <w:bookmarkEnd w:id="18"/>
    <w:p>
      <w:pPr>
        <w:ind w:right="480"/>
        <w:spacing w:after="0" w:line="277" w:lineRule="auto"/>
        <w:rPr>
          <w:sz w:val="20"/>
          <w:szCs w:val="20"/>
          <w:color w:val="auto"/>
        </w:rPr>
      </w:pPr>
      <w:r>
        <w:rPr>
          <w:rFonts w:ascii="Arial" w:cs="Arial" w:eastAsia="Arial" w:hAnsi="Arial"/>
          <w:sz w:val="18"/>
          <w:szCs w:val="18"/>
          <w:color w:val="auto"/>
        </w:rPr>
        <w:t>Accounts receivable were $1.35 billion, an increase of $183 million compared with the end of 2015. Days sales outstanding were 37 at the end of the second quarter compared with 33 at the end of 2015.</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Inventory was $1.88 billion, an increase of $185 million from the end of 2015. Days of inventory increased from 115 at the end of 2015 to 133 at the end of the second quarter as we staged our inventory for future shipments. Our long-term model is for inventory in the range of 105 to 135 days.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six months of 2016 was $1.62 billion, an increase of $187 million from the year-ago period due to a decrease in cash used for working capital.</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2021. This credit facility also serves as support for the issuance of commercial paper. As of June 30, 2016, our credit facility was undrawn, and we had no commercial paper outstanding.</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the first six months of 2016, investing activities provided $638 million compared with using $16 million in the year-ago period. Capital expenditures were $282 million compared with $248 million in the year-ago period and were primarily for semiconductor manufacturing equipment. We received proceeds from sales of short-term investments, net of purchases, of $917 million compared with $221 million in the year-ago period.</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the first six months of 2016, financing activities used cash of $2.02 billion compared with $1.43 billion in the year-ago period. In 2016, we received proceeds of $499 million from the issuance of fixed-rate long-term debt (net of original issuance discount) compared with $498 million in 2015. We retired maturing debt of $1.0 billion in 2016 and $250 million in 2015. We paid dividends of $765 million compared with $710 million in the year-ago period, reflecting an increase in the dividend rate, partially offset by fewer shares outstanding. We used $1.16 billion to repurchase 21.4 million shares of our common stock, compared with $1.32 billion used in the year-ago period to repurchase 23.9 million shares. Employee exercises of stock options provided cash proceeds of $325 million compared with $297 million in the year-ago period.</w:t>
      </w:r>
    </w:p>
    <w:p>
      <w:pPr>
        <w:spacing w:after="0" w:line="17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had $1.24 billion of Cash and cash equivalents and $1.30 billion of Short-term investments as of June 30, 2016. We believe we have the necessary financial resources and operating plans to fund our working capital needs, capital expenditures, dividend and debt-related payments, and other business requirements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ind w:right="240"/>
        <w:spacing w:after="0" w:line="249"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r>
        <w:rPr>
          <w:rFonts w:ascii="Arial" w:cs="Arial" w:eastAsia="Arial" w:hAnsi="Arial"/>
          <w:sz w:val="21"/>
          <w:szCs w:val="21"/>
          <w:color w:val="auto"/>
        </w:rPr>
        <w:t>.</w:t>
      </w:r>
    </w:p>
    <w:p>
      <w:pPr>
        <w:spacing w:after="0" w:line="15" w:lineRule="exact"/>
        <w:rPr>
          <w:sz w:val="20"/>
          <w:szCs w:val="20"/>
          <w:color w:val="auto"/>
        </w:rPr>
      </w:pPr>
    </w:p>
    <w:tbl>
      <w:tblPr>
        <w:tblLayout w:type="fixed"/>
        <w:tblInd w:w="2080" w:type="dxa"/>
        <w:tblCellMar>
          <w:top w:w="0" w:type="dxa"/>
          <w:left w:w="0" w:type="dxa"/>
          <w:bottom w:w="0" w:type="dxa"/>
          <w:right w:w="0" w:type="dxa"/>
        </w:tblCellMar>
      </w:tblPr>
      <w:tr>
        <w:trPr>
          <w:trHeight w:val="206"/>
        </w:trPr>
        <w:tc>
          <w:tcPr>
            <w:tcW w:w="3740" w:type="dxa"/>
            <w:vAlign w:val="bottom"/>
          </w:tcPr>
          <w:p>
            <w:pPr>
              <w:spacing w:after="0"/>
              <w:rPr>
                <w:sz w:val="17"/>
                <w:szCs w:val="17"/>
                <w:color w:val="auto"/>
              </w:rPr>
            </w:pPr>
          </w:p>
        </w:tc>
        <w:tc>
          <w:tcPr>
            <w:tcW w:w="2420" w:type="dxa"/>
            <w:vAlign w:val="bottom"/>
            <w:gridSpan w:val="5"/>
          </w:tcPr>
          <w:p>
            <w:pPr>
              <w:ind w:left="420"/>
              <w:spacing w:after="0"/>
              <w:rPr>
                <w:sz w:val="20"/>
                <w:szCs w:val="20"/>
                <w:color w:val="auto"/>
              </w:rPr>
            </w:pPr>
            <w:r>
              <w:rPr>
                <w:rFonts w:ascii="Arial" w:cs="Arial" w:eastAsia="Arial" w:hAnsi="Arial"/>
                <w:sz w:val="16"/>
                <w:szCs w:val="16"/>
                <w:b w:val="1"/>
                <w:bCs w:val="1"/>
                <w:color w:val="auto"/>
              </w:rPr>
              <w:t>For 12 Months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37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w w:val="99"/>
              </w:rPr>
              <w:t>June 30,</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2"/>
        </w:trPr>
        <w:tc>
          <w:tcPr>
            <w:tcW w:w="374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r>
      <w:tr>
        <w:trPr>
          <w:trHeight w:val="196"/>
        </w:trPr>
        <w:tc>
          <w:tcPr>
            <w:tcW w:w="3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Cash flow from operations (GAAP)</w:t>
            </w:r>
          </w:p>
        </w:tc>
        <w:tc>
          <w:tcPr>
            <w:tcW w:w="80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$ 4,455</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4,084</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9%</w:t>
            </w:r>
          </w:p>
        </w:tc>
      </w:tr>
      <w:tr>
        <w:trPr>
          <w:trHeight w:val="213"/>
        </w:trPr>
        <w:tc>
          <w:tcPr>
            <w:tcW w:w="3740" w:type="dxa"/>
            <w:vAlign w:val="bottom"/>
            <w:tcBorders>
              <w:bottom w:val="single" w:sz="8" w:color="CFF0FC"/>
            </w:tcBorders>
          </w:tcPr>
          <w:p>
            <w:pPr>
              <w:ind w:left="40"/>
              <w:spacing w:after="0"/>
              <w:rPr>
                <w:sz w:val="20"/>
                <w:szCs w:val="20"/>
                <w:color w:val="auto"/>
              </w:rPr>
            </w:pPr>
            <w:r>
              <w:rPr>
                <w:rFonts w:ascii="Arial" w:cs="Arial" w:eastAsia="Arial" w:hAnsi="Arial"/>
                <w:sz w:val="16"/>
                <w:szCs w:val="16"/>
                <w:color w:val="auto"/>
              </w:rPr>
              <w:t>Capital expenditures</w:t>
            </w: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(585)</w:t>
            </w: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(476)</w:t>
            </w:r>
          </w:p>
        </w:tc>
        <w:tc>
          <w:tcPr>
            <w:tcW w:w="24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r>
      <w:tr>
        <w:trPr>
          <w:trHeight w:val="199"/>
        </w:trPr>
        <w:tc>
          <w:tcPr>
            <w:tcW w:w="3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Free cash flow (non-GAAP)</w:t>
            </w:r>
          </w:p>
        </w:tc>
        <w:tc>
          <w:tcPr>
            <w:tcW w:w="8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$ 3,870</w:t>
            </w:r>
          </w:p>
        </w:tc>
        <w:tc>
          <w:tcPr>
            <w:tcW w:w="3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3,608</w:t>
            </w:r>
          </w:p>
        </w:tc>
        <w:tc>
          <w:tcPr>
            <w:tcW w:w="1120" w:type="dxa"/>
            <w:vAlign w:val="bottom"/>
            <w:tcBorders>
              <w:bottom w:val="single" w:sz="8" w:color="CFF0FC"/>
            </w:tcBorders>
            <w:gridSpan w:val="2"/>
            <w:shd w:val="clear" w:color="auto" w:fill="CFF0FC"/>
          </w:tcPr>
          <w:p>
            <w:pPr>
              <w:jc w:val="center"/>
              <w:ind w:left="119"/>
              <w:spacing w:after="0"/>
              <w:rPr>
                <w:sz w:val="20"/>
                <w:szCs w:val="20"/>
                <w:color w:val="auto"/>
              </w:rPr>
            </w:pPr>
            <w:r>
              <w:rPr>
                <w:rFonts w:ascii="Arial" w:cs="Arial" w:eastAsia="Arial" w:hAnsi="Arial"/>
                <w:sz w:val="16"/>
                <w:szCs w:val="16"/>
                <w:b w:val="1"/>
                <w:bCs w:val="1"/>
                <w:color w:val="auto"/>
              </w:rPr>
              <w:t>7%</w:t>
            </w:r>
          </w:p>
        </w:tc>
      </w:tr>
      <w:tr>
        <w:trPr>
          <w:trHeight w:val="20"/>
        </w:trPr>
        <w:tc>
          <w:tcPr>
            <w:tcW w:w="3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37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r>
      <w:tr>
        <w:trPr>
          <w:trHeight w:val="196"/>
        </w:trPr>
        <w:tc>
          <w:tcPr>
            <w:tcW w:w="3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Revenue</w:t>
            </w:r>
          </w:p>
        </w:tc>
        <w:tc>
          <w:tcPr>
            <w:tcW w:w="8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$ 12,899</w:t>
            </w:r>
          </w:p>
        </w:tc>
        <w:tc>
          <w:tcPr>
            <w:tcW w:w="3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13,152</w:t>
            </w: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2080" w:type="dxa"/>
        <w:tblCellMar>
          <w:top w:w="0" w:type="dxa"/>
          <w:left w:w="0" w:type="dxa"/>
          <w:bottom w:w="0" w:type="dxa"/>
          <w:right w:w="0" w:type="dxa"/>
        </w:tblCellMar>
      </w:tblPr>
      <w:tr>
        <w:trPr>
          <w:trHeight w:val="193"/>
        </w:trPr>
        <w:tc>
          <w:tcPr>
            <w:tcW w:w="3880" w:type="dxa"/>
            <w:vAlign w:val="bottom"/>
            <w:shd w:val="clear" w:color="auto" w:fill="CFF0FC"/>
          </w:tcPr>
          <w:p>
            <w:pPr>
              <w:ind w:left="40"/>
              <w:spacing w:after="0"/>
              <w:rPr>
                <w:sz w:val="20"/>
                <w:szCs w:val="20"/>
                <w:color w:val="auto"/>
              </w:rPr>
            </w:pPr>
            <w:r>
              <w:rPr>
                <w:rFonts w:ascii="Arial" w:cs="Arial" w:eastAsia="Arial" w:hAnsi="Arial"/>
                <w:sz w:val="16"/>
                <w:szCs w:val="16"/>
                <w:color w:val="auto"/>
              </w:rPr>
              <w:t>Cash flow from operations as a percent of revenue</w:t>
            </w:r>
          </w:p>
        </w:tc>
        <w:tc>
          <w:tcPr>
            <w:tcW w:w="1340" w:type="dxa"/>
            <w:vAlign w:val="bottom"/>
            <w:vMerge w:val="restart"/>
            <w:shd w:val="clear" w:color="auto" w:fill="CFF0FC"/>
          </w:tcPr>
          <w:p>
            <w:pPr>
              <w:jc w:val="right"/>
              <w:ind w:right="339"/>
              <w:spacing w:after="0"/>
              <w:rPr>
                <w:sz w:val="20"/>
                <w:szCs w:val="20"/>
                <w:color w:val="auto"/>
              </w:rPr>
            </w:pPr>
            <w:r>
              <w:rPr>
                <w:rFonts w:ascii="Arial" w:cs="Arial" w:eastAsia="Arial" w:hAnsi="Arial"/>
                <w:sz w:val="16"/>
                <w:szCs w:val="16"/>
                <w:b w:val="1"/>
                <w:bCs w:val="1"/>
                <w:color w:val="auto"/>
              </w:rPr>
              <w:t>34.5%</w:t>
            </w:r>
          </w:p>
        </w:tc>
        <w:tc>
          <w:tcPr>
            <w:tcW w:w="2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FF0FC"/>
          </w:tcPr>
          <w:p>
            <w:pPr>
              <w:ind w:left="40"/>
              <w:spacing w:after="0"/>
              <w:rPr>
                <w:sz w:val="20"/>
                <w:szCs w:val="20"/>
                <w:color w:val="auto"/>
              </w:rPr>
            </w:pPr>
            <w:r>
              <w:rPr>
                <w:rFonts w:ascii="Arial" w:cs="Arial" w:eastAsia="Arial" w:hAnsi="Arial"/>
                <w:sz w:val="16"/>
                <w:szCs w:val="16"/>
                <w:color w:val="auto"/>
              </w:rPr>
              <w:t>(GAAP)</w:t>
            </w:r>
          </w:p>
        </w:tc>
        <w:tc>
          <w:tcPr>
            <w:tcW w:w="1340" w:type="dxa"/>
            <w:vAlign w:val="bottom"/>
            <w:vMerge w:val="continue"/>
            <w:shd w:val="clear" w:color="auto" w:fill="CFF0FC"/>
          </w:tcPr>
          <w:p>
            <w:pPr>
              <w:spacing w:after="0"/>
              <w:rPr>
                <w:sz w:val="18"/>
                <w:szCs w:val="18"/>
                <w:color w:val="auto"/>
              </w:rPr>
            </w:pPr>
          </w:p>
        </w:tc>
        <w:tc>
          <w:tcPr>
            <w:tcW w:w="206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0"/>
        </w:trPr>
        <w:tc>
          <w:tcPr>
            <w:tcW w:w="3880" w:type="dxa"/>
            <w:vAlign w:val="bottom"/>
          </w:tcPr>
          <w:p>
            <w:pPr>
              <w:ind w:left="40"/>
              <w:spacing w:after="0"/>
              <w:rPr>
                <w:sz w:val="20"/>
                <w:szCs w:val="20"/>
                <w:color w:val="auto"/>
              </w:rPr>
            </w:pPr>
            <w:r>
              <w:rPr>
                <w:rFonts w:ascii="Arial" w:cs="Arial" w:eastAsia="Arial" w:hAnsi="Arial"/>
                <w:sz w:val="16"/>
                <w:szCs w:val="16"/>
                <w:color w:val="auto"/>
              </w:rPr>
              <w:t>Free cash flow as a percent of revenue (non-GAAP)</w:t>
            </w: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2060" w:type="dxa"/>
            <w:vAlign w:val="bottom"/>
          </w:tcPr>
          <w:p>
            <w:pPr>
              <w:jc w:val="right"/>
              <w:ind w:right="11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2015. Additionally, in May 2016 we issued $500 million principal amount of 1.85 percent notes maturing in 2022, and we retired $1.0 billion of maturing debt.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2015, and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5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7560" w:type="dxa"/>
            <w:vAlign w:val="bottom"/>
            <w:gridSpan w:val="5"/>
          </w:tcPr>
          <w:p>
            <w:pPr>
              <w:ind w:left="2640"/>
              <w:spacing w:after="0"/>
              <w:rPr>
                <w:sz w:val="20"/>
                <w:szCs w:val="20"/>
                <w:color w:val="auto"/>
              </w:rPr>
            </w:pPr>
            <w:r>
              <w:rPr>
                <w:rFonts w:ascii="Arial" w:cs="Arial" w:eastAsia="Arial" w:hAnsi="Arial"/>
                <w:sz w:val="18"/>
                <w:szCs w:val="18"/>
                <w:b w:val="1"/>
                <w:bCs w:val="1"/>
                <w:color w:val="auto"/>
              </w:rPr>
              <w:t>ISSUER PURCHASES OF EQUITY SECURITIES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Total Number</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of Shares</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Dollar Value</w:t>
            </w:r>
          </w:p>
        </w:tc>
      </w:tr>
      <w:tr>
        <w:trPr>
          <w:trHeight w:val="234"/>
        </w:trPr>
        <w:tc>
          <w:tcPr>
            <w:tcW w:w="3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Purchased as</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that</w:t>
            </w:r>
          </w:p>
        </w:tc>
      </w:tr>
      <w:tr>
        <w:trPr>
          <w:trHeight w:val="243"/>
        </w:trPr>
        <w:tc>
          <w:tcPr>
            <w:tcW w:w="30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Part of</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May Yet Be</w:t>
            </w:r>
          </w:p>
        </w:tc>
      </w:tr>
      <w:tr>
        <w:trPr>
          <w:trHeight w:val="225"/>
        </w:trPr>
        <w:tc>
          <w:tcPr>
            <w:tcW w:w="30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Publicly</w:t>
            </w:r>
          </w:p>
        </w:tc>
        <w:tc>
          <w:tcPr>
            <w:tcW w:w="2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30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Announced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30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Price Paid</w:t>
            </w: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Plans or</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r>
      <w:tr>
        <w:trPr>
          <w:trHeight w:val="234"/>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Purchased</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per Share</w:t>
            </w:r>
          </w:p>
        </w:tc>
        <w:tc>
          <w:tcPr>
            <w:tcW w:w="15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Programs </w:t>
            </w:r>
            <w:r>
              <w:rPr>
                <w:rFonts w:ascii="Arial" w:cs="Arial" w:eastAsia="Arial" w:hAnsi="Arial"/>
                <w:sz w:val="15"/>
                <w:szCs w:val="15"/>
                <w:b w:val="1"/>
                <w:bCs w:val="1"/>
                <w:color w:val="auto"/>
                <w:w w:val="91"/>
              </w:rPr>
              <w:t>(1)</w:t>
            </w:r>
          </w:p>
        </w:tc>
      </w:tr>
      <w:tr>
        <w:trPr>
          <w:trHeight w:val="21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April 1, 2016 through April 30, 2016</w:t>
            </w:r>
          </w:p>
        </w:tc>
        <w:tc>
          <w:tcPr>
            <w:tcW w:w="1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4,966,370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58.39</w:t>
            </w:r>
          </w:p>
        </w:tc>
        <w:tc>
          <w:tcPr>
            <w:tcW w:w="1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4,966,370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7.01billion</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May 1, 2016 through May 31, 2016</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4,078,870</w:t>
            </w: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57.62</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4,078,870</w:t>
            </w:r>
          </w:p>
        </w:tc>
        <w:tc>
          <w:tcPr>
            <w:tcW w:w="260" w:type="dxa"/>
            <w:vAlign w:val="bottom"/>
          </w:tcPr>
          <w:p>
            <w:pPr>
              <w:spacing w:after="0"/>
              <w:rPr>
                <w:sz w:val="18"/>
                <w:szCs w:val="18"/>
                <w:color w:val="auto"/>
              </w:rPr>
            </w:pPr>
          </w:p>
        </w:tc>
        <w:tc>
          <w:tcPr>
            <w:tcW w:w="1460" w:type="dxa"/>
            <w:vAlign w:val="bottom"/>
          </w:tcPr>
          <w:p>
            <w:pPr>
              <w:ind w:left="200"/>
              <w:spacing w:after="0"/>
              <w:rPr>
                <w:sz w:val="20"/>
                <w:szCs w:val="20"/>
                <w:color w:val="auto"/>
              </w:rPr>
            </w:pPr>
            <w:r>
              <w:rPr>
                <w:rFonts w:ascii="Arial" w:cs="Arial" w:eastAsia="Arial" w:hAnsi="Arial"/>
                <w:sz w:val="18"/>
                <w:szCs w:val="18"/>
                <w:color w:val="auto"/>
              </w:rPr>
              <w:t>6.78billion</w:t>
            </w:r>
          </w:p>
        </w:tc>
      </w:tr>
      <w:tr>
        <w:trPr>
          <w:trHeight w:val="216"/>
        </w:trPr>
        <w:tc>
          <w:tcPr>
            <w:tcW w:w="30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June 1, 2016 through June 30, 2016</w:t>
            </w:r>
          </w:p>
        </w:tc>
        <w:tc>
          <w:tcPr>
            <w:tcW w:w="17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39,126</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58.77</w:t>
            </w:r>
          </w:p>
        </w:tc>
        <w:tc>
          <w:tcPr>
            <w:tcW w:w="1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39,126</w:t>
            </w:r>
          </w:p>
        </w:tc>
        <w:tc>
          <w:tcPr>
            <w:tcW w:w="2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6.78billion</w:t>
            </w:r>
          </w:p>
        </w:tc>
      </w:tr>
      <w:tr>
        <w:trPr>
          <w:trHeight w:val="224"/>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9,084,366</w:t>
            </w:r>
            <w:r>
              <w:rPr>
                <w:rFonts w:ascii="Arial" w:cs="Arial" w:eastAsia="Arial" w:hAnsi="Arial"/>
                <w:sz w:val="15"/>
                <w:szCs w:val="15"/>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58.04</w:t>
            </w:r>
          </w:p>
        </w:tc>
        <w:tc>
          <w:tcPr>
            <w:tcW w:w="1580" w:type="dxa"/>
            <w:vAlign w:val="bottom"/>
          </w:tcPr>
          <w:p>
            <w:pPr>
              <w:jc w:val="right"/>
              <w:spacing w:after="0"/>
              <w:rPr>
                <w:sz w:val="20"/>
                <w:szCs w:val="20"/>
                <w:color w:val="auto"/>
              </w:rPr>
            </w:pPr>
            <w:r>
              <w:rPr>
                <w:rFonts w:ascii="Arial" w:cs="Arial" w:eastAsia="Arial" w:hAnsi="Arial"/>
                <w:sz w:val="18"/>
                <w:szCs w:val="18"/>
                <w:color w:val="auto"/>
              </w:rPr>
              <w:t>9,084,366</w:t>
            </w:r>
            <w:r>
              <w:rPr>
                <w:rFonts w:ascii="Arial" w:cs="Arial" w:eastAsia="Arial" w:hAnsi="Arial"/>
                <w:sz w:val="15"/>
                <w:szCs w:val="15"/>
                <w:color w:val="auto"/>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Pr>
          <w:p>
            <w:pPr>
              <w:ind w:left="200"/>
              <w:spacing w:after="0"/>
              <w:rPr>
                <w:sz w:val="20"/>
                <w:szCs w:val="20"/>
                <w:color w:val="auto"/>
              </w:rPr>
            </w:pPr>
            <w:r>
              <w:rPr>
                <w:rFonts w:ascii="Arial" w:cs="Arial" w:eastAsia="Arial" w:hAnsi="Arial"/>
                <w:sz w:val="18"/>
                <w:szCs w:val="18"/>
                <w:color w:val="auto"/>
              </w:rPr>
              <w:t xml:space="preserve">6.78billion </w:t>
            </w:r>
            <w:r>
              <w:rPr>
                <w:rFonts w:ascii="Arial" w:cs="Arial" w:eastAsia="Arial" w:hAnsi="Arial"/>
                <w:sz w:val="15"/>
                <w:szCs w:val="15"/>
                <w:color w:val="auto"/>
              </w:rPr>
              <w:t>(3)</w:t>
            </w:r>
          </w:p>
        </w:tc>
      </w:tr>
    </w:tbl>
    <w:p>
      <w:pPr>
        <w:spacing w:after="0" w:line="93" w:lineRule="exact"/>
        <w:rPr>
          <w:sz w:val="20"/>
          <w:szCs w:val="20"/>
          <w:color w:val="auto"/>
        </w:rPr>
      </w:pPr>
    </w:p>
    <w:p>
      <w:pPr>
        <w:ind w:left="1420" w:hanging="264"/>
        <w:spacing w:after="0" w:line="258" w:lineRule="auto"/>
        <w:tabs>
          <w:tab w:leader="none" w:pos="14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September 17, 2015.</w:t>
      </w:r>
    </w:p>
    <w:p>
      <w:pPr>
        <w:spacing w:after="0" w:line="1" w:lineRule="exact"/>
        <w:rPr>
          <w:rFonts w:ascii="Arial" w:cs="Arial" w:eastAsia="Arial" w:hAnsi="Arial"/>
          <w:sz w:val="15"/>
          <w:szCs w:val="15"/>
          <w:color w:val="auto"/>
        </w:rPr>
      </w:pPr>
    </w:p>
    <w:p>
      <w:pPr>
        <w:ind w:left="1420" w:hanging="264"/>
        <w:spacing w:after="0"/>
        <w:tabs>
          <w:tab w:leader="none" w:pos="14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w:t>
      </w:r>
    </w:p>
    <w:p>
      <w:pPr>
        <w:spacing w:after="0" w:line="9" w:lineRule="exact"/>
        <w:rPr>
          <w:rFonts w:ascii="Arial" w:cs="Arial" w:eastAsia="Arial" w:hAnsi="Arial"/>
          <w:sz w:val="15"/>
          <w:szCs w:val="15"/>
          <w:color w:val="auto"/>
        </w:rPr>
      </w:pPr>
    </w:p>
    <w:p>
      <w:pPr>
        <w:ind w:left="1420" w:right="100" w:hanging="264"/>
        <w:spacing w:after="0" w:line="261" w:lineRule="auto"/>
        <w:tabs>
          <w:tab w:leader="none" w:pos="14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As of June 30, 2016, this amount consisted of the remaining portion of the $7.5 billion authorized in September 2015. No expiration date has been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ind w:left="120"/>
        <w:spacing w:after="0"/>
        <w:rPr>
          <w:sz w:val="20"/>
          <w:szCs w:val="20"/>
          <w:color w:val="auto"/>
        </w:rPr>
      </w:pPr>
      <w:r>
        <w:rPr>
          <w:rFonts w:ascii="Arial" w:cs="Arial" w:eastAsia="Arial" w:hAnsi="Arial"/>
          <w:sz w:val="17"/>
          <w:szCs w:val="17"/>
          <w:b w:val="1"/>
          <w:bCs w:val="1"/>
          <w:color w:val="auto"/>
        </w:rPr>
        <w:t>ITEM 6. Exhibits.</w:t>
      </w:r>
    </w:p>
    <w:p>
      <w:pPr>
        <w:sectPr>
          <w:pgSz w:w="11900" w:h="16838" w:orient="portrait"/>
          <w:cols w:equalWidth="0" w:num="1">
            <w:col w:w="10219"/>
          </w:cols>
          <w:pgMar w:left="240" w:top="337" w:right="1440" w:bottom="1440" w:gutter="0" w:footer="0" w:header="0"/>
        </w:sectPr>
      </w:pPr>
    </w:p>
    <w:p>
      <w:pPr>
        <w:spacing w:after="0" w:line="277" w:lineRule="exact"/>
        <w:rPr>
          <w:sz w:val="20"/>
          <w:szCs w:val="20"/>
          <w:color w:val="auto"/>
        </w:rPr>
      </w:pPr>
    </w:p>
    <w:p>
      <w:pPr>
        <w:jc w:val="center"/>
        <w:ind w:left="100"/>
        <w:spacing w:after="0" w:line="303" w:lineRule="auto"/>
        <w:rPr>
          <w:sz w:val="20"/>
          <w:szCs w:val="20"/>
          <w:color w:val="auto"/>
        </w:rPr>
      </w:pPr>
      <w:r>
        <w:rPr>
          <w:rFonts w:ascii="Arial" w:cs="Arial" w:eastAsia="Arial" w:hAnsi="Arial"/>
          <w:sz w:val="16"/>
          <w:szCs w:val="16"/>
          <w:b w:val="1"/>
          <w:bCs w:val="1"/>
          <w:color w:val="auto"/>
        </w:rPr>
        <w:t>Designation of Exhibits in This Report</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3(a)</w:t>
      </w:r>
    </w:p>
    <w:p>
      <w:pPr>
        <w:spacing w:after="0" w:line="3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3(b)</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4(a)</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10(a)</w:t>
      </w:r>
    </w:p>
    <w:p>
      <w:pPr>
        <w:spacing w:after="0" w:line="252"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31(a)</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31(b)</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32(a)</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32(b)</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101.def</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Description of Exhibit</w:t>
      </w:r>
    </w:p>
    <w:p>
      <w:pPr>
        <w:spacing w:after="0" w:line="378" w:lineRule="exact"/>
        <w:rPr>
          <w:sz w:val="20"/>
          <w:szCs w:val="20"/>
          <w:color w:val="auto"/>
        </w:rPr>
      </w:pPr>
    </w:p>
    <w:p>
      <w:pPr>
        <w:jc w:val="both"/>
        <w:ind w:left="20" w:right="1359"/>
        <w:spacing w:after="0" w:line="256" w:lineRule="auto"/>
        <w:rPr>
          <w:sz w:val="20"/>
          <w:szCs w:val="20"/>
          <w:color w:val="auto"/>
        </w:rPr>
      </w:pPr>
      <w:r>
        <w:rPr>
          <w:rFonts w:ascii="Arial" w:cs="Arial" w:eastAsia="Arial" w:hAnsi="Arial"/>
          <w:sz w:val="18"/>
          <w:szCs w:val="18"/>
          <w:color w:val="auto"/>
        </w:rPr>
        <w:t>Restated Certificate of Incorporation of the Registrant, dated April 18, 1985, as amended (incorporated by reference to Exhibit 3(a) of the Registrant's Annual Report on Form 10-K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-410845</wp:posOffset>
            </wp:positionV>
            <wp:extent cx="5951855"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51855" cy="411480"/>
                    </a:xfrm>
                    <a:prstGeom prst="rect">
                      <a:avLst/>
                    </a:prstGeom>
                    <a:noFill/>
                  </pic:spPr>
                </pic:pic>
              </a:graphicData>
            </a:graphic>
          </wp:anchor>
        </w:drawing>
      </w:r>
    </w:p>
    <w:p>
      <w:pPr>
        <w:ind w:right="999"/>
        <w:spacing w:after="0" w:line="265" w:lineRule="auto"/>
        <w:rPr>
          <w:sz w:val="20"/>
          <w:szCs w:val="20"/>
          <w:color w:val="auto"/>
        </w:rPr>
      </w:pPr>
      <w:r>
        <w:rPr>
          <w:rFonts w:ascii="Arial" w:cs="Arial" w:eastAsia="Arial" w:hAnsi="Arial"/>
          <w:sz w:val="18"/>
          <w:szCs w:val="18"/>
          <w:color w:val="auto"/>
        </w:rPr>
        <w:t>By-Laws of the Registrant (incorporated by reference to Exhibit 3(b) to the Registrant's Annual Report on Form 10-K for the year ended December 31, 2014).</w:t>
      </w:r>
    </w:p>
    <w:p>
      <w:pPr>
        <w:spacing w:after="0" w:line="1" w:lineRule="exact"/>
        <w:rPr>
          <w:sz w:val="20"/>
          <w:szCs w:val="20"/>
          <w:color w:val="auto"/>
        </w:rPr>
      </w:pPr>
    </w:p>
    <w:p>
      <w:pPr>
        <w:ind w:right="1239"/>
        <w:spacing w:after="0" w:line="258" w:lineRule="auto"/>
        <w:rPr>
          <w:sz w:val="20"/>
          <w:szCs w:val="20"/>
          <w:color w:val="auto"/>
        </w:rPr>
      </w:pPr>
      <w:r>
        <w:rPr>
          <w:rFonts w:ascii="Arial" w:cs="Arial" w:eastAsia="Arial" w:hAnsi="Arial"/>
          <w:sz w:val="18"/>
          <w:szCs w:val="18"/>
          <w:color w:val="auto"/>
        </w:rPr>
        <w:t>Officer’s Certificate, dated May 6, 2016 (incorporated by reference to Exhibit 4.1 of the Registrant’s Current Report on Form 8-K filed May 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-281305</wp:posOffset>
            </wp:positionV>
            <wp:extent cx="597725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77255" cy="291465"/>
                    </a:xfrm>
                    <a:prstGeom prst="rect">
                      <a:avLst/>
                    </a:prstGeom>
                    <a:noFill/>
                  </pic:spPr>
                </pic:pic>
              </a:graphicData>
            </a:graphic>
          </wp:anchor>
        </w:drawing>
      </w:r>
    </w:p>
    <w:p>
      <w:pPr>
        <w:ind w:right="1099"/>
        <w:spacing w:after="0" w:line="260" w:lineRule="auto"/>
        <w:rPr>
          <w:sz w:val="20"/>
          <w:szCs w:val="20"/>
          <w:color w:val="auto"/>
        </w:rPr>
      </w:pPr>
      <w:r>
        <w:rPr>
          <w:rFonts w:ascii="Arial" w:cs="Arial" w:eastAsia="Arial" w:hAnsi="Arial"/>
          <w:sz w:val="18"/>
          <w:szCs w:val="18"/>
          <w:color w:val="auto"/>
        </w:rPr>
        <w:t>Texas Instruments 2009 Long-Term Incentive Plan, as amended effective April 21, 2016 (incorporated by reference to Appendix B of the Registrant’s proxy statement for the 2016 annual meeting of shareholders, filed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-6350</wp:posOffset>
            </wp:positionV>
            <wp:extent cx="597725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xml:space="preserve">Certification of Chief Executive Officer of Periodic Report Pursuant to Rule 13a-15(e) or Rule 15d-15(e). </w:t>
      </w:r>
      <w:r>
        <w:rPr>
          <w:rFonts w:ascii="Arial" w:cs="Arial" w:eastAsia="Arial" w:hAnsi="Arial"/>
          <w:sz w:val="14"/>
          <w:szCs w:val="14"/>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Certification of Chief Financial Officer of Periodic Report Pursuant to Rule 13a-15(e) or Rule 15d-15(e). </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39370</wp:posOffset>
            </wp:positionV>
            <wp:extent cx="597725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by Chief Executive Officer of Periodic Report Pursuant to 18 U.S.C. Section 1350. </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Certification by Chief Financial Officer of Periodic Report Pursuant to 18 U.S.C. Section 1350. </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597725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597725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31750</wp:posOffset>
            </wp:positionV>
            <wp:extent cx="597725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725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r>
        <w:rPr>
          <w:rFonts w:ascii="Arial" w:cs="Arial" w:eastAsia="Arial" w:hAnsi="Arial"/>
          <w:sz w:val="15"/>
          <w:szCs w:val="15"/>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r>
        <w:rPr>
          <w:rFonts w:ascii="Arial" w:cs="Arial" w:eastAsia="Arial" w:hAnsi="Arial"/>
          <w:sz w:val="15"/>
          <w:szCs w:val="15"/>
          <w:color w:val="auto"/>
        </w:rPr>
        <w:t>†</w:t>
      </w:r>
    </w:p>
    <w:p>
      <w:pPr>
        <w:spacing w:after="0" w:line="144" w:lineRule="exact"/>
        <w:rPr>
          <w:sz w:val="20"/>
          <w:szCs w:val="20"/>
          <w:color w:val="auto"/>
        </w:rPr>
      </w:pPr>
    </w:p>
    <w:p>
      <w:pPr>
        <w:sectPr>
          <w:pgSz w:w="11900" w:h="16838" w:orient="portrait"/>
          <w:cols w:equalWidth="0" w:num="2">
            <w:col w:w="1020" w:space="120"/>
            <w:col w:w="9079"/>
          </w:cols>
          <w:pgMar w:left="240" w:top="337" w:right="1440" w:bottom="1440" w:gutter="0" w:footer="0" w:header="0"/>
          <w:type w:val="continuous"/>
        </w:sectPr>
      </w:pPr>
    </w:p>
    <w:p>
      <w:pPr>
        <w:ind w:left="520" w:hanging="512"/>
        <w:spacing w:after="0"/>
        <w:tabs>
          <w:tab w:leader="none" w:pos="520" w:val="left"/>
        </w:tabs>
        <w:numPr>
          <w:ilvl w:val="0"/>
          <w:numId w:val="20"/>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32" w:lineRule="exact"/>
        <w:rPr>
          <w:rFonts w:ascii="Arial" w:cs="Arial" w:eastAsia="Arial" w:hAnsi="Arial"/>
          <w:sz w:val="16"/>
          <w:szCs w:val="16"/>
          <w:color w:val="auto"/>
        </w:rPr>
      </w:pPr>
    </w:p>
    <w:p>
      <w:pPr>
        <w:ind w:left="1040" w:right="2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ind w:left="1040" w:right="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1040" w:right="20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TI, its customers or its suppliers operate;</w:t>
      </w:r>
    </w:p>
    <w:p>
      <w:pPr>
        <w:spacing w:after="0" w:line="32" w:lineRule="exact"/>
        <w:rPr>
          <w:rFonts w:ascii="Arial" w:cs="Arial" w:eastAsia="Arial" w:hAnsi="Arial"/>
          <w:sz w:val="16"/>
          <w:szCs w:val="16"/>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Breaches of TI’s information technology systems or those of its customers or suppliers;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32" w:lineRule="exact"/>
        <w:rPr>
          <w:rFonts w:ascii="Arial" w:cs="Arial" w:eastAsia="Arial" w:hAnsi="Arial"/>
          <w:sz w:val="16"/>
          <w:szCs w:val="16"/>
          <w:color w:val="auto"/>
        </w:rPr>
      </w:pPr>
    </w:p>
    <w:p>
      <w:pPr>
        <w:ind w:left="1040" w:right="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1040" w:right="460" w:hanging="519"/>
        <w:spacing w:after="0" w:line="265"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TI’s ability to maintain and enforce a strong intellectual property portfolio and obtain needed licenses from third parties, expiration of license agreements between TI and its patent licensees, and market conditions reducing royalty payments to TI;</w:t>
      </w:r>
    </w:p>
    <w:p>
      <w:pPr>
        <w:ind w:left="1040" w:right="200" w:hanging="519"/>
        <w:spacing w:after="0" w:line="281"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TI’s ability to manufacture its products or operate its business, or subject us to fines, penalties, or other legal liability;</w:t>
      </w:r>
    </w:p>
    <w:p>
      <w:pPr>
        <w:spacing w:after="0" w:line="1" w:lineRule="exact"/>
        <w:rPr>
          <w:rFonts w:ascii="Arial" w:cs="Arial" w:eastAsia="Arial" w:hAnsi="Arial"/>
          <w:sz w:val="16"/>
          <w:szCs w:val="16"/>
          <w:color w:val="auto"/>
        </w:rPr>
      </w:pPr>
    </w:p>
    <w:p>
      <w:pPr>
        <w:ind w:left="1040" w:right="50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ind w:left="1040" w:right="28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and the ability to realize deferred tax assets;</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1040" w:right="2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its daily operations, invest in the business, make strategic acquisitions, or make principal and interest payments on its debt;</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its ability to realize its expectations regarding the amount and timing of restructuring charges and associated cost savings; and</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/s/ Kevin P. March</w:t>
            </w:r>
          </w:p>
        </w:tc>
      </w:tr>
      <w:tr>
        <w:trPr>
          <w:trHeight w:val="195"/>
        </w:trPr>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9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5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9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40" w:hanging="5"/>
        <w:spacing w:after="0" w:line="342" w:lineRule="auto"/>
        <w:tabs>
          <w:tab w:leader="none" w:pos="7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2016,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2016</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340" w:firstLine="547"/>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6" w:lineRule="exact"/>
        <w:rPr>
          <w:sz w:val="20"/>
          <w:szCs w:val="20"/>
          <w:color w:val="auto"/>
        </w:rPr>
      </w:pPr>
    </w:p>
    <w:p>
      <w:pPr>
        <w:ind w:left="560" w:right="40" w:hanging="5"/>
        <w:spacing w:after="0" w:line="342" w:lineRule="auto"/>
        <w:tabs>
          <w:tab w:leader="none" w:pos="7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2016,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2016</w:t>
      </w:r>
    </w:p>
    <w:p>
      <w:pPr>
        <w:spacing w:after="0" w:line="293"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2019-12-05T10:53:36Z</dcterms:created>
  <dcterms:modified xsi:type="dcterms:W3CDTF">2019-12-05T10:53:36Z</dcterms:modified>
</cp:coreProperties>
</file>