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1, 2014</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1940" w:type="dxa"/>
            <w:vAlign w:val="bottom"/>
          </w:tcPr>
          <w:p>
            <w:pPr>
              <w:jc w:val="center"/>
              <w:ind w:right="2"/>
              <w:spacing w:after="0"/>
              <w:rPr>
                <w:sz w:val="20"/>
                <w:szCs w:val="20"/>
                <w:color w:val="auto"/>
              </w:rPr>
            </w:pPr>
            <w:r>
              <w:rPr>
                <w:rFonts w:ascii="Arial" w:cs="Arial" w:eastAsia="Arial" w:hAnsi="Arial"/>
                <w:sz w:val="18"/>
                <w:szCs w:val="18"/>
                <w:b w:val="1"/>
                <w:bCs w:val="1"/>
                <w:color w:val="auto"/>
                <w:w w:val="93"/>
              </w:rPr>
              <w:t>Delaware</w:t>
            </w:r>
          </w:p>
        </w:tc>
        <w:tc>
          <w:tcPr>
            <w:tcW w:w="5320" w:type="dxa"/>
            <w:vAlign w:val="bottom"/>
          </w:tcPr>
          <w:p>
            <w:pPr>
              <w:jc w:val="center"/>
              <w:ind w:left="4097"/>
              <w:spacing w:after="0"/>
              <w:rPr>
                <w:sz w:val="20"/>
                <w:szCs w:val="20"/>
                <w:color w:val="auto"/>
              </w:rPr>
            </w:pPr>
            <w:r>
              <w:rPr>
                <w:rFonts w:ascii="Arial" w:cs="Arial" w:eastAsia="Arial" w:hAnsi="Arial"/>
                <w:sz w:val="18"/>
                <w:szCs w:val="18"/>
                <w:b w:val="1"/>
                <w:bCs w:val="1"/>
                <w:color w:val="auto"/>
                <w:w w:val="89"/>
              </w:rPr>
              <w:t>75-0289970</w:t>
            </w:r>
          </w:p>
        </w:tc>
      </w:tr>
      <w:tr>
        <w:trPr>
          <w:trHeight w:val="149"/>
        </w:trPr>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320" w:type="dxa"/>
            <w:vAlign w:val="bottom"/>
          </w:tcPr>
          <w:p>
            <w:pPr>
              <w:jc w:val="center"/>
              <w:ind w:left="411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320" w:type="dxa"/>
            <w:vAlign w:val="bottom"/>
          </w:tcPr>
          <w:p>
            <w:pPr>
              <w:jc w:val="center"/>
              <w:ind w:left="4097"/>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1940" w:type="dxa"/>
            <w:vAlign w:val="bottom"/>
          </w:tcPr>
          <w:p>
            <w:pPr>
              <w:spacing w:after="0"/>
              <w:rPr>
                <w:sz w:val="24"/>
                <w:szCs w:val="24"/>
                <w:color w:val="auto"/>
              </w:rPr>
            </w:pPr>
          </w:p>
        </w:tc>
        <w:tc>
          <w:tcPr>
            <w:tcW w:w="5320" w:type="dxa"/>
            <w:vAlign w:val="bottom"/>
          </w:tcPr>
          <w:p>
            <w:pPr>
              <w:jc w:val="center"/>
              <w:ind w:right="1617"/>
              <w:spacing w:after="0"/>
              <w:rPr>
                <w:sz w:val="20"/>
                <w:szCs w:val="20"/>
                <w:color w:val="auto"/>
              </w:rPr>
            </w:pPr>
            <w:r>
              <w:rPr>
                <w:rFonts w:ascii="Arial" w:cs="Arial" w:eastAsia="Arial" w:hAnsi="Arial"/>
                <w:sz w:val="18"/>
                <w:szCs w:val="18"/>
                <w:b w:val="1"/>
                <w:bCs w:val="1"/>
                <w:color w:val="auto"/>
                <w:w w:val="93"/>
              </w:rPr>
              <w:t>12500 TI Boulevard</w:t>
            </w:r>
          </w:p>
        </w:tc>
      </w:tr>
      <w:tr>
        <w:trPr>
          <w:trHeight w:val="216"/>
        </w:trPr>
        <w:tc>
          <w:tcPr>
            <w:tcW w:w="1940" w:type="dxa"/>
            <w:vAlign w:val="bottom"/>
          </w:tcPr>
          <w:p>
            <w:pPr>
              <w:spacing w:after="0"/>
              <w:rPr>
                <w:sz w:val="18"/>
                <w:szCs w:val="18"/>
                <w:color w:val="auto"/>
              </w:rPr>
            </w:pPr>
          </w:p>
        </w:tc>
        <w:tc>
          <w:tcPr>
            <w:tcW w:w="5320" w:type="dxa"/>
            <w:vAlign w:val="bottom"/>
          </w:tcPr>
          <w:p>
            <w:pPr>
              <w:jc w:val="center"/>
              <w:ind w:right="1617"/>
              <w:spacing w:after="0"/>
              <w:rPr>
                <w:sz w:val="20"/>
                <w:szCs w:val="20"/>
                <w:color w:val="auto"/>
              </w:rPr>
            </w:pPr>
            <w:r>
              <w:rPr>
                <w:rFonts w:ascii="Arial" w:cs="Arial" w:eastAsia="Arial" w:hAnsi="Arial"/>
                <w:sz w:val="18"/>
                <w:szCs w:val="18"/>
                <w:b w:val="1"/>
                <w:bCs w:val="1"/>
                <w:color w:val="auto"/>
                <w:w w:val="89"/>
              </w:rPr>
              <w:t>P.O. Box 655474</w:t>
            </w:r>
          </w:p>
        </w:tc>
      </w:tr>
      <w:tr>
        <w:trPr>
          <w:trHeight w:val="212"/>
        </w:trPr>
        <w:tc>
          <w:tcPr>
            <w:tcW w:w="1940" w:type="dxa"/>
            <w:vAlign w:val="bottom"/>
          </w:tcPr>
          <w:p>
            <w:pPr>
              <w:spacing w:after="0"/>
              <w:rPr>
                <w:sz w:val="18"/>
                <w:szCs w:val="18"/>
                <w:color w:val="auto"/>
              </w:rPr>
            </w:pPr>
          </w:p>
        </w:tc>
        <w:tc>
          <w:tcPr>
            <w:tcW w:w="5320" w:type="dxa"/>
            <w:vAlign w:val="bottom"/>
          </w:tcPr>
          <w:p>
            <w:pPr>
              <w:jc w:val="center"/>
              <w:ind w:right="1597"/>
              <w:spacing w:after="0"/>
              <w:rPr>
                <w:sz w:val="20"/>
                <w:szCs w:val="20"/>
                <w:color w:val="auto"/>
              </w:rPr>
            </w:pPr>
            <w:r>
              <w:rPr>
                <w:rFonts w:ascii="Arial" w:cs="Arial" w:eastAsia="Arial" w:hAnsi="Arial"/>
                <w:sz w:val="18"/>
                <w:szCs w:val="18"/>
                <w:b w:val="1"/>
                <w:bCs w:val="1"/>
                <w:color w:val="auto"/>
                <w:w w:val="89"/>
              </w:rPr>
              <w:t>Dallas, Texas 75265-5474</w:t>
            </w:r>
          </w:p>
        </w:tc>
      </w:tr>
      <w:tr>
        <w:trPr>
          <w:trHeight w:val="186"/>
        </w:trPr>
        <w:tc>
          <w:tcPr>
            <w:tcW w:w="1940" w:type="dxa"/>
            <w:vAlign w:val="bottom"/>
          </w:tcPr>
          <w:p>
            <w:pPr>
              <w:spacing w:after="0"/>
              <w:rPr>
                <w:sz w:val="16"/>
                <w:szCs w:val="16"/>
                <w:color w:val="auto"/>
              </w:rPr>
            </w:pPr>
          </w:p>
        </w:tc>
        <w:tc>
          <w:tcPr>
            <w:tcW w:w="5320" w:type="dxa"/>
            <w:vAlign w:val="bottom"/>
          </w:tcPr>
          <w:p>
            <w:pPr>
              <w:jc w:val="center"/>
              <w:ind w:right="1597"/>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399"/>
        </w:trPr>
        <w:tc>
          <w:tcPr>
            <w:tcW w:w="1940" w:type="dxa"/>
            <w:vAlign w:val="bottom"/>
          </w:tcPr>
          <w:p>
            <w:pPr>
              <w:spacing w:after="0"/>
              <w:rPr>
                <w:sz w:val="24"/>
                <w:szCs w:val="24"/>
                <w:color w:val="auto"/>
              </w:rPr>
            </w:pPr>
          </w:p>
        </w:tc>
        <w:tc>
          <w:tcPr>
            <w:tcW w:w="5320" w:type="dxa"/>
            <w:vAlign w:val="bottom"/>
          </w:tcPr>
          <w:p>
            <w:pPr>
              <w:jc w:val="center"/>
              <w:ind w:right="1597"/>
              <w:spacing w:after="0"/>
              <w:rPr>
                <w:sz w:val="20"/>
                <w:szCs w:val="20"/>
                <w:color w:val="auto"/>
              </w:rPr>
            </w:pPr>
            <w:r>
              <w:rPr>
                <w:rFonts w:ascii="Arial" w:cs="Arial" w:eastAsia="Arial" w:hAnsi="Arial"/>
                <w:sz w:val="18"/>
                <w:szCs w:val="18"/>
                <w:b w:val="1"/>
                <w:bCs w:val="1"/>
                <w:color w:val="auto"/>
                <w:w w:val="92"/>
              </w:rPr>
              <w:t>TI 401(k) Savings Plan</w:t>
            </w:r>
          </w:p>
        </w:tc>
      </w:tr>
      <w:tr>
        <w:trPr>
          <w:trHeight w:val="212"/>
        </w:trPr>
        <w:tc>
          <w:tcPr>
            <w:tcW w:w="1940" w:type="dxa"/>
            <w:vAlign w:val="bottom"/>
          </w:tcPr>
          <w:p>
            <w:pPr>
              <w:spacing w:after="0"/>
              <w:rPr>
                <w:sz w:val="18"/>
                <w:szCs w:val="18"/>
                <w:color w:val="auto"/>
              </w:rPr>
            </w:pPr>
          </w:p>
        </w:tc>
        <w:tc>
          <w:tcPr>
            <w:tcW w:w="5320" w:type="dxa"/>
            <w:vAlign w:val="bottom"/>
          </w:tcPr>
          <w:p>
            <w:pPr>
              <w:jc w:val="center"/>
              <w:ind w:right="1617"/>
              <w:spacing w:after="0"/>
              <w:rPr>
                <w:sz w:val="20"/>
                <w:szCs w:val="20"/>
                <w:color w:val="auto"/>
              </w:rPr>
            </w:pPr>
            <w:r>
              <w:rPr>
                <w:rFonts w:ascii="Arial" w:cs="Arial" w:eastAsia="Arial" w:hAnsi="Arial"/>
                <w:sz w:val="18"/>
                <w:szCs w:val="18"/>
                <w:b w:val="1"/>
                <w:bCs w:val="1"/>
                <w:color w:val="auto"/>
                <w:w w:val="92"/>
              </w:rPr>
              <w:t>TI Contribution and 401(k) Savings Plan</w:t>
            </w:r>
          </w:p>
        </w:tc>
      </w:tr>
      <w:tr>
        <w:trPr>
          <w:trHeight w:val="186"/>
        </w:trPr>
        <w:tc>
          <w:tcPr>
            <w:tcW w:w="1940" w:type="dxa"/>
            <w:vAlign w:val="bottom"/>
          </w:tcPr>
          <w:p>
            <w:pPr>
              <w:spacing w:after="0"/>
              <w:rPr>
                <w:sz w:val="16"/>
                <w:szCs w:val="16"/>
                <w:color w:val="auto"/>
              </w:rPr>
            </w:pPr>
          </w:p>
        </w:tc>
        <w:tc>
          <w:tcPr>
            <w:tcW w:w="5320" w:type="dxa"/>
            <w:vAlign w:val="bottom"/>
          </w:tcPr>
          <w:p>
            <w:pPr>
              <w:jc w:val="center"/>
              <w:ind w:right="1597"/>
              <w:spacing w:after="0"/>
              <w:rPr>
                <w:sz w:val="20"/>
                <w:szCs w:val="20"/>
                <w:color w:val="auto"/>
              </w:rPr>
            </w:pPr>
            <w:r>
              <w:rPr>
                <w:rFonts w:ascii="Arial" w:cs="Arial" w:eastAsia="Arial" w:hAnsi="Arial"/>
                <w:sz w:val="14"/>
                <w:szCs w:val="14"/>
                <w:b w:val="1"/>
                <w:bCs w:val="1"/>
                <w:color w:val="auto"/>
                <w:w w:val="93"/>
              </w:rPr>
              <w:t>(Full title of the plans)</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F. Hubach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Secretary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12500 TI Boulevard P.O. Box 660199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75265-0199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972-995-3773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w w:val="99"/>
              </w:rPr>
              <w:t>Large accelerated filer</w:t>
            </w:r>
          </w:p>
        </w:tc>
        <w:tc>
          <w:tcPr>
            <w:tcW w:w="166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0" w:type="dxa"/>
            <w:vAlign w:val="bottom"/>
            <w:gridSpan w:val="2"/>
          </w:tcPr>
          <w:p>
            <w:pPr>
              <w:ind w:left="580"/>
              <w:spacing w:after="0"/>
              <w:rPr>
                <w:sz w:val="20"/>
                <w:szCs w:val="20"/>
                <w:color w:val="auto"/>
              </w:rPr>
            </w:pPr>
            <w:r>
              <w:rPr>
                <w:rFonts w:ascii="Arial" w:cs="Arial" w:eastAsia="Arial" w:hAnsi="Arial"/>
                <w:sz w:val="18"/>
                <w:szCs w:val="18"/>
                <w:color w:val="auto"/>
                <w:w w:val="92"/>
              </w:rPr>
              <w:t>Accelerated filer</w:t>
            </w:r>
          </w:p>
        </w:tc>
        <w:tc>
          <w:tcPr>
            <w:tcW w:w="1120" w:type="dxa"/>
            <w:vAlign w:val="bottom"/>
          </w:tcPr>
          <w:p>
            <w:pPr>
              <w:spacing w:after="0"/>
              <w:rPr>
                <w:sz w:val="24"/>
                <w:szCs w:val="24"/>
                <w:color w:val="auto"/>
              </w:rPr>
            </w:pP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80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5100" w:type="dxa"/>
            <w:vAlign w:val="bottom"/>
            <w:gridSpan w:val="5"/>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80" w:type="dxa"/>
            <w:vAlign w:val="bottom"/>
          </w:tcPr>
          <w:p>
            <w:pPr>
              <w:spacing w:after="0"/>
              <w:rPr>
                <w:sz w:val="24"/>
                <w:szCs w:val="24"/>
                <w:color w:val="auto"/>
              </w:rPr>
            </w:pPr>
          </w:p>
        </w:tc>
        <w:tc>
          <w:tcPr>
            <w:tcW w:w="2920" w:type="dxa"/>
            <w:vAlign w:val="bottom"/>
            <w:gridSpan w:val="3"/>
          </w:tcPr>
          <w:p>
            <w:pPr>
              <w:ind w:left="580"/>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20" w:type="dxa"/>
            <w:vAlign w:val="bottom"/>
            <w:gridSpan w:val="5"/>
          </w:tcPr>
          <w:p>
            <w:pPr>
              <w:ind w:left="520"/>
              <w:spacing w:after="0"/>
              <w:rPr>
                <w:sz w:val="20"/>
                <w:szCs w:val="20"/>
                <w:color w:val="auto"/>
              </w:rPr>
            </w:pPr>
            <w:r>
              <w:rPr>
                <w:rFonts w:ascii="Arial" w:cs="Arial" w:eastAsia="Arial" w:hAnsi="Arial"/>
                <w:sz w:val="18"/>
                <w:szCs w:val="18"/>
                <w:b w:val="1"/>
                <w:bCs w:val="1"/>
                <w:color w:val="auto"/>
              </w:rPr>
              <w:t>CALCULATION OF REGISTRATION FEE</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0"/>
                <w:szCs w:val="10"/>
                <w:color w:val="auto"/>
              </w:rPr>
            </w:pPr>
          </w:p>
        </w:tc>
        <w:tc>
          <w:tcPr>
            <w:tcW w:w="1380" w:type="dxa"/>
            <w:vAlign w:val="bottom"/>
            <w:tcBorders>
              <w:right w:val="single" w:sz="8" w:color="auto"/>
            </w:tcBorders>
          </w:tcPr>
          <w:p>
            <w:pPr>
              <w:jc w:val="center"/>
              <w:ind w:right="61"/>
              <w:spacing w:after="0" w:line="116" w:lineRule="exact"/>
              <w:rPr>
                <w:sz w:val="20"/>
                <w:szCs w:val="20"/>
                <w:color w:val="auto"/>
              </w:rPr>
            </w:pPr>
            <w:r>
              <w:rPr>
                <w:rFonts w:ascii="Arial" w:cs="Arial" w:eastAsia="Arial" w:hAnsi="Arial"/>
                <w:sz w:val="13"/>
                <w:szCs w:val="13"/>
                <w:b w:val="1"/>
                <w:bCs w:val="1"/>
                <w:color w:val="auto"/>
                <w:w w:val="93"/>
              </w:rPr>
              <w:t>Proposed</w:t>
            </w:r>
          </w:p>
        </w:tc>
        <w:tc>
          <w:tcPr>
            <w:tcW w:w="158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6"/>
              </w:rPr>
              <w:t>Proposed</w:t>
            </w: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 to</w:t>
            </w:r>
          </w:p>
        </w:tc>
        <w:tc>
          <w:tcPr>
            <w:tcW w:w="1620" w:type="dxa"/>
            <w:vAlign w:val="bottom"/>
            <w:tcBorders>
              <w:right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Borders>
              <w:right w:val="single" w:sz="8" w:color="auto"/>
            </w:tcBorders>
          </w:tcPr>
          <w:p>
            <w:pPr>
              <w:jc w:val="center"/>
              <w:ind w:right="61"/>
              <w:spacing w:after="0" w:line="149" w:lineRule="exact"/>
              <w:rPr>
                <w:sz w:val="20"/>
                <w:szCs w:val="20"/>
                <w:color w:val="auto"/>
              </w:rPr>
            </w:pPr>
            <w:r>
              <w:rPr>
                <w:rFonts w:ascii="Arial" w:cs="Arial" w:eastAsia="Arial" w:hAnsi="Arial"/>
                <w:sz w:val="14"/>
                <w:szCs w:val="14"/>
                <w:b w:val="1"/>
                <w:bCs w:val="1"/>
                <w:color w:val="auto"/>
                <w:w w:val="99"/>
              </w:rPr>
              <w:t>Maximum</w:t>
            </w: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220" w:type="dxa"/>
            <w:vAlign w:val="bottom"/>
          </w:tcPr>
          <w:p>
            <w:pPr>
              <w:spacing w:after="0"/>
              <w:rPr>
                <w:sz w:val="12"/>
                <w:szCs w:val="12"/>
                <w:color w:val="auto"/>
              </w:rPr>
            </w:pPr>
          </w:p>
        </w:tc>
        <w:tc>
          <w:tcPr>
            <w:tcW w:w="112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w w:val="94"/>
              </w:rPr>
              <w:t>Amount of</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Borders>
              <w:right w:val="single" w:sz="8" w:color="auto"/>
            </w:tcBorders>
            <w:gridSpan w:val="2"/>
            <w:vMerge w:val="restart"/>
          </w:tcPr>
          <w:p>
            <w:pPr>
              <w:ind w:left="1360"/>
              <w:spacing w:after="0"/>
              <w:rPr>
                <w:sz w:val="20"/>
                <w:szCs w:val="20"/>
                <w:color w:val="auto"/>
              </w:rPr>
            </w:pPr>
            <w:r>
              <w:rPr>
                <w:rFonts w:ascii="Arial" w:cs="Arial" w:eastAsia="Arial" w:hAnsi="Arial"/>
                <w:sz w:val="14"/>
                <w:szCs w:val="14"/>
                <w:b w:val="1"/>
                <w:bCs w:val="1"/>
                <w:color w:val="auto"/>
              </w:rPr>
              <w:t>Plan Name</w:t>
            </w:r>
          </w:p>
        </w:tc>
        <w:tc>
          <w:tcPr>
            <w:tcW w:w="1600" w:type="dxa"/>
            <w:vAlign w:val="bottom"/>
            <w:tcBorders>
              <w:right w:val="single" w:sz="8" w:color="auto"/>
            </w:tcBorders>
            <w:gridSpan w:val="2"/>
            <w:vMerge w:val="continue"/>
          </w:tcPr>
          <w:p>
            <w:pPr>
              <w:spacing w:after="0"/>
              <w:rPr>
                <w:sz w:val="12"/>
                <w:szCs w:val="12"/>
                <w:color w:val="auto"/>
              </w:rPr>
            </w:pP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220" w:type="dxa"/>
            <w:vAlign w:val="bottom"/>
          </w:tcPr>
          <w:p>
            <w:pPr>
              <w:spacing w:after="0"/>
              <w:rPr>
                <w:sz w:val="12"/>
                <w:szCs w:val="12"/>
                <w:color w:val="auto"/>
              </w:rPr>
            </w:pPr>
          </w:p>
        </w:tc>
        <w:tc>
          <w:tcPr>
            <w:tcW w:w="1380" w:type="dxa"/>
            <w:vAlign w:val="bottom"/>
            <w:tcBorders>
              <w:right w:val="single" w:sz="8" w:color="auto"/>
            </w:tcBorders>
          </w:tcPr>
          <w:p>
            <w:pPr>
              <w:jc w:val="center"/>
              <w:ind w:right="61"/>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tcBorders>
              <w:bottom w:val="single" w:sz="8" w:color="auto"/>
              <w:right w:val="single" w:sz="8" w:color="auto"/>
            </w:tcBorders>
            <w:gridSpan w:val="2"/>
            <w:vMerge w:val="continue"/>
          </w:tcPr>
          <w:p>
            <w:pPr>
              <w:spacing w:after="0"/>
              <w:rPr>
                <w:sz w:val="15"/>
                <w:szCs w:val="15"/>
                <w:color w:val="auto"/>
              </w:rPr>
            </w:pPr>
          </w:p>
        </w:tc>
        <w:tc>
          <w:tcPr>
            <w:tcW w:w="16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be Registered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2"/>
              </w:rPr>
              <w:t>Per Share (2)</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 (2)</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93"/>
              </w:rPr>
              <w:t>Registration Fee (2)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80" w:type="dxa"/>
            <w:vAlign w:val="bottom"/>
          </w:tcPr>
          <w:p>
            <w:pPr>
              <w:spacing w:after="0" w:line="195" w:lineRule="exact"/>
              <w:rPr>
                <w:sz w:val="20"/>
                <w:szCs w:val="20"/>
                <w:color w:val="auto"/>
              </w:rPr>
            </w:pPr>
            <w:r>
              <w:rPr>
                <w:rFonts w:ascii="Arial" w:cs="Arial" w:eastAsia="Arial" w:hAnsi="Arial"/>
                <w:sz w:val="18"/>
                <w:szCs w:val="18"/>
                <w:color w:val="auto"/>
                <w:w w:val="96"/>
              </w:rPr>
              <w:t>TI 401(k) Savings Plan</w:t>
            </w:r>
          </w:p>
        </w:tc>
        <w:tc>
          <w:tcPr>
            <w:tcW w:w="166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0"/>
              </w:rPr>
              <w:t>Common Stock</w:t>
            </w:r>
          </w:p>
        </w:tc>
        <w:tc>
          <w:tcPr>
            <w:tcW w:w="16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($1 par value)</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17,000,000</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8"/>
                <w:szCs w:val="18"/>
                <w:color w:val="auto"/>
                <w:w w:val="90"/>
              </w:rPr>
              <w:t>$46.91</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$ 797,470,000</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left="17"/>
              <w:spacing w:after="0"/>
              <w:rPr>
                <w:sz w:val="20"/>
                <w:szCs w:val="20"/>
                <w:color w:val="auto"/>
              </w:rPr>
            </w:pPr>
            <w:r>
              <w:rPr>
                <w:rFonts w:ascii="Arial" w:cs="Arial" w:eastAsia="Arial" w:hAnsi="Arial"/>
                <w:sz w:val="18"/>
                <w:szCs w:val="18"/>
                <w:color w:val="auto"/>
                <w:w w:val="89"/>
              </w:rPr>
              <w:t>$102,714.14</w:t>
            </w: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4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TI Contribution and 401(k) Savings Plan</w:t>
            </w:r>
          </w:p>
        </w:tc>
        <w:tc>
          <w:tcPr>
            <w:tcW w:w="1600" w:type="dxa"/>
            <w:vAlign w:val="bottom"/>
            <w:tcBorders>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0"/>
              </w:rPr>
              <w:t>Common Stock</w:t>
            </w:r>
          </w:p>
        </w:tc>
        <w:tc>
          <w:tcPr>
            <w:tcW w:w="16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($1 par value)</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33,000,000</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ind w:right="81"/>
              <w:spacing w:after="0"/>
              <w:rPr>
                <w:sz w:val="20"/>
                <w:szCs w:val="20"/>
                <w:color w:val="auto"/>
              </w:rPr>
            </w:pPr>
            <w:r>
              <w:rPr>
                <w:rFonts w:ascii="Arial" w:cs="Arial" w:eastAsia="Arial" w:hAnsi="Arial"/>
                <w:sz w:val="18"/>
                <w:szCs w:val="18"/>
                <w:color w:val="auto"/>
                <w:w w:val="90"/>
              </w:rPr>
              <w:t>$46.91</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$1,548,030,000</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left="17"/>
              <w:spacing w:after="0"/>
              <w:rPr>
                <w:sz w:val="20"/>
                <w:szCs w:val="20"/>
                <w:color w:val="auto"/>
              </w:rPr>
            </w:pPr>
            <w:r>
              <w:rPr>
                <w:rFonts w:ascii="Arial" w:cs="Arial" w:eastAsia="Arial" w:hAnsi="Arial"/>
                <w:sz w:val="18"/>
                <w:szCs w:val="18"/>
                <w:color w:val="auto"/>
                <w:w w:val="89"/>
              </w:rPr>
              <w:t>$199,386.26</w:t>
            </w: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6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gridSpan w:val="2"/>
          </w:tcPr>
          <w:p>
            <w:pPr>
              <w:ind w:left="7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50,000,000</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$2,345,500,000</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left="17"/>
              <w:spacing w:after="0"/>
              <w:rPr>
                <w:sz w:val="20"/>
                <w:szCs w:val="20"/>
                <w:color w:val="auto"/>
              </w:rPr>
            </w:pPr>
            <w:r>
              <w:rPr>
                <w:rFonts w:ascii="Arial" w:cs="Arial" w:eastAsia="Arial" w:hAnsi="Arial"/>
                <w:sz w:val="18"/>
                <w:szCs w:val="18"/>
                <w:color w:val="auto"/>
                <w:w w:val="89"/>
              </w:rPr>
              <w:t>$302,100.40</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20" w:hanging="452"/>
        <w:spacing w:after="0" w:line="26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Registration Statement on Form S-8 (the “Registration Statement”) covers shares of common stock, par value $1.00 per share (“Common Stock”), of Texas Instruments Incorporated (the “Company”) issuable pursuant to the TI 401(k) Savings Plan and the TI Contribution and 401(k) Savings Plan (collectively the “Plans”). Pursuant to Rule 416(a) under the Securities Act of 1933, as amended (the “Securities Act”), this Registration Statement also registers an indeterminate number of additional shares which may be issued to prevent dilution resulting from stock splits, stock dividends or similar transactions. In addition, pursuant to Rule 416(c) under the Securities Act, this Registration Statement covers an indeterminate amount of interests to be offered or sold pursuant to each of the employee benefit plans described herein.</w:t>
      </w:r>
    </w:p>
    <w:p>
      <w:pPr>
        <w:ind w:left="460" w:right="8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pursuant to Rule 457(h) under the Securities Act on the basis of the average of the high and low prices reported for a share of Common Stock on the NASDAQ Global Select Market on July 28,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123190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Incorporation of Documents by Reference</w:t>
      </w:r>
    </w:p>
    <w:p>
      <w:pPr>
        <w:spacing w:after="0" w:line="11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following documents have been filed by the Company with the Securities and Exchange Commission (the “Commission”) pursuant to the Securities Exchange Act of 1934 (the “Exchange Act”) and are incorporated herein by reference and made a part of this Registration Statement:</w:t>
      </w:r>
    </w:p>
    <w:p>
      <w:pPr>
        <w:spacing w:after="0" w:line="52"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Quarterly Reports on Form 10-Q for the quarters ended March 31, 2014 and June 30, 2014;</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Reports on Form 8-K filed January 21, 2014, March 12, 2014, April 21, 2014 and July 21, 2014, excepting any portions of such reports that were furnished but not filed;</w:t>
      </w:r>
    </w:p>
    <w:p>
      <w:pPr>
        <w:spacing w:after="0" w:line="75" w:lineRule="exact"/>
        <w:rPr>
          <w:rFonts w:ascii="Arial" w:cs="Arial" w:eastAsia="Arial" w:hAnsi="Arial"/>
          <w:sz w:val="18"/>
          <w:szCs w:val="18"/>
          <w:color w:val="auto"/>
        </w:rPr>
      </w:pPr>
    </w:p>
    <w:p>
      <w:pPr>
        <w:ind w:left="900" w:right="28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its registration statement on Form 8-A filed on December 15, 2011, with the Commission pursuant to Section 12 of the Exchange Act together with any amendment or report filed with the Commission for the purpose of updating such description;</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11-K for the year ended December 31, 2013, of the TI 401(k) Savings Plan;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11-K for the year ended December 31, 2013, of the TI Contribution and 401(k) Savings Plan.</w:t>
      </w:r>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All documents filed by the Company with the Commission pursuant to Sections 13(a), 13(c), 14, or 15(d) of the Exchange Act subsequent to the date of this Registration Statement and prior to the filing of a post-effective amendment which indicates that all securities offered hereby have been sold or which deregisters all securities then remaining unsold, shall be deemed to be incorporated herein by reference in this Registration Statement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is or is deemed to be incorporated by reference herein modifies or supersedes such statement. Any such statements so modified or superseded shall not be deemed, except as so modified or superseded, to constitute a part of this Registration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Item 4. Description of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5. Interests of Named Experts and Counsel</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Joseph F. Hubach, Senior Vice President and General Counsel of the Company, has given an opinion on the validity of the securities being registered. Mr. Hubach is an employee of the Company. He beneficially owns common stock of the Company, and as a participant in the Company’s equity compensation plans, holds options to acquire common stock and restricted stock units that are payable in common stock of the Company. He participates in the TI 401(k) Savings Plan.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Item 6. Indemnification of Directors and Officers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 w:name="page4"/>
    <w:bookmarkEnd w:id="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such person shall be indemnified against expenses (including attorneys’ fees) actually and reasonably incurred by such person in connection therewith. The determination that the person to be indemnified met the applicable standard of conduct, if not made by a court and if such person is a director or officer at the time of such determination, is made by the directors of the corporation by a majority vote of the directors not party to such an action, suit or proceeding even though less than a quorum, by a committee of such directors designated by a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18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above-described indemnification and advancement of expenses, unless otherwise provided when authorized or ratified, continue as to a person who has ceased to be a director, officer, employee or agent and inure to the benefit of such person’s heirs, executors and administrators.</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Article VI, Section 2 of the Company’s By-laws provides that the Company shall indemnify its officers and directors for such expenses, judgments, fines and amounts paid in settlement to the full extent permitted by the laws of the State of Delaware.</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Section 102(b)(7) of the Delaware General Corporation Law, as amended,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Article Seventh of the Company’s Restated Certificate of Incorporation contains such a provision.</w:t>
      </w:r>
    </w:p>
    <w:p>
      <w:pPr>
        <w:spacing w:after="0" w:line="158"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Under insurance policies of the Company, directors and officers of the Company may be indemnified against certain losses arising from certain claims, including claims under the Securities Act, which may be made against such persons by reason of their being such directors or officers.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Item 7. Exemption from Registration Claimed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8.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5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940" w:type="dxa"/>
            <w:vAlign w:val="bottom"/>
          </w:tcPr>
          <w:p>
            <w:pPr>
              <w:spacing w:after="0"/>
              <w:rPr>
                <w:sz w:val="14"/>
                <w:szCs w:val="14"/>
                <w:color w:val="auto"/>
              </w:rPr>
            </w:pPr>
          </w:p>
        </w:tc>
      </w:tr>
      <w:tr>
        <w:trPr>
          <w:trHeight w:val="167"/>
        </w:trPr>
        <w:tc>
          <w:tcPr>
            <w:tcW w:w="42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color w:val="auto"/>
              </w:rPr>
              <w:t>No.</w:t>
            </w:r>
          </w:p>
        </w:tc>
        <w:tc>
          <w:tcPr>
            <w:tcW w:w="340" w:type="dxa"/>
            <w:vAlign w:val="bottom"/>
          </w:tcPr>
          <w:p>
            <w:pPr>
              <w:spacing w:after="0"/>
              <w:rPr>
                <w:sz w:val="14"/>
                <w:szCs w:val="14"/>
                <w:color w:val="auto"/>
              </w:rPr>
            </w:pPr>
          </w:p>
        </w:tc>
        <w:tc>
          <w:tcPr>
            <w:tcW w:w="10640" w:type="dxa"/>
            <w:vAlign w:val="bottom"/>
            <w:gridSpan w:val="3"/>
          </w:tcPr>
          <w:p>
            <w:pPr>
              <w:ind w:left="5280"/>
              <w:spacing w:after="0" w:line="147" w:lineRule="exact"/>
              <w:rPr>
                <w:sz w:val="20"/>
                <w:szCs w:val="20"/>
                <w:color w:val="auto"/>
              </w:rPr>
            </w:pPr>
            <w:r>
              <w:rPr>
                <w:rFonts w:ascii="Arial" w:cs="Arial" w:eastAsia="Arial" w:hAnsi="Arial"/>
                <w:sz w:val="14"/>
                <w:szCs w:val="14"/>
                <w:color w:val="auto"/>
              </w:rPr>
              <w:t>Exhibit</w:t>
            </w:r>
          </w:p>
        </w:tc>
      </w:tr>
      <w:tr>
        <w:trPr>
          <w:trHeight w:val="20"/>
        </w:trPr>
        <w:tc>
          <w:tcPr>
            <w:tcW w:w="76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290"/>
        </w:trPr>
        <w:tc>
          <w:tcPr>
            <w:tcW w:w="760" w:type="dxa"/>
            <w:vAlign w:val="bottom"/>
            <w:gridSpan w:val="2"/>
          </w:tcPr>
          <w:p>
            <w:pPr>
              <w:spacing w:after="0"/>
              <w:rPr>
                <w:sz w:val="20"/>
                <w:szCs w:val="20"/>
                <w:color w:val="auto"/>
              </w:rPr>
            </w:pPr>
            <w:r>
              <w:rPr>
                <w:rFonts w:ascii="Arial" w:cs="Arial" w:eastAsia="Arial" w:hAnsi="Arial"/>
                <w:sz w:val="18"/>
                <w:szCs w:val="18"/>
                <w:color w:val="auto"/>
              </w:rPr>
              <w:t>4(a)</w:t>
            </w:r>
          </w:p>
        </w:tc>
        <w:tc>
          <w:tcPr>
            <w:tcW w:w="10640" w:type="dxa"/>
            <w:vAlign w:val="bottom"/>
            <w:gridSpan w:val="3"/>
          </w:tcPr>
          <w:p>
            <w:pPr>
              <w:ind w:left="320"/>
              <w:spacing w:after="0"/>
              <w:rPr>
                <w:sz w:val="20"/>
                <w:szCs w:val="20"/>
                <w:color w:val="auto"/>
              </w:rPr>
            </w:pPr>
            <w:r>
              <w:rPr>
                <w:rFonts w:ascii="Arial" w:cs="Arial" w:eastAsia="Arial" w:hAnsi="Arial"/>
                <w:sz w:val="18"/>
                <w:szCs w:val="18"/>
                <w:color w:val="auto"/>
                <w:w w:val="95"/>
              </w:rPr>
              <w:t>Restated Certificate of Incorporation of the Registrant, dated April 18, 1985 (incorporated by reference to Exhibit 3(a) of the Registrant’s</w:t>
            </w:r>
          </w:p>
        </w:tc>
      </w:tr>
      <w:tr>
        <w:trPr>
          <w:trHeight w:val="230"/>
        </w:trPr>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40" w:type="dxa"/>
            <w:vAlign w:val="bottom"/>
            <w:gridSpan w:val="3"/>
          </w:tcPr>
          <w:p>
            <w:pPr>
              <w:ind w:left="320"/>
              <w:spacing w:after="0"/>
              <w:rPr>
                <w:sz w:val="20"/>
                <w:szCs w:val="20"/>
                <w:color w:val="auto"/>
              </w:rPr>
            </w:pPr>
            <w:r>
              <w:rPr>
                <w:rFonts w:ascii="Arial" w:cs="Arial" w:eastAsia="Arial" w:hAnsi="Arial"/>
                <w:sz w:val="18"/>
                <w:szCs w:val="18"/>
                <w:color w:val="auto"/>
              </w:rPr>
              <w:t>Annual Report on Form 10-K for the year ended December 31, 2011).</w:t>
            </w:r>
          </w:p>
        </w:tc>
      </w:tr>
      <w:tr>
        <w:trPr>
          <w:trHeight w:val="310"/>
        </w:trPr>
        <w:tc>
          <w:tcPr>
            <w:tcW w:w="760" w:type="dxa"/>
            <w:vAlign w:val="bottom"/>
            <w:gridSpan w:val="2"/>
          </w:tcPr>
          <w:p>
            <w:pPr>
              <w:spacing w:after="0"/>
              <w:rPr>
                <w:sz w:val="20"/>
                <w:szCs w:val="20"/>
                <w:color w:val="auto"/>
              </w:rPr>
            </w:pPr>
            <w:r>
              <w:rPr>
                <w:rFonts w:ascii="Arial" w:cs="Arial" w:eastAsia="Arial" w:hAnsi="Arial"/>
                <w:sz w:val="18"/>
                <w:szCs w:val="18"/>
                <w:color w:val="auto"/>
              </w:rPr>
              <w:t>4(b)</w:t>
            </w:r>
          </w:p>
        </w:tc>
        <w:tc>
          <w:tcPr>
            <w:tcW w:w="10640" w:type="dxa"/>
            <w:vAlign w:val="bottom"/>
            <w:gridSpan w:val="3"/>
          </w:tcPr>
          <w:p>
            <w:pPr>
              <w:ind w:left="320"/>
              <w:spacing w:after="0"/>
              <w:rPr>
                <w:sz w:val="20"/>
                <w:szCs w:val="20"/>
                <w:color w:val="auto"/>
              </w:rPr>
            </w:pPr>
            <w:r>
              <w:rPr>
                <w:rFonts w:ascii="Arial" w:cs="Arial" w:eastAsia="Arial" w:hAnsi="Arial"/>
                <w:sz w:val="18"/>
                <w:szCs w:val="18"/>
                <w:color w:val="auto"/>
                <w:w w:val="91"/>
              </w:rPr>
              <w:t>Certificate of Amendment to Restated Certificate of Incorporation of the Registrant, dated April 16, 1987 (incorporated by reference to Exhibit</w:t>
            </w:r>
          </w:p>
        </w:tc>
      </w:tr>
      <w:tr>
        <w:trPr>
          <w:trHeight w:val="230"/>
        </w:trPr>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40" w:type="dxa"/>
            <w:vAlign w:val="bottom"/>
            <w:gridSpan w:val="3"/>
          </w:tcPr>
          <w:p>
            <w:pPr>
              <w:ind w:left="320"/>
              <w:spacing w:after="0"/>
              <w:rPr>
                <w:sz w:val="20"/>
                <w:szCs w:val="20"/>
                <w:color w:val="auto"/>
              </w:rPr>
            </w:pPr>
            <w:r>
              <w:rPr>
                <w:rFonts w:ascii="Arial" w:cs="Arial" w:eastAsia="Arial" w:hAnsi="Arial"/>
                <w:sz w:val="18"/>
                <w:szCs w:val="18"/>
                <w:color w:val="auto"/>
              </w:rPr>
              <w:t>3(b) of the Registrant’s Annual Report on Form 10-K for the year ended December 31, 2011).</w:t>
            </w:r>
          </w:p>
        </w:tc>
      </w:tr>
      <w:tr>
        <w:trPr>
          <w:trHeight w:val="310"/>
        </w:trPr>
        <w:tc>
          <w:tcPr>
            <w:tcW w:w="760" w:type="dxa"/>
            <w:vAlign w:val="bottom"/>
            <w:gridSpan w:val="2"/>
          </w:tcPr>
          <w:p>
            <w:pPr>
              <w:spacing w:after="0"/>
              <w:rPr>
                <w:sz w:val="20"/>
                <w:szCs w:val="20"/>
                <w:color w:val="auto"/>
              </w:rPr>
            </w:pPr>
            <w:r>
              <w:rPr>
                <w:rFonts w:ascii="Arial" w:cs="Arial" w:eastAsia="Arial" w:hAnsi="Arial"/>
                <w:sz w:val="18"/>
                <w:szCs w:val="18"/>
                <w:color w:val="auto"/>
              </w:rPr>
              <w:t>4(c)</w:t>
            </w:r>
          </w:p>
        </w:tc>
        <w:tc>
          <w:tcPr>
            <w:tcW w:w="10640" w:type="dxa"/>
            <w:vAlign w:val="bottom"/>
            <w:gridSpan w:val="3"/>
          </w:tcPr>
          <w:p>
            <w:pPr>
              <w:ind w:left="320"/>
              <w:spacing w:after="0"/>
              <w:rPr>
                <w:sz w:val="20"/>
                <w:szCs w:val="20"/>
                <w:color w:val="auto"/>
              </w:rPr>
            </w:pPr>
            <w:r>
              <w:rPr>
                <w:rFonts w:ascii="Arial" w:cs="Arial" w:eastAsia="Arial" w:hAnsi="Arial"/>
                <w:sz w:val="18"/>
                <w:szCs w:val="18"/>
                <w:color w:val="auto"/>
                <w:w w:val="91"/>
              </w:rPr>
              <w:t>Certificate of Amendment to Restated Certificate of Incorporation of the Registrant, dated April 21, 1988 (incorporated by reference to Exhibit</w:t>
            </w:r>
          </w:p>
        </w:tc>
      </w:tr>
      <w:tr>
        <w:trPr>
          <w:trHeight w:val="230"/>
        </w:trPr>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40" w:type="dxa"/>
            <w:vAlign w:val="bottom"/>
            <w:gridSpan w:val="3"/>
          </w:tcPr>
          <w:p>
            <w:pPr>
              <w:ind w:left="320"/>
              <w:spacing w:after="0"/>
              <w:rPr>
                <w:sz w:val="20"/>
                <w:szCs w:val="20"/>
                <w:color w:val="auto"/>
              </w:rPr>
            </w:pPr>
            <w:r>
              <w:rPr>
                <w:rFonts w:ascii="Arial" w:cs="Arial" w:eastAsia="Arial" w:hAnsi="Arial"/>
                <w:sz w:val="18"/>
                <w:szCs w:val="18"/>
                <w:color w:val="auto"/>
              </w:rPr>
              <w:t>3(c) of the Registrant’s Annual Report on Form 10-K for the year ended December 31, 2011).</w:t>
            </w:r>
          </w:p>
        </w:tc>
      </w:tr>
      <w:tr>
        <w:trPr>
          <w:trHeight w:val="310"/>
        </w:trPr>
        <w:tc>
          <w:tcPr>
            <w:tcW w:w="760" w:type="dxa"/>
            <w:vAlign w:val="bottom"/>
            <w:gridSpan w:val="2"/>
          </w:tcPr>
          <w:p>
            <w:pPr>
              <w:spacing w:after="0"/>
              <w:rPr>
                <w:sz w:val="20"/>
                <w:szCs w:val="20"/>
                <w:color w:val="auto"/>
              </w:rPr>
            </w:pPr>
            <w:r>
              <w:rPr>
                <w:rFonts w:ascii="Arial" w:cs="Arial" w:eastAsia="Arial" w:hAnsi="Arial"/>
                <w:sz w:val="18"/>
                <w:szCs w:val="18"/>
                <w:color w:val="auto"/>
              </w:rPr>
              <w:t>4(d)</w:t>
            </w:r>
          </w:p>
        </w:tc>
        <w:tc>
          <w:tcPr>
            <w:tcW w:w="10640" w:type="dxa"/>
            <w:vAlign w:val="bottom"/>
            <w:gridSpan w:val="3"/>
          </w:tcPr>
          <w:p>
            <w:pPr>
              <w:ind w:left="320"/>
              <w:spacing w:after="0"/>
              <w:rPr>
                <w:sz w:val="20"/>
                <w:szCs w:val="20"/>
                <w:color w:val="auto"/>
              </w:rPr>
            </w:pPr>
            <w:r>
              <w:rPr>
                <w:rFonts w:ascii="Arial" w:cs="Arial" w:eastAsia="Arial" w:hAnsi="Arial"/>
                <w:sz w:val="18"/>
                <w:szCs w:val="18"/>
                <w:color w:val="auto"/>
                <w:w w:val="91"/>
              </w:rPr>
              <w:t>Certificate of Amendment to Restated Certificate of Incorporation of the Registrant, dated April 18, 1996 (incorporated by reference to Exhibit</w:t>
            </w:r>
          </w:p>
        </w:tc>
      </w:tr>
      <w:tr>
        <w:trPr>
          <w:trHeight w:val="230"/>
        </w:trPr>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40" w:type="dxa"/>
            <w:vAlign w:val="bottom"/>
            <w:gridSpan w:val="3"/>
          </w:tcPr>
          <w:p>
            <w:pPr>
              <w:ind w:left="320"/>
              <w:spacing w:after="0"/>
              <w:rPr>
                <w:sz w:val="20"/>
                <w:szCs w:val="20"/>
                <w:color w:val="auto"/>
              </w:rPr>
            </w:pPr>
            <w:r>
              <w:rPr>
                <w:rFonts w:ascii="Arial" w:cs="Arial" w:eastAsia="Arial" w:hAnsi="Arial"/>
                <w:sz w:val="18"/>
                <w:szCs w:val="18"/>
                <w:color w:val="auto"/>
              </w:rPr>
              <w:t>3(d) of the Registrant’s Annual Report on Form 10-K for the year ended December 31, 2011).</w:t>
            </w:r>
          </w:p>
        </w:tc>
      </w:tr>
      <w:tr>
        <w:trPr>
          <w:trHeight w:val="365"/>
        </w:trPr>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80" w:type="dxa"/>
            <w:vAlign w:val="bottom"/>
          </w:tcPr>
          <w:p>
            <w:pPr>
              <w:ind w:left="490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4"/>
                <w:szCs w:val="24"/>
                <w:color w:val="auto"/>
              </w:rPr>
            </w:pPr>
          </w:p>
        </w:tc>
        <w:tc>
          <w:tcPr>
            <w:tcW w:w="49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 w:name="page5"/>
    <w:bookmarkEnd w:id="4"/>
    <w:p>
      <w:pPr>
        <w:ind w:left="720" w:right="640" w:hanging="719"/>
        <w:spacing w:after="0" w:line="308" w:lineRule="auto"/>
        <w:tabs>
          <w:tab w:leader="none" w:pos="70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4(e)</w:t>
      </w:r>
      <w:r>
        <w:rPr>
          <w:sz w:val="20"/>
          <w:szCs w:val="20"/>
          <w:color w:val="auto"/>
        </w:rPr>
        <w:tab/>
      </w:r>
      <w:r>
        <w:rPr>
          <w:rFonts w:ascii="Arial" w:cs="Arial" w:eastAsia="Arial" w:hAnsi="Arial"/>
          <w:sz w:val="17"/>
          <w:szCs w:val="17"/>
          <w:color w:val="auto"/>
        </w:rPr>
        <w:t>Certificate of Ownership merging Texas Instruments Automation Controls, Inc. into the Registrant, dated March 28, 1988 (incorporated by reference to Exhibit 3(e) of the Registrant’s Annual Report on Form 10-K for the year ended December 31, 2011).</w:t>
      </w:r>
    </w:p>
    <w:p>
      <w:pPr>
        <w:spacing w:after="0" w:line="38" w:lineRule="exact"/>
        <w:rPr>
          <w:sz w:val="20"/>
          <w:szCs w:val="20"/>
          <w:color w:val="auto"/>
        </w:rPr>
      </w:pPr>
    </w:p>
    <w:p>
      <w:pPr>
        <w:ind w:left="720" w:right="120" w:hanging="719"/>
        <w:spacing w:after="0" w:line="277" w:lineRule="auto"/>
        <w:tabs>
          <w:tab w:leader="none" w:pos="700" w:val="left"/>
        </w:tabs>
        <w:rPr>
          <w:sz w:val="20"/>
          <w:szCs w:val="20"/>
          <w:color w:val="auto"/>
        </w:rPr>
      </w:pPr>
      <w:r>
        <w:rPr>
          <w:rFonts w:ascii="Arial" w:cs="Arial" w:eastAsia="Arial" w:hAnsi="Arial"/>
          <w:sz w:val="18"/>
          <w:szCs w:val="18"/>
          <w:color w:val="auto"/>
        </w:rPr>
        <w:t>4(f)</w:t>
      </w:r>
      <w:r>
        <w:rPr>
          <w:sz w:val="20"/>
          <w:szCs w:val="20"/>
          <w:color w:val="auto"/>
        </w:rPr>
        <w:tab/>
      </w:r>
      <w:r>
        <w:rPr>
          <w:rFonts w:ascii="Arial" w:cs="Arial" w:eastAsia="Arial" w:hAnsi="Arial"/>
          <w:sz w:val="18"/>
          <w:szCs w:val="18"/>
          <w:color w:val="auto"/>
        </w:rPr>
        <w:t>Certificate of Elimination of Designations of Preferred Stock of the Registrant, dated March 18, 1994 (incorporated by reference to Exhibit 3(f) of the Registrant’s Annual Report on Form 10-K for the year ended December 31, 2011).</w:t>
      </w:r>
    </w:p>
    <w:p>
      <w:pPr>
        <w:spacing w:after="0" w:line="62" w:lineRule="exact"/>
        <w:rPr>
          <w:sz w:val="20"/>
          <w:szCs w:val="20"/>
          <w:color w:val="auto"/>
        </w:rPr>
      </w:pPr>
    </w:p>
    <w:p>
      <w:pPr>
        <w:ind w:left="720" w:right="340" w:hanging="719"/>
        <w:spacing w:after="0" w:line="277" w:lineRule="auto"/>
        <w:tabs>
          <w:tab w:leader="none" w:pos="700" w:val="left"/>
        </w:tabs>
        <w:rPr>
          <w:sz w:val="20"/>
          <w:szCs w:val="20"/>
          <w:color w:val="auto"/>
        </w:rPr>
      </w:pPr>
      <w:r>
        <w:rPr>
          <w:rFonts w:ascii="Arial" w:cs="Arial" w:eastAsia="Arial" w:hAnsi="Arial"/>
          <w:sz w:val="18"/>
          <w:szCs w:val="18"/>
          <w:color w:val="auto"/>
        </w:rPr>
        <w:t>4(g)</w:t>
      </w:r>
      <w:r>
        <w:rPr>
          <w:sz w:val="20"/>
          <w:szCs w:val="20"/>
          <w:color w:val="auto"/>
        </w:rPr>
        <w:tab/>
      </w:r>
      <w:r>
        <w:rPr>
          <w:rFonts w:ascii="Arial" w:cs="Arial" w:eastAsia="Arial" w:hAnsi="Arial"/>
          <w:sz w:val="18"/>
          <w:szCs w:val="18"/>
          <w:color w:val="auto"/>
        </w:rPr>
        <w:t>Certificate of Ownership and Merger merging Tiburon Systems, Inc. into the Registrant, dated November 2, 1995 (incorporated by reference to Exhibit 3(g) of the Registrant’s Annual Report on Form 10-K for the year ended December 31, 2011).</w:t>
      </w:r>
    </w:p>
    <w:p>
      <w:pPr>
        <w:spacing w:after="0" w:line="62" w:lineRule="exact"/>
        <w:rPr>
          <w:sz w:val="20"/>
          <w:szCs w:val="20"/>
          <w:color w:val="auto"/>
        </w:rPr>
      </w:pPr>
    </w:p>
    <w:p>
      <w:pPr>
        <w:ind w:left="720" w:right="60" w:hanging="719"/>
        <w:spacing w:after="0" w:line="277" w:lineRule="auto"/>
        <w:tabs>
          <w:tab w:leader="none" w:pos="700" w:val="left"/>
        </w:tabs>
        <w:rPr>
          <w:sz w:val="20"/>
          <w:szCs w:val="20"/>
          <w:color w:val="auto"/>
        </w:rPr>
      </w:pPr>
      <w:r>
        <w:rPr>
          <w:rFonts w:ascii="Arial" w:cs="Arial" w:eastAsia="Arial" w:hAnsi="Arial"/>
          <w:sz w:val="18"/>
          <w:szCs w:val="18"/>
          <w:color w:val="auto"/>
        </w:rPr>
        <w:t>4(h)</w:t>
      </w:r>
      <w:r>
        <w:rPr>
          <w:sz w:val="20"/>
          <w:szCs w:val="20"/>
          <w:color w:val="auto"/>
        </w:rPr>
        <w:tab/>
      </w:r>
      <w:r>
        <w:rPr>
          <w:rFonts w:ascii="Arial" w:cs="Arial" w:eastAsia="Arial" w:hAnsi="Arial"/>
          <w:sz w:val="18"/>
          <w:szCs w:val="18"/>
          <w:color w:val="auto"/>
        </w:rPr>
        <w:t>Certificate of Ownership and Merger merging Tartan, Inc. into the Registrant, dated June 21, 1995 (incorporated by reference to Exhibit 3(h) of the Registrant’s Annual Report on Form 10-K for the year ended December 31, 2011).</w:t>
      </w:r>
    </w:p>
    <w:p>
      <w:pPr>
        <w:spacing w:after="0" w:line="62" w:lineRule="exact"/>
        <w:rPr>
          <w:sz w:val="20"/>
          <w:szCs w:val="20"/>
          <w:color w:val="auto"/>
        </w:rPr>
      </w:pPr>
    </w:p>
    <w:p>
      <w:pPr>
        <w:ind w:left="720" w:right="140" w:hanging="719"/>
        <w:spacing w:after="0" w:line="277" w:lineRule="auto"/>
        <w:tabs>
          <w:tab w:leader="none" w:pos="700" w:val="left"/>
        </w:tabs>
        <w:rPr>
          <w:sz w:val="20"/>
          <w:szCs w:val="20"/>
          <w:color w:val="auto"/>
        </w:rPr>
      </w:pPr>
      <w:r>
        <w:rPr>
          <w:rFonts w:ascii="Arial" w:cs="Arial" w:eastAsia="Arial" w:hAnsi="Arial"/>
          <w:sz w:val="18"/>
          <w:szCs w:val="18"/>
          <w:color w:val="auto"/>
        </w:rPr>
        <w:t>4(i)</w:t>
      </w:r>
      <w:r>
        <w:rPr>
          <w:sz w:val="20"/>
          <w:szCs w:val="20"/>
          <w:color w:val="auto"/>
        </w:rPr>
        <w:tab/>
      </w:r>
      <w:r>
        <w:rPr>
          <w:rFonts w:ascii="Arial" w:cs="Arial" w:eastAsia="Arial" w:hAnsi="Arial"/>
          <w:sz w:val="18"/>
          <w:szCs w:val="18"/>
          <w:color w:val="auto"/>
        </w:rPr>
        <w:t>Certificate of Designation relating to the Registrant’s Participating Cumulative Preferred Stock, dated June 23, 1998 (incorporated by reference to Exhibit 3(i) of the Registrant’s Annual Report on Form 10-K for the year ended December 31, 2011).</w:t>
      </w:r>
    </w:p>
    <w:p>
      <w:pPr>
        <w:spacing w:after="0" w:line="62" w:lineRule="exact"/>
        <w:rPr>
          <w:sz w:val="20"/>
          <w:szCs w:val="20"/>
          <w:color w:val="auto"/>
        </w:rPr>
      </w:pPr>
    </w:p>
    <w:p>
      <w:pPr>
        <w:ind w:left="720" w:right="80" w:hanging="719"/>
        <w:spacing w:after="0" w:line="277" w:lineRule="auto"/>
        <w:tabs>
          <w:tab w:leader="none" w:pos="700" w:val="left"/>
        </w:tabs>
        <w:rPr>
          <w:sz w:val="20"/>
          <w:szCs w:val="20"/>
          <w:color w:val="auto"/>
        </w:rPr>
      </w:pPr>
      <w:r>
        <w:rPr>
          <w:rFonts w:ascii="Arial" w:cs="Arial" w:eastAsia="Arial" w:hAnsi="Arial"/>
          <w:sz w:val="18"/>
          <w:szCs w:val="18"/>
          <w:color w:val="auto"/>
        </w:rPr>
        <w:t>4(j)</w:t>
      </w:r>
      <w:r>
        <w:rPr>
          <w:sz w:val="20"/>
          <w:szCs w:val="20"/>
          <w:color w:val="auto"/>
        </w:rPr>
        <w:tab/>
      </w:r>
      <w:r>
        <w:rPr>
          <w:rFonts w:ascii="Arial" w:cs="Arial" w:eastAsia="Arial" w:hAnsi="Arial"/>
          <w:sz w:val="18"/>
          <w:szCs w:val="18"/>
          <w:color w:val="auto"/>
        </w:rPr>
        <w:t>Certificate of Elimination of Designation of Preferred Stock of the Registrant, dated June 18, 1998 (incorporated by reference to Exhibit 3(j) of the Registrant’s Annual Report on Form 10-K for the year ended December 31, 2011).</w:t>
      </w:r>
    </w:p>
    <w:p>
      <w:pPr>
        <w:spacing w:after="0" w:line="62" w:lineRule="exact"/>
        <w:rPr>
          <w:sz w:val="20"/>
          <w:szCs w:val="20"/>
          <w:color w:val="auto"/>
        </w:rPr>
      </w:pPr>
    </w:p>
    <w:p>
      <w:pPr>
        <w:ind w:left="720" w:right="540" w:hanging="719"/>
        <w:spacing w:after="0" w:line="308" w:lineRule="auto"/>
        <w:tabs>
          <w:tab w:leader="none" w:pos="700" w:val="left"/>
        </w:tabs>
        <w:rPr>
          <w:sz w:val="20"/>
          <w:szCs w:val="20"/>
          <w:color w:val="auto"/>
        </w:rPr>
      </w:pPr>
      <w:r>
        <w:rPr>
          <w:rFonts w:ascii="Arial" w:cs="Arial" w:eastAsia="Arial" w:hAnsi="Arial"/>
          <w:sz w:val="17"/>
          <w:szCs w:val="17"/>
          <w:color w:val="auto"/>
        </w:rPr>
        <w:t>4(k)</w:t>
      </w:r>
      <w:r>
        <w:rPr>
          <w:sz w:val="20"/>
          <w:szCs w:val="20"/>
          <w:color w:val="auto"/>
        </w:rPr>
        <w:tab/>
      </w:r>
      <w:r>
        <w:rPr>
          <w:rFonts w:ascii="Arial" w:cs="Arial" w:eastAsia="Arial" w:hAnsi="Arial"/>
          <w:sz w:val="17"/>
          <w:szCs w:val="17"/>
          <w:color w:val="auto"/>
        </w:rPr>
        <w:t>Certificate of Ownership and Merger merging Intersect Technologies, Inc. with and into the Registrant, dated July 15, 1999 (incorporated by reference to Exhibit 3(k) of the Registrant’s Annual Report on Form 10-K for the year ended December 31, 2011).</w:t>
      </w:r>
    </w:p>
    <w:p>
      <w:pPr>
        <w:spacing w:after="0" w:line="38" w:lineRule="exact"/>
        <w:rPr>
          <w:sz w:val="20"/>
          <w:szCs w:val="20"/>
          <w:color w:val="auto"/>
        </w:rPr>
      </w:pPr>
    </w:p>
    <w:p>
      <w:pPr>
        <w:ind w:left="720" w:right="540" w:hanging="719"/>
        <w:spacing w:after="0" w:line="308" w:lineRule="auto"/>
        <w:tabs>
          <w:tab w:leader="none" w:pos="700" w:val="left"/>
        </w:tabs>
        <w:rPr>
          <w:sz w:val="20"/>
          <w:szCs w:val="20"/>
          <w:color w:val="auto"/>
        </w:rPr>
      </w:pPr>
      <w:r>
        <w:rPr>
          <w:rFonts w:ascii="Arial" w:cs="Arial" w:eastAsia="Arial" w:hAnsi="Arial"/>
          <w:sz w:val="17"/>
          <w:szCs w:val="17"/>
          <w:color w:val="auto"/>
        </w:rPr>
        <w:t>4(l)</w:t>
      </w:r>
      <w:r>
        <w:rPr>
          <w:sz w:val="20"/>
          <w:szCs w:val="20"/>
          <w:color w:val="auto"/>
        </w:rPr>
        <w:tab/>
      </w:r>
      <w:r>
        <w:rPr>
          <w:rFonts w:ascii="Arial" w:cs="Arial" w:eastAsia="Arial" w:hAnsi="Arial"/>
          <w:sz w:val="17"/>
          <w:szCs w:val="17"/>
          <w:color w:val="auto"/>
        </w:rPr>
        <w:t>Certificate of Ownership and Merger merging Soft Warehouse, Inc. with and into the Registrant, dated September 23, 1999 (incorporated by reference to Exhibit 3(l) of the Registrant’s Annual Report on Form 10-K for the year ended December 31, 2011).</w:t>
      </w:r>
    </w:p>
    <w:p>
      <w:pPr>
        <w:spacing w:after="0" w:line="38" w:lineRule="exact"/>
        <w:rPr>
          <w:sz w:val="20"/>
          <w:szCs w:val="20"/>
          <w:color w:val="auto"/>
        </w:rPr>
      </w:pPr>
    </w:p>
    <w:p>
      <w:pPr>
        <w:ind w:left="720" w:right="560" w:hanging="719"/>
        <w:spacing w:after="0" w:line="308" w:lineRule="auto"/>
        <w:tabs>
          <w:tab w:leader="none" w:pos="700" w:val="left"/>
        </w:tabs>
        <w:rPr>
          <w:sz w:val="20"/>
          <w:szCs w:val="20"/>
          <w:color w:val="auto"/>
        </w:rPr>
      </w:pPr>
      <w:r>
        <w:rPr>
          <w:rFonts w:ascii="Arial" w:cs="Arial" w:eastAsia="Arial" w:hAnsi="Arial"/>
          <w:sz w:val="17"/>
          <w:szCs w:val="17"/>
          <w:color w:val="auto"/>
        </w:rPr>
        <w:t>4(m)</w:t>
      </w:r>
      <w:r>
        <w:rPr>
          <w:sz w:val="20"/>
          <w:szCs w:val="20"/>
          <w:color w:val="auto"/>
        </w:rPr>
        <w:tab/>
      </w:r>
      <w:r>
        <w:rPr>
          <w:rFonts w:ascii="Arial" w:cs="Arial" w:eastAsia="Arial" w:hAnsi="Arial"/>
          <w:sz w:val="17"/>
          <w:szCs w:val="17"/>
          <w:color w:val="auto"/>
        </w:rPr>
        <w:t>Certificate of Ownership and Merger merging Silicon Systems, Inc. with and into the Registrant, dated December 17, 1999 (incorporated by reference to Exhibit 3(m) of the Registrant’s Annual Report on Form 10-K for the year ended December 31, 2011).</w:t>
      </w:r>
    </w:p>
    <w:p>
      <w:pPr>
        <w:spacing w:after="0" w:line="38" w:lineRule="exact"/>
        <w:rPr>
          <w:sz w:val="20"/>
          <w:szCs w:val="20"/>
          <w:color w:val="auto"/>
        </w:rPr>
      </w:pPr>
    </w:p>
    <w:p>
      <w:pPr>
        <w:ind w:left="720" w:right="800" w:hanging="719"/>
        <w:spacing w:after="0" w:line="277" w:lineRule="auto"/>
        <w:tabs>
          <w:tab w:leader="none" w:pos="700" w:val="left"/>
        </w:tabs>
        <w:rPr>
          <w:sz w:val="20"/>
          <w:szCs w:val="20"/>
          <w:color w:val="auto"/>
        </w:rPr>
      </w:pPr>
      <w:r>
        <w:rPr>
          <w:rFonts w:ascii="Arial" w:cs="Arial" w:eastAsia="Arial" w:hAnsi="Arial"/>
          <w:sz w:val="18"/>
          <w:szCs w:val="18"/>
          <w:color w:val="auto"/>
        </w:rPr>
        <w:t>4(n)</w:t>
      </w:r>
      <w:r>
        <w:rPr>
          <w:sz w:val="20"/>
          <w:szCs w:val="20"/>
          <w:color w:val="auto"/>
        </w:rPr>
        <w:tab/>
      </w:r>
      <w:r>
        <w:rPr>
          <w:rFonts w:ascii="Arial" w:cs="Arial" w:eastAsia="Arial" w:hAnsi="Arial"/>
          <w:sz w:val="18"/>
          <w:szCs w:val="18"/>
          <w:color w:val="auto"/>
        </w:rPr>
        <w:t>Certificate of Amendment to Restated Certificate of Incorporation, dated April 20, 2000 (incorporated by reference to Exhibit 3(n) of the Registrant’s Annual Report on Form 10-K for the year ended December 31, 2011).</w:t>
      </w:r>
    </w:p>
    <w:p>
      <w:pPr>
        <w:spacing w:after="0" w:line="62" w:lineRule="exact"/>
        <w:rPr>
          <w:sz w:val="20"/>
          <w:szCs w:val="20"/>
          <w:color w:val="auto"/>
        </w:rPr>
      </w:pPr>
    </w:p>
    <w:p>
      <w:pPr>
        <w:ind w:left="720" w:right="220" w:hanging="719"/>
        <w:spacing w:after="0" w:line="277" w:lineRule="auto"/>
        <w:tabs>
          <w:tab w:leader="none" w:pos="700" w:val="left"/>
        </w:tabs>
        <w:rPr>
          <w:sz w:val="20"/>
          <w:szCs w:val="20"/>
          <w:color w:val="auto"/>
        </w:rPr>
      </w:pPr>
      <w:r>
        <w:rPr>
          <w:rFonts w:ascii="Arial" w:cs="Arial" w:eastAsia="Arial" w:hAnsi="Arial"/>
          <w:sz w:val="18"/>
          <w:szCs w:val="18"/>
          <w:color w:val="auto"/>
        </w:rPr>
        <w:t>4(o)</w:t>
      </w:r>
      <w:r>
        <w:rPr>
          <w:sz w:val="20"/>
          <w:szCs w:val="20"/>
          <w:color w:val="auto"/>
        </w:rPr>
        <w:tab/>
      </w:r>
      <w:r>
        <w:rPr>
          <w:rFonts w:ascii="Arial" w:cs="Arial" w:eastAsia="Arial" w:hAnsi="Arial"/>
          <w:sz w:val="18"/>
          <w:szCs w:val="18"/>
          <w:color w:val="auto"/>
        </w:rPr>
        <w:t>Certificate of Ownership and Merger merging Power Trends, Inc. with and into the Registrant, dated May 31, 2001 (incorporated by reference to Exhibit 3(o) of the Registrant’s Annual Report on Form 10-K for the year ended December 31, 2011).</w:t>
      </w:r>
    </w:p>
    <w:p>
      <w:pPr>
        <w:spacing w:after="0" w:line="62" w:lineRule="exact"/>
        <w:rPr>
          <w:sz w:val="20"/>
          <w:szCs w:val="20"/>
          <w:color w:val="auto"/>
        </w:rPr>
      </w:pPr>
    </w:p>
    <w:p>
      <w:pPr>
        <w:ind w:left="720" w:right="640" w:hanging="719"/>
        <w:spacing w:after="0" w:line="342" w:lineRule="auto"/>
        <w:tabs>
          <w:tab w:leader="none" w:pos="700" w:val="left"/>
        </w:tabs>
        <w:rPr>
          <w:sz w:val="20"/>
          <w:szCs w:val="20"/>
          <w:color w:val="auto"/>
        </w:rPr>
      </w:pPr>
      <w:r>
        <w:rPr>
          <w:rFonts w:ascii="Arial" w:cs="Arial" w:eastAsia="Arial" w:hAnsi="Arial"/>
          <w:sz w:val="16"/>
          <w:szCs w:val="16"/>
          <w:color w:val="auto"/>
        </w:rPr>
        <w:t>4(p)</w:t>
      </w:r>
      <w:r>
        <w:rPr>
          <w:sz w:val="20"/>
          <w:szCs w:val="20"/>
          <w:color w:val="auto"/>
        </w:rPr>
        <w:tab/>
      </w:r>
      <w:r>
        <w:rPr>
          <w:rFonts w:ascii="Arial" w:cs="Arial" w:eastAsia="Arial" w:hAnsi="Arial"/>
          <w:sz w:val="16"/>
          <w:szCs w:val="16"/>
          <w:color w:val="auto"/>
        </w:rPr>
        <w:t>Certificate of Ownership and Merger merging Amati Communications Corporation with and into the Registrant, dated September 28, 2001 (incorporated by reference to Exhibit 3(p) of the Registrant’s Annual Report on Form 10-K for the year ended December 31, 2011).</w:t>
      </w:r>
    </w:p>
    <w:p>
      <w:pPr>
        <w:spacing w:after="0" w:line="1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4(q)</w:t>
      </w:r>
      <w:r>
        <w:rPr>
          <w:sz w:val="20"/>
          <w:szCs w:val="20"/>
          <w:color w:val="auto"/>
        </w:rPr>
        <w:tab/>
      </w:r>
      <w:r>
        <w:rPr>
          <w:rFonts w:ascii="Arial" w:cs="Arial" w:eastAsia="Arial" w:hAnsi="Arial"/>
          <w:sz w:val="17"/>
          <w:szCs w:val="17"/>
          <w:color w:val="auto"/>
        </w:rPr>
        <w:t>Certificate of Ownership and Merger merging Texas Instruments San Diego Incorporated with and into the Registrant, dated August 27, 2002</w:t>
      </w:r>
    </w:p>
    <w:p>
      <w:pPr>
        <w:spacing w:after="0" w:line="3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(incorporated by reference to Exhibit 3(q) of the Registrant’s Annual Report on Form 10-K for the year ended December 31, 2011).</w:t>
      </w:r>
    </w:p>
    <w:p>
      <w:pPr>
        <w:spacing w:after="0" w:line="103" w:lineRule="exact"/>
        <w:rPr>
          <w:sz w:val="20"/>
          <w:szCs w:val="20"/>
          <w:color w:val="auto"/>
        </w:rPr>
      </w:pPr>
    </w:p>
    <w:p>
      <w:pPr>
        <w:ind w:left="720" w:right="220" w:hanging="719"/>
        <w:spacing w:after="0" w:line="308" w:lineRule="auto"/>
        <w:tabs>
          <w:tab w:leader="none" w:pos="700" w:val="left"/>
        </w:tabs>
        <w:rPr>
          <w:sz w:val="20"/>
          <w:szCs w:val="20"/>
          <w:color w:val="auto"/>
        </w:rPr>
      </w:pPr>
      <w:r>
        <w:rPr>
          <w:rFonts w:ascii="Arial" w:cs="Arial" w:eastAsia="Arial" w:hAnsi="Arial"/>
          <w:sz w:val="17"/>
          <w:szCs w:val="17"/>
          <w:color w:val="auto"/>
        </w:rPr>
        <w:t>4(r)</w:t>
      </w:r>
      <w:r>
        <w:rPr>
          <w:sz w:val="20"/>
          <w:szCs w:val="20"/>
          <w:color w:val="auto"/>
        </w:rPr>
        <w:tab/>
      </w:r>
      <w:r>
        <w:rPr>
          <w:rFonts w:ascii="Arial" w:cs="Arial" w:eastAsia="Arial" w:hAnsi="Arial"/>
          <w:sz w:val="17"/>
          <w:szCs w:val="17"/>
          <w:color w:val="auto"/>
        </w:rPr>
        <w:t>Certificate of Ownership and Merger merging Texas Instruments Burlington Incorporated with and into the Registrant, dated December 31, 2003 (incorporated by reference to Exhibit 3(r) of the Registrant’s Annual Report on Form 10-K for the year ended December 31, 2011).</w:t>
      </w:r>
    </w:p>
    <w:p>
      <w:pPr>
        <w:spacing w:after="0" w:line="38" w:lineRule="exact"/>
        <w:rPr>
          <w:sz w:val="20"/>
          <w:szCs w:val="20"/>
          <w:color w:val="auto"/>
        </w:rPr>
      </w:pPr>
    </w:p>
    <w:p>
      <w:pPr>
        <w:ind w:left="720" w:hanging="719"/>
        <w:spacing w:after="0" w:line="264" w:lineRule="auto"/>
        <w:tabs>
          <w:tab w:leader="none" w:pos="700" w:val="left"/>
        </w:tabs>
        <w:rPr>
          <w:sz w:val="20"/>
          <w:szCs w:val="20"/>
          <w:color w:val="auto"/>
        </w:rPr>
      </w:pPr>
      <w:r>
        <w:rPr>
          <w:rFonts w:ascii="Arial" w:cs="Arial" w:eastAsia="Arial" w:hAnsi="Arial"/>
          <w:sz w:val="18"/>
          <w:szCs w:val="18"/>
          <w:color w:val="auto"/>
        </w:rPr>
        <w:t>4(s)</w:t>
      </w:r>
      <w:r>
        <w:rPr>
          <w:sz w:val="20"/>
          <w:szCs w:val="20"/>
          <w:color w:val="auto"/>
        </w:rPr>
        <w:tab/>
      </w:r>
      <w:r>
        <w:rPr>
          <w:rFonts w:ascii="Arial" w:cs="Arial" w:eastAsia="Arial" w:hAnsi="Arial"/>
          <w:sz w:val="18"/>
          <w:szCs w:val="18"/>
          <w:color w:val="auto"/>
        </w:rPr>
        <w:t>Certificate of Ownership and Merger merging Texas Instruments Automotive Sensors and Controls San Jose Inc. with and into the Registrant, dated October 31, 2004 (incorporated by reference to Exhibit 3(s) of the Registrant’s Annual Report on Form 10-K for the year ended December 31, 2011).</w:t>
      </w:r>
    </w:p>
    <w:p>
      <w:pPr>
        <w:spacing w:after="0" w:line="73" w:lineRule="exact"/>
        <w:rPr>
          <w:sz w:val="20"/>
          <w:szCs w:val="20"/>
          <w:color w:val="auto"/>
        </w:rPr>
      </w:pPr>
    </w:p>
    <w:p>
      <w:pPr>
        <w:ind w:left="720" w:right="140" w:hanging="719"/>
        <w:spacing w:after="0" w:line="277" w:lineRule="auto"/>
        <w:tabs>
          <w:tab w:leader="none" w:pos="700" w:val="left"/>
        </w:tabs>
        <w:rPr>
          <w:sz w:val="20"/>
          <w:szCs w:val="20"/>
          <w:color w:val="auto"/>
        </w:rPr>
      </w:pPr>
      <w:r>
        <w:rPr>
          <w:rFonts w:ascii="Arial" w:cs="Arial" w:eastAsia="Arial" w:hAnsi="Arial"/>
          <w:sz w:val="18"/>
          <w:szCs w:val="18"/>
          <w:color w:val="auto"/>
        </w:rPr>
        <w:t>4(t)</w:t>
      </w:r>
      <w:r>
        <w:rPr>
          <w:sz w:val="20"/>
          <w:szCs w:val="20"/>
          <w:color w:val="auto"/>
        </w:rPr>
        <w:tab/>
      </w:r>
      <w:r>
        <w:rPr>
          <w:rFonts w:ascii="Arial" w:cs="Arial" w:eastAsia="Arial" w:hAnsi="Arial"/>
          <w:sz w:val="18"/>
          <w:szCs w:val="18"/>
          <w:color w:val="auto"/>
        </w:rPr>
        <w:t>Certificate of Elimination of Series B Participating Cumulative Preferred Stock (incorporated by reference to Exhibit 3 to the Registrant’s Current Report on Form 8-K filed June 23, 2008).</w:t>
      </w:r>
    </w:p>
    <w:p>
      <w:pPr>
        <w:spacing w:after="0" w:line="6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4(u)</w:t>
      </w:r>
      <w:r>
        <w:rPr>
          <w:sz w:val="20"/>
          <w:szCs w:val="20"/>
          <w:color w:val="auto"/>
        </w:rPr>
        <w:tab/>
      </w:r>
      <w:r>
        <w:rPr>
          <w:rFonts w:ascii="Arial" w:cs="Arial" w:eastAsia="Arial" w:hAnsi="Arial"/>
          <w:sz w:val="18"/>
          <w:szCs w:val="18"/>
          <w:color w:val="auto"/>
        </w:rPr>
        <w:t>By-Laws of the Registrant (incorporated by reference to Exhibit 3 to the Registrant’s Current Report on Form 8-K filed July 18, 2008).</w:t>
      </w:r>
    </w:p>
    <w:p>
      <w:pPr>
        <w:spacing w:after="0" w:line="117" w:lineRule="exact"/>
        <w:rPr>
          <w:sz w:val="20"/>
          <w:szCs w:val="20"/>
          <w:color w:val="auto"/>
        </w:rPr>
      </w:pPr>
    </w:p>
    <w:p>
      <w:pPr>
        <w:ind w:right="6940" w:firstLine="8"/>
        <w:spacing w:after="0" w:line="422" w:lineRule="auto"/>
        <w:tabs>
          <w:tab w:leader="none" w:pos="716" w:val="left"/>
        </w:tabs>
        <w:numPr>
          <w:ilvl w:val="0"/>
          <w:numId w:val="3"/>
        </w:numPr>
        <w:rPr>
          <w:rFonts w:ascii="Arial" w:cs="Arial" w:eastAsia="Arial" w:hAnsi="Arial"/>
          <w:sz w:val="16"/>
          <w:szCs w:val="16"/>
          <w:color w:val="auto"/>
        </w:rPr>
      </w:pPr>
      <w:r>
        <w:rPr>
          <w:rFonts w:ascii="Arial" w:cs="Arial" w:eastAsia="Arial" w:hAnsi="Arial"/>
          <w:sz w:val="16"/>
          <w:szCs w:val="16"/>
          <w:color w:val="auto"/>
        </w:rPr>
        <w:t>Opinion of Joseph F. Hubach, Esq. (filed herewith). 23(a) Consent of Ernst &amp; Young LLP. (filed herewith).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23(b)    Consent of Joseph F. Hubach, Esq. (included in Exhibit 5).</w:t>
      </w:r>
    </w:p>
    <w:p>
      <w:pPr>
        <w:spacing w:after="0" w:line="11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24</w:t>
      </w:r>
      <w:r>
        <w:rPr>
          <w:rFonts w:ascii="Arial" w:cs="Arial" w:eastAsia="Arial" w:hAnsi="Arial"/>
          <w:sz w:val="16"/>
          <w:szCs w:val="16"/>
          <w:color w:val="auto"/>
        </w:rPr>
        <w:t>Power of Attorney (included on signature pages) (filed herewith).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382"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 Undertakings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undertakes:</w:t>
      </w:r>
    </w:p>
    <w:p>
      <w:pPr>
        <w:spacing w:after="0" w:line="131" w:lineRule="exact"/>
        <w:rPr>
          <w:sz w:val="20"/>
          <w:szCs w:val="20"/>
          <w:color w:val="auto"/>
        </w:rPr>
      </w:pPr>
    </w:p>
    <w:p>
      <w:pPr>
        <w:ind w:left="900" w:right="76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of the securities registered hereby, a post-effective amendment to this Registration Statement:</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80" w:right="120" w:hanging="567"/>
        <w:spacing w:after="0" w:line="264" w:lineRule="auto"/>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86" w:lineRule="exact"/>
        <w:rPr>
          <w:rFonts w:ascii="Arial" w:cs="Arial" w:eastAsia="Arial" w:hAnsi="Arial"/>
          <w:sz w:val="18"/>
          <w:szCs w:val="18"/>
          <w:color w:val="auto"/>
        </w:rPr>
      </w:pPr>
    </w:p>
    <w:p>
      <w:pPr>
        <w:ind w:left="1480" w:right="60" w:hanging="567"/>
        <w:spacing w:after="0" w:line="277" w:lineRule="auto"/>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62" w:lineRule="exact"/>
        <w:rPr>
          <w:sz w:val="20"/>
          <w:szCs w:val="20"/>
          <w:color w:val="auto"/>
        </w:rPr>
      </w:pPr>
    </w:p>
    <w:p>
      <w:pPr>
        <w:jc w:val="both"/>
        <w:ind w:left="920" w:right="80"/>
        <w:spacing w:after="0" w:line="264" w:lineRule="auto"/>
        <w:rPr>
          <w:sz w:val="20"/>
          <w:szCs w:val="20"/>
          <w:color w:val="auto"/>
        </w:rPr>
      </w:pPr>
      <w:r>
        <w:rPr>
          <w:rFonts w:ascii="Arial" w:cs="Arial" w:eastAsia="Arial" w:hAnsi="Arial"/>
          <w:sz w:val="18"/>
          <w:szCs w:val="18"/>
          <w:color w:val="auto"/>
        </w:rPr>
        <w:t>provided, however, that the undertakings set forth in paragraphs 1(i) and 1(ii) above do not apply if the information required to be included in a post-effective amendment by those paragraphs is contained in reports filed or furnished by the Company pursuant to Section 13 or Section 15(d) of the Exchange Act that are incorporated by reference in this Registration Statement.</w:t>
      </w:r>
    </w:p>
    <w:p>
      <w:pPr>
        <w:spacing w:after="0" w:line="87" w:lineRule="exact"/>
        <w:rPr>
          <w:sz w:val="20"/>
          <w:szCs w:val="20"/>
          <w:color w:val="auto"/>
        </w:rPr>
      </w:pPr>
    </w:p>
    <w:p>
      <w:pPr>
        <w:ind w:left="900" w:hanging="446"/>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900" w:right="82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hereby further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Company pursuant to the provisions set forth or described in Item 6 of this Registration Statement,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a successful defense of any action, suit or proceeding) is asserted against the Company by such director, officer or controlling person in connection with the securities registered hereby,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Pursuant to the requirements of the Securities Act, the Company certifies that it has reasonable grounds to believe that it meets all of the requirements for filing this Registration Statement and has duly caused this Registration Statement to be signed on its behalf by the undersigned, thereunto duly authorized, in the City of Dallas and State of Texas, on the 30th day of July 2014.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the requirements of the Securities Act, the trustees (or other such persons who administer such Plan) have duly caused this Registration Statement to be signed on its behalf by the undersigned, thereunto duly authorized, in the City of Dallas, State of Texas on the 30th day of July,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TI 401(k) SAVINGS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BEN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Ben Carter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 Administration Committee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TI CONTRIBUTION AND 401(k) SAVINGS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BEN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Ben Carter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 Administration Committee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KNOW ALL MEN BY THESE PRESENTS, that the undersigned constitutes and appoints RICHARD K. TEMPLETON, JOSEPH F. HUBACH and KEVIN P. MARCH, and each of them, with full power to act without the others, his or her true and lawful attorneys-in-fact and agents, with full and several power of substitution, for him or her and in his or her name, place and stead, in any and all capacities, to sign the Registration Statement on Form S-8 under the Securities Act of 1933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his or her substitutes, may lawfully do or cause to be done by virtue hereof.</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the 17th day of July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jc w:val="center"/>
              <w:ind w:left="791"/>
              <w:spacing w:after="0"/>
              <w:rPr>
                <w:sz w:val="20"/>
                <w:szCs w:val="20"/>
                <w:color w:val="auto"/>
              </w:rPr>
            </w:pPr>
            <w:r>
              <w:rPr>
                <w:rFonts w:ascii="Arial" w:cs="Arial" w:eastAsia="Arial" w:hAnsi="Arial"/>
                <w:sz w:val="14"/>
                <w:szCs w:val="14"/>
                <w:b w:val="1"/>
                <w:bCs w:val="1"/>
                <w:color w:val="auto"/>
                <w:w w:val="92"/>
              </w:rPr>
              <w:t>Signature</w:t>
            </w:r>
          </w:p>
        </w:tc>
        <w:tc>
          <w:tcPr>
            <w:tcW w:w="860" w:type="dxa"/>
            <w:vAlign w:val="bottom"/>
          </w:tcPr>
          <w:p>
            <w:pPr>
              <w:spacing w:after="0"/>
              <w:rPr>
                <w:sz w:val="16"/>
                <w:szCs w:val="16"/>
                <w:color w:val="auto"/>
              </w:rPr>
            </w:pPr>
          </w:p>
        </w:tc>
        <w:tc>
          <w:tcPr>
            <w:tcW w:w="4120" w:type="dxa"/>
            <w:vAlign w:val="bottom"/>
          </w:tcPr>
          <w:p>
            <w:pPr>
              <w:jc w:val="center"/>
              <w:ind w:left="1631"/>
              <w:spacing w:after="0"/>
              <w:rPr>
                <w:sz w:val="20"/>
                <w:szCs w:val="20"/>
                <w:color w:val="auto"/>
              </w:rPr>
            </w:pPr>
            <w:r>
              <w:rPr>
                <w:rFonts w:ascii="Arial" w:cs="Arial" w:eastAsia="Arial" w:hAnsi="Arial"/>
                <w:sz w:val="14"/>
                <w:szCs w:val="14"/>
                <w:b w:val="1"/>
                <w:bCs w:val="1"/>
                <w:color w:val="auto"/>
                <w:w w:val="97"/>
              </w:rPr>
              <w:t>Title</w:t>
            </w:r>
          </w:p>
        </w:tc>
      </w:tr>
      <w:tr>
        <w:trPr>
          <w:trHeight w:val="417"/>
        </w:trPr>
        <w:tc>
          <w:tcPr>
            <w:tcW w:w="4960" w:type="dxa"/>
            <w:vAlign w:val="bottom"/>
            <w:tcBorders>
              <w:bottom w:val="single" w:sz="8" w:color="auto"/>
            </w:tcBorders>
          </w:tcPr>
          <w:p>
            <w:pPr>
              <w:jc w:val="center"/>
              <w:ind w:left="791"/>
              <w:spacing w:after="0"/>
              <w:rPr>
                <w:sz w:val="20"/>
                <w:szCs w:val="20"/>
                <w:color w:val="auto"/>
              </w:rPr>
            </w:pPr>
            <w:r>
              <w:rPr>
                <w:rFonts w:ascii="Arial" w:cs="Arial" w:eastAsia="Arial" w:hAnsi="Arial"/>
                <w:sz w:val="18"/>
                <w:szCs w:val="18"/>
                <w:color w:val="auto"/>
                <w:w w:val="95"/>
              </w:rPr>
              <w:t>/s/ RALPH W. BABB, JR.</w:t>
            </w:r>
          </w:p>
        </w:tc>
        <w:tc>
          <w:tcPr>
            <w:tcW w:w="860" w:type="dxa"/>
            <w:vAlign w:val="bottom"/>
            <w:tcBorders>
              <w:bottom w:val="single" w:sz="8" w:color="auto"/>
            </w:tcBorders>
          </w:tcPr>
          <w:p>
            <w:pPr>
              <w:spacing w:after="0"/>
              <w:rPr>
                <w:sz w:val="24"/>
                <w:szCs w:val="24"/>
                <w:color w:val="auto"/>
              </w:rPr>
            </w:pPr>
          </w:p>
        </w:tc>
        <w:tc>
          <w:tcPr>
            <w:tcW w:w="4120" w:type="dxa"/>
            <w:vAlign w:val="bottom"/>
          </w:tcPr>
          <w:p>
            <w:pPr>
              <w:spacing w:after="0"/>
              <w:rPr>
                <w:sz w:val="24"/>
                <w:szCs w:val="24"/>
                <w:color w:val="auto"/>
              </w:rPr>
            </w:pPr>
          </w:p>
        </w:tc>
      </w:tr>
      <w:tr>
        <w:trPr>
          <w:trHeight w:val="224"/>
        </w:trPr>
        <w:tc>
          <w:tcPr>
            <w:tcW w:w="4960" w:type="dxa"/>
            <w:vAlign w:val="bottom"/>
          </w:tcPr>
          <w:p>
            <w:pPr>
              <w:jc w:val="center"/>
              <w:ind w:left="791"/>
              <w:spacing w:after="0"/>
              <w:rPr>
                <w:sz w:val="20"/>
                <w:szCs w:val="20"/>
                <w:color w:val="auto"/>
              </w:rPr>
            </w:pPr>
            <w:r>
              <w:rPr>
                <w:rFonts w:ascii="Arial" w:cs="Arial" w:eastAsia="Arial" w:hAnsi="Arial"/>
                <w:sz w:val="18"/>
                <w:szCs w:val="18"/>
                <w:color w:val="auto"/>
                <w:w w:val="90"/>
              </w:rPr>
              <w:t>Ralph W. Babb, Jr.</w:t>
            </w:r>
          </w:p>
        </w:tc>
        <w:tc>
          <w:tcPr>
            <w:tcW w:w="860" w:type="dxa"/>
            <w:vAlign w:val="bottom"/>
          </w:tcPr>
          <w:p>
            <w:pPr>
              <w:spacing w:after="0"/>
              <w:rPr>
                <w:sz w:val="19"/>
                <w:szCs w:val="19"/>
                <w:color w:val="auto"/>
              </w:rPr>
            </w:pPr>
          </w:p>
        </w:tc>
        <w:tc>
          <w:tcPr>
            <w:tcW w:w="4120" w:type="dxa"/>
            <w:vAlign w:val="bottom"/>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431"/>
        </w:trPr>
        <w:tc>
          <w:tcPr>
            <w:tcW w:w="4960" w:type="dxa"/>
            <w:vAlign w:val="bottom"/>
            <w:tcBorders>
              <w:bottom w:val="single" w:sz="8" w:color="auto"/>
            </w:tcBorders>
          </w:tcPr>
          <w:p>
            <w:pPr>
              <w:jc w:val="center"/>
              <w:ind w:left="791"/>
              <w:spacing w:after="0"/>
              <w:rPr>
                <w:sz w:val="20"/>
                <w:szCs w:val="20"/>
                <w:color w:val="auto"/>
              </w:rPr>
            </w:pPr>
            <w:r>
              <w:rPr>
                <w:rFonts w:ascii="Arial" w:cs="Arial" w:eastAsia="Arial" w:hAnsi="Arial"/>
                <w:sz w:val="18"/>
                <w:szCs w:val="18"/>
                <w:color w:val="auto"/>
                <w:w w:val="99"/>
              </w:rPr>
              <w:t>/s/ MARK A. BLINN</w:t>
            </w:r>
          </w:p>
        </w:tc>
        <w:tc>
          <w:tcPr>
            <w:tcW w:w="860" w:type="dxa"/>
            <w:vAlign w:val="bottom"/>
            <w:tcBorders>
              <w:bottom w:val="single" w:sz="8" w:color="auto"/>
            </w:tcBorders>
          </w:tcPr>
          <w:p>
            <w:pPr>
              <w:spacing w:after="0"/>
              <w:rPr>
                <w:sz w:val="24"/>
                <w:szCs w:val="24"/>
                <w:color w:val="auto"/>
              </w:rPr>
            </w:pPr>
          </w:p>
        </w:tc>
        <w:tc>
          <w:tcPr>
            <w:tcW w:w="4120" w:type="dxa"/>
            <w:vAlign w:val="bottom"/>
          </w:tcPr>
          <w:p>
            <w:pPr>
              <w:spacing w:after="0"/>
              <w:rPr>
                <w:sz w:val="24"/>
                <w:szCs w:val="24"/>
                <w:color w:val="auto"/>
              </w:rPr>
            </w:pPr>
          </w:p>
        </w:tc>
      </w:tr>
      <w:tr>
        <w:trPr>
          <w:trHeight w:val="224"/>
        </w:trPr>
        <w:tc>
          <w:tcPr>
            <w:tcW w:w="4960" w:type="dxa"/>
            <w:vAlign w:val="bottom"/>
          </w:tcPr>
          <w:p>
            <w:pPr>
              <w:jc w:val="center"/>
              <w:ind w:left="791"/>
              <w:spacing w:after="0"/>
              <w:rPr>
                <w:sz w:val="20"/>
                <w:szCs w:val="20"/>
                <w:color w:val="auto"/>
              </w:rPr>
            </w:pPr>
            <w:r>
              <w:rPr>
                <w:rFonts w:ascii="Arial" w:cs="Arial" w:eastAsia="Arial" w:hAnsi="Arial"/>
                <w:sz w:val="18"/>
                <w:szCs w:val="18"/>
                <w:color w:val="auto"/>
                <w:w w:val="97"/>
              </w:rPr>
              <w:t>Mark A. Blinn</w:t>
            </w:r>
          </w:p>
        </w:tc>
        <w:tc>
          <w:tcPr>
            <w:tcW w:w="860" w:type="dxa"/>
            <w:vAlign w:val="bottom"/>
          </w:tcPr>
          <w:p>
            <w:pPr>
              <w:spacing w:after="0"/>
              <w:rPr>
                <w:sz w:val="19"/>
                <w:szCs w:val="19"/>
                <w:color w:val="auto"/>
              </w:rPr>
            </w:pPr>
          </w:p>
        </w:tc>
        <w:tc>
          <w:tcPr>
            <w:tcW w:w="4120" w:type="dxa"/>
            <w:vAlign w:val="bottom"/>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431"/>
        </w:trPr>
        <w:tc>
          <w:tcPr>
            <w:tcW w:w="4960" w:type="dxa"/>
            <w:vAlign w:val="bottom"/>
            <w:tcBorders>
              <w:bottom w:val="single" w:sz="8" w:color="auto"/>
            </w:tcBorders>
          </w:tcPr>
          <w:p>
            <w:pPr>
              <w:jc w:val="center"/>
              <w:ind w:left="771"/>
              <w:spacing w:after="0"/>
              <w:rPr>
                <w:sz w:val="20"/>
                <w:szCs w:val="20"/>
                <w:color w:val="auto"/>
              </w:rPr>
            </w:pPr>
            <w:r>
              <w:rPr>
                <w:rFonts w:ascii="Arial" w:cs="Arial" w:eastAsia="Arial" w:hAnsi="Arial"/>
                <w:sz w:val="18"/>
                <w:szCs w:val="18"/>
                <w:color w:val="auto"/>
                <w:w w:val="97"/>
              </w:rPr>
              <w:t>/s/ DANIEL A. CARP</w:t>
            </w:r>
          </w:p>
        </w:tc>
        <w:tc>
          <w:tcPr>
            <w:tcW w:w="860" w:type="dxa"/>
            <w:vAlign w:val="bottom"/>
            <w:tcBorders>
              <w:bottom w:val="single" w:sz="8" w:color="auto"/>
            </w:tcBorders>
          </w:tcPr>
          <w:p>
            <w:pPr>
              <w:spacing w:after="0"/>
              <w:rPr>
                <w:sz w:val="24"/>
                <w:szCs w:val="24"/>
                <w:color w:val="auto"/>
              </w:rPr>
            </w:pPr>
          </w:p>
        </w:tc>
        <w:tc>
          <w:tcPr>
            <w:tcW w:w="4120" w:type="dxa"/>
            <w:vAlign w:val="bottom"/>
          </w:tcPr>
          <w:p>
            <w:pPr>
              <w:spacing w:after="0"/>
              <w:rPr>
                <w:sz w:val="24"/>
                <w:szCs w:val="24"/>
                <w:color w:val="auto"/>
              </w:rPr>
            </w:pPr>
          </w:p>
        </w:tc>
      </w:tr>
      <w:tr>
        <w:trPr>
          <w:trHeight w:val="224"/>
        </w:trPr>
        <w:tc>
          <w:tcPr>
            <w:tcW w:w="4960" w:type="dxa"/>
            <w:vAlign w:val="bottom"/>
          </w:tcPr>
          <w:p>
            <w:pPr>
              <w:jc w:val="center"/>
              <w:ind w:left="791"/>
              <w:spacing w:after="0"/>
              <w:rPr>
                <w:sz w:val="20"/>
                <w:szCs w:val="20"/>
                <w:color w:val="auto"/>
              </w:rPr>
            </w:pPr>
            <w:r>
              <w:rPr>
                <w:rFonts w:ascii="Arial" w:cs="Arial" w:eastAsia="Arial" w:hAnsi="Arial"/>
                <w:sz w:val="18"/>
                <w:szCs w:val="18"/>
                <w:color w:val="auto"/>
                <w:w w:val="92"/>
              </w:rPr>
              <w:t>Daniel A. Carp</w:t>
            </w:r>
          </w:p>
        </w:tc>
        <w:tc>
          <w:tcPr>
            <w:tcW w:w="860" w:type="dxa"/>
            <w:vAlign w:val="bottom"/>
          </w:tcPr>
          <w:p>
            <w:pPr>
              <w:spacing w:after="0"/>
              <w:rPr>
                <w:sz w:val="19"/>
                <w:szCs w:val="19"/>
                <w:color w:val="auto"/>
              </w:rPr>
            </w:pPr>
          </w:p>
        </w:tc>
        <w:tc>
          <w:tcPr>
            <w:tcW w:w="4120" w:type="dxa"/>
            <w:vAlign w:val="bottom"/>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431"/>
        </w:trPr>
        <w:tc>
          <w:tcPr>
            <w:tcW w:w="4960" w:type="dxa"/>
            <w:vAlign w:val="bottom"/>
            <w:tcBorders>
              <w:bottom w:val="single" w:sz="8" w:color="auto"/>
            </w:tcBorders>
          </w:tcPr>
          <w:p>
            <w:pPr>
              <w:jc w:val="center"/>
              <w:ind w:left="791"/>
              <w:spacing w:after="0"/>
              <w:rPr>
                <w:sz w:val="20"/>
                <w:szCs w:val="20"/>
                <w:color w:val="auto"/>
              </w:rPr>
            </w:pPr>
            <w:r>
              <w:rPr>
                <w:rFonts w:ascii="Arial" w:cs="Arial" w:eastAsia="Arial" w:hAnsi="Arial"/>
                <w:sz w:val="18"/>
                <w:szCs w:val="18"/>
                <w:color w:val="auto"/>
                <w:w w:val="93"/>
              </w:rPr>
              <w:t>/s/ CARRIE S. COX</w:t>
            </w:r>
          </w:p>
        </w:tc>
        <w:tc>
          <w:tcPr>
            <w:tcW w:w="860" w:type="dxa"/>
            <w:vAlign w:val="bottom"/>
            <w:tcBorders>
              <w:bottom w:val="single" w:sz="8" w:color="auto"/>
            </w:tcBorders>
          </w:tcPr>
          <w:p>
            <w:pPr>
              <w:spacing w:after="0"/>
              <w:rPr>
                <w:sz w:val="24"/>
                <w:szCs w:val="24"/>
                <w:color w:val="auto"/>
              </w:rPr>
            </w:pPr>
          </w:p>
        </w:tc>
        <w:tc>
          <w:tcPr>
            <w:tcW w:w="4120" w:type="dxa"/>
            <w:vAlign w:val="bottom"/>
          </w:tcPr>
          <w:p>
            <w:pPr>
              <w:spacing w:after="0"/>
              <w:rPr>
                <w:sz w:val="24"/>
                <w:szCs w:val="24"/>
                <w:color w:val="auto"/>
              </w:rPr>
            </w:pPr>
          </w:p>
        </w:tc>
      </w:tr>
      <w:tr>
        <w:trPr>
          <w:trHeight w:val="224"/>
        </w:trPr>
        <w:tc>
          <w:tcPr>
            <w:tcW w:w="4960" w:type="dxa"/>
            <w:vAlign w:val="bottom"/>
          </w:tcPr>
          <w:p>
            <w:pPr>
              <w:jc w:val="center"/>
              <w:ind w:left="791"/>
              <w:spacing w:after="0"/>
              <w:rPr>
                <w:sz w:val="20"/>
                <w:szCs w:val="20"/>
                <w:color w:val="auto"/>
              </w:rPr>
            </w:pPr>
            <w:r>
              <w:rPr>
                <w:rFonts w:ascii="Arial" w:cs="Arial" w:eastAsia="Arial" w:hAnsi="Arial"/>
                <w:sz w:val="18"/>
                <w:szCs w:val="18"/>
                <w:color w:val="auto"/>
                <w:w w:val="92"/>
              </w:rPr>
              <w:t>Carrie S. Cox</w:t>
            </w:r>
          </w:p>
        </w:tc>
        <w:tc>
          <w:tcPr>
            <w:tcW w:w="860" w:type="dxa"/>
            <w:vAlign w:val="bottom"/>
          </w:tcPr>
          <w:p>
            <w:pPr>
              <w:spacing w:after="0"/>
              <w:rPr>
                <w:sz w:val="19"/>
                <w:szCs w:val="19"/>
                <w:color w:val="auto"/>
              </w:rPr>
            </w:pPr>
          </w:p>
        </w:tc>
        <w:tc>
          <w:tcPr>
            <w:tcW w:w="4120" w:type="dxa"/>
            <w:vAlign w:val="bottom"/>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431"/>
        </w:trPr>
        <w:tc>
          <w:tcPr>
            <w:tcW w:w="4960" w:type="dxa"/>
            <w:vAlign w:val="bottom"/>
            <w:tcBorders>
              <w:bottom w:val="single" w:sz="8" w:color="auto"/>
            </w:tcBorders>
          </w:tcPr>
          <w:p>
            <w:pPr>
              <w:jc w:val="center"/>
              <w:ind w:left="791"/>
              <w:spacing w:after="0"/>
              <w:rPr>
                <w:sz w:val="20"/>
                <w:szCs w:val="20"/>
                <w:color w:val="auto"/>
              </w:rPr>
            </w:pPr>
            <w:r>
              <w:rPr>
                <w:rFonts w:ascii="Arial" w:cs="Arial" w:eastAsia="Arial" w:hAnsi="Arial"/>
                <w:sz w:val="18"/>
                <w:szCs w:val="18"/>
                <w:color w:val="auto"/>
                <w:w w:val="98"/>
              </w:rPr>
              <w:t>/s/ RONALD KIRK</w:t>
            </w:r>
          </w:p>
        </w:tc>
        <w:tc>
          <w:tcPr>
            <w:tcW w:w="860" w:type="dxa"/>
            <w:vAlign w:val="bottom"/>
            <w:tcBorders>
              <w:bottom w:val="single" w:sz="8" w:color="auto"/>
            </w:tcBorders>
          </w:tcPr>
          <w:p>
            <w:pPr>
              <w:spacing w:after="0"/>
              <w:rPr>
                <w:sz w:val="24"/>
                <w:szCs w:val="24"/>
                <w:color w:val="auto"/>
              </w:rPr>
            </w:pPr>
          </w:p>
        </w:tc>
        <w:tc>
          <w:tcPr>
            <w:tcW w:w="4120" w:type="dxa"/>
            <w:vAlign w:val="bottom"/>
          </w:tcPr>
          <w:p>
            <w:pPr>
              <w:spacing w:after="0"/>
              <w:rPr>
                <w:sz w:val="24"/>
                <w:szCs w:val="24"/>
                <w:color w:val="auto"/>
              </w:rPr>
            </w:pPr>
          </w:p>
        </w:tc>
      </w:tr>
      <w:tr>
        <w:trPr>
          <w:trHeight w:val="224"/>
        </w:trPr>
        <w:tc>
          <w:tcPr>
            <w:tcW w:w="4960" w:type="dxa"/>
            <w:vAlign w:val="bottom"/>
          </w:tcPr>
          <w:p>
            <w:pPr>
              <w:jc w:val="center"/>
              <w:ind w:left="791"/>
              <w:spacing w:after="0"/>
              <w:rPr>
                <w:sz w:val="20"/>
                <w:szCs w:val="20"/>
                <w:color w:val="auto"/>
              </w:rPr>
            </w:pPr>
            <w:r>
              <w:rPr>
                <w:rFonts w:ascii="Arial" w:cs="Arial" w:eastAsia="Arial" w:hAnsi="Arial"/>
                <w:sz w:val="18"/>
                <w:szCs w:val="18"/>
                <w:color w:val="auto"/>
                <w:w w:val="94"/>
              </w:rPr>
              <w:t>Ronald Kirk</w:t>
            </w:r>
          </w:p>
        </w:tc>
        <w:tc>
          <w:tcPr>
            <w:tcW w:w="860" w:type="dxa"/>
            <w:vAlign w:val="bottom"/>
          </w:tcPr>
          <w:p>
            <w:pPr>
              <w:spacing w:after="0"/>
              <w:rPr>
                <w:sz w:val="19"/>
                <w:szCs w:val="19"/>
                <w:color w:val="auto"/>
              </w:rPr>
            </w:pPr>
          </w:p>
        </w:tc>
        <w:tc>
          <w:tcPr>
            <w:tcW w:w="4120" w:type="dxa"/>
            <w:vAlign w:val="bottom"/>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431"/>
        </w:trPr>
        <w:tc>
          <w:tcPr>
            <w:tcW w:w="4960" w:type="dxa"/>
            <w:vAlign w:val="bottom"/>
            <w:tcBorders>
              <w:bottom w:val="single" w:sz="8" w:color="auto"/>
            </w:tcBorders>
          </w:tcPr>
          <w:p>
            <w:pPr>
              <w:jc w:val="center"/>
              <w:ind w:left="791"/>
              <w:spacing w:after="0"/>
              <w:rPr>
                <w:sz w:val="20"/>
                <w:szCs w:val="20"/>
                <w:color w:val="auto"/>
              </w:rPr>
            </w:pPr>
            <w:r>
              <w:rPr>
                <w:rFonts w:ascii="Arial" w:cs="Arial" w:eastAsia="Arial" w:hAnsi="Arial"/>
                <w:sz w:val="18"/>
                <w:szCs w:val="18"/>
                <w:color w:val="auto"/>
                <w:w w:val="95"/>
              </w:rPr>
              <w:t>/s/ PAMELA H. PATSLEY</w:t>
            </w:r>
          </w:p>
        </w:tc>
        <w:tc>
          <w:tcPr>
            <w:tcW w:w="860" w:type="dxa"/>
            <w:vAlign w:val="bottom"/>
            <w:tcBorders>
              <w:bottom w:val="single" w:sz="8" w:color="auto"/>
            </w:tcBorders>
          </w:tcPr>
          <w:p>
            <w:pPr>
              <w:spacing w:after="0"/>
              <w:rPr>
                <w:sz w:val="24"/>
                <w:szCs w:val="24"/>
                <w:color w:val="auto"/>
              </w:rPr>
            </w:pPr>
          </w:p>
        </w:tc>
        <w:tc>
          <w:tcPr>
            <w:tcW w:w="4120" w:type="dxa"/>
            <w:vAlign w:val="bottom"/>
          </w:tcPr>
          <w:p>
            <w:pPr>
              <w:spacing w:after="0"/>
              <w:rPr>
                <w:sz w:val="24"/>
                <w:szCs w:val="24"/>
                <w:color w:val="auto"/>
              </w:rPr>
            </w:pPr>
          </w:p>
        </w:tc>
      </w:tr>
      <w:tr>
        <w:trPr>
          <w:trHeight w:val="224"/>
        </w:trPr>
        <w:tc>
          <w:tcPr>
            <w:tcW w:w="4960" w:type="dxa"/>
            <w:vAlign w:val="bottom"/>
          </w:tcPr>
          <w:p>
            <w:pPr>
              <w:jc w:val="center"/>
              <w:ind w:left="791"/>
              <w:spacing w:after="0"/>
              <w:rPr>
                <w:sz w:val="20"/>
                <w:szCs w:val="20"/>
                <w:color w:val="auto"/>
              </w:rPr>
            </w:pPr>
            <w:r>
              <w:rPr>
                <w:rFonts w:ascii="Arial" w:cs="Arial" w:eastAsia="Arial" w:hAnsi="Arial"/>
                <w:sz w:val="18"/>
                <w:szCs w:val="18"/>
                <w:color w:val="auto"/>
                <w:w w:val="89"/>
              </w:rPr>
              <w:t>Pamela H. Patsley</w:t>
            </w:r>
          </w:p>
        </w:tc>
        <w:tc>
          <w:tcPr>
            <w:tcW w:w="860" w:type="dxa"/>
            <w:vAlign w:val="bottom"/>
          </w:tcPr>
          <w:p>
            <w:pPr>
              <w:spacing w:after="0"/>
              <w:rPr>
                <w:sz w:val="19"/>
                <w:szCs w:val="19"/>
                <w:color w:val="auto"/>
              </w:rPr>
            </w:pPr>
          </w:p>
        </w:tc>
        <w:tc>
          <w:tcPr>
            <w:tcW w:w="4120" w:type="dxa"/>
            <w:vAlign w:val="bottom"/>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431"/>
        </w:trPr>
        <w:tc>
          <w:tcPr>
            <w:tcW w:w="4960" w:type="dxa"/>
            <w:vAlign w:val="bottom"/>
            <w:tcBorders>
              <w:bottom w:val="single" w:sz="8" w:color="auto"/>
            </w:tcBorders>
          </w:tcPr>
          <w:p>
            <w:pPr>
              <w:jc w:val="center"/>
              <w:ind w:left="791"/>
              <w:spacing w:after="0"/>
              <w:rPr>
                <w:sz w:val="20"/>
                <w:szCs w:val="20"/>
                <w:color w:val="auto"/>
              </w:rPr>
            </w:pPr>
            <w:r>
              <w:rPr>
                <w:rFonts w:ascii="Arial" w:cs="Arial" w:eastAsia="Arial" w:hAnsi="Arial"/>
                <w:sz w:val="18"/>
                <w:szCs w:val="18"/>
                <w:color w:val="auto"/>
                <w:w w:val="94"/>
              </w:rPr>
              <w:t>/s/ ROBERT E. SANCHEZ</w:t>
            </w:r>
          </w:p>
        </w:tc>
        <w:tc>
          <w:tcPr>
            <w:tcW w:w="860" w:type="dxa"/>
            <w:vAlign w:val="bottom"/>
            <w:tcBorders>
              <w:bottom w:val="single" w:sz="8" w:color="auto"/>
            </w:tcBorders>
          </w:tcPr>
          <w:p>
            <w:pPr>
              <w:spacing w:after="0"/>
              <w:rPr>
                <w:sz w:val="24"/>
                <w:szCs w:val="24"/>
                <w:color w:val="auto"/>
              </w:rPr>
            </w:pPr>
          </w:p>
        </w:tc>
        <w:tc>
          <w:tcPr>
            <w:tcW w:w="4120" w:type="dxa"/>
            <w:vAlign w:val="bottom"/>
          </w:tcPr>
          <w:p>
            <w:pPr>
              <w:spacing w:after="0"/>
              <w:rPr>
                <w:sz w:val="24"/>
                <w:szCs w:val="24"/>
                <w:color w:val="auto"/>
              </w:rPr>
            </w:pPr>
          </w:p>
        </w:tc>
      </w:tr>
      <w:tr>
        <w:trPr>
          <w:trHeight w:val="224"/>
        </w:trPr>
        <w:tc>
          <w:tcPr>
            <w:tcW w:w="4960" w:type="dxa"/>
            <w:vAlign w:val="bottom"/>
          </w:tcPr>
          <w:p>
            <w:pPr>
              <w:jc w:val="center"/>
              <w:ind w:left="791"/>
              <w:spacing w:after="0"/>
              <w:rPr>
                <w:sz w:val="20"/>
                <w:szCs w:val="20"/>
                <w:color w:val="auto"/>
              </w:rPr>
            </w:pPr>
            <w:r>
              <w:rPr>
                <w:rFonts w:ascii="Arial" w:cs="Arial" w:eastAsia="Arial" w:hAnsi="Arial"/>
                <w:sz w:val="18"/>
                <w:szCs w:val="18"/>
                <w:color w:val="auto"/>
                <w:w w:val="87"/>
              </w:rPr>
              <w:t>Robert E. Sanchez</w:t>
            </w:r>
          </w:p>
        </w:tc>
        <w:tc>
          <w:tcPr>
            <w:tcW w:w="860" w:type="dxa"/>
            <w:vAlign w:val="bottom"/>
          </w:tcPr>
          <w:p>
            <w:pPr>
              <w:spacing w:after="0"/>
              <w:rPr>
                <w:sz w:val="19"/>
                <w:szCs w:val="19"/>
                <w:color w:val="auto"/>
              </w:rPr>
            </w:pPr>
          </w:p>
        </w:tc>
        <w:tc>
          <w:tcPr>
            <w:tcW w:w="4120" w:type="dxa"/>
            <w:vAlign w:val="bottom"/>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431"/>
        </w:trPr>
        <w:tc>
          <w:tcPr>
            <w:tcW w:w="4960" w:type="dxa"/>
            <w:vAlign w:val="bottom"/>
            <w:tcBorders>
              <w:bottom w:val="single" w:sz="8" w:color="auto"/>
            </w:tcBorders>
          </w:tcPr>
          <w:p>
            <w:pPr>
              <w:jc w:val="center"/>
              <w:ind w:left="791"/>
              <w:spacing w:after="0"/>
              <w:rPr>
                <w:sz w:val="20"/>
                <w:szCs w:val="20"/>
                <w:color w:val="auto"/>
              </w:rPr>
            </w:pPr>
            <w:r>
              <w:rPr>
                <w:rFonts w:ascii="Arial" w:cs="Arial" w:eastAsia="Arial" w:hAnsi="Arial"/>
                <w:sz w:val="18"/>
                <w:szCs w:val="18"/>
                <w:color w:val="auto"/>
                <w:w w:val="93"/>
              </w:rPr>
              <w:t>/s/ WAYNE R. SANDERS</w:t>
            </w:r>
          </w:p>
        </w:tc>
        <w:tc>
          <w:tcPr>
            <w:tcW w:w="860" w:type="dxa"/>
            <w:vAlign w:val="bottom"/>
            <w:tcBorders>
              <w:bottom w:val="single" w:sz="8" w:color="auto"/>
            </w:tcBorders>
          </w:tcPr>
          <w:p>
            <w:pPr>
              <w:spacing w:after="0"/>
              <w:rPr>
                <w:sz w:val="24"/>
                <w:szCs w:val="24"/>
                <w:color w:val="auto"/>
              </w:rPr>
            </w:pPr>
          </w:p>
        </w:tc>
        <w:tc>
          <w:tcPr>
            <w:tcW w:w="4120" w:type="dxa"/>
            <w:vAlign w:val="bottom"/>
          </w:tcPr>
          <w:p>
            <w:pPr>
              <w:spacing w:after="0"/>
              <w:rPr>
                <w:sz w:val="24"/>
                <w:szCs w:val="24"/>
                <w:color w:val="auto"/>
              </w:rPr>
            </w:pPr>
          </w:p>
        </w:tc>
      </w:tr>
      <w:tr>
        <w:trPr>
          <w:trHeight w:val="224"/>
        </w:trPr>
        <w:tc>
          <w:tcPr>
            <w:tcW w:w="4960" w:type="dxa"/>
            <w:vAlign w:val="bottom"/>
          </w:tcPr>
          <w:p>
            <w:pPr>
              <w:jc w:val="center"/>
              <w:ind w:left="791"/>
              <w:spacing w:after="0"/>
              <w:rPr>
                <w:sz w:val="20"/>
                <w:szCs w:val="20"/>
                <w:color w:val="auto"/>
              </w:rPr>
            </w:pPr>
            <w:r>
              <w:rPr>
                <w:rFonts w:ascii="Arial" w:cs="Arial" w:eastAsia="Arial" w:hAnsi="Arial"/>
                <w:sz w:val="18"/>
                <w:szCs w:val="18"/>
                <w:color w:val="auto"/>
                <w:w w:val="87"/>
              </w:rPr>
              <w:t>Wayne R. Sanders</w:t>
            </w:r>
          </w:p>
        </w:tc>
        <w:tc>
          <w:tcPr>
            <w:tcW w:w="860" w:type="dxa"/>
            <w:vAlign w:val="bottom"/>
          </w:tcPr>
          <w:p>
            <w:pPr>
              <w:spacing w:after="0"/>
              <w:rPr>
                <w:sz w:val="19"/>
                <w:szCs w:val="19"/>
                <w:color w:val="auto"/>
              </w:rPr>
            </w:pPr>
          </w:p>
        </w:tc>
        <w:tc>
          <w:tcPr>
            <w:tcW w:w="4120" w:type="dxa"/>
            <w:vAlign w:val="bottom"/>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431"/>
        </w:trPr>
        <w:tc>
          <w:tcPr>
            <w:tcW w:w="4960" w:type="dxa"/>
            <w:vAlign w:val="bottom"/>
            <w:tcBorders>
              <w:bottom w:val="single" w:sz="8" w:color="auto"/>
            </w:tcBorders>
          </w:tcPr>
          <w:p>
            <w:pPr>
              <w:jc w:val="center"/>
              <w:ind w:left="791"/>
              <w:spacing w:after="0"/>
              <w:rPr>
                <w:sz w:val="20"/>
                <w:szCs w:val="20"/>
                <w:color w:val="auto"/>
              </w:rPr>
            </w:pPr>
            <w:r>
              <w:rPr>
                <w:rFonts w:ascii="Arial" w:cs="Arial" w:eastAsia="Arial" w:hAnsi="Arial"/>
                <w:sz w:val="18"/>
                <w:szCs w:val="18"/>
                <w:color w:val="auto"/>
                <w:w w:val="95"/>
              </w:rPr>
              <w:t>/s/ RUTH J. SIMMONS</w:t>
            </w:r>
          </w:p>
        </w:tc>
        <w:tc>
          <w:tcPr>
            <w:tcW w:w="860" w:type="dxa"/>
            <w:vAlign w:val="bottom"/>
            <w:tcBorders>
              <w:bottom w:val="single" w:sz="8" w:color="auto"/>
            </w:tcBorders>
          </w:tcPr>
          <w:p>
            <w:pPr>
              <w:spacing w:after="0"/>
              <w:rPr>
                <w:sz w:val="24"/>
                <w:szCs w:val="24"/>
                <w:color w:val="auto"/>
              </w:rPr>
            </w:pPr>
          </w:p>
        </w:tc>
        <w:tc>
          <w:tcPr>
            <w:tcW w:w="4120" w:type="dxa"/>
            <w:vAlign w:val="bottom"/>
          </w:tcPr>
          <w:p>
            <w:pPr>
              <w:spacing w:after="0"/>
              <w:rPr>
                <w:sz w:val="24"/>
                <w:szCs w:val="24"/>
                <w:color w:val="auto"/>
              </w:rPr>
            </w:pPr>
          </w:p>
        </w:tc>
      </w:tr>
      <w:tr>
        <w:trPr>
          <w:trHeight w:val="224"/>
        </w:trPr>
        <w:tc>
          <w:tcPr>
            <w:tcW w:w="4960" w:type="dxa"/>
            <w:vAlign w:val="bottom"/>
          </w:tcPr>
          <w:p>
            <w:pPr>
              <w:jc w:val="center"/>
              <w:ind w:left="791"/>
              <w:spacing w:after="0"/>
              <w:rPr>
                <w:sz w:val="20"/>
                <w:szCs w:val="20"/>
                <w:color w:val="auto"/>
              </w:rPr>
            </w:pPr>
            <w:r>
              <w:rPr>
                <w:rFonts w:ascii="Arial" w:cs="Arial" w:eastAsia="Arial" w:hAnsi="Arial"/>
                <w:sz w:val="18"/>
                <w:szCs w:val="18"/>
                <w:color w:val="auto"/>
                <w:w w:val="90"/>
              </w:rPr>
              <w:t>Ruth J. Simmons</w:t>
            </w:r>
          </w:p>
        </w:tc>
        <w:tc>
          <w:tcPr>
            <w:tcW w:w="860" w:type="dxa"/>
            <w:vAlign w:val="bottom"/>
          </w:tcPr>
          <w:p>
            <w:pPr>
              <w:spacing w:after="0"/>
              <w:rPr>
                <w:sz w:val="19"/>
                <w:szCs w:val="19"/>
                <w:color w:val="auto"/>
              </w:rPr>
            </w:pPr>
          </w:p>
        </w:tc>
        <w:tc>
          <w:tcPr>
            <w:tcW w:w="4120" w:type="dxa"/>
            <w:vAlign w:val="bottom"/>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431"/>
        </w:trPr>
        <w:tc>
          <w:tcPr>
            <w:tcW w:w="4960" w:type="dxa"/>
            <w:vAlign w:val="bottom"/>
            <w:tcBorders>
              <w:bottom w:val="single" w:sz="8" w:color="auto"/>
            </w:tcBorders>
          </w:tcPr>
          <w:p>
            <w:pPr>
              <w:jc w:val="center"/>
              <w:ind w:left="791"/>
              <w:spacing w:after="0"/>
              <w:rPr>
                <w:sz w:val="20"/>
                <w:szCs w:val="20"/>
                <w:color w:val="auto"/>
              </w:rPr>
            </w:pPr>
            <w:r>
              <w:rPr>
                <w:rFonts w:ascii="Arial" w:cs="Arial" w:eastAsia="Arial" w:hAnsi="Arial"/>
                <w:sz w:val="18"/>
                <w:szCs w:val="18"/>
                <w:color w:val="auto"/>
                <w:w w:val="97"/>
              </w:rPr>
              <w:t>/s/ RICHARD K. TEMPLETON</w:t>
            </w:r>
          </w:p>
        </w:tc>
        <w:tc>
          <w:tcPr>
            <w:tcW w:w="860" w:type="dxa"/>
            <w:vAlign w:val="bottom"/>
            <w:tcBorders>
              <w:bottom w:val="single" w:sz="8" w:color="auto"/>
            </w:tcBorders>
          </w:tcPr>
          <w:p>
            <w:pPr>
              <w:spacing w:after="0"/>
              <w:rPr>
                <w:sz w:val="24"/>
                <w:szCs w:val="24"/>
                <w:color w:val="auto"/>
              </w:rPr>
            </w:pPr>
          </w:p>
        </w:tc>
        <w:tc>
          <w:tcPr>
            <w:tcW w:w="4120" w:type="dxa"/>
            <w:vAlign w:val="bottom"/>
          </w:tcPr>
          <w:p>
            <w:pPr>
              <w:spacing w:after="0"/>
              <w:rPr>
                <w:sz w:val="24"/>
                <w:szCs w:val="24"/>
                <w:color w:val="auto"/>
              </w:rPr>
            </w:pPr>
          </w:p>
        </w:tc>
      </w:tr>
      <w:tr>
        <w:trPr>
          <w:trHeight w:val="209"/>
        </w:trPr>
        <w:tc>
          <w:tcPr>
            <w:tcW w:w="4960" w:type="dxa"/>
            <w:vAlign w:val="bottom"/>
          </w:tcPr>
          <w:p>
            <w:pPr>
              <w:jc w:val="center"/>
              <w:ind w:left="791"/>
              <w:spacing w:after="0"/>
              <w:rPr>
                <w:sz w:val="20"/>
                <w:szCs w:val="20"/>
                <w:color w:val="auto"/>
              </w:rPr>
            </w:pPr>
            <w:r>
              <w:rPr>
                <w:rFonts w:ascii="Arial" w:cs="Arial" w:eastAsia="Arial" w:hAnsi="Arial"/>
                <w:sz w:val="18"/>
                <w:szCs w:val="18"/>
                <w:color w:val="auto"/>
                <w:w w:val="91"/>
              </w:rPr>
              <w:t>Richard K. Templeton</w:t>
            </w:r>
          </w:p>
        </w:tc>
        <w:tc>
          <w:tcPr>
            <w:tcW w:w="860" w:type="dxa"/>
            <w:vAlign w:val="bottom"/>
          </w:tcPr>
          <w:p>
            <w:pPr>
              <w:spacing w:after="0"/>
              <w:rPr>
                <w:sz w:val="18"/>
                <w:szCs w:val="18"/>
                <w:color w:val="auto"/>
              </w:rPr>
            </w:pPr>
          </w:p>
        </w:tc>
        <w:tc>
          <w:tcPr>
            <w:tcW w:w="4120" w:type="dxa"/>
            <w:vAlign w:val="bottom"/>
          </w:tcPr>
          <w:p>
            <w:pPr>
              <w:jc w:val="center"/>
              <w:ind w:left="1631"/>
              <w:spacing w:after="0"/>
              <w:rPr>
                <w:sz w:val="20"/>
                <w:szCs w:val="20"/>
                <w:color w:val="auto"/>
              </w:rPr>
            </w:pPr>
            <w:r>
              <w:rPr>
                <w:rFonts w:ascii="Arial" w:cs="Arial" w:eastAsia="Arial" w:hAnsi="Arial"/>
                <w:sz w:val="18"/>
                <w:szCs w:val="18"/>
                <w:color w:val="auto"/>
                <w:w w:val="89"/>
              </w:rPr>
              <w:t>Chairman; President;</w:t>
            </w:r>
          </w:p>
        </w:tc>
      </w:tr>
      <w:tr>
        <w:trPr>
          <w:trHeight w:val="230"/>
        </w:trPr>
        <w:tc>
          <w:tcPr>
            <w:tcW w:w="4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120" w:type="dxa"/>
            <w:vAlign w:val="bottom"/>
          </w:tcPr>
          <w:p>
            <w:pPr>
              <w:jc w:val="center"/>
              <w:ind w:left="1611"/>
              <w:spacing w:after="0"/>
              <w:rPr>
                <w:sz w:val="20"/>
                <w:szCs w:val="20"/>
                <w:color w:val="auto"/>
              </w:rPr>
            </w:pPr>
            <w:r>
              <w:rPr>
                <w:rFonts w:ascii="Arial" w:cs="Arial" w:eastAsia="Arial" w:hAnsi="Arial"/>
                <w:sz w:val="18"/>
                <w:szCs w:val="18"/>
                <w:color w:val="auto"/>
                <w:w w:val="94"/>
              </w:rPr>
              <w:t>Chief Executive Officer; Director</w:t>
            </w:r>
          </w:p>
        </w:tc>
      </w:tr>
      <w:tr>
        <w:trPr>
          <w:trHeight w:val="446"/>
        </w:trPr>
        <w:tc>
          <w:tcPr>
            <w:tcW w:w="4960" w:type="dxa"/>
            <w:vAlign w:val="bottom"/>
            <w:tcBorders>
              <w:bottom w:val="single" w:sz="8" w:color="auto"/>
            </w:tcBorders>
          </w:tcPr>
          <w:p>
            <w:pPr>
              <w:jc w:val="center"/>
              <w:ind w:left="791"/>
              <w:spacing w:after="0"/>
              <w:rPr>
                <w:sz w:val="20"/>
                <w:szCs w:val="20"/>
                <w:color w:val="auto"/>
              </w:rPr>
            </w:pPr>
            <w:r>
              <w:rPr>
                <w:rFonts w:ascii="Arial" w:cs="Arial" w:eastAsia="Arial" w:hAnsi="Arial"/>
                <w:sz w:val="18"/>
                <w:szCs w:val="18"/>
                <w:color w:val="auto"/>
                <w:w w:val="98"/>
              </w:rPr>
              <w:t>/s/ CHRISTINE TODD WHITMAN</w:t>
            </w:r>
          </w:p>
        </w:tc>
        <w:tc>
          <w:tcPr>
            <w:tcW w:w="860" w:type="dxa"/>
            <w:vAlign w:val="bottom"/>
            <w:tcBorders>
              <w:bottom w:val="single" w:sz="8" w:color="auto"/>
            </w:tcBorders>
          </w:tcPr>
          <w:p>
            <w:pPr>
              <w:spacing w:after="0"/>
              <w:rPr>
                <w:sz w:val="24"/>
                <w:szCs w:val="24"/>
                <w:color w:val="auto"/>
              </w:rPr>
            </w:pPr>
          </w:p>
        </w:tc>
        <w:tc>
          <w:tcPr>
            <w:tcW w:w="4120" w:type="dxa"/>
            <w:vAlign w:val="bottom"/>
          </w:tcPr>
          <w:p>
            <w:pPr>
              <w:spacing w:after="0"/>
              <w:rPr>
                <w:sz w:val="24"/>
                <w:szCs w:val="24"/>
                <w:color w:val="auto"/>
              </w:rPr>
            </w:pPr>
          </w:p>
        </w:tc>
      </w:tr>
      <w:tr>
        <w:trPr>
          <w:trHeight w:val="224"/>
        </w:trPr>
        <w:tc>
          <w:tcPr>
            <w:tcW w:w="4960" w:type="dxa"/>
            <w:vAlign w:val="bottom"/>
          </w:tcPr>
          <w:p>
            <w:pPr>
              <w:jc w:val="center"/>
              <w:ind w:left="791"/>
              <w:spacing w:after="0"/>
              <w:rPr>
                <w:sz w:val="20"/>
                <w:szCs w:val="20"/>
                <w:color w:val="auto"/>
              </w:rPr>
            </w:pPr>
            <w:r>
              <w:rPr>
                <w:rFonts w:ascii="Arial" w:cs="Arial" w:eastAsia="Arial" w:hAnsi="Arial"/>
                <w:sz w:val="18"/>
                <w:szCs w:val="18"/>
                <w:color w:val="auto"/>
                <w:w w:val="93"/>
              </w:rPr>
              <w:t>Christine Todd Whitman</w:t>
            </w:r>
          </w:p>
        </w:tc>
        <w:tc>
          <w:tcPr>
            <w:tcW w:w="860" w:type="dxa"/>
            <w:vAlign w:val="bottom"/>
          </w:tcPr>
          <w:p>
            <w:pPr>
              <w:spacing w:after="0"/>
              <w:rPr>
                <w:sz w:val="19"/>
                <w:szCs w:val="19"/>
                <w:color w:val="auto"/>
              </w:rPr>
            </w:pPr>
          </w:p>
        </w:tc>
        <w:tc>
          <w:tcPr>
            <w:tcW w:w="4120" w:type="dxa"/>
            <w:vAlign w:val="bottom"/>
          </w:tcPr>
          <w:p>
            <w:pPr>
              <w:jc w:val="center"/>
              <w:ind w:left="1631"/>
              <w:spacing w:after="0"/>
              <w:rPr>
                <w:sz w:val="20"/>
                <w:szCs w:val="20"/>
                <w:color w:val="auto"/>
              </w:rPr>
            </w:pPr>
            <w:r>
              <w:rPr>
                <w:rFonts w:ascii="Arial" w:cs="Arial" w:eastAsia="Arial" w:hAnsi="Arial"/>
                <w:sz w:val="18"/>
                <w:szCs w:val="18"/>
                <w:color w:val="auto"/>
                <w:w w:val="95"/>
              </w:rPr>
              <w:t>Director</w:t>
            </w:r>
          </w:p>
        </w:tc>
      </w:tr>
      <w:tr>
        <w:trPr>
          <w:trHeight w:val="431"/>
        </w:trPr>
        <w:tc>
          <w:tcPr>
            <w:tcW w:w="4960" w:type="dxa"/>
            <w:vAlign w:val="bottom"/>
            <w:tcBorders>
              <w:bottom w:val="single" w:sz="8" w:color="auto"/>
            </w:tcBorders>
          </w:tcPr>
          <w:p>
            <w:pPr>
              <w:jc w:val="center"/>
              <w:ind w:left="791"/>
              <w:spacing w:after="0"/>
              <w:rPr>
                <w:sz w:val="20"/>
                <w:szCs w:val="20"/>
                <w:color w:val="auto"/>
              </w:rPr>
            </w:pPr>
            <w:r>
              <w:rPr>
                <w:rFonts w:ascii="Arial" w:cs="Arial" w:eastAsia="Arial" w:hAnsi="Arial"/>
                <w:sz w:val="18"/>
                <w:szCs w:val="18"/>
                <w:color w:val="auto"/>
                <w:w w:val="95"/>
              </w:rPr>
              <w:t>/s/ KEVIN P. MARCH</w:t>
            </w:r>
          </w:p>
        </w:tc>
        <w:tc>
          <w:tcPr>
            <w:tcW w:w="860" w:type="dxa"/>
            <w:vAlign w:val="bottom"/>
            <w:tcBorders>
              <w:bottom w:val="single" w:sz="8" w:color="auto"/>
            </w:tcBorders>
          </w:tcPr>
          <w:p>
            <w:pPr>
              <w:spacing w:after="0"/>
              <w:rPr>
                <w:sz w:val="24"/>
                <w:szCs w:val="24"/>
                <w:color w:val="auto"/>
              </w:rPr>
            </w:pPr>
          </w:p>
        </w:tc>
        <w:tc>
          <w:tcPr>
            <w:tcW w:w="4120" w:type="dxa"/>
            <w:vAlign w:val="bottom"/>
          </w:tcPr>
          <w:p>
            <w:pPr>
              <w:spacing w:after="0"/>
              <w:rPr>
                <w:sz w:val="24"/>
                <w:szCs w:val="24"/>
                <w:color w:val="auto"/>
              </w:rPr>
            </w:pPr>
          </w:p>
        </w:tc>
      </w:tr>
      <w:tr>
        <w:trPr>
          <w:trHeight w:val="209"/>
        </w:trPr>
        <w:tc>
          <w:tcPr>
            <w:tcW w:w="4960" w:type="dxa"/>
            <w:vAlign w:val="bottom"/>
          </w:tcPr>
          <w:p>
            <w:pPr>
              <w:jc w:val="center"/>
              <w:ind w:left="791"/>
              <w:spacing w:after="0"/>
              <w:rPr>
                <w:sz w:val="20"/>
                <w:szCs w:val="20"/>
                <w:color w:val="auto"/>
              </w:rPr>
            </w:pPr>
            <w:r>
              <w:rPr>
                <w:rFonts w:ascii="Arial" w:cs="Arial" w:eastAsia="Arial" w:hAnsi="Arial"/>
                <w:sz w:val="18"/>
                <w:szCs w:val="18"/>
                <w:color w:val="auto"/>
                <w:w w:val="91"/>
              </w:rPr>
              <w:t>Kevin P. March</w:t>
            </w:r>
          </w:p>
        </w:tc>
        <w:tc>
          <w:tcPr>
            <w:tcW w:w="860" w:type="dxa"/>
            <w:vAlign w:val="bottom"/>
          </w:tcPr>
          <w:p>
            <w:pPr>
              <w:spacing w:after="0"/>
              <w:rPr>
                <w:sz w:val="18"/>
                <w:szCs w:val="18"/>
                <w:color w:val="auto"/>
              </w:rPr>
            </w:pPr>
          </w:p>
        </w:tc>
        <w:tc>
          <w:tcPr>
            <w:tcW w:w="4120" w:type="dxa"/>
            <w:vAlign w:val="bottom"/>
          </w:tcPr>
          <w:p>
            <w:pPr>
              <w:jc w:val="center"/>
              <w:ind w:left="1631"/>
              <w:spacing w:after="0"/>
              <w:rPr>
                <w:sz w:val="20"/>
                <w:szCs w:val="20"/>
                <w:color w:val="auto"/>
              </w:rPr>
            </w:pPr>
            <w:r>
              <w:rPr>
                <w:rFonts w:ascii="Arial" w:cs="Arial" w:eastAsia="Arial" w:hAnsi="Arial"/>
                <w:sz w:val="18"/>
                <w:szCs w:val="18"/>
                <w:color w:val="auto"/>
                <w:w w:val="89"/>
              </w:rPr>
              <w:t>Senior Vice President;</w:t>
            </w:r>
          </w:p>
        </w:tc>
      </w:tr>
      <w:tr>
        <w:trPr>
          <w:trHeight w:val="216"/>
        </w:trPr>
        <w:tc>
          <w:tcPr>
            <w:tcW w:w="4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20" w:type="dxa"/>
            <w:vAlign w:val="bottom"/>
          </w:tcPr>
          <w:p>
            <w:pPr>
              <w:jc w:val="center"/>
              <w:ind w:left="1631"/>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4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120" w:type="dxa"/>
            <w:vAlign w:val="bottom"/>
          </w:tcPr>
          <w:p>
            <w:pPr>
              <w:jc w:val="center"/>
              <w:ind w:left="1631"/>
              <w:spacing w:after="0"/>
              <w:rPr>
                <w:sz w:val="20"/>
                <w:szCs w:val="20"/>
                <w:color w:val="auto"/>
              </w:rPr>
            </w:pPr>
            <w:r>
              <w:rPr>
                <w:rFonts w:ascii="Arial" w:cs="Arial" w:eastAsia="Arial" w:hAnsi="Arial"/>
                <w:sz w:val="18"/>
                <w:szCs w:val="18"/>
                <w:color w:val="auto"/>
                <w:w w:val="94"/>
              </w:rPr>
              <w:t>Chief Accounting Officer</w:t>
            </w:r>
          </w:p>
        </w:tc>
      </w:tr>
      <w:tr>
        <w:trPr>
          <w:trHeight w:val="378"/>
        </w:trPr>
        <w:tc>
          <w:tcPr>
            <w:tcW w:w="49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4120" w:type="dxa"/>
            <w:vAlign w:val="bottom"/>
          </w:tcPr>
          <w:p>
            <w:pPr>
              <w:spacing w:after="0"/>
              <w:rPr>
                <w:sz w:val="24"/>
                <w:szCs w:val="24"/>
                <w:color w:val="auto"/>
              </w:rPr>
            </w:pPr>
          </w:p>
        </w:tc>
      </w:tr>
    </w:tbl>
    <w:p>
      <w:pPr>
        <w:sectPr>
          <w:pgSz w:w="11900" w:h="16838" w:orient="portrait"/>
          <w:cols w:equalWidth="0" w:num="1">
            <w:col w:w="11380"/>
          </w:cols>
          <w:pgMar w:left="240" w:top="274" w:right="27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10960" w:type="dxa"/>
            <w:vAlign w:val="bottom"/>
            <w:gridSpan w:val="3"/>
          </w:tcPr>
          <w:p>
            <w:pPr>
              <w:ind w:left="4400"/>
              <w:spacing w:after="0"/>
              <w:rPr>
                <w:sz w:val="20"/>
                <w:szCs w:val="20"/>
                <w:color w:val="auto"/>
              </w:rPr>
            </w:pPr>
            <w:r>
              <w:rPr>
                <w:rFonts w:ascii="Arial" w:cs="Arial" w:eastAsia="Arial" w:hAnsi="Arial"/>
                <w:sz w:val="18"/>
                <w:szCs w:val="18"/>
                <w:color w:val="auto"/>
              </w:rPr>
              <w:t>INDEX TO EXHIBITS</w:t>
            </w:r>
          </w:p>
        </w:tc>
        <w:tc>
          <w:tcPr>
            <w:tcW w:w="0" w:type="dxa"/>
            <w:vAlign w:val="bottom"/>
          </w:tcPr>
          <w:p>
            <w:pPr>
              <w:spacing w:after="0"/>
              <w:rPr>
                <w:sz w:val="1"/>
                <w:szCs w:val="1"/>
                <w:color w:val="auto"/>
              </w:rPr>
            </w:pPr>
          </w:p>
        </w:tc>
      </w:tr>
      <w:tr>
        <w:trPr>
          <w:trHeight w:val="369"/>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580" w:type="dxa"/>
            <w:vAlign w:val="bottom"/>
            <w:vMerge w:val="restart"/>
          </w:tcPr>
          <w:p>
            <w:pPr>
              <w:spacing w:after="0"/>
              <w:rPr>
                <w:sz w:val="24"/>
                <w:szCs w:val="24"/>
                <w:color w:val="auto"/>
              </w:rPr>
            </w:pP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w:t>
            </w:r>
          </w:p>
        </w:tc>
        <w:tc>
          <w:tcPr>
            <w:tcW w:w="49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5580" w:type="dxa"/>
            <w:vAlign w:val="bottom"/>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4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ind w:left="100"/>
              <w:spacing w:after="0"/>
              <w:rPr>
                <w:sz w:val="20"/>
                <w:szCs w:val="20"/>
                <w:color w:val="auto"/>
              </w:rPr>
            </w:pPr>
            <w:r>
              <w:rPr>
                <w:rFonts w:ascii="Arial" w:cs="Arial" w:eastAsia="Arial" w:hAnsi="Arial"/>
                <w:sz w:val="18"/>
                <w:szCs w:val="18"/>
                <w:color w:val="auto"/>
              </w:rPr>
              <w:t>4(a)</w:t>
            </w: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w w:val="95"/>
              </w:rPr>
              <w:t>Restated Certificate of Incorporation of the Registrant, dated April 18, 1985 (incorporated by reference to Exhibit 3(a) of the Registrant’s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rPr>
              <w:t>Annual Report on Form 10-K for the year ended December 31, 2011).</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4(b)</w:t>
            </w: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w w:val="91"/>
              </w:rPr>
              <w:t>Certificate of Amendment to Restated Certificate of Incorporation of the Registrant, dated April 16, 1987 (incorporated by reference to Exhibit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rPr>
              <w:t>3(b) of the Registrant’s Annual Report on Form 10-K for the year ended December 31, 2011).</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4(c)</w:t>
            </w: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w w:val="91"/>
              </w:rPr>
              <w:t>Certificate of Amendment to Restated Certificate of Incorporation of the Registrant, dated April 21, 1988 (incorporated by reference to Exhibit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rPr>
              <w:t>3(c) of the Registrant’s Annual Report on Form 10-K for the year ended December 31, 2011).</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4(d)</w:t>
            </w: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w w:val="91"/>
              </w:rPr>
              <w:t>Certificate of Amendment to Restated Certificate of Incorporation of the Registrant, dated April 18, 1996 (incorporated by reference to Exhibit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rPr>
              <w:t>3(d) of the Registrant’s Annual Report on Form 10-K for the year ended December 31, 2011).</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4(e)</w:t>
            </w: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w w:val="94"/>
              </w:rPr>
              <w:t>Certificate of Ownership merging Texas Instruments Automation Controls, Inc. into the Registrant, dated March 28, 1988 (incorporated by</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rPr>
              <w:t>reference to Exhibit 3(e) of the Registrant’s Annual Report on Form 10-K for the year ended December 31, 2011).</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4(f)</w:t>
            </w: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w w:val="94"/>
              </w:rPr>
              <w:t>Certificate of Elimination of Designations of Preferred Stock of the Registrant, dated March 18, 1994 (incorporated by reference to Exhibit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rPr>
              <w:t>3(f) of the Registrant’s Annual Report on Form 10-K for the year ended December 31, 2011).</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4(g)</w:t>
            </w: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w w:val="92"/>
              </w:rPr>
              <w:t>Certificate of Ownership and Merger merging Tiburon Systems, Inc. into the Registrant, dated November 2, 1995 (incorporated by reference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rPr>
              <w:t>to Exhibit 3(g) of the Registrant’s Annual Report on Form 10-K for the year ended December 31, 2011).</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4(h)</w:t>
            </w: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w w:val="92"/>
              </w:rPr>
              <w:t>Certificate of Ownership and Merger merging Tartan, Inc. into the Registrant, dated June 21, 1995 (incorporated by reference to Exhibit 3(h)</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rPr>
              <w:t>of the Registrant’s Annual Report on Form 10-K for the year ended December 31, 2011).</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4(i)</w:t>
            </w: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w w:val="97"/>
              </w:rPr>
              <w:t>Certificate of Designation relating to the Registrant’s Participating Cumulative Preferred Stock, dated June 23, 1998 (incorporated by</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rPr>
              <w:t>reference to Exhibit 3(i) of the Registrant’s Annual Report on Form 10-K for the year ended December 31, 2011).</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4(j)</w:t>
            </w: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w w:val="93"/>
              </w:rPr>
              <w:t>Certificate of Elimination of Designation of Preferred Stock of the Registrant, dated June 18, 1998 (incorporated by reference to Exhibit 3(j)</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rPr>
              <w:t>of the Registrant’s Annual Report on Form 10-K for the year ended December 31, 2011).</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4(k)</w:t>
            </w: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w w:val="92"/>
              </w:rPr>
              <w:t>Certificate of Ownership and Merger merging Intersect Technologies, Inc. with and into the Registrant, dated July 15, 1999 (incorporated by</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rPr>
              <w:t>reference to Exhibit 3(k) of the Registrant’s Annual Report on Form 10-K for the year ended December 31, 2011).</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4(l)</w:t>
            </w: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w w:val="92"/>
              </w:rPr>
              <w:t>Certificate of Ownership and Merger merging Soft Warehouse, Inc. with and into the Registrant, dated September 23, 1999 (incorporated by</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rPr>
              <w:t>reference to Exhibit 3(l) of the Registrant’s Annual Report on Form 10-K for the year ended December 31, 2011).</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w w:val="91"/>
              </w:rPr>
              <w:t>4(m)</w:t>
            </w: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w w:val="92"/>
              </w:rPr>
              <w:t>Certificate of Ownership and Merger merging Silicon Systems, Inc. with and into the Registrant, dated December 17, 1999 (incorporated by</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rPr>
              <w:t>reference to Exhibit 3(m) of the Registrant’s Annual Report on Form 10-K for the year ended December 31, 2011).</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4(n)</w:t>
            </w: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w w:val="96"/>
              </w:rPr>
              <w:t>Certificate of Amendment to Restated Certificate of Incorporation, dated April 20, 2000 (incorporated by reference to Exhibit 3(n) of the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rPr>
              <w:t>Registrant’s Annual Report on Form 10-K for the year ended December 31, 2011).</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4(o)</w:t>
            </w: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w w:val="91"/>
              </w:rPr>
              <w:t>Certificate of Ownership and Merger merging Power Trends, Inc. with and into the Registrant, dated May 31, 2001 (incorporated by reference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rPr>
              <w:t>to Exhibit 3(o) of the Registrant’s Annual Report on Form 10-K for the year ended December 31, 2011).</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4(p)</w:t>
            </w: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w w:val="93"/>
              </w:rPr>
              <w:t>Certificate of Ownership and Merger merging Amati Communications Corporation with and into the Registrant, dated September 28, 2001</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w w:val="99"/>
              </w:rPr>
              <w:t>(incorporated by reference to Exhibit 3(p) of the Registrant’s Annual Report on Form 10-K for the year ended December 31, 2011).</w:t>
            </w:r>
          </w:p>
        </w:tc>
        <w:tc>
          <w:tcPr>
            <w:tcW w:w="0" w:type="dxa"/>
            <w:vAlign w:val="bottom"/>
          </w:tcPr>
          <w:p>
            <w:pPr>
              <w:spacing w:after="0"/>
              <w:rPr>
                <w:sz w:val="1"/>
                <w:szCs w:val="1"/>
                <w:color w:val="auto"/>
              </w:rPr>
            </w:pPr>
          </w:p>
        </w:tc>
      </w:tr>
      <w:tr>
        <w:trPr>
          <w:trHeight w:val="310"/>
        </w:trPr>
        <w:tc>
          <w:tcPr>
            <w:tcW w:w="460" w:type="dxa"/>
            <w:vAlign w:val="bottom"/>
          </w:tcPr>
          <w:p>
            <w:pPr>
              <w:ind w:left="100"/>
              <w:spacing w:after="0"/>
              <w:rPr>
                <w:sz w:val="20"/>
                <w:szCs w:val="20"/>
                <w:color w:val="auto"/>
              </w:rPr>
            </w:pPr>
            <w:r>
              <w:rPr>
                <w:rFonts w:ascii="Arial" w:cs="Arial" w:eastAsia="Arial" w:hAnsi="Arial"/>
                <w:sz w:val="18"/>
                <w:szCs w:val="18"/>
                <w:color w:val="auto"/>
              </w:rPr>
              <w:t>4(q)</w:t>
            </w: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w w:val="91"/>
              </w:rPr>
              <w:t>Certificate of Ownership and Merger merging Texas Instruments San Diego Incorporated with and into the Registrant, dated August 27, 2002</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60" w:type="dxa"/>
            <w:vAlign w:val="bottom"/>
            <w:gridSpan w:val="3"/>
          </w:tcPr>
          <w:p>
            <w:pPr>
              <w:ind w:left="660"/>
              <w:spacing w:after="0"/>
              <w:rPr>
                <w:sz w:val="20"/>
                <w:szCs w:val="20"/>
                <w:color w:val="auto"/>
              </w:rPr>
            </w:pPr>
            <w:r>
              <w:rPr>
                <w:rFonts w:ascii="Arial" w:cs="Arial" w:eastAsia="Arial" w:hAnsi="Arial"/>
                <w:sz w:val="18"/>
                <w:szCs w:val="18"/>
                <w:color w:val="auto"/>
                <w:w w:val="99"/>
              </w:rPr>
              <w:t>(incorporated by reference to Exhibit 3(q) of the Registrant’s Annual Report on Form 10-K for the year ended December 31, 2011).</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5580" w:type="dxa"/>
            <w:vAlign w:val="bottom"/>
          </w:tcPr>
          <w:p>
            <w:pPr>
              <w:ind w:left="520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ind w:left="720" w:right="220" w:hanging="619"/>
        <w:spacing w:after="0" w:line="308" w:lineRule="auto"/>
        <w:tabs>
          <w:tab w:leader="none" w:pos="70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4(r)</w:t>
      </w:r>
      <w:r>
        <w:rPr>
          <w:sz w:val="20"/>
          <w:szCs w:val="20"/>
          <w:color w:val="auto"/>
        </w:rPr>
        <w:tab/>
      </w:r>
      <w:r>
        <w:rPr>
          <w:rFonts w:ascii="Arial" w:cs="Arial" w:eastAsia="Arial" w:hAnsi="Arial"/>
          <w:sz w:val="17"/>
          <w:szCs w:val="17"/>
          <w:color w:val="auto"/>
        </w:rPr>
        <w:t>Certificate of Ownership and Merger merging Texas Instruments Burlington Incorporated with and into the Registrant, dated December 31, 2003 (incorporated by reference to Exhibit 3(r) of the Registrant’s Annual Report on Form 10-K for the year ended December 31, 2011).</w:t>
      </w:r>
    </w:p>
    <w:p>
      <w:pPr>
        <w:spacing w:after="0" w:line="38" w:lineRule="exact"/>
        <w:rPr>
          <w:sz w:val="20"/>
          <w:szCs w:val="20"/>
          <w:color w:val="auto"/>
        </w:rPr>
      </w:pPr>
    </w:p>
    <w:p>
      <w:pPr>
        <w:ind w:left="720" w:hanging="619"/>
        <w:spacing w:after="0" w:line="264" w:lineRule="auto"/>
        <w:tabs>
          <w:tab w:leader="none" w:pos="700" w:val="left"/>
        </w:tabs>
        <w:rPr>
          <w:sz w:val="20"/>
          <w:szCs w:val="20"/>
          <w:color w:val="auto"/>
        </w:rPr>
      </w:pPr>
      <w:r>
        <w:rPr>
          <w:rFonts w:ascii="Arial" w:cs="Arial" w:eastAsia="Arial" w:hAnsi="Arial"/>
          <w:sz w:val="18"/>
          <w:szCs w:val="18"/>
          <w:color w:val="auto"/>
        </w:rPr>
        <w:t>4(s)</w:t>
      </w:r>
      <w:r>
        <w:rPr>
          <w:sz w:val="20"/>
          <w:szCs w:val="20"/>
          <w:color w:val="auto"/>
        </w:rPr>
        <w:tab/>
      </w:r>
      <w:r>
        <w:rPr>
          <w:rFonts w:ascii="Arial" w:cs="Arial" w:eastAsia="Arial" w:hAnsi="Arial"/>
          <w:sz w:val="18"/>
          <w:szCs w:val="18"/>
          <w:color w:val="auto"/>
        </w:rPr>
        <w:t>Certificate of Ownership and Merger merging Texas Instruments Automotive Sensors and Controls San Jose Inc. with and into the Registrant, dated October 31, 2004 (incorporated by reference to Exhibit 3(s) of the Registrant’s Annual Report on Form 10-K for the year ended December 31, 2011).</w:t>
      </w:r>
    </w:p>
    <w:p>
      <w:pPr>
        <w:spacing w:after="0" w:line="73" w:lineRule="exact"/>
        <w:rPr>
          <w:sz w:val="20"/>
          <w:szCs w:val="20"/>
          <w:color w:val="auto"/>
        </w:rPr>
      </w:pPr>
    </w:p>
    <w:p>
      <w:pPr>
        <w:ind w:left="720" w:right="140" w:hanging="619"/>
        <w:spacing w:after="0" w:line="277" w:lineRule="auto"/>
        <w:tabs>
          <w:tab w:leader="none" w:pos="700" w:val="left"/>
        </w:tabs>
        <w:rPr>
          <w:sz w:val="20"/>
          <w:szCs w:val="20"/>
          <w:color w:val="auto"/>
        </w:rPr>
      </w:pPr>
      <w:r>
        <w:rPr>
          <w:rFonts w:ascii="Arial" w:cs="Arial" w:eastAsia="Arial" w:hAnsi="Arial"/>
          <w:sz w:val="18"/>
          <w:szCs w:val="18"/>
          <w:color w:val="auto"/>
        </w:rPr>
        <w:t>4(t)</w:t>
      </w:r>
      <w:r>
        <w:rPr>
          <w:sz w:val="20"/>
          <w:szCs w:val="20"/>
          <w:color w:val="auto"/>
        </w:rPr>
        <w:tab/>
      </w:r>
      <w:r>
        <w:rPr>
          <w:rFonts w:ascii="Arial" w:cs="Arial" w:eastAsia="Arial" w:hAnsi="Arial"/>
          <w:sz w:val="18"/>
          <w:szCs w:val="18"/>
          <w:color w:val="auto"/>
        </w:rPr>
        <w:t>Certificate of Elimination of Series B Participating Cumulative Preferred Stock (incorporated by reference to Exhibit 3 to the Registrant’s Current Report on Form 8-K filed June 23, 2008).</w:t>
      </w:r>
    </w:p>
    <w:p>
      <w:pPr>
        <w:spacing w:after="0" w:line="62"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8"/>
          <w:szCs w:val="18"/>
          <w:color w:val="auto"/>
        </w:rPr>
        <w:t>4(u)</w:t>
      </w:r>
      <w:r>
        <w:rPr>
          <w:sz w:val="20"/>
          <w:szCs w:val="20"/>
          <w:color w:val="auto"/>
        </w:rPr>
        <w:tab/>
      </w:r>
      <w:r>
        <w:rPr>
          <w:rFonts w:ascii="Arial" w:cs="Arial" w:eastAsia="Arial" w:hAnsi="Arial"/>
          <w:sz w:val="18"/>
          <w:szCs w:val="18"/>
          <w:color w:val="auto"/>
        </w:rPr>
        <w:t>By-Laws of the Registrant (incorporated by reference to Exhibit 3 to the Registrant’s Current Report on Form 8-K filed July 18, 2008).</w:t>
      </w:r>
    </w:p>
    <w:p>
      <w:pPr>
        <w:spacing w:after="0" w:line="117" w:lineRule="exact"/>
        <w:rPr>
          <w:sz w:val="20"/>
          <w:szCs w:val="20"/>
          <w:color w:val="auto"/>
        </w:rPr>
      </w:pPr>
    </w:p>
    <w:p>
      <w:pPr>
        <w:ind w:right="6940" w:firstLine="98"/>
        <w:spacing w:after="0" w:line="422" w:lineRule="auto"/>
        <w:tabs>
          <w:tab w:leader="none" w:pos="716" w:val="left"/>
        </w:tabs>
        <w:numPr>
          <w:ilvl w:val="0"/>
          <w:numId w:val="6"/>
        </w:numPr>
        <w:rPr>
          <w:rFonts w:ascii="Arial" w:cs="Arial" w:eastAsia="Arial" w:hAnsi="Arial"/>
          <w:sz w:val="16"/>
          <w:szCs w:val="16"/>
          <w:color w:val="auto"/>
        </w:rPr>
      </w:pPr>
      <w:r>
        <w:rPr>
          <w:rFonts w:ascii="Arial" w:cs="Arial" w:eastAsia="Arial" w:hAnsi="Arial"/>
          <w:sz w:val="16"/>
          <w:szCs w:val="16"/>
          <w:color w:val="auto"/>
        </w:rPr>
        <w:t>Opinion of Joseph F. Hubach, Esq. (filed herewith). 23(a) Consent of Ernst &amp; Young LLP. (filed herewith).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23(b)    Consent of Joseph F. Hubach, Esq. (included in Exhibit 5).</w:t>
      </w:r>
    </w:p>
    <w:p>
      <w:pPr>
        <w:spacing w:after="0" w:line="11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24</w:t>
      </w:r>
      <w:r>
        <w:rPr>
          <w:rFonts w:ascii="Arial" w:cs="Arial" w:eastAsia="Arial" w:hAnsi="Arial"/>
          <w:sz w:val="16"/>
          <w:szCs w:val="16"/>
          <w:color w:val="auto"/>
        </w:rPr>
        <w:t>Power of Attorney (included on signature pages) (filed herewith).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382" w:right="27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u w:val="single" w:color="auto"/>
          <w:color w:val="auto"/>
        </w:rPr>
        <w:t>Exhibit 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29,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Texas Instruments Incorporated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Registration Statement (Form S-8)</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opinion of counsel is given in connection with a Registration Statement (Form S-8) being filed by you with the Securities and Exchange Commission relating to 50,000,000 shares of common stock of Texas Instruments Incorporated (“TI”) to be issued under the TI 401(k) Savings Plan and the TI Contribution and 401(k) Savings Plan (the “Plans”).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Senior Vice President, Secretary and General Counsel of TI, I am familiar with all corporate action taken or expected to be taken with respect to the Plans and the common stock expected to be issued thereunder.</w:t>
      </w:r>
    </w:p>
    <w:p>
      <w:pPr>
        <w:spacing w:after="0" w:line="17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 am pleased to advise that the 50,000,000 shares of common stock of TI have been duly authorized and, when issued and delivered in accordance with the terms of the Plans and applicable Delaware General Corporation Law, will be validly issued, fully paid and nonassessable.</w:t>
      </w:r>
    </w:p>
    <w:p>
      <w:pPr>
        <w:spacing w:after="0" w:line="14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opinion expressed herein is limited to the General Corporation Law of the State of Delaware, including the applicable provisions of the Delaware Constitution and the reported judicial decisions interpreting such law, in each case as currently in effect, and I express no opinion as to the effect of the laws of any other jurisdiction.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hereby consent to the use of this opinion as an exhibit to the above-referenced Registration Statement.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F. Hubach</w:t>
      </w:r>
    </w:p>
    <w:p>
      <w:pPr>
        <w:sectPr>
          <w:pgSz w:w="11900" w:h="16838" w:orient="portrait"/>
          <w:cols w:equalWidth="0" w:num="1">
            <w:col w:w="11420"/>
          </w:cols>
          <w:pgMar w:left="240" w:top="12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u w:val="single" w:color="auto"/>
          <w:color w:val="auto"/>
        </w:rPr>
        <w:t>Exhibit 23(a)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TI 401(k) Savings Plan and the TI Contribution and 401(k) Savings Plan of our reports: (a) dated February 24, 2014, with respect to the consolidated financial statements of Texas Instruments Incorporated and the effectiveness of internal control over financial reporting of Texas Instruments Incorporated, incorporated by reference in its Annual Report (Form 10-K);</w:t>
      </w: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dated June 24, 2014 with respect to the financial statements and schedule of the TI 401(k) Savings Plan included in its Annual Report (Form 11-K); and</w:t>
      </w:r>
    </w:p>
    <w:p>
      <w:pPr>
        <w:spacing w:after="0" w:line="32" w:lineRule="exact"/>
        <w:rPr>
          <w:rFonts w:ascii="Arial" w:cs="Arial" w:eastAsia="Arial" w:hAnsi="Arial"/>
          <w:sz w:val="16"/>
          <w:szCs w:val="16"/>
          <w:color w:val="auto"/>
        </w:rPr>
      </w:pPr>
    </w:p>
    <w:p>
      <w:pPr>
        <w:ind w:right="280" w:firstLine="8"/>
        <w:spacing w:after="0" w:line="261"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dated June 24, 2014 with respect to the financial statements and schedule of the TI Contribution and 401(k) Savings Plan included in its Annual Report (Form 11-K), all for the year ended December 31, 2013, filed with the Securities and Exchange Commission.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
    </w:lvl>
    <w:lvl w:ilvl="1">
      <w:lvlJc w:val="left"/>
      <w:lvlText w:val="(%2)"/>
      <w:numFmt w:val="lowerRoman"/>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5"/>
      <w:numFmt w:val="bullet"/>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2019-12-05T15:22:02Z</dcterms:created>
  <dcterms:modified xsi:type="dcterms:W3CDTF">2019-12-05T15:22:02Z</dcterms:modified>
</cp:coreProperties>
</file>