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23,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Registrant’s news release dated April 23, 2012, regarding its first-quarter 2012 results of operations and financial condition is attached hereto as Exhibit 99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380"/>
          </w:cols>
          <w:pgMar w:left="240" w:top="274" w:right="279" w:bottom="139" w:gutter="0" w:footer="0" w:header="0"/>
        </w:sectPr>
      </w:pPr>
    </w:p>
    <w:p>
      <w:pPr>
        <w:spacing w:after="0" w:line="225"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Designation</w:t>
      </w:r>
    </w:p>
    <w:p>
      <w:pPr>
        <w:spacing w:after="0" w:line="4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119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58489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1480" w:space="720"/>
            <w:col w:w="9180"/>
          </w:cols>
          <w:pgMar w:left="240" w:top="274" w:right="279" w:bottom="139" w:gutter="0" w:footer="0" w:header="0"/>
          <w:type w:val="continuous"/>
        </w:sectPr>
      </w:pPr>
    </w:p>
    <w:p>
      <w:pPr>
        <w:ind w:left="2200" w:hanging="1249"/>
        <w:spacing w:after="0"/>
        <w:tabs>
          <w:tab w:leader="none" w:pos="2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Dated April 23, 2012 (furnished pursuant to Item 2.02)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820" w:hanging="461"/>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820" w:right="240" w:hanging="461"/>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820" w:right="540" w:hanging="461"/>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820" w:hanging="461"/>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820" w:right="200" w:hanging="461"/>
        <w:spacing w:after="0" w:line="28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820" w:hanging="461"/>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820" w:right="180" w:hanging="461"/>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 and</w:t>
      </w:r>
    </w:p>
    <w:p>
      <w:pPr>
        <w:spacing w:after="0" w:line="9" w:lineRule="exact"/>
        <w:rPr>
          <w:rFonts w:ascii="Arial" w:cs="Arial" w:eastAsia="Arial" w:hAnsi="Arial"/>
          <w:sz w:val="18"/>
          <w:szCs w:val="18"/>
          <w:color w:val="auto"/>
        </w:rPr>
      </w:pPr>
    </w:p>
    <w:p>
      <w:pPr>
        <w:ind w:left="820" w:right="120" w:hanging="461"/>
        <w:spacing w:after="0" w:line="26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w:t>
      </w:r>
    </w:p>
    <w:p>
      <w:pPr>
        <w:spacing w:after="0" w:line="21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report on Form 8-K are made only as of the date of this report and TI undertakes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April 23,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80"/>
          </w:cols>
          <w:pgMar w:left="240" w:top="274" w:right="279" w:bottom="139"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1Q12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DALLAS (April 23, 2012) – Texas Instruments Incorporated (TI) (NASDAQ: TXN) today announced first-quarter revenue of $3.12 billion, net income of $265 million and earnings per share of 22 cents. EPS includes 10 cents of charges associated with the company’s acquisition of National Semiconductor and restructuring.</w:t>
      </w:r>
    </w:p>
    <w:p>
      <w:pPr>
        <w:spacing w:after="0" w:line="20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we expected, our business cycle bottomed in the first quarter, and early signs of growth began to emerge,” said Rich Templeton, TI’s chairman, president and CEO. “Orders were up 13 percent, and backlog is growing again. Particularly encouraging is the breadth of increased orders across geographical regions and markets, including the industrial sector.</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“Sales in our Analog segment were about level with the prior quarter. We continue to make progress with Silicon Valley Analog, formerly National Semiconductor, as this product line gains traction with customers and holds a strong position in the important industrial market. Sales in Embedded Processing were up 7 percent led by growth in the automotive and communications infrastructure markets. Sales in our Wireless segment declined sharply as we entered the final phase of our exit from baseband products, which were less than 3 percent of total sales in the quarter. We are expanding the reach of our Wireless segment into multiple markets and experiencing strong diversity in our design-ins.</w:t>
      </w:r>
    </w:p>
    <w:p>
      <w:pPr>
        <w:spacing w:after="0" w:line="21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“We’re poised for growth and share gains as markets rebound. Our product portfolio is strong, and our design position with customers is excellent. Our inventory is well-staged, and production in our factories is ramping. Our teams are confident and hungry, and we expect 2012 to be a good year for growth.”</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1Q12 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1Q12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1Q11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Change</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4Q11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3,121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3,392</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3,420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Cash flow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516</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acquisition-related charges associated with TI’s September 2011 acquisition of National Semiconductor are $174 million in the first quarter. These charges include $21 million in cost of revenue associated with the contract termination of a distributor. The remainder, $153 million, includes amortization of intangibles, retention bonuses and other items. Results also include $10 million of restructuring charges associated with the planned closings of two older factories announced in January 2012.</w:t>
      </w:r>
    </w:p>
    <w:p>
      <w:pPr>
        <w:spacing w:after="0" w:line="21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Revenue in the quarter includes insurance proceeds of about $65 million related to interruption of TI’s business operations as a result of the 2011 Japan earthquake.</w:t>
      </w:r>
    </w:p>
    <w:p>
      <w:pPr>
        <w:spacing w:after="0" w:line="19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Compared with a year ago, lower gross profit in the quarter primarily reflects lower revenue. Compared with the fourth quarter, lower gross profit reflects lower revenue, which was partially offset by lower charges to cost of revenue related to the National acquisition and an increase in insurance proceeds.</w:t>
      </w:r>
    </w:p>
    <w:p>
      <w:pPr>
        <w:spacing w:after="0" w:line="15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Operating profit declined from a year ago primarily due to lower gross profit, total acquisition-related charges and higher operating expenses due to the inclusion of Silicon Valley Analog. Compared with the prior quarter, operating profit was higher primarily due to lower restructuring charges and lower total acquisition-related charges.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1Q12 segment results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1Q12</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1Q11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Change</w:t>
            </w:r>
          </w:p>
        </w:tc>
        <w:tc>
          <w:tcPr>
            <w:tcW w:w="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4Q11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Change</w:t>
            </w:r>
          </w:p>
        </w:tc>
      </w:tr>
      <w:tr>
        <w:trPr>
          <w:trHeight w:val="216"/>
        </w:trPr>
        <w:tc>
          <w:tcPr>
            <w:tcW w:w="20" w:type="dxa"/>
            <w:vAlign w:val="bottom"/>
          </w:tcPr>
          <w:p>
            <w:pPr>
              <w:spacing w:after="0"/>
              <w:rPr>
                <w:sz w:val="18"/>
                <w:szCs w:val="18"/>
                <w:color w:val="auto"/>
              </w:rPr>
            </w:pPr>
          </w:p>
        </w:tc>
        <w:tc>
          <w:tcPr>
            <w:tcW w:w="4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Analog:</w:t>
            </w: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418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Embedded Processing:</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533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Wireless: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665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561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ind w:right="180" w:firstLine="8"/>
        <w:spacing w:after="0" w:line="264"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total acquisition-related charges of $174 million and restructuring charges of $10 million in the first quarter of 2012, total acquisition-related charges of $256 million and restructuring charges of $112 million in the fourth quarter of 2011 and total acquisition-related charges of $2 million in the first quarter of 2011.</w:t>
      </w:r>
    </w:p>
    <w:p>
      <w:pPr>
        <w:sectPr>
          <w:pgSz w:w="11900" w:h="16838" w:orient="portrait"/>
          <w:cols w:equalWidth="0" w:num="1">
            <w:col w:w="11420"/>
          </w:cols>
          <w:pgMar w:left="240" w:top="118"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27" w:lineRule="exact"/>
        <w:rPr>
          <w:sz w:val="20"/>
          <w:szCs w:val="20"/>
          <w:color w:val="auto"/>
        </w:rPr>
      </w:pPr>
    </w:p>
    <w:p>
      <w:pPr>
        <w:ind w:left="340" w:right="2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year-ago quarter, revenue increased due to the inclusion of Silicon Valley Analog revenue. Revenue from High Performance Analog, High Volume Analog &amp; Logic and Power Management declined.</w:t>
      </w:r>
    </w:p>
    <w:p>
      <w:pPr>
        <w:ind w:left="34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prior quarter, revenue was about even as growth in Silicon Valley Analog revenue was offset by a decline in High Volume Analog &amp; Logic revenue. Power Management and High Performance Analog were about even.</w:t>
      </w:r>
    </w:p>
    <w:p>
      <w:pPr>
        <w:ind w:left="340" w:hanging="228"/>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decreased from the year-ago quarter due to higher operating expenses that resulted from the inclusion of Silicon Valley Analog. Operating profit decreased from the prior quarter primarily due to lower gross profit.</w:t>
      </w:r>
    </w:p>
    <w:p>
      <w:pPr>
        <w:spacing w:after="0" w:line="20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digital signal processor and microcontroller catalog products that are sold across a wide variety of markets as well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application-specific products that are used in communications infrastructure and automotive electronics)</w:t>
      </w:r>
    </w:p>
    <w:p>
      <w:pPr>
        <w:ind w:left="34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year-ago quarter, the decline in revenue was due to lower revenue from products sold into communications infrastructure and from catalog products. Revenue from products sold into automotive applications increased.</w:t>
      </w:r>
    </w:p>
    <w:p>
      <w:pPr>
        <w:ind w:left="34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prior quarter, the increase in revenue was due to higher revenue from products sold into automotive applications and communications infrastructure. Revenue from catalog products was about even.</w:t>
      </w:r>
    </w:p>
    <w:p>
      <w:pPr>
        <w:ind w:left="340" w:hanging="228"/>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decreased from a year ago primarily due to lower gross profit. Operating profit increased from the prior quarter due to higher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Wireless: </w:t>
      </w:r>
      <w:r>
        <w:rPr>
          <w:rFonts w:ascii="Arial" w:cs="Arial" w:eastAsia="Arial" w:hAnsi="Arial"/>
          <w:sz w:val="18"/>
          <w:szCs w:val="18"/>
          <w:i w:val="1"/>
          <w:iCs w:val="1"/>
          <w:color w:val="auto"/>
        </w:rPr>
        <w:t>(includes OMAP</w:t>
      </w:r>
      <w:r>
        <w:rPr>
          <w:rFonts w:ascii="Arial" w:cs="Arial" w:eastAsia="Arial" w:hAnsi="Arial"/>
          <w:sz w:val="25"/>
          <w:szCs w:val="25"/>
          <w:i w:val="1"/>
          <w:i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 processors, connectivity products and baseband products)</w:t>
      </w:r>
    </w:p>
    <w:p>
      <w:pPr>
        <w:ind w:left="340" w:hanging="228"/>
        <w:spacing w:after="0" w:line="24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year-ago quarter, revenue declined primarily due to baseband products. Revenue from connectivity products also declined while revenue from OMAP applications processors increased.</w:t>
      </w: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prior quarter, revenue decreased primarily due to baseband products. Revenue from OMAP applications processors and connectivity products also declined.</w:t>
      </w: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decreased from the year-ago and prior quarters due to lower gross profit.</w:t>
      </w:r>
    </w:p>
    <w:p>
      <w:pPr>
        <w:spacing w:after="0" w:line="234" w:lineRule="exact"/>
        <w:rPr>
          <w:sz w:val="20"/>
          <w:szCs w:val="20"/>
          <w:color w:val="auto"/>
        </w:rPr>
      </w:pPr>
    </w:p>
    <w:p>
      <w:pPr>
        <w:ind w:right="120"/>
        <w:spacing w:after="0" w:line="21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and royalties as well as products sold under transitional supply agreements associated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with recently acquired factories)</w:t>
      </w:r>
    </w:p>
    <w:p>
      <w:pPr>
        <w:spacing w:after="0" w:line="1" w:lineRule="exact"/>
        <w:rPr>
          <w:sz w:val="20"/>
          <w:szCs w:val="20"/>
          <w:color w:val="auto"/>
        </w:rPr>
      </w:pPr>
    </w:p>
    <w:p>
      <w:pPr>
        <w:ind w:left="340" w:hanging="228"/>
        <w:spacing w:after="0" w:line="26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Compared with the year-ago quarter, revenue was down due to lower demand for DLP products and expiration of transitional supply agreements. The first quarter’s results also included proceeds of about $65 million from business interruption insurance related to the 2011 Japan earthquake.</w:t>
      </w:r>
    </w:p>
    <w:p>
      <w:pPr>
        <w:ind w:left="340" w:hanging="228"/>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Compared with the prior quarter, revenue was up primarily due to the insurance proceeds.</w:t>
      </w:r>
    </w:p>
    <w:p>
      <w:pPr>
        <w:spacing w:after="0" w:line="9" w:lineRule="exact"/>
        <w:rPr>
          <w:rFonts w:ascii="Arial" w:cs="Arial" w:eastAsia="Arial" w:hAnsi="Arial"/>
          <w:sz w:val="18"/>
          <w:szCs w:val="18"/>
          <w:color w:val="auto"/>
        </w:rPr>
      </w:pPr>
    </w:p>
    <w:p>
      <w:pPr>
        <w:ind w:left="340" w:hanging="228"/>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 decreased from a year ago primarily due to total acquisition-related charges. Operating profit increased from the prior quarter primarily due to lower restructuring charges and lower total acquisition-related charges.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1Q12 additional financial information</w:t>
      </w:r>
    </w:p>
    <w:p>
      <w:pPr>
        <w:spacing w:after="0" w:line="256" w:lineRule="exact"/>
        <w:rPr>
          <w:sz w:val="20"/>
          <w:szCs w:val="20"/>
          <w:color w:val="auto"/>
        </w:rPr>
      </w:pPr>
    </w:p>
    <w:p>
      <w:pPr>
        <w:ind w:left="340" w:hanging="22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Orders were $3.24 billion, down 9 percent from the year-ago quarter and up 13 percent from the prior quarter.</w:t>
      </w:r>
    </w:p>
    <w:p>
      <w:pPr>
        <w:spacing w:after="0" w:line="23" w:lineRule="exact"/>
        <w:rPr>
          <w:rFonts w:ascii="Arial" w:cs="Arial" w:eastAsia="Arial" w:hAnsi="Arial"/>
          <w:sz w:val="18"/>
          <w:szCs w:val="18"/>
          <w:color w:val="auto"/>
        </w:rPr>
      </w:pPr>
    </w:p>
    <w:p>
      <w:pPr>
        <w:ind w:left="340" w:hanging="228"/>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was $1.85 billion at the end of the quarter, up $175 million from a year ago and $65 million from the prior quarter. The increase was due to the company building inventory to support higher anticipated demand in future quarters.</w:t>
      </w:r>
    </w:p>
    <w:p>
      <w:pPr>
        <w:ind w:left="340" w:hanging="228"/>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were $103 million in the quarter compared with $194 million a year ago and $152 million in the prior quarter. Capital expenditures in the quarter were primarily for assembly/test and wafer manufacturing equipment.</w:t>
      </w:r>
    </w:p>
    <w:p>
      <w:pPr>
        <w:ind w:left="340" w:hanging="228"/>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used $300 million to repay its commercial paper borrowings, reducing the outstanding commercial paper obligation to $700 million.</w:t>
      </w:r>
    </w:p>
    <w:p>
      <w:pPr>
        <w:spacing w:after="0" w:line="20" w:lineRule="exact"/>
        <w:rPr>
          <w:rFonts w:ascii="Arial" w:cs="Arial" w:eastAsia="Arial" w:hAnsi="Arial"/>
          <w:sz w:val="17"/>
          <w:szCs w:val="17"/>
          <w:color w:val="auto"/>
        </w:rPr>
      </w:pPr>
    </w:p>
    <w:p>
      <w:pPr>
        <w:ind w:left="340" w:hanging="22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used $300 million in the quarter to repurchase 9.1 million shares of its common stock and paid dividends of $195 million.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of 2012, TI expects:</w:t>
      </w:r>
    </w:p>
    <w:p>
      <w:pPr>
        <w:spacing w:after="0" w:line="252" w:lineRule="exact"/>
        <w:rPr>
          <w:sz w:val="20"/>
          <w:szCs w:val="20"/>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$3.22 – 3.48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per share: $0.30 – 0.38</w:t>
      </w:r>
    </w:p>
    <w:p>
      <w:pPr>
        <w:spacing w:after="0" w:line="238" w:lineRule="exact"/>
        <w:rPr>
          <w:sz w:val="20"/>
          <w:szCs w:val="20"/>
          <w:color w:val="auto"/>
        </w:rPr>
      </w:pPr>
    </w:p>
    <w:p>
      <w:pPr>
        <w:ind w:right="1380"/>
        <w:spacing w:after="0" w:line="277" w:lineRule="auto"/>
        <w:rPr>
          <w:sz w:val="20"/>
          <w:szCs w:val="20"/>
          <w:color w:val="auto"/>
        </w:rPr>
      </w:pPr>
      <w:r>
        <w:rPr>
          <w:rFonts w:ascii="Arial" w:cs="Arial" w:eastAsia="Arial" w:hAnsi="Arial"/>
          <w:sz w:val="18"/>
          <w:szCs w:val="18"/>
          <w:color w:val="auto"/>
        </w:rPr>
        <w:t>The second quarter’s results will be negatively affected by about $100 million of acquisition charges and about $10 million of restructuring charges. Combined, these items will impact EPS by about 6 cents.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second-quarter outlook on June 11,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2012, TI continues to expect approximately the following:</w:t>
      </w:r>
    </w:p>
    <w:p>
      <w:pPr>
        <w:spacing w:after="0" w:line="252" w:lineRule="exact"/>
        <w:rPr>
          <w:sz w:val="20"/>
          <w:szCs w:val="20"/>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R&amp;D expense: $2.0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 $0.7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$1.0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effective tax rate: 28%</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tax rate estimate is based on current tax law and does not assume reinstatement of the federal R&amp;D tax credit, which expired at the end of 2011.</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840" w:type="dxa"/>
            <w:vAlign w:val="bottom"/>
            <w:tcBorders>
              <w:bottom w:val="single" w:sz="8" w:color="auto"/>
            </w:tcBorders>
            <w:gridSpan w:val="6"/>
            <w:shd w:val="clear" w:color="auto" w:fill="CCEEFF"/>
          </w:tcPr>
          <w:p>
            <w:pPr>
              <w:jc w:val="center"/>
              <w:ind w:left="710"/>
              <w:spacing w:after="0"/>
              <w:rPr>
                <w:sz w:val="20"/>
                <w:szCs w:val="20"/>
                <w:color w:val="auto"/>
              </w:rPr>
            </w:pPr>
            <w:r>
              <w:rPr>
                <w:rFonts w:ascii="Arial" w:cs="Arial" w:eastAsia="Arial" w:hAnsi="Arial"/>
                <w:sz w:val="18"/>
                <w:szCs w:val="18"/>
                <w:b w:val="1"/>
                <w:bCs w:val="1"/>
                <w:color w:val="auto"/>
                <w:w w:val="92"/>
              </w:rPr>
              <w:t>For Three Months Ended</w:t>
            </w: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460"/>
              <w:spacing w:after="0" w:line="198" w:lineRule="exact"/>
              <w:rPr>
                <w:sz w:val="20"/>
                <w:szCs w:val="20"/>
                <w:color w:val="auto"/>
              </w:rPr>
            </w:pPr>
            <w:r>
              <w:rPr>
                <w:rFonts w:ascii="Arial" w:cs="Arial" w:eastAsia="Arial" w:hAnsi="Arial"/>
                <w:sz w:val="18"/>
                <w:szCs w:val="18"/>
                <w:b w:val="1"/>
                <w:bCs w:val="1"/>
                <w:color w:val="auto"/>
                <w:w w:val="95"/>
              </w:rPr>
              <w:t>Mar. 31,</w:t>
            </w:r>
          </w:p>
        </w:tc>
        <w:tc>
          <w:tcPr>
            <w:tcW w:w="16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center"/>
              <w:ind w:right="440"/>
              <w:spacing w:after="0" w:line="198" w:lineRule="exact"/>
              <w:rPr>
                <w:sz w:val="20"/>
                <w:szCs w:val="20"/>
                <w:color w:val="auto"/>
              </w:rPr>
            </w:pPr>
            <w:r>
              <w:rPr>
                <w:rFonts w:ascii="Arial" w:cs="Arial" w:eastAsia="Arial" w:hAnsi="Arial"/>
                <w:sz w:val="18"/>
                <w:szCs w:val="18"/>
                <w:b w:val="1"/>
                <w:bCs w:val="1"/>
                <w:color w:val="auto"/>
                <w:w w:val="95"/>
              </w:rPr>
              <w:t>Mar. 31,</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198" w:lineRule="exact"/>
              <w:rPr>
                <w:sz w:val="20"/>
                <w:szCs w:val="20"/>
                <w:color w:val="auto"/>
              </w:rPr>
            </w:pPr>
            <w:r>
              <w:rPr>
                <w:rFonts w:ascii="Arial" w:cs="Arial" w:eastAsia="Arial" w:hAnsi="Arial"/>
                <w:sz w:val="18"/>
                <w:szCs w:val="18"/>
                <w:b w:val="1"/>
                <w:bCs w:val="1"/>
                <w:color w:val="auto"/>
                <w:w w:val="96"/>
              </w:rPr>
              <w:t>Dec.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84"/>
              </w:rPr>
              <w:t>2011</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3,121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1,590</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1,664</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1,531</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509</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462</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153</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397</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21</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362</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97</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1,143</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1,167</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1,165</w:t>
            </w:r>
          </w:p>
        </w:tc>
        <w:tc>
          <w:tcPr>
            <w:tcW w:w="16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1,194</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49.0%</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16.3%</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SG&amp;A</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14.8%</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12.7%</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is $4 million, $10 million and $5 million for the quarters ending March 31, 2012, March 31, 2011 and December 31, 2011.</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Mar. 31,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5"/>
              </w:rPr>
              <w:t>Mar. 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6"/>
              </w:rPr>
              <w:t>Dec.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1,343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($32), ($20) and ($19)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6,840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(2,562)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20,009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13,310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Commercial paper borrowings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700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None issued.</w:t>
            </w:r>
          </w:p>
        </w:tc>
        <w:tc>
          <w:tcPr>
            <w:tcW w:w="1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Mar. 31, 2012 –</w:t>
            </w: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1,740,814,489; Mar. 31, 2011 – 1,740,394,740; Dec. 31, 2011 – 1,740,630,391</w:t>
            </w: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26,345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25,206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26,278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Mar. 31, 2012 – 596,461,198; Mar. 31, 2011 –</w:t>
            </w: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(17,385)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579,225,953; Dec. 31, 2011 – 601,131,631</w:t>
            </w:r>
          </w:p>
        </w:tc>
        <w:tc>
          <w:tcPr>
            <w:tcW w:w="18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(16,738)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(742)</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20,009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13,310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780" w:type="dxa"/>
            <w:vAlign w:val="bottom"/>
            <w:tcBorders>
              <w:bottom w:val="single" w:sz="8" w:color="auto"/>
            </w:tcBorders>
            <w:gridSpan w:val="7"/>
            <w:shd w:val="clear" w:color="auto" w:fill="CCEEFF"/>
          </w:tcPr>
          <w:p>
            <w:pPr>
              <w:jc w:val="center"/>
              <w:ind w:left="650"/>
              <w:spacing w:after="0"/>
              <w:rPr>
                <w:sz w:val="20"/>
                <w:szCs w:val="20"/>
                <w:color w:val="auto"/>
              </w:rPr>
            </w:pPr>
            <w:r>
              <w:rPr>
                <w:rFonts w:ascii="Arial" w:cs="Arial" w:eastAsia="Arial" w:hAnsi="Arial"/>
                <w:sz w:val="18"/>
                <w:szCs w:val="18"/>
                <w:b w:val="1"/>
                <w:bCs w:val="1"/>
                <w:color w:val="auto"/>
                <w:w w:val="92"/>
              </w:rPr>
              <w:t>For Three Months Ended</w:t>
            </w: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Mar. 31,</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5"/>
              </w:rPr>
              <w:t>Mar.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1"/>
              </w:rPr>
              <w:t>Dec.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(242)</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short-term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long-term investments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Repayment of commercial paper borrowings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common stock transactions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1,343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90,000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9"/>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Ÿ"/>
      <w:numFmt w:val="bullet"/>
      <w:start w:val="1"/>
    </w:lvl>
  </w:abstractNum>
  <w:abstractNum w:abstractNumId="5">
    <w:nsid w:val="5BD062C2"/>
    <w:multiLevelType w:val="hybridMultilevel"/>
    <w:lvl w:ilvl="0">
      <w:lvlJc w:val="left"/>
      <w:lvlText w:val="Ÿ"/>
      <w:numFmt w:val="bullet"/>
      <w:start w:val="1"/>
    </w:lvl>
  </w:abstractNum>
  <w:abstractNum w:abstractNumId="6">
    <w:nsid w:val="12200854"/>
    <w:multiLevelType w:val="hybridMultilevel"/>
    <w:lvl w:ilvl="0">
      <w:lvlJc w:val="left"/>
      <w:lvlText w:val="Ÿ"/>
      <w:numFmt w:val="bullet"/>
      <w:start w:val="1"/>
    </w:lvl>
  </w:abstractNum>
  <w:abstractNum w:abstractNumId="7">
    <w:nsid w:val="4DB127F8"/>
    <w:multiLevelType w:val="hybridMultilevel"/>
    <w:lvl w:ilvl="0">
      <w:lvlJc w:val="left"/>
      <w:lvlText w:val="Ÿ"/>
      <w:numFmt w:val="bullet"/>
      <w:start w:val="1"/>
    </w:lvl>
  </w:abstractNum>
  <w:abstractNum w:abstractNumId="8">
    <w:nsid w:val="216231B"/>
    <w:multiLevelType w:val="hybridMultilevel"/>
    <w:lvl w:ilvl="0">
      <w:lvlJc w:val="left"/>
      <w:lvlText w:val="Ÿ"/>
      <w:numFmt w:val="bullet"/>
      <w:start w:val="1"/>
    </w:lvl>
  </w:abstractNum>
  <w:abstractNum w:abstractNumId="9">
    <w:nsid w:val="1F16E9E8"/>
    <w:multiLevelType w:val="hybridMultilevel"/>
    <w:lvl w:ilvl="0">
      <w:lvlJc w:val="left"/>
      <w:lvlText w:val="Ÿ"/>
      <w:numFmt w:val="bullet"/>
      <w:start w:val="1"/>
    </w:lvl>
  </w:abstractNum>
  <w:abstractNum w:abstractNumId="10">
    <w:nsid w:val="1190CDE7"/>
    <w:multiLevelType w:val="hybridMultilevel"/>
    <w:lvl w:ilvl="0">
      <w:lvlJc w:val="left"/>
      <w:lvlText w:val="Ÿ"/>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2019-12-09T07:08:35Z</dcterms:created>
  <dcterms:modified xsi:type="dcterms:W3CDTF">2019-12-09T07:08:35Z</dcterms:modified>
</cp:coreProperties>
</file>