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0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74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200" w:space="720"/>
            <w:col w:w="3300" w:space="515"/>
            <w:col w:w="3345"/>
          </w:cols>
          <w:pgMar w:left="460" w:top="225" w:right="359" w:bottom="744"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3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4"/>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280" w:type="dxa"/>
            <w:vAlign w:val="bottom"/>
          </w:tcPr>
          <w:p>
            <w:pPr>
              <w:ind w:left="40"/>
              <w:spacing w:after="0"/>
              <w:rPr>
                <w:sz w:val="20"/>
                <w:szCs w:val="20"/>
                <w:color w:val="auto"/>
              </w:rPr>
            </w:pPr>
            <w:r>
              <w:rPr>
                <w:rFonts w:ascii="Arial" w:cs="Arial" w:eastAsia="Arial" w:hAnsi="Arial"/>
                <w:sz w:val="17"/>
                <w:szCs w:val="17"/>
                <w:color w:val="0000FF"/>
              </w:rPr>
              <w:t>TX</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75243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7"/>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3"/>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3"/>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0000FF"/>
              </w:rPr>
              <w:t>01/31/2022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w w:val="74"/>
              </w:rPr>
              <w:t>S</w:t>
            </w: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3"/>
              </w:rPr>
              <w:t>8,215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176.9256</w:t>
            </w:r>
            <w:r>
              <w:rPr>
                <w:rFonts w:ascii="Arial" w:cs="Arial" w:eastAsia="Arial" w:hAnsi="Arial"/>
                <w:sz w:val="22"/>
                <w:szCs w:val="22"/>
                <w:color w:val="008000"/>
                <w:w w:val="93"/>
                <w:vertAlign w:val="superscript"/>
              </w:rPr>
              <w:t>(1)</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423,368</w:t>
            </w:r>
          </w:p>
        </w:tc>
        <w:tc>
          <w:tcPr>
            <w:tcW w:w="92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0000FF"/>
              </w:rPr>
              <w:t>01/31/2022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w w:val="74"/>
              </w:rPr>
              <w:t>S</w:t>
            </w: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2"/>
              </w:rPr>
              <w:t>24,084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177.5629</w:t>
            </w:r>
            <w:r>
              <w:rPr>
                <w:rFonts w:ascii="Arial" w:cs="Arial" w:eastAsia="Arial" w:hAnsi="Arial"/>
                <w:sz w:val="22"/>
                <w:szCs w:val="22"/>
                <w:color w:val="008000"/>
                <w:w w:val="93"/>
                <w:vertAlign w:val="superscript"/>
              </w:rPr>
              <w:t>(2)</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399,284</w:t>
            </w:r>
          </w:p>
        </w:tc>
        <w:tc>
          <w:tcPr>
            <w:tcW w:w="92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0000FF"/>
              </w:rPr>
              <w:t>01/31/2022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w w:val="74"/>
              </w:rPr>
              <w:t>S</w:t>
            </w: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93"/>
              </w:rPr>
              <w:t>1,170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178.4531</w:t>
            </w:r>
            <w:r>
              <w:rPr>
                <w:rFonts w:ascii="Arial" w:cs="Arial" w:eastAsia="Arial" w:hAnsi="Arial"/>
                <w:sz w:val="22"/>
                <w:szCs w:val="22"/>
                <w:color w:val="008000"/>
                <w:w w:val="93"/>
                <w:vertAlign w:val="superscript"/>
              </w:rPr>
              <w:t>(3)</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398,114</w:t>
            </w:r>
          </w:p>
        </w:tc>
        <w:tc>
          <w:tcPr>
            <w:tcW w:w="92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0000FF"/>
                <w:w w:val="85"/>
              </w:rPr>
              <w:t>48,285</w:t>
            </w:r>
            <w:r>
              <w:rPr>
                <w:rFonts w:ascii="Arial" w:cs="Arial" w:eastAsia="Arial" w:hAnsi="Arial"/>
                <w:sz w:val="22"/>
                <w:szCs w:val="22"/>
                <w:color w:val="008000"/>
                <w:w w:val="85"/>
                <w:vertAlign w:val="superscript"/>
              </w:rPr>
              <w:t>(4)</w:t>
            </w:r>
          </w:p>
        </w:tc>
        <w:tc>
          <w:tcPr>
            <w:tcW w:w="920" w:type="dxa"/>
            <w:vAlign w:val="bottom"/>
            <w:vMerge w:val="restart"/>
          </w:tcPr>
          <w:p>
            <w:pPr>
              <w:jc w:val="center"/>
              <w:ind w:right="3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4"/>
            <w:vMerge w:val="restart"/>
          </w:tcPr>
          <w:p>
            <w:pPr>
              <w:jc w:val="center"/>
              <w:ind w:left="109"/>
              <w:spacing w:after="0"/>
              <w:rPr>
                <w:sz w:val="20"/>
                <w:szCs w:val="20"/>
                <w:color w:val="auto"/>
              </w:rPr>
            </w:pPr>
            <w:r>
              <w:rPr>
                <w:rFonts w:ascii="Arial" w:cs="Arial" w:eastAsia="Arial" w:hAnsi="Arial"/>
                <w:sz w:val="17"/>
                <w:szCs w:val="17"/>
                <w:color w:val="0000FF"/>
                <w:w w:val="87"/>
              </w:rPr>
              <w:t>307.7286</w:t>
            </w:r>
            <w:r>
              <w:rPr>
                <w:rFonts w:ascii="Arial" w:cs="Arial" w:eastAsia="Arial" w:hAnsi="Arial"/>
                <w:sz w:val="22"/>
                <w:szCs w:val="22"/>
                <w:color w:val="008000"/>
                <w:w w:val="87"/>
                <w:vertAlign w:val="superscript"/>
              </w:rPr>
              <w:t>(5)</w:t>
            </w:r>
          </w:p>
        </w:tc>
        <w:tc>
          <w:tcPr>
            <w:tcW w:w="920" w:type="dxa"/>
            <w:vAlign w:val="bottom"/>
            <w:vMerge w:val="restart"/>
          </w:tcPr>
          <w:p>
            <w:pPr>
              <w:jc w:val="center"/>
              <w:ind w:right="3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4"/>
            <w:vMerge w:val="restart"/>
          </w:tcPr>
          <w:p>
            <w:pPr>
              <w:jc w:val="center"/>
              <w:ind w:left="109"/>
              <w:spacing w:after="0"/>
              <w:rPr>
                <w:sz w:val="20"/>
                <w:szCs w:val="20"/>
                <w:color w:val="auto"/>
              </w:rPr>
            </w:pPr>
            <w:r>
              <w:rPr>
                <w:rFonts w:ascii="Arial" w:cs="Arial" w:eastAsia="Arial" w:hAnsi="Arial"/>
                <w:sz w:val="17"/>
                <w:szCs w:val="17"/>
                <w:color w:val="0000FF"/>
                <w:w w:val="87"/>
              </w:rPr>
              <w:t>12,672.87</w:t>
            </w:r>
            <w:r>
              <w:rPr>
                <w:rFonts w:ascii="Arial" w:cs="Arial" w:eastAsia="Arial" w:hAnsi="Arial"/>
                <w:sz w:val="22"/>
                <w:szCs w:val="22"/>
                <w:color w:val="008000"/>
                <w:w w:val="87"/>
                <w:vertAlign w:val="superscript"/>
              </w:rPr>
              <w:t>(6)</w:t>
            </w:r>
          </w:p>
        </w:tc>
        <w:tc>
          <w:tcPr>
            <w:tcW w:w="920" w:type="dxa"/>
            <w:vAlign w:val="bottom"/>
            <w:vMerge w:val="restart"/>
          </w:tcPr>
          <w:p>
            <w:pPr>
              <w:jc w:val="center"/>
              <w:ind w:right="3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7"/>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$176.185 to $177.18. The Issuer undertakes to provide upon request a detailed breakout of the sale prices and the number of shares sold at each price.</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$177.185 to $178.12. The Issuer undertakes to provide upon request a detailed breakout of the sale prices and the number of shares sold at each price.</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$178.21 to $178.58. The Issuer undertakes to provide upon request a detailed breakout of the sale prices and the number of shares sold at each price.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trusts for benefit of children; beneficial ownership by reporting person disclaimed.</w:t>
      </w:r>
    </w:p>
    <w:p>
      <w:pPr>
        <w:spacing w:after="0" w:line="50"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12-31-2021. (Interests in this account are denominated in units. Consequently, share amount shown is an estimate.) This statement does not include changes in beneficial ownership of shares held in this account occurring after 12-31-2021 that are eligible for deferred reporting on Form 5.</w:t>
      </w:r>
    </w:p>
    <w:p>
      <w:pPr>
        <w:spacing w:after="0" w:line="15" w:lineRule="exact"/>
        <w:rPr>
          <w:rFonts w:ascii="Arial" w:cs="Arial" w:eastAsia="Arial" w:hAnsi="Arial"/>
          <w:sz w:val="13"/>
          <w:szCs w:val="13"/>
          <w:color w:val="008000"/>
        </w:rPr>
      </w:pPr>
    </w:p>
    <w:p>
      <w:pPr>
        <w:ind w:left="40" w:right="52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12-31-2021. (Interests in this account are denominated in units. Consequently, share amount shown is an estimate.) This statement does not include changes in beneficial ownership of shares held in such account occurring after 12-31-2021 that are eligible for deferred reporting on Form 5.</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Katharine Kane,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02/02/2022</w:t>
            </w:r>
          </w:p>
        </w:tc>
        <w:tc>
          <w:tcPr>
            <w:tcW w:w="0" w:type="dxa"/>
            <w:vAlign w:val="bottom"/>
          </w:tcPr>
          <w:p>
            <w:pPr>
              <w:spacing w:after="0"/>
              <w:rPr>
                <w:sz w:val="1"/>
                <w:szCs w:val="1"/>
                <w:color w:val="auto"/>
              </w:rPr>
            </w:pPr>
          </w:p>
        </w:tc>
      </w:tr>
      <w:tr>
        <w:trPr>
          <w:trHeight w:val="87"/>
        </w:trPr>
        <w:tc>
          <w:tcPr>
            <w:tcW w:w="50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In Fact</w:t>
            </w:r>
          </w:p>
        </w:tc>
        <w:tc>
          <w:tcPr>
            <w:tcW w:w="16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7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2022-02-02T15:22:16Z</dcterms:created>
  <dcterms:modified xsi:type="dcterms:W3CDTF">2022-02-02T15:22:16Z</dcterms:modified>
</cp:coreProperties>
</file>