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1496695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62"/>
        </w:trPr>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4"/>
                <w:szCs w:val="14"/>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16"/>
                <w:szCs w:val="16"/>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50"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Registrant’s news release dated September 15, 2021, regarding a planned dividend increase, attached hereto as Exhibit 99 is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Designation</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rPr>
              <w:t>of Exhibit</w:t>
            </w:r>
          </w:p>
        </w:tc>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8"/>
              </w:rPr>
              <w:t>in this</w:t>
            </w:r>
          </w:p>
        </w:tc>
        <w:tc>
          <w:tcPr>
            <w:tcW w:w="20" w:type="dxa"/>
            <w:vAlign w:val="bottom"/>
          </w:tcPr>
          <w:p>
            <w:pPr>
              <w:spacing w:after="0"/>
              <w:rPr>
                <w:sz w:val="11"/>
                <w:szCs w:val="11"/>
                <w:color w:val="auto"/>
              </w:rPr>
            </w:pPr>
          </w:p>
        </w:tc>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Description of Exhibit</w:t>
            </w:r>
          </w:p>
        </w:tc>
        <w:tc>
          <w:tcPr>
            <w:tcW w:w="7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Report</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80" w:type="dxa"/>
            <w:vAlign w:val="bottom"/>
            <w:tcBorders>
              <w:bottom w:val="single" w:sz="8" w:color="auto"/>
            </w:tcBorders>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1300" w:type="dxa"/>
            <w:vAlign w:val="bottom"/>
            <w:gridSpan w:val="2"/>
          </w:tcPr>
          <w:p>
            <w:pPr>
              <w:jc w:val="right"/>
              <w:ind w:right="468"/>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Registrant’s News Release</w:t>
              </w:r>
            </w:hyperlink>
          </w:p>
        </w:tc>
        <w:tc>
          <w:tcPr>
            <w:tcW w:w="7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Dated September 15, 2021</w:t>
            </w:r>
          </w:p>
        </w:tc>
        <w:tc>
          <w:tcPr>
            <w:tcW w:w="0" w:type="dxa"/>
            <w:vAlign w:val="bottom"/>
          </w:tcPr>
          <w:p>
            <w:pPr>
              <w:spacing w:after="0"/>
              <w:rPr>
                <w:sz w:val="1"/>
                <w:szCs w:val="1"/>
                <w:color w:val="auto"/>
              </w:rPr>
            </w:pPr>
          </w:p>
        </w:tc>
      </w:tr>
      <w:tr>
        <w:trPr>
          <w:trHeight w:val="230"/>
        </w:trPr>
        <w:tc>
          <w:tcPr>
            <w:tcW w:w="1300" w:type="dxa"/>
            <w:vAlign w:val="bottom"/>
            <w:gridSpan w:val="2"/>
          </w:tcPr>
          <w:p>
            <w:pPr>
              <w:jc w:val="right"/>
              <w:ind w:right="428"/>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36"/>
        </w:trPr>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Date: September 15, 2021</w:t>
            </w:r>
          </w:p>
        </w:tc>
        <w:tc>
          <w:tcPr>
            <w:tcW w:w="2940" w:type="dxa"/>
            <w:vAlign w:val="bottom"/>
          </w:tcPr>
          <w:p>
            <w:pPr>
              <w:ind w:left="21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 to return more cash to shareholders with 13% dividend increase</w:t>
      </w:r>
    </w:p>
    <w:p>
      <w:pPr>
        <w:spacing w:after="0" w:line="268"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DALLAS (Sept. 15, 2021) – Texas Instruments Incorporated (TI) (Nasdaq: TXN) today said it will raise its quarterly cash dividend 13%, from $1.02 per share to $1.15, or $4.60 annualized. The higher dividend will be payable November 15, 2021, to stockholders of record on November 1, 2021, contingent upon formal declaration by the board of directors at its regular meeting in October.</w:t>
      </w:r>
    </w:p>
    <w:p>
      <w:pPr>
        <w:spacing w:after="0" w:line="215"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This dividend increase is an integral piece of TI's disciplined approach to capital management and reflects the company’s continued strength in free cash flow generation and its commitment to return excess cash to stockholders. In the 12-month period ending June 2021, TI has paid 56% of its free cash flow in dividends.</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TI has a proven track record of returning cash to its shareholders. Today’s announcement marks 18 consecutive years of dividend increases.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53"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We urge you to carefully consider the following important factors that could cause actual results to differ materially from the expectations of TI or our management:</w:t>
      </w:r>
    </w:p>
    <w:p>
      <w:pPr>
        <w:spacing w:after="0" w:line="202" w:lineRule="exact"/>
        <w:rPr>
          <w:sz w:val="20"/>
          <w:szCs w:val="20"/>
          <w:color w:val="auto"/>
        </w:rPr>
      </w:pPr>
    </w:p>
    <w:p>
      <w:pPr>
        <w:ind w:left="660" w:right="660" w:hanging="328"/>
        <w:spacing w:after="0" w:line="24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duration and scope of the COVID-19 pandemic, government and other third-party responses to it and the consequences for the global economy, including to our business and the businesses of our suppliers, customers and distributors;</w:t>
      </w:r>
    </w:p>
    <w:p>
      <w:pPr>
        <w:ind w:left="660" w:right="10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Economic, social and political conditions, and natural events in the countries in which we, our customers or our suppliers operate, including global trade policies;</w:t>
      </w:r>
    </w:p>
    <w:p>
      <w:pPr>
        <w:ind w:left="660" w:right="48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Market demand for semiconductors, particularly in the industrial and automotive markets, and customer demand that differs from forecasts;</w:t>
      </w: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compete in products and prices in an intensely competitive industry;</w:t>
      </w:r>
    </w:p>
    <w:p>
      <w:pPr>
        <w:spacing w:after="0" w:line="3" w:lineRule="exact"/>
        <w:rPr>
          <w:rFonts w:ascii="Arial" w:cs="Arial" w:eastAsia="Arial" w:hAnsi="Arial"/>
          <w:sz w:val="22"/>
          <w:szCs w:val="22"/>
          <w:color w:val="auto"/>
        </w:rPr>
      </w:pPr>
    </w:p>
    <w:p>
      <w:pPr>
        <w:ind w:left="660" w:right="50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Evolving cybersecurity and other threats relating to our information technology systems or those of our customers or suppliers;</w:t>
      </w:r>
    </w:p>
    <w:p>
      <w:pPr>
        <w:ind w:left="660" w:right="20" w:hanging="328"/>
        <w:spacing w:after="0" w:line="323"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22"/>
          <w:szCs w:val="22"/>
          <w:color w:val="595959"/>
        </w:rPr>
        <w:t>1</w:t>
      </w:r>
    </w:p>
    <w:p>
      <w:pPr>
        <w:sectPr>
          <w:pgSz w:w="11900" w:h="16838" w:orient="portrait"/>
          <w:cols w:equalWidth="0" w:num="1">
            <w:col w:w="11240"/>
          </w:cols>
          <w:pgMar w:left="320" w:top="126" w:right="339" w:bottom="1440" w:gutter="0" w:footer="0" w:header="0"/>
        </w:sectPr>
      </w:pPr>
    </w:p>
    <w:bookmarkStart w:id="4" w:name="page5"/>
    <w:bookmarkEnd w:id="4"/>
    <w:p>
      <w:pPr>
        <w:ind w:left="660" w:right="20" w:hanging="328"/>
        <w:spacing w:after="0" w:line="291"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1" w:lineRule="exact"/>
        <w:rPr>
          <w:rFonts w:ascii="Arial" w:cs="Arial" w:eastAsia="Arial" w:hAnsi="Arial"/>
          <w:sz w:val="19"/>
          <w:szCs w:val="19"/>
          <w:color w:val="auto"/>
        </w:rPr>
      </w:pPr>
    </w:p>
    <w:p>
      <w:pPr>
        <w:ind w:left="660" w:right="78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Availability and cost of raw materials, utilities, manufacturing equipment, third-party manufacturing services and manufacturing technology;</w:t>
      </w:r>
    </w:p>
    <w:p>
      <w:pPr>
        <w:ind w:left="660" w:right="1000" w:hanging="328"/>
        <w:spacing w:after="0" w:line="254"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21"/>
          <w:szCs w:val="21"/>
          <w:color w:val="auto"/>
        </w:rPr>
        <w:t>Product liability, warranty or other claims relating to our products, manufacturing, delivery, services, design or communications, or recalls by our customers for a product containing one of our parts;</w:t>
      </w:r>
    </w:p>
    <w:p>
      <w:pPr>
        <w:spacing w:after="0" w:line="1" w:lineRule="exact"/>
        <w:rPr>
          <w:rFonts w:ascii="Arial" w:cs="Arial" w:eastAsia="Arial" w:hAnsi="Arial"/>
          <w:sz w:val="21"/>
          <w:szCs w:val="21"/>
          <w:color w:val="auto"/>
        </w:rPr>
      </w:pPr>
    </w:p>
    <w:p>
      <w:pPr>
        <w:ind w:left="660" w:right="10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1"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loss suffered by one of our customers or distributors with respect to TI-consigned inventory;</w:t>
      </w:r>
    </w:p>
    <w:p>
      <w:pPr>
        <w:spacing w:after="0" w:line="3" w:lineRule="exact"/>
        <w:rPr>
          <w:rFonts w:ascii="Arial" w:cs="Arial" w:eastAsia="Arial" w:hAnsi="Arial"/>
          <w:sz w:val="22"/>
          <w:szCs w:val="22"/>
          <w:color w:val="auto"/>
        </w:rPr>
      </w:pPr>
    </w:p>
    <w:p>
      <w:pPr>
        <w:ind w:left="660" w:right="64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Financial difficulties of our distributors or semiconductor distributors' promotion of competing product lines to our detriment; or disputes with current or former distributors;</w:t>
      </w:r>
    </w:p>
    <w:p>
      <w:pPr>
        <w:ind w:left="660" w:right="580" w:hanging="328"/>
        <w:spacing w:after="0" w:line="24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Losses or curtailments of purchases from key customers or the timing and amount of distributor and other customer inventory adjustments;</w:t>
      </w:r>
    </w:p>
    <w:p>
      <w:pPr>
        <w:spacing w:after="0" w:line="1" w:lineRule="exact"/>
        <w:rPr>
          <w:rFonts w:ascii="Arial" w:cs="Arial" w:eastAsia="Arial" w:hAnsi="Arial"/>
          <w:sz w:val="22"/>
          <w:szCs w:val="22"/>
          <w:color w:val="auto"/>
        </w:rPr>
      </w:pPr>
    </w:p>
    <w:p>
      <w:pPr>
        <w:ind w:left="660" w:right="10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1" w:lineRule="exact"/>
        <w:rPr>
          <w:rFonts w:ascii="Arial" w:cs="Arial" w:eastAsia="Arial" w:hAnsi="Arial"/>
          <w:sz w:val="22"/>
          <w:szCs w:val="22"/>
          <w:color w:val="auto"/>
        </w:rPr>
      </w:pPr>
    </w:p>
    <w:p>
      <w:pPr>
        <w:ind w:left="660" w:right="62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and enforce a strong intellectual property portfolio and maintain freedom of operation in all jurisdictions where we conduct business; or our exposure to infringement claims;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Instability in the global credit and financial markets;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Increases in health care and pension benefit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recruit and retain skilled personnel, and effectively manage key employee succession;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Impairments of our non-financial assets.</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Texas Instruments</w:t>
      </w:r>
    </w:p>
    <w:p>
      <w:pPr>
        <w:spacing w:after="0" w:line="253" w:lineRule="exact"/>
        <w:rPr>
          <w:sz w:val="20"/>
          <w:szCs w:val="20"/>
          <w:color w:val="auto"/>
        </w:rPr>
      </w:pPr>
    </w:p>
    <w:p>
      <w:pPr>
        <w:ind w:right="320"/>
        <w:spacing w:after="0" w:line="312" w:lineRule="auto"/>
        <w:rPr>
          <w:sz w:val="20"/>
          <w:szCs w:val="20"/>
          <w:color w:val="auto"/>
        </w:rPr>
      </w:pPr>
      <w:r>
        <w:rPr>
          <w:rFonts w:ascii="Arial" w:cs="Arial" w:eastAsia="Arial" w:hAnsi="Arial"/>
          <w:sz w:val="19"/>
          <w:szCs w:val="19"/>
          <w:color w:val="auto"/>
        </w:rPr>
        <w:t>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spacing w:after="0"/>
        <w:rPr>
          <w:sz w:val="20"/>
          <w:szCs w:val="20"/>
          <w:color w:val="auto"/>
        </w:rPr>
      </w:pPr>
      <w:r>
        <w:rPr>
          <w:rFonts w:ascii="Arial" w:cs="Arial" w:eastAsia="Arial" w:hAnsi="Arial"/>
          <w:sz w:val="22"/>
          <w:szCs w:val="22"/>
          <w:color w:val="595959"/>
        </w:rPr>
        <w:t>2</w:t>
      </w:r>
    </w:p>
    <w:p>
      <w:pPr>
        <w:sectPr>
          <w:pgSz w:w="11900" w:h="16838" w:orient="portrait"/>
          <w:cols w:equalWidth="0" w:num="1">
            <w:col w:w="11220"/>
          </w:cols>
          <w:pgMar w:left="320" w:top="1428" w:right="359" w:bottom="1440" w:gutter="0" w:footer="0" w:header="0"/>
        </w:sectPr>
      </w:pPr>
    </w:p>
    <w:bookmarkStart w:id="5" w:name="page6"/>
    <w:bookmarkEnd w:id="5"/>
    <w:p>
      <w:pPr>
        <w:spacing w:after="0" w:line="312" w:lineRule="auto"/>
        <w:rPr>
          <w:sz w:val="20"/>
          <w:szCs w:val="20"/>
          <w:color w:val="auto"/>
        </w:rPr>
      </w:pPr>
      <w:r>
        <w:rPr>
          <w:rFonts w:ascii="Arial" w:cs="Arial" w:eastAsia="Arial" w:hAnsi="Arial"/>
          <w:sz w:val="19"/>
          <w:szCs w:val="19"/>
          <w:color w:val="auto"/>
        </w:rPr>
        <w:t>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TI.com.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0"/>
        <w:spacing w:after="0"/>
        <w:rPr>
          <w:sz w:val="20"/>
          <w:szCs w:val="20"/>
          <w:color w:val="auto"/>
        </w:rPr>
      </w:pPr>
      <w:r>
        <w:rPr>
          <w:rFonts w:ascii="Arial" w:cs="Arial" w:eastAsia="Arial" w:hAnsi="Arial"/>
          <w:sz w:val="22"/>
          <w:szCs w:val="22"/>
          <w:color w:val="595959"/>
        </w:rPr>
        <w:t>3</w:t>
      </w:r>
    </w:p>
    <w:sectPr>
      <w:pgSz w:w="11900" w:h="16838" w:orient="portrait"/>
      <w:cols w:equalWidth="0" w:num="1">
        <w:col w:w="11120"/>
      </w:cols>
      <w:pgMar w:left="320" w:top="142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2021-09-15T15:36:41Z</dcterms:created>
  <dcterms:modified xsi:type="dcterms:W3CDTF">2021-09-15T15:36:41Z</dcterms:modified>
</cp:coreProperties>
</file>