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190500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168275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6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2"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news release dated April 23, 2019, regarding its first-quarter results of operations and financial condition is attached hereto as Exhibit 99.</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Designation</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of Exhibit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in this</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88"/>
        </w:trPr>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Report</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4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0" w:lineRule="exact"/>
        <w:rPr>
          <w:sz w:val="20"/>
          <w:szCs w:val="20"/>
          <w:color w:val="auto"/>
        </w:rPr>
      </w:pPr>
    </w:p>
    <w:p>
      <w:pPr>
        <w:ind w:left="1280" w:hanging="788"/>
        <w:spacing w:after="0"/>
        <w:tabs>
          <w:tab w:leader="none" w:pos="1280" w:val="left"/>
        </w:tabs>
        <w:numPr>
          <w:ilvl w:val="0"/>
          <w:numId w:val="2"/>
        </w:numPr>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Registrant’s News Release</w:t>
        </w:r>
      </w:hyperlink>
    </w:p>
    <w:p>
      <w:pPr>
        <w:spacing w:after="0" w:line="27" w:lineRule="exact"/>
        <w:rPr>
          <w:rFonts w:ascii="Times New Roman" w:cs="Times New Roman" w:eastAsia="Times New Roman" w:hAnsi="Times New Roman"/>
          <w:sz w:val="18"/>
          <w:szCs w:val="18"/>
          <w:u w:val="single" w:color="auto"/>
          <w:color w:val="0000EE"/>
        </w:rPr>
      </w:pPr>
    </w:p>
    <w:p>
      <w:pPr>
        <w:ind w:left="128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Dated April 23, 2019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2019</w:t>
            </w:r>
          </w:p>
        </w:tc>
        <w:tc>
          <w:tcPr>
            <w:tcW w:w="74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Rafael R. Lizardi</w:t>
            </w:r>
          </w:p>
        </w:tc>
      </w:tr>
      <w:tr>
        <w:trPr>
          <w:trHeight w:val="191"/>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Rafael R. Lizardi</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www.ti.com/ir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DALLAS (April 23, 2019) – Texas Instruments Incorporated (TI) (NASDAQ: TXN) today reported first-quarter revenue of $3.59 billion, net income of $1.22 billion and earnings per share of $1.26. Earnings per share include a 4-cent discrete tax benefit not in the company’s original guidance.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company’s performance and returns to shareholders, Rich Templeton, TI’s chairman, president and CEO, made the following comments:</w:t>
      </w:r>
    </w:p>
    <w:p>
      <w:pPr>
        <w:spacing w:after="0" w:line="225"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5% from the same quarter a year ago as demand for our products continued to slow across most markets.</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core businesses, Analog revenue declined 2% and Embedded Processing declined 14% from the same quarter a year ago.</w:t>
      </w:r>
    </w:p>
    <w:p>
      <w:pPr>
        <w:spacing w:after="0" w:line="225" w:lineRule="exact"/>
        <w:rPr>
          <w:rFonts w:ascii="Times New Roman" w:cs="Times New Roman" w:eastAsia="Times New Roman" w:hAnsi="Times New Roman"/>
          <w:sz w:val="18"/>
          <w:szCs w:val="18"/>
          <w:color w:val="auto"/>
        </w:rPr>
      </w:pPr>
    </w:p>
    <w:p>
      <w:pPr>
        <w:jc w:val="both"/>
        <w:ind w:left="440" w:right="180" w:hanging="432"/>
        <w:spacing w:after="0" w:line="266"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of $7.2 billion for the trailing 12 months again underscored the strength of our business model. Free cash flow for the trailing 12 months was $6.0 billion and represents 38.4% of revenue. This reflects the quality of our product portfolio, as well as the efficiency of our manufacturing strategy, including the benefit of 300-millimeter Analog production.</w:t>
      </w:r>
    </w:p>
    <w:p>
      <w:pPr>
        <w:spacing w:after="0" w:line="176" w:lineRule="exact"/>
        <w:rPr>
          <w:rFonts w:ascii="Times New Roman" w:cs="Times New Roman" w:eastAsia="Times New Roman" w:hAnsi="Times New Roman"/>
          <w:sz w:val="18"/>
          <w:szCs w:val="18"/>
          <w:color w:val="auto"/>
        </w:rPr>
      </w:pPr>
    </w:p>
    <w:p>
      <w:pPr>
        <w:ind w:left="440" w:right="60" w:hanging="432"/>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returned $8.0 billion to owners in the past 12 months through stock repurchases and dividends. Our strategy is to return all our free cash flow to owners. Over the last 12 months, our dividends represented 45% of free cash flow, underscoring their sustainability.</w:t>
      </w:r>
    </w:p>
    <w:p>
      <w:pPr>
        <w:spacing w:after="0" w:line="161" w:lineRule="exact"/>
        <w:rPr>
          <w:rFonts w:ascii="Times New Roman" w:cs="Times New Roman" w:eastAsia="Times New Roman" w:hAnsi="Times New Roman"/>
          <w:sz w:val="18"/>
          <w:szCs w:val="18"/>
          <w:color w:val="auto"/>
        </w:rPr>
      </w:pPr>
    </w:p>
    <w:p>
      <w:pPr>
        <w:ind w:left="440" w:right="580" w:hanging="432"/>
        <w:spacing w:after="0" w:line="28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second-quarter outlook is for revenue in the range of $3.46 billion to $3.74 billion, and earnings per share between $1.12 and $1.32, which includes an estimated $10 million discrete tax benefit. We continue to expect our annual operating tax rate to be about 16% in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non-GAAP financial measure, is 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Page 2</w:t>
            </w:r>
          </w:p>
        </w:tc>
      </w:tr>
      <w:tr>
        <w:trPr>
          <w:trHeight w:val="716"/>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 summary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 except per-share amounts.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1Q19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1Q18</w:t>
            </w:r>
          </w:p>
        </w:tc>
        <w:tc>
          <w:tcPr>
            <w:tcW w:w="1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80" w:type="dxa"/>
            <w:vAlign w:val="bottom"/>
          </w:tcPr>
          <w:p>
            <w:pPr>
              <w:spacing w:after="0"/>
              <w:rPr>
                <w:sz w:val="19"/>
                <w:szCs w:val="19"/>
                <w:color w:val="auto"/>
              </w:rPr>
            </w:pPr>
          </w:p>
        </w:tc>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4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generation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Trailing 12 Months</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1Q19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1Q19</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1Q18</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Borders>
              <w:bottom w:val="single" w:sz="8" w:color="CFF0FC"/>
            </w:tcBorders>
          </w:tcPr>
          <w:p>
            <w:pPr>
              <w:spacing w:after="0"/>
              <w:rPr>
                <w:sz w:val="19"/>
                <w:szCs w:val="19"/>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4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Free cash flow % of revenue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32.1%</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22"/>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Cash return</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Trailing 12 Months</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1Q19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1Q19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1Q18</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2,215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2,879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5,094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19"/>
                <w:szCs w:val="19"/>
                <w:color w:val="auto"/>
              </w:rPr>
            </w:pPr>
          </w:p>
        </w:tc>
      </w:tr>
      <w:tr>
        <w:trPr>
          <w:trHeight w:val="979"/>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Page 3</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760" w:type="dxa"/>
            <w:vAlign w:val="bottom"/>
            <w:gridSpan w:val="3"/>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 AND SUBSIDIARIES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60" w:type="dxa"/>
            <w:vAlign w:val="bottom"/>
            <w:gridSpan w:val="3"/>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(Millions of dollars, except share and per-share amounts)</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4"/>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For Three Months Ended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3,594</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 (COR)</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charges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charges/other</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1,379</w:t>
            </w:r>
          </w:p>
        </w:tc>
        <w:tc>
          <w:tcPr>
            <w:tcW w:w="3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 (OI&amp;E)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1,377</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2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380" w:type="dxa"/>
            <w:vAlign w:val="bottom"/>
          </w:tcPr>
          <w:p>
            <w:pPr>
              <w:spacing w:after="0"/>
              <w:rPr>
                <w:sz w:val="19"/>
                <w:szCs w:val="19"/>
                <w:color w:val="auto"/>
              </w:rPr>
            </w:pP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shares outstanding (millions):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38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22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80" w:type="dxa"/>
            <w:vAlign w:val="bottom"/>
          </w:tcPr>
          <w:p>
            <w:pPr>
              <w:spacing w:after="0"/>
              <w:rPr>
                <w:sz w:val="19"/>
                <w:szCs w:val="19"/>
                <w:color w:val="auto"/>
              </w:rPr>
            </w:pP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Supplemental Information</w:t>
            </w: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40" w:type="dxa"/>
            <w:vAlign w:val="bottom"/>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(Quarterly, except as noted)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 is based on the following:</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taxes (calculated using the estimated annual effective tax rate)</w:t>
            </w:r>
          </w:p>
        </w:tc>
        <w:tc>
          <w:tcPr>
            <w:tcW w:w="122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380" w:type="dxa"/>
            <w:vAlign w:val="bottom"/>
          </w:tcPr>
          <w:p>
            <w:pPr>
              <w:spacing w:after="0"/>
              <w:rPr>
                <w:sz w:val="19"/>
                <w:szCs w:val="19"/>
                <w:color w:val="auto"/>
              </w:rPr>
            </w:pP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Discrete tax items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(60)</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 (effective taxes)</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operating tax rate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w:t>
            </w:r>
          </w:p>
        </w:tc>
        <w:tc>
          <w:tcPr>
            <w:tcW w:w="10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A portion of net income is allocated to unvested restricted stock units (RSUs) on which we pay dividend</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equivalents. Diluted EPS is calculated using the following:</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380" w:type="dxa"/>
            <w:vAlign w:val="bottom"/>
          </w:tcPr>
          <w:p>
            <w:pPr>
              <w:spacing w:after="0"/>
              <w:rPr>
                <w:sz w:val="19"/>
                <w:szCs w:val="19"/>
                <w:color w:val="auto"/>
              </w:rPr>
            </w:pP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allocated to RSUs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w:t>
            </w: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allocated to common stock for diluted EPS</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6"/>
        </w:trPr>
        <w:tc>
          <w:tcPr>
            <w:tcW w:w="20" w:type="dxa"/>
            <w:vAlign w:val="bottom"/>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Page 4</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840" w:type="dxa"/>
            <w:vAlign w:val="bottom"/>
            <w:gridSpan w:val="3"/>
          </w:tcPr>
          <w:p>
            <w:pPr>
              <w:jc w:val="center"/>
              <w:ind w:left="2458"/>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 AND SUBSIDIARIES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38"/>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80" w:type="dxa"/>
            <w:vAlign w:val="bottom"/>
          </w:tcPr>
          <w:p>
            <w:pPr>
              <w:jc w:val="center"/>
              <w:ind w:left="3718"/>
              <w:spacing w:after="0"/>
              <w:rPr>
                <w:sz w:val="20"/>
                <w:szCs w:val="20"/>
                <w:color w:val="auto"/>
              </w:rPr>
            </w:pPr>
            <w:r>
              <w:rPr>
                <w:rFonts w:ascii="Times New Roman" w:cs="Times New Roman" w:eastAsia="Times New Roman" w:hAnsi="Times New Roman"/>
                <w:sz w:val="18"/>
                <w:szCs w:val="18"/>
                <w:b w:val="1"/>
                <w:bCs w:val="1"/>
                <w:color w:val="auto"/>
                <w:w w:val="99"/>
              </w:rPr>
              <w:t>(Millions of dollars, except share amounts)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3,720</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 of ($17) and ($8)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Raw materials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Work in process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(2,324)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Acquisition-related intangibles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software licenses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Overfunded retirement plans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6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Underfunded retirement plans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8,924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Preferred stock, $25 par value. Authorized – 10,000,000 shares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Participating cumulative preferred – None issued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Common stock, $1 par value. Authorized – 2,400,000,000 shares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 1,740,815,939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Treasury common stock at cost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March 31, 2019 – 802,016,668; March 31, 2018 – 759,098,020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(33,080)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 net of taxes (AOCI)</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(465)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8,519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17,443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17,507</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8"/>
        </w:trPr>
        <w:tc>
          <w:tcPr>
            <w:tcW w:w="20" w:type="dxa"/>
            <w:vAlign w:val="bottom"/>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Page 5</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880" w:type="dxa"/>
            <w:vAlign w:val="bottom"/>
            <w:gridSpan w:val="3"/>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jc w:val="center"/>
              <w:ind w:left="36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8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(Millions of dollars)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For Three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74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2018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280" w:type="dxa"/>
            <w:vAlign w:val="bottom"/>
          </w:tcPr>
          <w:p>
            <w:pPr>
              <w:spacing w:after="0"/>
              <w:rPr>
                <w:sz w:val="19"/>
                <w:szCs w:val="19"/>
                <w:color w:val="auto"/>
              </w:rPr>
            </w:pPr>
          </w:p>
        </w:tc>
        <w:tc>
          <w:tcPr>
            <w:tcW w:w="1040" w:type="dxa"/>
            <w:vAlign w:val="bottom"/>
            <w:gridSpan w:val="2"/>
          </w:tcPr>
          <w:p>
            <w:pPr>
              <w:jc w:val="right"/>
              <w:ind w:right="90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to net income: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Gains on sales of 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(decrease) from changes in: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(373)</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funded status of retirement plans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repurchases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(1,152)</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common stock transactions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6"/>
        </w:trPr>
        <w:tc>
          <w:tcPr>
            <w:tcW w:w="20" w:type="dxa"/>
            <w:vAlign w:val="bottom"/>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4"/>
              </w:rPr>
              <w:t>Page 6</w:t>
            </w:r>
          </w:p>
        </w:tc>
      </w:tr>
      <w:tr>
        <w:trPr>
          <w:trHeight w:val="392"/>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Segment results</w:t>
            </w:r>
          </w:p>
        </w:tc>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1Q19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1Q18</w:t>
            </w:r>
          </w:p>
        </w:tc>
        <w:tc>
          <w:tcPr>
            <w:tcW w:w="2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Analog:</w:t>
            </w: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Embedded Processing:</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Pr>
          <w:p>
            <w:pPr>
              <w:spacing w:after="0"/>
              <w:rPr>
                <w:sz w:val="19"/>
                <w:szCs w:val="19"/>
                <w:color w:val="auto"/>
              </w:rPr>
            </w:pPr>
          </w:p>
        </w:tc>
      </w:tr>
    </w:tbl>
    <w:p>
      <w:pPr>
        <w:spacing w:after="0" w:line="196"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acquisition charges and restructuring charges/other.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Analog: </w:t>
      </w:r>
      <w:r>
        <w:rPr>
          <w:rFonts w:ascii="Times New Roman" w:cs="Times New Roman" w:eastAsia="Times New Roman" w:hAnsi="Times New Roman"/>
          <w:sz w:val="18"/>
          <w:szCs w:val="18"/>
          <w:i w:val="1"/>
          <w:iCs w:val="1"/>
          <w:color w:val="auto"/>
        </w:rPr>
        <w:t>(includes Power, Signal Chain and High Volume)</w:t>
      </w:r>
    </w:p>
    <w:p>
      <w:pPr>
        <w:spacing w:after="0" w:line="121"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due to High Volume and Power, partially offset by an increase in Signal Chain.</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decreased due to lower revenue and reduced factory loadings.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Embedded Processing: </w:t>
      </w:r>
      <w:r>
        <w:rPr>
          <w:rFonts w:ascii="Times New Roman" w:cs="Times New Roman" w:eastAsia="Times New Roman" w:hAnsi="Times New Roman"/>
          <w:sz w:val="18"/>
          <w:szCs w:val="18"/>
          <w:i w:val="1"/>
          <w:iCs w:val="1"/>
          <w:color w:val="auto"/>
        </w:rPr>
        <w:t>(includes Connected Microcontrollers and Processors)</w:t>
      </w:r>
    </w:p>
    <w:p>
      <w:pPr>
        <w:spacing w:after="0" w:line="121"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in both product lines.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decreased due to lower revenue and associated gross profit.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i w:val="1"/>
          <w:iCs w:val="1"/>
          <w:color w:val="auto"/>
        </w:rPr>
        <w:t>(includes DLP</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products, calculators and custom ASIC products)</w:t>
      </w:r>
    </w:p>
    <w:p>
      <w:pPr>
        <w:spacing w:after="0" w:line="121"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$17 million, and operating profit decreased by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spacing w:after="0"/>
        <w:tabs>
          <w:tab w:leader="none" w:pos="10900" w:val="left"/>
        </w:tabs>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r>
        <w:rPr>
          <w:sz w:val="20"/>
          <w:szCs w:val="20"/>
          <w:color w:val="auto"/>
        </w:rPr>
        <w:tab/>
      </w:r>
      <w:r>
        <w:rPr>
          <w:rFonts w:ascii="Times New Roman" w:cs="Times New Roman" w:eastAsia="Times New Roman" w:hAnsi="Times New Roman"/>
          <w:sz w:val="17"/>
          <w:szCs w:val="17"/>
          <w:b w:val="1"/>
          <w:bCs w:val="1"/>
          <w:color w:val="auto"/>
        </w:rPr>
        <w:t>Page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to the most directly comparable GAAP measures is provided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Amounts are in millions of dollars.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12 Months Ended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(GAAP)</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7,184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(757)</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5,991</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20" w:type="dxa"/>
            <w:vAlign w:val="bottom"/>
            <w:tcBorders>
              <w:top w:val="single" w:sz="8" w:color="CFF0FC"/>
              <w:bottom w:val="single" w:sz="8" w:color="CFF0FC"/>
            </w:tcBorders>
            <w:shd w:val="clear" w:color="auto" w:fill="CFF0FC"/>
          </w:tcPr>
          <w:p>
            <w:pPr>
              <w:spacing w:after="0"/>
              <w:rPr>
                <w:sz w:val="22"/>
                <w:szCs w:val="22"/>
                <w:color w:val="auto"/>
              </w:rPr>
            </w:pPr>
          </w:p>
        </w:tc>
        <w:tc>
          <w:tcPr>
            <w:tcW w:w="15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 as a percent of revenue (GAAP)</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as a percent of revenue (non-GAAP)</w:t>
            </w:r>
          </w:p>
        </w:tc>
        <w:tc>
          <w:tcPr>
            <w:tcW w:w="2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spacing w:after="0"/>
        <w:tabs>
          <w:tab w:leader="none" w:pos="10900" w:val="left"/>
        </w:tabs>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r>
        <w:rPr>
          <w:sz w:val="20"/>
          <w:szCs w:val="20"/>
          <w:color w:val="auto"/>
        </w:rPr>
        <w:tab/>
      </w:r>
      <w:r>
        <w:rPr>
          <w:rFonts w:ascii="Times New Roman" w:cs="Times New Roman" w:eastAsia="Times New Roman" w:hAnsi="Times New Roman"/>
          <w:sz w:val="17"/>
          <w:szCs w:val="17"/>
          <w:b w:val="1"/>
          <w:bCs w:val="1"/>
          <w:color w:val="auto"/>
        </w:rPr>
        <w:t>Page 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our management:</w:t>
      </w:r>
    </w:p>
    <w:p>
      <w:pPr>
        <w:spacing w:after="0" w:line="54"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our end markets;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17" w:lineRule="exact"/>
        <w:rPr>
          <w:rFonts w:ascii="Times New Roman" w:cs="Times New Roman" w:eastAsia="Times New Roman" w:hAnsi="Times New Roman"/>
          <w:sz w:val="18"/>
          <w:szCs w:val="18"/>
          <w:color w:val="auto"/>
        </w:rPr>
      </w:pPr>
    </w:p>
    <w:p>
      <w:pPr>
        <w:ind w:left="440" w:right="140" w:hanging="432"/>
        <w:spacing w:after="0" w:line="282"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forecasts and the financial impact of inadequate or excess company inventory that results from demand that differs from projections;</w:t>
      </w:r>
    </w:p>
    <w:p>
      <w:pPr>
        <w:spacing w:after="0" w:line="53"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68"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threats to our information technology systems or those of our customers or suppliers;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geological events or health epidemics in the locations in which we, our customers or our suppliers operate;</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w:t>
      </w:r>
    </w:p>
    <w:p>
      <w:pPr>
        <w:spacing w:after="0" w:line="117" w:lineRule="exact"/>
        <w:rPr>
          <w:rFonts w:ascii="Times New Roman" w:cs="Times New Roman" w:eastAsia="Times New Roman" w:hAnsi="Times New Roman"/>
          <w:sz w:val="18"/>
          <w:szCs w:val="18"/>
          <w:color w:val="auto"/>
        </w:rPr>
      </w:pPr>
    </w:p>
    <w:p>
      <w:pPr>
        <w:ind w:left="440" w:right="280" w:hanging="432"/>
        <w:spacing w:after="0" w:line="282"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5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17" w:lineRule="exact"/>
        <w:rPr>
          <w:rFonts w:ascii="Times New Roman" w:cs="Times New Roman" w:eastAsia="Times New Roman" w:hAnsi="Times New Roman"/>
          <w:sz w:val="18"/>
          <w:szCs w:val="18"/>
          <w:color w:val="auto"/>
        </w:rPr>
      </w:pPr>
    </w:p>
    <w:p>
      <w:pPr>
        <w:ind w:left="440" w:right="380" w:hanging="432"/>
        <w:spacing w:after="0" w:line="282"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53" w:lineRule="exact"/>
        <w:rPr>
          <w:rFonts w:ascii="Times New Roman" w:cs="Times New Roman" w:eastAsia="Times New Roman" w:hAnsi="Times New Roman"/>
          <w:sz w:val="18"/>
          <w:szCs w:val="18"/>
          <w:color w:val="auto"/>
        </w:rPr>
      </w:pPr>
    </w:p>
    <w:p>
      <w:pPr>
        <w:ind w:left="440" w:right="160" w:hanging="432"/>
        <w:spacing w:after="0" w:line="282"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spacing w:after="0"/>
        <w:tabs>
          <w:tab w:leader="none" w:pos="10900" w:val="left"/>
        </w:tabs>
        <w:rPr>
          <w:sz w:val="20"/>
          <w:szCs w:val="20"/>
          <w:color w:val="auto"/>
        </w:rPr>
      </w:pPr>
      <w:r>
        <w:rPr>
          <w:rFonts w:ascii="Times New Roman" w:cs="Times New Roman" w:eastAsia="Times New Roman" w:hAnsi="Times New Roman"/>
          <w:sz w:val="18"/>
          <w:szCs w:val="18"/>
          <w:b w:val="1"/>
          <w:bCs w:val="1"/>
          <w:color w:val="auto"/>
        </w:rPr>
        <w:t>TI reports 1Q19 financial results and shareholder returns</w:t>
      </w:r>
      <w:r>
        <w:rPr>
          <w:sz w:val="20"/>
          <w:szCs w:val="20"/>
          <w:color w:val="auto"/>
        </w:rPr>
        <w:tab/>
      </w:r>
      <w:r>
        <w:rPr>
          <w:rFonts w:ascii="Times New Roman" w:cs="Times New Roman" w:eastAsia="Times New Roman" w:hAnsi="Times New Roman"/>
          <w:sz w:val="17"/>
          <w:szCs w:val="17"/>
          <w:b w:val="1"/>
          <w:bCs w:val="1"/>
          <w:color w:val="auto"/>
        </w:rPr>
        <w:t>Page 9</w:t>
      </w:r>
    </w:p>
    <w:p>
      <w:pPr>
        <w:spacing w:after="0" w:line="337" w:lineRule="exact"/>
        <w:rPr>
          <w:sz w:val="20"/>
          <w:szCs w:val="20"/>
          <w:color w:val="auto"/>
        </w:rPr>
      </w:pPr>
    </w:p>
    <w:p>
      <w:pPr>
        <w:ind w:left="440" w:right="100" w:hanging="432"/>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one of our customers or distributors with respect to TI-consigned inventory;</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our detriment, or the loss of significant distributors;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distributor and other customer inventory adjustments;</w:t>
      </w:r>
    </w:p>
    <w:p>
      <w:pPr>
        <w:spacing w:after="0" w:line="117" w:lineRule="exact"/>
        <w:rPr>
          <w:rFonts w:ascii="Times New Roman" w:cs="Times New Roman" w:eastAsia="Times New Roman" w:hAnsi="Times New Roman"/>
          <w:sz w:val="18"/>
          <w:szCs w:val="18"/>
          <w:color w:val="auto"/>
        </w:rPr>
      </w:pPr>
    </w:p>
    <w:p>
      <w:pPr>
        <w:ind w:left="440" w:right="460" w:hanging="432"/>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3" w:lineRule="exact"/>
        <w:rPr>
          <w:rFonts w:ascii="Times New Roman" w:cs="Times New Roman" w:eastAsia="Times New Roman" w:hAnsi="Times New Roman"/>
          <w:sz w:val="18"/>
          <w:szCs w:val="18"/>
          <w:color w:val="auto"/>
        </w:rPr>
      </w:pPr>
    </w:p>
    <w:p>
      <w:pPr>
        <w:ind w:left="440" w:right="400" w:hanging="432"/>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53" w:lineRule="exact"/>
        <w:rPr>
          <w:rFonts w:ascii="Times New Roman" w:cs="Times New Roman" w:eastAsia="Times New Roman" w:hAnsi="Times New Roman"/>
          <w:sz w:val="18"/>
          <w:szCs w:val="18"/>
          <w:color w:val="auto"/>
        </w:rPr>
      </w:pPr>
    </w:p>
    <w:p>
      <w:pPr>
        <w:ind w:left="440" w:right="820" w:hanging="432"/>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5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care and pension benefit costs;</w:t>
      </w:r>
    </w:p>
    <w:p>
      <w:pPr>
        <w:spacing w:after="0" w:line="11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engineering, management and technical personnel, and effectively manage key employee succession;</w:t>
      </w:r>
    </w:p>
    <w:p>
      <w:pPr>
        <w:spacing w:after="0" w:line="117" w:lineRule="exact"/>
        <w:rPr>
          <w:rFonts w:ascii="Times New Roman" w:cs="Times New Roman" w:eastAsia="Times New Roman" w:hAnsi="Times New Roman"/>
          <w:sz w:val="18"/>
          <w:szCs w:val="18"/>
          <w:color w:val="auto"/>
        </w:rPr>
      </w:pPr>
    </w:p>
    <w:p>
      <w:pPr>
        <w:ind w:left="440" w:right="500" w:hanging="432"/>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5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Texas Instruments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Texas Instruments Incorporated (TI) is a global semiconductor design and manufacturing company that develops analog integrated circuits and embedded processors. By employing the world’s brightest minds, TI creates innovations that shape the future of technology. TI is helping approximately 100,000 customers transform the future, today. Learn more at </w:t>
      </w:r>
      <w:r>
        <w:rPr>
          <w:rFonts w:ascii="Times New Roman" w:cs="Times New Roman" w:eastAsia="Times New Roman" w:hAnsi="Times New Roman"/>
          <w:sz w:val="18"/>
          <w:szCs w:val="18"/>
          <w:u w:val="single" w:color="auto"/>
          <w:color w:val="0000FF"/>
        </w:rPr>
        <w:t>www.ti.com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 trademarks: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trademarks are the property of their respective owners.</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2019-12-28T13:42:53Z</dcterms:created>
  <dcterms:modified xsi:type="dcterms:W3CDTF">2019-12-28T13:42:53Z</dcterms:modified>
</cp:coreProperties>
</file>