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220980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SCHEDULE 14A</w:t>
      </w:r>
    </w:p>
    <w:p>
      <w:pPr>
        <w:spacing w:after="0" w:line="230"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6"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Securities Exchange Act of 1934</w:t>
      </w:r>
    </w:p>
    <w:p>
      <w:pPr>
        <w:jc w:val="center"/>
        <w:ind w:right="-179"/>
        <w:spacing w:after="0"/>
        <w:tabs>
          <w:tab w:leader="none" w:pos="28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229235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spacing w:after="0" w:line="184" w:lineRule="exact"/>
        <w:tabs>
          <w:tab w:leader="none" w:pos="3060" w:val="left"/>
        </w:tabs>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76"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262" w:lineRule="exact"/>
        <w:rPr>
          <w:sz w:val="24"/>
          <w:szCs w:val="24"/>
          <w:color w:val="auto"/>
        </w:rPr>
      </w:pPr>
    </w:p>
    <w:p>
      <w:pPr>
        <w:ind w:left="560" w:hanging="556"/>
        <w:spacing w:after="0"/>
        <w:tabs>
          <w:tab w:leader="none" w:pos="5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06" w:lineRule="exact"/>
        <w:rPr>
          <w:rFonts w:ascii="MS PGothic" w:cs="MS PGothic" w:eastAsia="MS PGothic" w:hAnsi="MS PGothic"/>
          <w:sz w:val="16"/>
          <w:szCs w:val="16"/>
          <w:color w:val="auto"/>
        </w:rPr>
      </w:pPr>
    </w:p>
    <w:p>
      <w:pPr>
        <w:ind w:left="560" w:hanging="556"/>
        <w:spacing w:after="0"/>
        <w:tabs>
          <w:tab w:leader="none" w:pos="5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46" w:lineRule="exact"/>
        <w:rPr>
          <w:rFonts w:ascii="MS PGothic" w:cs="MS PGothic" w:eastAsia="MS PGothic" w:hAnsi="MS PGothic"/>
          <w:sz w:val="16"/>
          <w:szCs w:val="16"/>
          <w:color w:val="auto"/>
        </w:rPr>
      </w:pPr>
    </w:p>
    <w:p>
      <w:pPr>
        <w:ind w:left="560" w:hanging="556"/>
        <w:spacing w:after="0"/>
        <w:tabs>
          <w:tab w:leader="none" w:pos="5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27" w:lineRule="exact"/>
        <w:rPr>
          <w:sz w:val="24"/>
          <w:szCs w:val="24"/>
          <w:color w:val="auto"/>
        </w:rPr>
      </w:pPr>
    </w:p>
    <w:p>
      <w:pPr>
        <w:ind w:left="560" w:hanging="556"/>
        <w:spacing w:after="0"/>
        <w:tabs>
          <w:tab w:leader="none" w:pos="5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27" w:lineRule="exact"/>
        <w:rPr>
          <w:sz w:val="24"/>
          <w:szCs w:val="24"/>
          <w:color w:val="auto"/>
        </w:rPr>
      </w:pPr>
    </w:p>
    <w:p>
      <w:pPr>
        <w:ind w:left="560" w:hanging="556"/>
        <w:spacing w:after="0"/>
        <w:tabs>
          <w:tab w:leader="none" w:pos="5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 240.14a-12</w:t>
      </w:r>
    </w:p>
    <w:p>
      <w:pPr>
        <w:spacing w:after="0" w:line="175" w:lineRule="exact"/>
        <w:rPr>
          <w:sz w:val="24"/>
          <w:szCs w:val="24"/>
          <w:color w:val="auto"/>
        </w:rPr>
      </w:pPr>
    </w:p>
    <w:p>
      <w:pPr>
        <w:jc w:val="center"/>
        <w:ind w:right="-179"/>
        <w:spacing w:after="0"/>
        <w:rPr>
          <w:sz w:val="20"/>
          <w:szCs w:val="20"/>
          <w:color w:val="auto"/>
        </w:rPr>
      </w:pPr>
      <w:r>
        <w:rPr>
          <w:rFonts w:ascii="Arial" w:cs="Arial" w:eastAsia="Arial" w:hAnsi="Arial"/>
          <w:sz w:val="40"/>
          <w:szCs w:val="40"/>
          <w:b w:val="1"/>
          <w:bCs w:val="1"/>
          <w:color w:val="auto"/>
        </w:rPr>
        <w:t>Texas Instruments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6997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9"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6997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ind w:left="308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32"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pacing w:after="0" w:line="221" w:lineRule="exact"/>
        <w:rPr>
          <w:sz w:val="24"/>
          <w:szCs w:val="24"/>
          <w:color w:val="auto"/>
        </w:rPr>
      </w:pPr>
    </w:p>
    <w:p>
      <w:pPr>
        <w:ind w:left="580" w:hanging="576"/>
        <w:spacing w:after="0"/>
        <w:tabs>
          <w:tab w:leader="none" w:pos="58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35" w:lineRule="exact"/>
        <w:rPr>
          <w:sz w:val="24"/>
          <w:szCs w:val="24"/>
          <w:color w:val="auto"/>
        </w:rPr>
      </w:pPr>
    </w:p>
    <w:p>
      <w:pPr>
        <w:ind w:left="580" w:hanging="576"/>
        <w:spacing w:after="0"/>
        <w:tabs>
          <w:tab w:leader="none" w:pos="5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234" w:lineRule="exact"/>
        <w:rPr>
          <w:rFonts w:ascii="MS PGothic" w:cs="MS PGothic" w:eastAsia="MS PGothic" w:hAnsi="MS PGothic"/>
          <w:sz w:val="16"/>
          <w:szCs w:val="16"/>
          <w:color w:val="auto"/>
        </w:rPr>
      </w:pPr>
    </w:p>
    <w:p>
      <w:pPr>
        <w:ind w:left="1120" w:hanging="549"/>
        <w:spacing w:after="0"/>
        <w:tabs>
          <w:tab w:leader="none" w:pos="1120"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the transaction applies:</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1120" w:hanging="549"/>
        <w:spacing w:after="0"/>
        <w:tabs>
          <w:tab w:leader="none" w:pos="1120"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the transaction applies:</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1120" w:right="20" w:hanging="549"/>
        <w:spacing w:after="0" w:line="260" w:lineRule="auto"/>
        <w:tabs>
          <w:tab w:leader="none" w:pos="1120"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the transaction computed pursuant to Exchange Act Rule 0-11 (set forth the amount on which the filing fee is calculated and state how it was determined):</w:t>
      </w:r>
    </w:p>
    <w:p>
      <w:pPr>
        <w:spacing w:after="0" w:line="200" w:lineRule="exact"/>
        <w:rPr>
          <w:rFonts w:ascii="Arial" w:cs="Arial" w:eastAsia="Arial" w:hAnsi="Arial"/>
          <w:sz w:val="16"/>
          <w:szCs w:val="16"/>
          <w:color w:val="auto"/>
        </w:rPr>
      </w:pPr>
    </w:p>
    <w:p>
      <w:pPr>
        <w:spacing w:after="0" w:line="306" w:lineRule="exact"/>
        <w:rPr>
          <w:rFonts w:ascii="Arial" w:cs="Arial" w:eastAsia="Arial" w:hAnsi="Arial"/>
          <w:sz w:val="16"/>
          <w:szCs w:val="16"/>
          <w:color w:val="auto"/>
        </w:rPr>
      </w:pPr>
    </w:p>
    <w:p>
      <w:pPr>
        <w:ind w:left="1120" w:hanging="549"/>
        <w:spacing w:after="0"/>
        <w:tabs>
          <w:tab w:leader="none" w:pos="1120"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the transaction:</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1120" w:hanging="549"/>
        <w:spacing w:after="0"/>
        <w:tabs>
          <w:tab w:leader="none" w:pos="1120"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61" w:lineRule="exact"/>
        <w:rPr>
          <w:rFonts w:ascii="Arial" w:cs="Arial" w:eastAsia="Arial" w:hAnsi="Arial"/>
          <w:sz w:val="16"/>
          <w:szCs w:val="16"/>
          <w:color w:val="auto"/>
        </w:rPr>
      </w:pPr>
    </w:p>
    <w:p>
      <w:pPr>
        <w:ind w:left="580" w:hanging="576"/>
        <w:spacing w:after="0"/>
        <w:tabs>
          <w:tab w:leader="none" w:pos="5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342" w:lineRule="exact"/>
        <w:rPr>
          <w:rFonts w:ascii="MS PGothic" w:cs="MS PGothic" w:eastAsia="MS PGothic" w:hAnsi="MS PGothic"/>
          <w:sz w:val="16"/>
          <w:szCs w:val="16"/>
          <w:color w:val="auto"/>
        </w:rPr>
      </w:pPr>
    </w:p>
    <w:p>
      <w:pPr>
        <w:ind w:left="580" w:hanging="576"/>
        <w:spacing w:after="0" w:line="260" w:lineRule="auto"/>
        <w:tabs>
          <w:tab w:leader="none" w:pos="5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5" w:lineRule="exact"/>
        <w:rPr>
          <w:rFonts w:ascii="MS PGothic" w:cs="MS PGothic" w:eastAsia="MS PGothic" w:hAnsi="MS PGothic"/>
          <w:sz w:val="16"/>
          <w:szCs w:val="16"/>
          <w:color w:val="auto"/>
        </w:rPr>
      </w:pPr>
    </w:p>
    <w:p>
      <w:pPr>
        <w:ind w:left="1120" w:hanging="549"/>
        <w:spacing w:after="0"/>
        <w:tabs>
          <w:tab w:leader="none" w:pos="1120"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1120" w:hanging="549"/>
        <w:spacing w:after="0"/>
        <w:tabs>
          <w:tab w:leader="none" w:pos="1120"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709930</wp:posOffset>
            </wp:positionH>
            <wp:positionV relativeFrom="paragraph">
              <wp:posOffset>-3384550</wp:posOffset>
            </wp:positionV>
            <wp:extent cx="6294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-2930525</wp:posOffset>
            </wp:positionV>
            <wp:extent cx="6294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-2355850</wp:posOffset>
            </wp:positionV>
            <wp:extent cx="6294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-1901190</wp:posOffset>
            </wp:positionV>
            <wp:extent cx="62947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-1506855</wp:posOffset>
            </wp:positionV>
            <wp:extent cx="62947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-134620</wp:posOffset>
            </wp:positionV>
            <wp:extent cx="62947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319405</wp:posOffset>
            </wp:positionV>
            <wp:extent cx="62947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4755" cy="8890"/>
                    </a:xfrm>
                    <a:prstGeom prst="rect">
                      <a:avLst/>
                    </a:prstGeom>
                    <a:noFill/>
                  </pic:spPr>
                </pic:pic>
              </a:graphicData>
            </a:graphic>
          </wp:anchor>
        </w:drawing>
      </w:r>
    </w:p>
    <w:p>
      <w:pPr>
        <w:sectPr>
          <w:pgSz w:w="11900" w:h="16838" w:orient="portrait"/>
          <w:cols w:equalWidth="0" w:num="1">
            <w:col w:w="10840"/>
          </w:cols>
          <w:pgMar w:left="440" w:top="522" w:right="619" w:bottom="552" w:gutter="0" w:footer="0" w:header="0"/>
        </w:sectPr>
      </w:pPr>
    </w:p>
    <w:bookmarkStart w:id="1" w:name="page2"/>
    <w:bookmarkEnd w:id="1"/>
    <w:p>
      <w:pPr>
        <w:ind w:left="549" w:hanging="549"/>
        <w:spacing w:after="0"/>
        <w:tabs>
          <w:tab w:leader="none" w:pos="549" w:val="left"/>
        </w:tabs>
        <w:numPr>
          <w:ilvl w:val="0"/>
          <w:numId w:val="6"/>
        </w:numPr>
        <w:rPr>
          <w:rFonts w:ascii="Arial" w:cs="Arial" w:eastAsia="Arial" w:hAnsi="Arial"/>
          <w:sz w:val="15"/>
          <w:szCs w:val="15"/>
          <w:color w:val="auto"/>
        </w:rPr>
      </w:pPr>
      <w:r>
        <w:rPr>
          <w:rFonts w:ascii="Arial" w:cs="Arial" w:eastAsia="Arial" w:hAnsi="Arial"/>
          <w:sz w:val="15"/>
          <w:szCs w:val="15"/>
          <w:color w:val="auto"/>
        </w:rPr>
        <w:t>Filing Party:</w:t>
      </w:r>
    </w:p>
    <w:p>
      <w:pPr>
        <w:spacing w:after="0" w:line="200" w:lineRule="exact"/>
        <w:rPr>
          <w:rFonts w:ascii="Arial" w:cs="Arial" w:eastAsia="Arial" w:hAnsi="Arial"/>
          <w:sz w:val="15"/>
          <w:szCs w:val="15"/>
          <w:color w:val="auto"/>
        </w:rPr>
      </w:pPr>
    </w:p>
    <w:p>
      <w:pPr>
        <w:spacing w:after="0" w:line="343" w:lineRule="exact"/>
        <w:rPr>
          <w:rFonts w:ascii="Arial" w:cs="Arial" w:eastAsia="Arial" w:hAnsi="Arial"/>
          <w:sz w:val="15"/>
          <w:szCs w:val="15"/>
          <w:color w:val="auto"/>
        </w:rPr>
      </w:pPr>
    </w:p>
    <w:p>
      <w:pPr>
        <w:ind w:left="549" w:hanging="549"/>
        <w:spacing w:after="0"/>
        <w:tabs>
          <w:tab w:leader="none" w:pos="549"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-134620</wp:posOffset>
            </wp:positionV>
            <wp:extent cx="62947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347345</wp:posOffset>
            </wp:positionH>
            <wp:positionV relativeFrom="paragraph">
              <wp:posOffset>319405</wp:posOffset>
            </wp:positionV>
            <wp:extent cx="62947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-354965</wp:posOffset>
            </wp:positionH>
            <wp:positionV relativeFrom="paragraph">
              <wp:posOffset>499745</wp:posOffset>
            </wp:positionV>
            <wp:extent cx="6997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-354965</wp:posOffset>
            </wp:positionH>
            <wp:positionV relativeFrom="paragraph">
              <wp:posOffset>542290</wp:posOffset>
            </wp:positionV>
            <wp:extent cx="6997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9448"/>
          </w:cols>
          <w:pgMar w:left="1011" w:top="155" w:right="1440" w:bottom="1440" w:gutter="0" w:footer="0" w:header="0"/>
        </w:sectPr>
      </w:pPr>
    </w:p>
    <w:bookmarkStart w:id="2" w:name="page3"/>
    <w:bookmarkEnd w:id="2"/>
    <w:p>
      <w:pPr>
        <w:jc w:val="center"/>
        <w:ind w:left="2340" w:right="270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 Exercise Your </w:t>
      </w:r>
      <w:r>
        <w:rPr>
          <w:rFonts w:ascii="Arial" w:cs="Arial" w:eastAsia="Arial" w:hAnsi="Arial"/>
          <w:sz w:val="18"/>
          <w:szCs w:val="18"/>
          <w:b w:val="1"/>
          <w:bCs w:val="1"/>
          <w:i w:val="1"/>
          <w:iCs w:val="1"/>
          <w:color w:val="auto"/>
        </w:rPr>
        <w:t>Right</w:t>
      </w:r>
      <w:r>
        <w:rPr>
          <w:rFonts w:ascii="Arial" w:cs="Arial" w:eastAsia="Arial" w:hAnsi="Arial"/>
          <w:sz w:val="18"/>
          <w:szCs w:val="18"/>
          <w:b w:val="1"/>
          <w:bCs w:val="1"/>
          <w:color w:val="auto"/>
        </w:rPr>
        <w:t xml:space="preserve"> to Vote *** Important Notice Regarding the Availability of Proxy Materials for the Shareholder Meeting to Be Held on April 26,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3282315</wp:posOffset>
            </wp:positionH>
            <wp:positionV relativeFrom="paragraph">
              <wp:posOffset>174625</wp:posOffset>
            </wp:positionV>
            <wp:extent cx="3481705" cy="16294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81705" cy="1629410"/>
                    </a:xfrm>
                    <a:prstGeom prst="rect">
                      <a:avLst/>
                    </a:prstGeom>
                    <a:noFill/>
                  </pic:spPr>
                </pic:pic>
              </a:graphicData>
            </a:graphic>
          </wp:anchor>
        </w:drawing>
      </w:r>
    </w:p>
    <w:p>
      <w:pPr>
        <w:sectPr>
          <w:pgSz w:w="11900" w:h="16838" w:orient="portrait"/>
          <w:cols w:equalWidth="0" w:num="1">
            <w:col w:w="10480"/>
          </w:cols>
          <w:pgMar w:left="900" w:top="270" w:right="51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TEXAS INSTRUMENTS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1158240</wp:posOffset>
            </wp:positionV>
            <wp:extent cx="1355090" cy="4629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5509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1320"/>
        <w:spacing w:after="0" w:line="256" w:lineRule="auto"/>
        <w:rPr>
          <w:sz w:val="20"/>
          <w:szCs w:val="20"/>
          <w:color w:val="auto"/>
        </w:rPr>
      </w:pPr>
      <w:r>
        <w:rPr>
          <w:rFonts w:ascii="Arial" w:cs="Arial" w:eastAsia="Arial" w:hAnsi="Arial"/>
          <w:sz w:val="18"/>
          <w:szCs w:val="18"/>
          <w:i w:val="1"/>
          <w:iCs w:val="1"/>
          <w:color w:val="auto"/>
        </w:rPr>
        <w:t>TEXAS INSTRUMENTS INCORPORATED ATTN: JANE NAHRA P.O. BOX 655474</w:t>
      </w:r>
    </w:p>
    <w:p>
      <w:pPr>
        <w:spacing w:after="0"/>
        <w:rPr>
          <w:sz w:val="20"/>
          <w:szCs w:val="20"/>
          <w:color w:val="auto"/>
        </w:rPr>
      </w:pPr>
      <w:r>
        <w:rPr>
          <w:rFonts w:ascii="Arial" w:cs="Arial" w:eastAsia="Arial" w:hAnsi="Arial"/>
          <w:sz w:val="18"/>
          <w:szCs w:val="18"/>
          <w:i w:val="1"/>
          <w:iCs w:val="1"/>
          <w:color w:val="auto"/>
        </w:rPr>
        <w:t>MS 3999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DALLAS, TX 75265-5474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760730</wp:posOffset>
            </wp:positionV>
            <wp:extent cx="60325" cy="5829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25" cy="5829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line="1" w:lineRule="exact"/>
        <w:rPr>
          <w:sz w:val="1"/>
          <w:szCs w:val="1"/>
          <w:color w:val="auto"/>
        </w:rPr>
      </w:pPr>
    </w:p>
    <w:tbl>
      <w:tblPr>
        <w:tblLayout w:type="fixed"/>
        <w:tblInd w:w="160" w:type="dxa"/>
        <w:tblCellMar>
          <w:top w:w="0" w:type="dxa"/>
          <w:left w:w="0" w:type="dxa"/>
          <w:bottom w:w="0" w:type="dxa"/>
          <w:right w:w="0" w:type="dxa"/>
        </w:tblCellMar>
      </w:tblPr>
      <w:tr>
        <w:trPr>
          <w:trHeight w:val="207"/>
        </w:trPr>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Meeting Information</w:t>
            </w:r>
          </w:p>
        </w:tc>
      </w:tr>
      <w:tr>
        <w:trPr>
          <w:trHeight w:val="367"/>
        </w:trPr>
        <w:tc>
          <w:tcPr>
            <w:tcW w:w="1320" w:type="dxa"/>
            <w:vAlign w:val="bottom"/>
          </w:tcPr>
          <w:p>
            <w:pPr>
              <w:spacing w:after="0"/>
              <w:rPr>
                <w:sz w:val="20"/>
                <w:szCs w:val="20"/>
                <w:color w:val="auto"/>
              </w:rPr>
            </w:pPr>
            <w:r>
              <w:rPr>
                <w:rFonts w:ascii="Arial" w:cs="Arial" w:eastAsia="Arial" w:hAnsi="Arial"/>
                <w:sz w:val="18"/>
                <w:szCs w:val="18"/>
                <w:b w:val="1"/>
                <w:bCs w:val="1"/>
                <w:color w:val="auto"/>
              </w:rPr>
              <w:t>Meeting Type:</w:t>
            </w:r>
          </w:p>
        </w:tc>
        <w:tc>
          <w:tcPr>
            <w:tcW w:w="2100" w:type="dxa"/>
            <w:vAlign w:val="bottom"/>
            <w:gridSpan w:val="2"/>
          </w:tcPr>
          <w:p>
            <w:pPr>
              <w:ind w:left="180"/>
              <w:spacing w:after="0"/>
              <w:rPr>
                <w:sz w:val="20"/>
                <w:szCs w:val="20"/>
                <w:color w:val="auto"/>
              </w:rPr>
            </w:pPr>
            <w:r>
              <w:rPr>
                <w:rFonts w:ascii="Arial" w:cs="Arial" w:eastAsia="Arial" w:hAnsi="Arial"/>
                <w:sz w:val="18"/>
                <w:szCs w:val="18"/>
                <w:color w:val="auto"/>
              </w:rPr>
              <w:t>Annual Meeting</w:t>
            </w:r>
          </w:p>
        </w:tc>
      </w:tr>
      <w:tr>
        <w:trPr>
          <w:trHeight w:val="216"/>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For holders as of:  </w:t>
            </w:r>
            <w:r>
              <w:rPr>
                <w:rFonts w:ascii="Arial" w:cs="Arial" w:eastAsia="Arial" w:hAnsi="Arial"/>
                <w:sz w:val="18"/>
                <w:szCs w:val="18"/>
                <w:color w:val="auto"/>
              </w:rPr>
              <w:t>February 26, 2018</w:t>
            </w:r>
          </w:p>
        </w:tc>
      </w:tr>
      <w:tr>
        <w:trPr>
          <w:trHeight w:val="234"/>
        </w:trPr>
        <w:tc>
          <w:tcPr>
            <w:tcW w:w="18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April 26, 2018</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9"/>
              </w:rPr>
              <w:t xml:space="preserve">Time:  </w:t>
            </w:r>
            <w:r>
              <w:rPr>
                <w:rFonts w:ascii="Arial" w:cs="Arial" w:eastAsia="Arial" w:hAnsi="Arial"/>
                <w:sz w:val="18"/>
                <w:szCs w:val="18"/>
                <w:color w:val="auto"/>
                <w:w w:val="99"/>
              </w:rPr>
              <w:t>8:30 a.m.</w:t>
            </w:r>
          </w:p>
        </w:tc>
      </w:tr>
    </w:tbl>
    <w:p>
      <w:pPr>
        <w:ind w:left="160"/>
        <w:spacing w:after="0"/>
        <w:tabs>
          <w:tab w:leader="none" w:pos="1120" w:val="left"/>
        </w:tabs>
        <w:rPr>
          <w:sz w:val="20"/>
          <w:szCs w:val="20"/>
          <w:color w:val="auto"/>
        </w:rPr>
      </w:pPr>
      <w:r>
        <w:rPr>
          <w:rFonts w:ascii="Arial" w:cs="Arial" w:eastAsia="Arial" w:hAnsi="Arial"/>
          <w:sz w:val="18"/>
          <w:szCs w:val="18"/>
          <w:b w:val="1"/>
          <w:bCs w:val="1"/>
          <w:color w:val="auto"/>
        </w:rPr>
        <w:t>Location:</w:t>
      </w:r>
      <w:r>
        <w:rPr>
          <w:sz w:val="20"/>
          <w:szCs w:val="20"/>
          <w:color w:val="auto"/>
        </w:rPr>
        <w:tab/>
      </w:r>
      <w:r>
        <w:rPr>
          <w:rFonts w:ascii="Arial" w:cs="Arial" w:eastAsia="Arial" w:hAnsi="Arial"/>
          <w:sz w:val="18"/>
          <w:szCs w:val="18"/>
          <w:color w:val="auto"/>
        </w:rPr>
        <w:t>Texas Instruments Incorporated</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12500 TI Boulevard</w:t>
      </w:r>
    </w:p>
    <w:p>
      <w:pPr>
        <w:spacing w:after="0" w:line="9" w:lineRule="exact"/>
        <w:rPr>
          <w:sz w:val="20"/>
          <w:szCs w:val="20"/>
          <w:color w:val="auto"/>
        </w:rPr>
      </w:pPr>
    </w:p>
    <w:p>
      <w:pPr>
        <w:jc w:val="center"/>
        <w:ind w:right="1540"/>
        <w:spacing w:after="0"/>
        <w:rPr>
          <w:sz w:val="20"/>
          <w:szCs w:val="20"/>
          <w:color w:val="auto"/>
        </w:rPr>
      </w:pPr>
      <w:r>
        <w:rPr>
          <w:rFonts w:ascii="Arial" w:cs="Arial" w:eastAsia="Arial" w:hAnsi="Arial"/>
          <w:sz w:val="18"/>
          <w:szCs w:val="18"/>
          <w:color w:val="auto"/>
        </w:rPr>
        <w:t>Dallas, Texas 75243</w:t>
      </w:r>
    </w:p>
    <w:p>
      <w:pPr>
        <w:spacing w:after="0" w:line="9" w:lineRule="exact"/>
        <w:rPr>
          <w:sz w:val="20"/>
          <w:szCs w:val="20"/>
          <w:color w:val="auto"/>
        </w:rPr>
      </w:pPr>
    </w:p>
    <w:p>
      <w:pPr>
        <w:jc w:val="both"/>
        <w:ind w:left="160"/>
        <w:spacing w:after="0" w:line="311" w:lineRule="auto"/>
        <w:rPr>
          <w:sz w:val="20"/>
          <w:szCs w:val="20"/>
          <w:color w:val="auto"/>
        </w:rPr>
      </w:pPr>
      <w:r>
        <w:rPr>
          <w:rFonts w:ascii="Arial" w:cs="Arial" w:eastAsia="Arial" w:hAnsi="Arial"/>
          <w:sz w:val="16"/>
          <w:szCs w:val="16"/>
          <w:color w:val="auto"/>
        </w:rPr>
        <w:t>See page 55 of the Proxy Statement (available at www.proxyvote.com) for directions to the meeting location. To attend the annual meeting you must request an advance registration form at www.proxyvote.com</w:t>
      </w:r>
    </w:p>
    <w:p>
      <w:pPr>
        <w:spacing w:after="0" w:line="16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You are receiving this communication because you hold shares in the company named above.</w:t>
      </w:r>
    </w:p>
    <w:p>
      <w:pPr>
        <w:spacing w:after="0" w:line="85"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 xml:space="preserve">This is not a ballot. </w:t>
      </w:r>
      <w:r>
        <w:rPr>
          <w:rFonts w:ascii="Arial" w:cs="Arial" w:eastAsia="Arial" w:hAnsi="Arial"/>
          <w:sz w:val="16"/>
          <w:szCs w:val="16"/>
          <w:b w:val="1"/>
          <w:bCs w:val="1"/>
          <w:color w:val="auto"/>
        </w:rPr>
        <w:t>You cannot use this notice to vote these shares.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This communication presents only an overview of the more complete proxy materials that are available to you on the Internet. You may view the proxy materials online at </w:t>
      </w:r>
      <w:r>
        <w:rPr>
          <w:rFonts w:ascii="Arial" w:cs="Arial" w:eastAsia="Arial" w:hAnsi="Arial"/>
          <w:sz w:val="16"/>
          <w:szCs w:val="16"/>
          <w:b w:val="1"/>
          <w:bCs w:val="1"/>
          <w:i w:val="1"/>
          <w:iCs w:val="1"/>
          <w:color w:val="auto"/>
        </w:rPr>
        <w:t>www.proxyvote.com</w:t>
      </w:r>
      <w:r>
        <w:rPr>
          <w:rFonts w:ascii="Arial" w:cs="Arial" w:eastAsia="Arial" w:hAnsi="Arial"/>
          <w:sz w:val="16"/>
          <w:szCs w:val="16"/>
          <w:b w:val="1"/>
          <w:bCs w:val="1"/>
          <w:color w:val="auto"/>
        </w:rPr>
        <w:t xml:space="preserve"> or easily request a paper copy (see reverse side).</w:t>
      </w:r>
    </w:p>
    <w:p>
      <w:pPr>
        <w:spacing w:after="0" w:line="73" w:lineRule="exact"/>
        <w:rPr>
          <w:sz w:val="20"/>
          <w:szCs w:val="20"/>
          <w:color w:val="auto"/>
        </w:rPr>
      </w:pPr>
    </w:p>
    <w:p>
      <w:pPr>
        <w:jc w:val="both"/>
        <w:ind w:right="760"/>
        <w:spacing w:after="0" w:line="347" w:lineRule="auto"/>
        <w:rPr>
          <w:sz w:val="20"/>
          <w:szCs w:val="20"/>
          <w:color w:val="auto"/>
        </w:rPr>
      </w:pPr>
      <w:r>
        <w:rPr>
          <w:rFonts w:ascii="Arial" w:cs="Arial" w:eastAsia="Arial" w:hAnsi="Arial"/>
          <w:sz w:val="16"/>
          <w:szCs w:val="16"/>
          <w:b w:val="1"/>
          <w:bCs w:val="1"/>
          <w:color w:val="auto"/>
        </w:rPr>
        <w:t>We encourage you to access and review all of the important information contained in the proxy materials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8255</wp:posOffset>
            </wp:positionV>
            <wp:extent cx="3404870" cy="3346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04870" cy="334645"/>
                    </a:xfrm>
                    <a:prstGeom prst="rect">
                      <a:avLst/>
                    </a:prstGeom>
                    <a:noFill/>
                  </pic:spPr>
                </pic:pic>
              </a:graphicData>
            </a:graphic>
          </wp:anchor>
        </w:drawing>
      </w:r>
    </w:p>
    <w:p>
      <w:pPr>
        <w:spacing w:after="0" w:line="15" w:lineRule="exact"/>
        <w:rPr>
          <w:sz w:val="20"/>
          <w:szCs w:val="20"/>
          <w:color w:val="auto"/>
        </w:rPr>
      </w:pPr>
    </w:p>
    <w:p>
      <w:pPr>
        <w:ind w:left="100" w:right="1480"/>
        <w:spacing w:after="0" w:line="282" w:lineRule="auto"/>
        <w:rPr>
          <w:sz w:val="20"/>
          <w:szCs w:val="20"/>
          <w:color w:val="auto"/>
        </w:rPr>
      </w:pPr>
      <w:r>
        <w:rPr>
          <w:rFonts w:ascii="Arial" w:cs="Arial" w:eastAsia="Arial" w:hAnsi="Arial"/>
          <w:sz w:val="18"/>
          <w:szCs w:val="18"/>
          <w:b w:val="1"/>
          <w:bCs w:val="1"/>
          <w:color w:val="FFFFFF"/>
        </w:rPr>
        <w:t>See the reverse side of this notice to obtain proxy materials and voting instructions.</w:t>
      </w:r>
    </w:p>
    <w:p>
      <w:pPr>
        <w:sectPr>
          <w:pgSz w:w="11900" w:h="16838" w:orient="portrait"/>
          <w:cols w:equalWidth="0" w:num="2">
            <w:col w:w="4440" w:space="720"/>
            <w:col w:w="5320"/>
          </w:cols>
          <w:pgMar w:left="900" w:top="270" w:right="519" w:bottom="1440" w:gutter="0" w:footer="0" w:header="0"/>
          <w:type w:val="continuous"/>
        </w:sectPr>
      </w:pPr>
    </w:p>
    <w:bookmarkStart w:id="3" w:name="page4"/>
    <w:bookmarkEnd w:id="3"/>
    <w:p>
      <w:pPr>
        <w:jc w:val="center"/>
        <w:ind w:right="2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Before You Vote —</w:t>
      </w:r>
    </w:p>
    <w:p>
      <w:pPr>
        <w:spacing w:after="0" w:line="27"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How to Access the Proxy Materials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-127635</wp:posOffset>
            </wp:positionV>
            <wp:extent cx="6946265" cy="27870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46265" cy="2787015"/>
                    </a:xfrm>
                    <a:prstGeom prst="rect">
                      <a:avLst/>
                    </a:prstGeom>
                    <a:noFill/>
                  </pic:spPr>
                </pic:pic>
              </a:graphicData>
            </a:graphic>
          </wp:anchor>
        </w:drawing>
      </w:r>
    </w:p>
    <w:p>
      <w:pPr>
        <w:spacing w:after="0" w:line="115" w:lineRule="exact"/>
        <w:rPr>
          <w:sz w:val="20"/>
          <w:szCs w:val="20"/>
          <w:color w:val="auto"/>
        </w:rPr>
      </w:pPr>
    </w:p>
    <w:p>
      <w:pPr>
        <w:spacing w:after="0"/>
        <w:tabs>
          <w:tab w:leader="none" w:pos="3260" w:val="left"/>
        </w:tabs>
        <w:rPr>
          <w:sz w:val="20"/>
          <w:szCs w:val="20"/>
          <w:color w:val="auto"/>
        </w:rPr>
      </w:pPr>
      <w:r>
        <w:rPr>
          <w:rFonts w:ascii="Arial" w:cs="Arial" w:eastAsia="Arial" w:hAnsi="Arial"/>
          <w:sz w:val="18"/>
          <w:szCs w:val="18"/>
          <w:color w:val="auto"/>
        </w:rPr>
        <w:t>1. 2018 Notice and Proxy Statement</w:t>
      </w:r>
      <w:r>
        <w:rPr>
          <w:sz w:val="20"/>
          <w:szCs w:val="20"/>
          <w:color w:val="auto"/>
        </w:rPr>
        <w:tab/>
      </w:r>
      <w:r>
        <w:rPr>
          <w:rFonts w:ascii="Arial" w:cs="Arial" w:eastAsia="Arial" w:hAnsi="Arial"/>
          <w:sz w:val="16"/>
          <w:szCs w:val="16"/>
          <w:color w:val="auto"/>
        </w:rPr>
        <w:t>2. 2017 Annual Report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View Online:</w:t>
      </w:r>
    </w:p>
    <w:p>
      <w:pPr>
        <w:sectPr>
          <w:pgSz w:w="11900" w:h="16838" w:orient="portrait"/>
          <w:cols w:equalWidth="0" w:num="1">
            <w:col w:w="10480"/>
          </w:cols>
          <w:pgMar w:left="840" w:top="594" w:right="579" w:bottom="1440" w:gutter="0" w:footer="0" w:header="0"/>
        </w:sectPr>
      </w:pPr>
    </w:p>
    <w:p>
      <w:pPr>
        <w:spacing w:after="0" w:line="148" w:lineRule="exact"/>
        <w:rPr>
          <w:sz w:val="20"/>
          <w:szCs w:val="20"/>
          <w:color w:val="auto"/>
        </w:rPr>
      </w:pPr>
    </w:p>
    <w:p>
      <w:pPr>
        <w:ind w:right="1540"/>
        <w:spacing w:after="0" w:line="277" w:lineRule="auto"/>
        <w:rPr>
          <w:sz w:val="20"/>
          <w:szCs w:val="20"/>
          <w:color w:val="auto"/>
        </w:rPr>
      </w:pPr>
      <w:r>
        <w:rPr>
          <w:rFonts w:ascii="Arial" w:cs="Arial" w:eastAsia="Arial" w:hAnsi="Arial"/>
          <w:sz w:val="18"/>
          <w:szCs w:val="18"/>
          <w:color w:val="auto"/>
        </w:rPr>
        <w:t xml:space="preserve">Have the information that is printed in the box marked by the arrow </w:t>
      </w:r>
      <w:r>
        <w:rPr>
          <w:rFonts w:ascii="Arial" w:cs="Arial" w:eastAsia="Arial" w:hAnsi="Arial"/>
          <w:sz w:val="18"/>
          <w:szCs w:val="18"/>
          <w:i w:val="1"/>
          <w:iCs w:val="1"/>
          <w:color w:val="auto"/>
        </w:rPr>
        <w:t>www.proxyvote.com.</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(located on the following page) and visit:</w:t>
      </w:r>
    </w:p>
    <w:p>
      <w:pPr>
        <w:spacing w:after="0" w:line="734" w:lineRule="exact"/>
        <w:rPr>
          <w:sz w:val="20"/>
          <w:szCs w:val="20"/>
          <w:color w:val="auto"/>
        </w:rPr>
      </w:pPr>
    </w:p>
    <w:p>
      <w:pPr>
        <w:sectPr>
          <w:pgSz w:w="11900" w:h="16838" w:orient="portrait"/>
          <w:cols w:equalWidth="0" w:num="2">
            <w:col w:w="6420" w:space="720"/>
            <w:col w:w="3340"/>
          </w:cols>
          <w:pgMar w:left="840" w:top="594" w:right="579" w:bottom="1440" w:gutter="0" w:footer="0" w:header="0"/>
          <w:type w:val="continuous"/>
        </w:sectPr>
      </w:pPr>
    </w:p>
    <w:p>
      <w:pPr>
        <w:ind w:right="80"/>
        <w:spacing w:after="0" w:line="277" w:lineRule="auto"/>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 Please choose one of the following methods to make your request:</w:t>
      </w:r>
    </w:p>
    <w:p>
      <w:pPr>
        <w:spacing w:after="0" w:line="89" w:lineRule="exact"/>
        <w:rPr>
          <w:sz w:val="20"/>
          <w:szCs w:val="20"/>
          <w:color w:val="auto"/>
        </w:rPr>
      </w:pPr>
    </w:p>
    <w:p>
      <w:pPr>
        <w:ind w:left="1480"/>
        <w:spacing w:after="0"/>
        <w:tabs>
          <w:tab w:leader="none" w:pos="3200" w:val="left"/>
        </w:tabs>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BY INTERNET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www.proxyvote.com</w:t>
      </w:r>
    </w:p>
    <w:p>
      <w:pPr>
        <w:spacing w:after="0" w:line="23" w:lineRule="exact"/>
        <w:rPr>
          <w:sz w:val="20"/>
          <w:szCs w:val="20"/>
          <w:color w:val="auto"/>
        </w:rPr>
      </w:pPr>
    </w:p>
    <w:p>
      <w:pPr>
        <w:ind w:left="1640" w:hanging="198"/>
        <w:spacing w:after="0"/>
        <w:tabs>
          <w:tab w:leader="none" w:pos="1640"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   1-800-579-1639</w:t>
      </w:r>
    </w:p>
    <w:p>
      <w:pPr>
        <w:spacing w:after="0" w:line="22" w:lineRule="exact"/>
        <w:rPr>
          <w:rFonts w:ascii="Arial" w:cs="Arial" w:eastAsia="Arial" w:hAnsi="Arial"/>
          <w:sz w:val="18"/>
          <w:szCs w:val="18"/>
          <w:color w:val="auto"/>
        </w:rPr>
      </w:pPr>
    </w:p>
    <w:p>
      <w:pPr>
        <w:ind w:left="1640" w:hanging="198"/>
        <w:spacing w:after="0"/>
        <w:tabs>
          <w:tab w:leader="none" w:pos="1640"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r>
        <w:rPr>
          <w:rFonts w:ascii="Arial" w:cs="Arial" w:eastAsia="Arial" w:hAnsi="Arial"/>
          <w:sz w:val="16"/>
          <w:szCs w:val="16"/>
          <w:color w:val="auto"/>
        </w:rPr>
        <w:t>sendmaterial@proxyvote.com</w:t>
      </w:r>
    </w:p>
    <w:p>
      <w:pPr>
        <w:spacing w:after="0" w:line="11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If requesting materials by email, please send a blank email with the information that is printed in the box marked by the arrow</w:t>
      </w:r>
    </w:p>
    <w:p>
      <w:pPr>
        <w:spacing w:after="0" w:line="23" w:lineRule="exact"/>
        <w:rPr>
          <w:rFonts w:ascii="Arial" w:cs="Arial" w:eastAsia="Arial" w:hAnsi="Arial"/>
          <w:sz w:val="18"/>
          <w:szCs w:val="18"/>
          <w:color w:val="auto"/>
        </w:rPr>
      </w:pPr>
    </w:p>
    <w:p>
      <w:pPr>
        <w:ind w:left="180"/>
        <w:spacing w:after="0"/>
        <w:rPr>
          <w:rFonts w:ascii="Arial" w:cs="Arial" w:eastAsia="Arial" w:hAnsi="Arial"/>
          <w:sz w:val="18"/>
          <w:szCs w:val="18"/>
          <w:color w:val="auto"/>
        </w:rPr>
      </w:pPr>
      <w:r>
        <w:rPr>
          <w:rFonts w:ascii="Arial" w:cs="Arial" w:eastAsia="Arial" w:hAnsi="Arial"/>
          <w:sz w:val="1"/>
          <w:szCs w:val="1"/>
          <w:color w:val="auto"/>
        </w:rPr>
        <w:drawing>
          <wp:inline distT="0" distB="0" distL="0" distR="0">
            <wp:extent cx="1269365" cy="1028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69365" cy="10287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in the subject line.</w:t>
      </w:r>
    </w:p>
    <w:p>
      <w:pPr>
        <w:spacing w:after="0" w:line="12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 xml:space="preserve">Requests, instructions and other inquiries sent to this email address will NOT be forwarded to your investment advisor. </w:t>
      </w:r>
      <w:r>
        <w:rPr>
          <w:rFonts w:ascii="Arial" w:cs="Arial" w:eastAsia="Arial" w:hAnsi="Arial"/>
          <w:sz w:val="18"/>
          <w:szCs w:val="18"/>
          <w:b w:val="1"/>
          <w:bCs w:val="1"/>
          <w:color w:val="auto"/>
        </w:rPr>
        <w:t>Please make the request</w:t>
      </w:r>
      <w:r>
        <w:rPr>
          <w:rFonts w:ascii="Arial" w:cs="Arial" w:eastAsia="Arial" w:hAnsi="Arial"/>
          <w:sz w:val="18"/>
          <w:szCs w:val="18"/>
          <w:color w:val="auto"/>
        </w:rPr>
        <w:t xml:space="preserve"> </w:t>
      </w:r>
      <w:r>
        <w:rPr>
          <w:rFonts w:ascii="Arial" w:cs="Arial" w:eastAsia="Arial" w:hAnsi="Arial"/>
          <w:sz w:val="18"/>
          <w:szCs w:val="18"/>
          <w:b w:val="1"/>
          <w:bCs w:val="1"/>
          <w:color w:val="auto"/>
        </w:rPr>
        <w:t>as instructed above on or before April 12, 2018 to facilitate timely delivery.</w:t>
      </w:r>
    </w:p>
    <w:p>
      <w:pPr>
        <w:spacing w:after="0" w:line="25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 How To Vote —</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91440</wp:posOffset>
            </wp:positionV>
            <wp:extent cx="6946265" cy="14833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46265" cy="1483360"/>
                    </a:xfrm>
                    <a:prstGeom prst="rect">
                      <a:avLst/>
                    </a:prstGeom>
                    <a:noFill/>
                  </pic:spPr>
                </pic:pic>
              </a:graphicData>
            </a:graphic>
          </wp:anchor>
        </w:drawing>
      </w:r>
    </w:p>
    <w:p>
      <w:pPr>
        <w:spacing w:after="0" w:line="160"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If you plan to attend the annual meeting you must print your advance registration form by 11:59 p.m. April 25, 2018 at the</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 Meeting Registration site: www.proxyvote.com. If you are unable to print your advance registration form call (Toll Free) 1-844-318 -0137 or (International Toll Call) 1-925-331-6070. At the meeting you will also be required to show a government-issued photo ID and you will need to request a ballot to vote these shares.</w:t>
      </w:r>
    </w:p>
    <w:p>
      <w:pPr>
        <w:spacing w:after="0" w:line="99"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b w:val="1"/>
          <w:bCs w:val="1"/>
          <w:color w:val="auto"/>
        </w:rPr>
        <w:t xml:space="preserve">Vote By Internet: </w:t>
      </w:r>
      <w:r>
        <w:rPr>
          <w:rFonts w:ascii="Arial" w:cs="Arial" w:eastAsia="Arial" w:hAnsi="Arial"/>
          <w:sz w:val="16"/>
          <w:szCs w:val="16"/>
          <w:color w:val="auto"/>
        </w:rPr>
        <w:t>To vote now by Internet, go to</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www.proxyvote.com.</w:t>
      </w:r>
      <w:r>
        <w:rPr>
          <w:rFonts w:ascii="Arial" w:cs="Arial" w:eastAsia="Arial" w:hAnsi="Arial"/>
          <w:sz w:val="16"/>
          <w:szCs w:val="16"/>
          <w:b w:val="1"/>
          <w:bCs w:val="1"/>
          <w:color w:val="auto"/>
        </w:rPr>
        <w:t xml:space="preserve"> </w:t>
      </w:r>
      <w:r>
        <w:rPr>
          <w:rFonts w:ascii="Arial" w:cs="Arial" w:eastAsia="Arial" w:hAnsi="Arial"/>
          <w:sz w:val="16"/>
          <w:szCs w:val="16"/>
          <w:color w:val="auto"/>
        </w:rPr>
        <w:t>Have the information that is printed in the box marked by the arrow</w:t>
      </w:r>
      <w:r>
        <w:rPr>
          <w:rFonts w:ascii="Arial" w:cs="Arial" w:eastAsia="Arial" w:hAnsi="Arial"/>
          <w:sz w:val="16"/>
          <w:szCs w:val="16"/>
          <w:b w:val="1"/>
          <w:bCs w:val="1"/>
          <w:color w:val="auto"/>
        </w:rPr>
        <w:t xml:space="preserve"> </w:t>
      </w:r>
      <w:r>
        <w:rPr>
          <w:sz w:val="1"/>
          <w:szCs w:val="1"/>
          <w:color w:val="auto"/>
        </w:rPr>
        <w:drawing>
          <wp:inline distT="0" distB="0" distL="0" distR="0">
            <wp:extent cx="1269365" cy="1028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69365" cy="102870"/>
                    </a:xfrm>
                    <a:prstGeom prst="rect">
                      <a:avLst/>
                    </a:prstGeom>
                    <a:noFill/>
                    <a:ln>
                      <a:noFill/>
                    </a:ln>
                  </pic:spPr>
                </pic:pic>
              </a:graphicData>
            </a:graphic>
          </wp:inline>
        </w:drawing>
      </w:r>
      <w:r>
        <w:rPr>
          <w:rFonts w:ascii="Arial" w:cs="Arial" w:eastAsia="Arial" w:hAnsi="Arial"/>
          <w:sz w:val="16"/>
          <w:szCs w:val="16"/>
          <w:color w:val="auto"/>
        </w:rPr>
        <w:t xml:space="preserve"> (located on the following page) and follow the instructions. For registered shares, you may vote by Internet up until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-213995</wp:posOffset>
            </wp:positionV>
            <wp:extent cx="60325" cy="5829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325" cy="582930"/>
                    </a:xfrm>
                    <a:prstGeom prst="rect">
                      <a:avLst/>
                    </a:prstGeom>
                    <a:noFill/>
                  </pic:spPr>
                </pic:pic>
              </a:graphicData>
            </a:graphic>
          </wp:anchor>
        </w:drawing>
      </w:r>
    </w:p>
    <w:p>
      <w:pPr>
        <w:spacing w:after="0" w:line="261" w:lineRule="auto"/>
        <w:rPr>
          <w:sz w:val="20"/>
          <w:szCs w:val="20"/>
          <w:color w:val="auto"/>
        </w:rPr>
      </w:pPr>
      <w:r>
        <w:rPr>
          <w:rFonts w:ascii="Arial" w:cs="Arial" w:eastAsia="Arial" w:hAnsi="Arial"/>
          <w:sz w:val="18"/>
          <w:szCs w:val="18"/>
          <w:color w:val="auto"/>
        </w:rPr>
        <w:t>11:59 p.m. Eastern time on April 25, 2018. For shares allocable to a benefit plan account, voting instructions must be received no later than 11:59 p.m. Eastern time on April 23, 2018.</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Vote By Mail: </w:t>
      </w:r>
      <w:r>
        <w:rPr>
          <w:rFonts w:ascii="Arial" w:cs="Arial" w:eastAsia="Arial" w:hAnsi="Arial"/>
          <w:sz w:val="17"/>
          <w:szCs w:val="17"/>
          <w:color w:val="auto"/>
        </w:rPr>
        <w:t>You can vote by mail by requesting a paper copy of the materials (as indicated above), which will include a proxy card.</w:t>
      </w:r>
    </w:p>
    <w:p>
      <w:pPr>
        <w:sectPr>
          <w:pgSz w:w="11900" w:h="16838" w:orient="portrait"/>
          <w:cols w:equalWidth="0" w:num="1">
            <w:col w:w="10480"/>
          </w:cols>
          <w:pgMar w:left="840" w:top="594" w:right="579" w:bottom="1440" w:gutter="0" w:footer="0" w:header="0"/>
          <w:type w:val="continuous"/>
        </w:sectPr>
      </w:pPr>
    </w:p>
    <w:bookmarkStart w:id="4" w:name="page5"/>
    <w:bookmarkEnd w:id="4"/>
    <w:p>
      <w:pPr>
        <w:ind w:left="14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240093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00935" cy="171450"/>
                    </a:xfrm>
                    <a:prstGeom prst="rect">
                      <a:avLst/>
                    </a:prstGeom>
                    <a:noFill/>
                  </pic:spPr>
                </pic:pic>
              </a:graphicData>
            </a:graphic>
          </wp:anchor>
        </w:drawing>
        <w:t>Voting Items</w:t>
      </w:r>
    </w:p>
    <w:p>
      <w:pPr>
        <w:spacing w:after="0" w:line="144" w:lineRule="exact"/>
        <w:rPr>
          <w:sz w:val="20"/>
          <w:szCs w:val="20"/>
          <w:color w:val="auto"/>
        </w:rPr>
      </w:pPr>
    </w:p>
    <w:p>
      <w:pPr>
        <w:ind w:right="1200"/>
        <w:spacing w:after="0" w:line="266" w:lineRule="auto"/>
        <w:rPr>
          <w:sz w:val="20"/>
          <w:szCs w:val="20"/>
          <w:color w:val="auto"/>
        </w:rPr>
      </w:pPr>
      <w:r>
        <w:rPr>
          <w:rFonts w:ascii="Arial" w:cs="Arial" w:eastAsia="Arial" w:hAnsi="Arial"/>
          <w:sz w:val="18"/>
          <w:szCs w:val="18"/>
          <w:color w:val="auto"/>
        </w:rPr>
        <w:t xml:space="preserve">The Board of Directors recommends you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each of the nominees for Director and </w:t>
      </w:r>
      <w:r>
        <w:rPr>
          <w:rFonts w:ascii="Arial" w:cs="Arial" w:eastAsia="Arial" w:hAnsi="Arial"/>
          <w:sz w:val="18"/>
          <w:szCs w:val="18"/>
          <w:b w:val="1"/>
          <w:bCs w:val="1"/>
          <w:color w:val="auto"/>
        </w:rPr>
        <w:t>FOR</w:t>
      </w:r>
      <w:r>
        <w:rPr>
          <w:rFonts w:ascii="Arial" w:cs="Arial" w:eastAsia="Arial" w:hAnsi="Arial"/>
          <w:sz w:val="18"/>
          <w:szCs w:val="18"/>
          <w:color w:val="auto"/>
        </w:rPr>
        <w:t xml:space="preserve"> Proposals 2 through 4.</w:t>
      </w:r>
    </w:p>
    <w:p>
      <w:pPr>
        <w:spacing w:after="0" w:line="99" w:lineRule="exact"/>
        <w:rPr>
          <w:sz w:val="20"/>
          <w:szCs w:val="20"/>
          <w:color w:val="auto"/>
        </w:rPr>
      </w:pPr>
    </w:p>
    <w:p>
      <w:pPr>
        <w:ind w:left="380" w:hanging="372"/>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Election of Directors</w:t>
      </w:r>
    </w:p>
    <w:p>
      <w:pPr>
        <w:spacing w:after="0" w:line="113"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b w:val="1"/>
          <w:bCs w:val="1"/>
          <w:color w:val="auto"/>
        </w:rPr>
        <w:t>Nominees:</w:t>
      </w:r>
    </w:p>
    <w:p>
      <w:pPr>
        <w:spacing w:after="0" w:line="134"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1a.  R. W. Babb, Jr.</w:t>
      </w:r>
    </w:p>
    <w:p>
      <w:pPr>
        <w:spacing w:after="0" w:line="130"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1b.  M. A. Blinn</w:t>
      </w:r>
    </w:p>
    <w:p>
      <w:pPr>
        <w:spacing w:after="0" w:line="130"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1c.  T.M. Bluedorn</w:t>
      </w:r>
    </w:p>
    <w:p>
      <w:pPr>
        <w:spacing w:after="0" w:line="130"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1d.  D. A. Carp</w:t>
      </w:r>
    </w:p>
    <w:p>
      <w:pPr>
        <w:spacing w:after="0" w:line="130"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1e.  J.F. Clark</w:t>
      </w:r>
    </w:p>
    <w:p>
      <w:pPr>
        <w:spacing w:after="0" w:line="130"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1f.  C.S. Cox</w:t>
      </w:r>
    </w:p>
    <w:p>
      <w:pPr>
        <w:spacing w:after="0" w:line="130"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1g.  B. T. Crutcher</w:t>
      </w:r>
    </w:p>
    <w:p>
      <w:pPr>
        <w:spacing w:after="0" w:line="130"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1h.  J. M. Hobby</w:t>
      </w:r>
    </w:p>
    <w:p>
      <w:pPr>
        <w:spacing w:after="0" w:line="130"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1i.  R.Kirk</w:t>
      </w:r>
    </w:p>
    <w:p>
      <w:pPr>
        <w:spacing w:after="0" w:line="130"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1j.  P.H. Patsley</w:t>
      </w:r>
    </w:p>
    <w:p>
      <w:pPr>
        <w:spacing w:after="0" w:line="130"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1k.  R.E. Sanchez</w:t>
      </w:r>
    </w:p>
    <w:p>
      <w:pPr>
        <w:spacing w:after="0" w:line="130"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1l.  R.K.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0325" cy="5829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5829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80" w:right="700" w:hanging="372"/>
        <w:spacing w:after="0" w:line="277"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Board proposal regarding advisory approval of the Company’s executive compensation.</w:t>
      </w:r>
    </w:p>
    <w:p>
      <w:pPr>
        <w:spacing w:after="0" w:line="75" w:lineRule="exact"/>
        <w:rPr>
          <w:rFonts w:ascii="Arial" w:cs="Arial" w:eastAsia="Arial" w:hAnsi="Arial"/>
          <w:sz w:val="18"/>
          <w:szCs w:val="18"/>
          <w:color w:val="auto"/>
        </w:rPr>
      </w:pPr>
    </w:p>
    <w:p>
      <w:pPr>
        <w:ind w:left="380" w:right="620" w:hanging="372"/>
        <w:spacing w:after="0" w:line="277"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Board proposal to approve the Texas Instruments 2018 Director Compensation Plan.</w:t>
      </w:r>
    </w:p>
    <w:p>
      <w:pPr>
        <w:spacing w:after="0" w:line="75" w:lineRule="exact"/>
        <w:rPr>
          <w:rFonts w:ascii="Arial" w:cs="Arial" w:eastAsia="Arial" w:hAnsi="Arial"/>
          <w:sz w:val="18"/>
          <w:szCs w:val="18"/>
          <w:color w:val="auto"/>
        </w:rPr>
      </w:pPr>
    </w:p>
    <w:p>
      <w:pPr>
        <w:ind w:left="380" w:right="120" w:hanging="372"/>
        <w:spacing w:after="0" w:line="342" w:lineRule="auto"/>
        <w:tabs>
          <w:tab w:leader="none" w:pos="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Board proposal to ratify the appointment of Ernst &amp; Young LLP as the Company’s independent registered public accounting firm for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-2287270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0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Such other business as may properly come before the meeting or any</w:t>
      </w:r>
      <w:r>
        <w:rPr>
          <w:rFonts w:ascii="Arial" w:cs="Arial" w:eastAsia="Arial" w:hAnsi="Arial"/>
          <w:sz w:val="18"/>
          <w:szCs w:val="18"/>
          <w:b w:val="1"/>
          <w:bCs w:val="1"/>
          <w:color w:val="auto"/>
        </w:rPr>
        <w:t xml:space="preserve"> </w:t>
      </w:r>
      <w:r>
        <w:rPr>
          <w:rFonts w:ascii="Arial" w:cs="Arial" w:eastAsia="Arial" w:hAnsi="Arial"/>
          <w:sz w:val="18"/>
          <w:szCs w:val="18"/>
          <w:color w:val="auto"/>
        </w:rPr>
        <w:t>adjournment thereof.</w:t>
      </w:r>
    </w:p>
    <w:p>
      <w:pPr>
        <w:sectPr>
          <w:pgSz w:w="11900" w:h="16838" w:orient="portrait"/>
          <w:cols w:equalWidth="0" w:num="2">
            <w:col w:w="5100" w:space="720"/>
            <w:col w:w="5580"/>
          </w:cols>
          <w:pgMar w:left="240" w:top="297" w:right="259" w:bottom="1440" w:gutter="0" w:footer="0" w:header="0"/>
        </w:sectPr>
      </w:pPr>
    </w:p>
    <w:bookmarkStart w:id="5" w:name="page6"/>
    <w:bookmarkEnd w:id="5"/>
    <w:p>
      <w:pPr>
        <w:spacing w:after="0" w:line="28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303530</wp:posOffset>
            </wp:positionH>
            <wp:positionV relativeFrom="page">
              <wp:posOffset>2421255</wp:posOffset>
            </wp:positionV>
            <wp:extent cx="71005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0570" cy="26035"/>
                    </a:xfrm>
                    <a:prstGeom prst="rect">
                      <a:avLst/>
                    </a:prstGeom>
                    <a:noFill/>
                  </pic:spPr>
                </pic:pic>
              </a:graphicData>
            </a:graphic>
          </wp:anchor>
        </w:drawing>
        <w:drawing>
          <wp:anchor simplePos="0" relativeHeight="251657728" behindDoc="1" locked="0" layoutInCell="0" allowOverlap="1">
            <wp:simplePos x="0" y="0"/>
            <wp:positionH relativeFrom="page">
              <wp:posOffset>303530</wp:posOffset>
            </wp:positionH>
            <wp:positionV relativeFrom="page">
              <wp:posOffset>2481580</wp:posOffset>
            </wp:positionV>
            <wp:extent cx="71005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057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3141980</wp:posOffset>
            </wp:positionV>
            <wp:extent cx="60325" cy="5829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60325" cy="5829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lvl w:ilvl="1">
      <w:lvlJc w:val="left"/>
      <w:lvlText w:val="(%2)"/>
      <w:numFmt w:val="decimal"/>
      <w:start w:val="1"/>
    </w:lvl>
  </w:abstractNum>
  <w:abstractNum w:abstractNumId="5">
    <w:nsid w:val="79E2A9E3"/>
    <w:multiLevelType w:val="hybridMultilevel"/>
    <w:lvl w:ilvl="0">
      <w:lvlJc w:val="left"/>
      <w:lvlText w:val="(%1)"/>
      <w:numFmt w:val="decimal"/>
      <w:start w:val="3"/>
    </w:lvl>
  </w:abstractNum>
  <w:abstractNum w:abstractNumId="6">
    <w:nsid w:val="7545E146"/>
    <w:multiLevelType w:val="hybridMultilevel"/>
    <w:lvl w:ilvl="0">
      <w:lvlJc w:val="left"/>
      <w:lvlText w:val="*"/>
      <w:numFmt w:val="bullet"/>
      <w:start w:val="1"/>
    </w:lvl>
    <w:lvl w:ilvl="1">
      <w:lvlJc w:val="left"/>
      <w:lvlText w:val="%2)"/>
      <w:numFmt w:val="decimal"/>
      <w:start w:val="2"/>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2019-12-05T09:52:10Z</dcterms:created>
  <dcterms:modified xsi:type="dcterms:W3CDTF">2019-12-05T09:52:10Z</dcterms:modified>
</cp:coreProperties>
</file>