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Net Proceeds (before expenses) to TI:</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June 1, 2018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June 1, 2018</w:t>
      </w:r>
    </w:p>
    <w:p>
      <w:pPr>
        <w:spacing w:after="0" w:line="207" w:lineRule="exact"/>
        <w:rPr>
          <w:sz w:val="24"/>
          <w:szCs w:val="24"/>
          <w:color w:val="auto"/>
        </w:rPr>
      </w:pPr>
    </w:p>
    <w:p>
      <w:pPr>
        <w:jc w:val="center"/>
        <w:ind w:right="396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4"/>
          <w:szCs w:val="24"/>
          <w:color w:val="auto"/>
        </w:rPr>
      </w:pPr>
    </w:p>
    <w:p>
      <w:pPr>
        <w:ind w:left="860"/>
        <w:spacing w:after="0"/>
        <w:rPr>
          <w:sz w:val="20"/>
          <w:szCs w:val="20"/>
          <w:color w:val="auto"/>
        </w:rPr>
      </w:pPr>
      <w:r>
        <w:rPr>
          <w:rFonts w:ascii="Arial" w:cs="Arial" w:eastAsia="Arial" w:hAnsi="Arial"/>
          <w:sz w:val="18"/>
          <w:szCs w:val="18"/>
          <w:u w:val="single" w:color="auto"/>
          <w:color w:val="auto"/>
        </w:rPr>
        <w:t>4.150% Notes due 2048</w:t>
      </w:r>
    </w:p>
    <w:p>
      <w:pPr>
        <w:spacing w:after="0" w:line="36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4"/>
          <w:szCs w:val="24"/>
          <w:color w:val="auto"/>
        </w:rPr>
      </w:pPr>
    </w:p>
    <w:p>
      <w:pPr>
        <w:ind w:left="220" w:right="80"/>
        <w:spacing w:after="0" w:line="273" w:lineRule="auto"/>
        <w:rPr>
          <w:sz w:val="20"/>
          <w:szCs w:val="20"/>
          <w:color w:val="auto"/>
        </w:rPr>
      </w:pPr>
      <w:r>
        <w:rPr>
          <w:rFonts w:ascii="Arial" w:cs="Arial" w:eastAsia="Arial" w:hAnsi="Arial"/>
          <w:sz w:val="17"/>
          <w:szCs w:val="17"/>
          <w:color w:val="auto"/>
        </w:rPr>
        <w:t>$200,000,000. The 4.150% Notes due 2048 offered hereby will be a further issuance of, and form a single series with, the existing 4.150% Notes due 2048 issued by TI on May 7, 2018. The 4.150% Notes due 2048 offered hereby will have the same terms (other than issue date and price to public) and will vote together as a single class, with the same CUSIP number as, and be fungible with, the existing 4.150% Notes due 2048. Upon completion of this offering, TI will have $1.5 billion aggregate principal amount outstanding of its 4.150% Notes due 2048.</w:t>
      </w:r>
    </w:p>
    <w:p>
      <w:pPr>
        <w:spacing w:after="0" w:line="7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May 15, 2048</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4.150%</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7"/>
          <w:szCs w:val="17"/>
          <w:color w:val="auto"/>
        </w:rPr>
        <w:t>103.052% of principal amount, plus accrued interest from May 7, 2018 to the Settlement Date</w:t>
      </w:r>
    </w:p>
    <w:p>
      <w:pPr>
        <w:spacing w:after="0" w:line="12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May 15 and November 15, beginning on November 15, 2018, and on the maturity date</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30/360</w:t>
      </w:r>
    </w:p>
    <w:p>
      <w:pPr>
        <w:spacing w:after="0" w:line="117" w:lineRule="exact"/>
        <w:rPr>
          <w:sz w:val="24"/>
          <w:szCs w:val="24"/>
          <w:color w:val="auto"/>
        </w:rPr>
      </w:pPr>
    </w:p>
    <w:p>
      <w:pPr>
        <w:ind w:left="220" w:right="380"/>
        <w:spacing w:after="0" w:line="277" w:lineRule="auto"/>
        <w:rPr>
          <w:sz w:val="20"/>
          <w:szCs w:val="20"/>
          <w:color w:val="auto"/>
        </w:rPr>
      </w:pPr>
      <w:r>
        <w:rPr>
          <w:rFonts w:ascii="Arial" w:cs="Arial" w:eastAsia="Arial" w:hAnsi="Arial"/>
          <w:sz w:val="18"/>
          <w:szCs w:val="18"/>
          <w:color w:val="auto"/>
        </w:rPr>
        <w:t>$204,604,000, plus accrued interest from May 7, 2018 to the Settlement Date (in the amount of $714,722.22, assuming a settlement date of June 8, 2018)</w:t>
      </w:r>
    </w:p>
    <w:p>
      <w:pPr>
        <w:spacing w:after="0" w:line="62" w:lineRule="exact"/>
        <w:rPr>
          <w:sz w:val="24"/>
          <w:szCs w:val="24"/>
          <w:color w:val="auto"/>
        </w:rPr>
      </w:pPr>
    </w:p>
    <w:p>
      <w:pPr>
        <w:ind w:left="220"/>
        <w:spacing w:after="0"/>
        <w:rPr>
          <w:sz w:val="20"/>
          <w:szCs w:val="20"/>
          <w:color w:val="auto"/>
        </w:rPr>
      </w:pPr>
      <w:r>
        <w:rPr>
          <w:rFonts w:ascii="Arial" w:cs="Arial" w:eastAsia="Arial" w:hAnsi="Arial"/>
          <w:sz w:val="18"/>
          <w:szCs w:val="18"/>
          <w:color w:val="auto"/>
        </w:rPr>
        <w:t>3.000% due February 15, 2048</w:t>
      </w:r>
    </w:p>
    <w:p>
      <w:pPr>
        <w:sectPr>
          <w:pgSz w:w="11900" w:h="16838" w:orient="portrait"/>
          <w:cols w:equalWidth="0" w:num="2">
            <w:col w:w="3260" w:space="720"/>
            <w:col w:w="744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93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-284480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3.973%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99-05; 3.043%</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any time before November 15, 2047 (six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November 15, 2047 (six months before the maturity date), in each case discounted to the date of redemption on a semi-annual basis at the rate of Treasury plus 20 basis points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any time on or after November 15, 2047 (six months before the maturity date) at 100% of the principal amount of notes being redeemed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June 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8, 2018 (T+5)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 BD5 / US882508BD51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Moody’s: A1 (stable outlook)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5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820" w:space="720"/>
            <w:col w:w="7660"/>
          </w:cols>
          <w:pgMar w:left="240" w:top="382"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June 8, 2018,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w:t>
      </w:r>
    </w:p>
    <w:p>
      <w:pPr>
        <w:spacing w:after="0" w:line="2"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color w:val="auto"/>
        </w:rPr>
        <w:t>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and Morgan Stanley &amp; Co. LLC at (866) 718-1649.</w:t>
      </w:r>
    </w:p>
    <w:p>
      <w:pPr>
        <w:spacing w:after="0" w:line="15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2019-12-05T09:36:13Z</dcterms:created>
  <dcterms:modified xsi:type="dcterms:W3CDTF">2019-12-05T09:36:13Z</dcterms:modified>
</cp:coreProperties>
</file>