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BANKERS TRUST COMPANY</w:t>
      </w:r>
    </w:p>
    <w:p>
      <w:pPr>
        <w:spacing w:after="0" w:line="238" w:lineRule="auto"/>
        <w:rPr>
          <w:sz w:val="20"/>
          <w:szCs w:val="20"/>
          <w:color w:val="auto"/>
        </w:rPr>
      </w:pPr>
      <w:r>
        <w:rPr>
          <w:rFonts w:ascii="Courier New" w:cs="Courier New" w:eastAsia="Courier New" w:hAnsi="Courier New"/>
          <w:sz w:val="18"/>
          <w:szCs w:val="18"/>
          <w:color w:val="auto"/>
        </w:rPr>
        <w:t>One Bankers Trust Plaza</w:t>
      </w:r>
    </w:p>
    <w:p>
      <w:pPr>
        <w:spacing w:after="0"/>
        <w:tabs>
          <w:tab w:leader="none" w:pos="210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10006</w:t>
      </w:r>
    </w:p>
    <w:p>
      <w:pPr>
        <w:sectPr>
          <w:pgSz w:w="11900" w:h="16850"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Don R. De Souza</w:t>
      </w:r>
    </w:p>
    <w:p>
      <w:pPr>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Telephone: 212-250-2216</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Mailing Address:</w:t>
      </w:r>
    </w:p>
    <w:p>
      <w:pPr>
        <w:spacing w:after="0" w:line="238" w:lineRule="auto"/>
        <w:rPr>
          <w:sz w:val="20"/>
          <w:szCs w:val="20"/>
          <w:color w:val="auto"/>
        </w:rPr>
      </w:pPr>
      <w:r>
        <w:rPr>
          <w:rFonts w:ascii="Courier New" w:cs="Courier New" w:eastAsia="Courier New" w:hAnsi="Courier New"/>
          <w:sz w:val="18"/>
          <w:szCs w:val="18"/>
          <w:color w:val="auto"/>
        </w:rPr>
        <w:t>P.O. Box 318</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Church Street Station</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New York, NY 10008</w:t>
      </w:r>
    </w:p>
    <w:p>
      <w:pPr>
        <w:spacing w:after="0" w:line="200" w:lineRule="exact"/>
        <w:rPr>
          <w:sz w:val="24"/>
          <w:szCs w:val="24"/>
          <w:color w:val="auto"/>
        </w:rPr>
      </w:pPr>
    </w:p>
    <w:p>
      <w:pPr>
        <w:sectPr>
          <w:pgSz w:w="11900" w:h="16850" w:orient="portrait"/>
          <w:cols w:equalWidth="0" w:num="2">
            <w:col w:w="4880" w:space="720"/>
            <w:col w:w="4619"/>
          </w:cols>
          <w:pgMar w:left="240" w:top="244" w:right="1440" w:bottom="0" w:gutter="0" w:footer="0" w:header="0"/>
          <w:type w:val="continuous"/>
        </w:sectPr>
      </w:pPr>
    </w:p>
    <w:p>
      <w:pPr>
        <w:spacing w:after="0" w:line="209" w:lineRule="exact"/>
        <w:rPr>
          <w:sz w:val="24"/>
          <w:szCs w:val="24"/>
          <w:color w:val="auto"/>
        </w:rPr>
      </w:pPr>
    </w:p>
    <w:p>
      <w:pPr>
        <w:ind w:left="5600"/>
        <w:spacing w:after="0"/>
        <w:rPr>
          <w:sz w:val="20"/>
          <w:szCs w:val="20"/>
          <w:color w:val="auto"/>
        </w:rPr>
      </w:pPr>
      <w:r>
        <w:rPr>
          <w:rFonts w:ascii="Courier New" w:cs="Courier New" w:eastAsia="Courier New" w:hAnsi="Courier New"/>
          <w:sz w:val="16"/>
          <w:szCs w:val="16"/>
          <w:color w:val="auto"/>
        </w:rPr>
        <w:t>February 14, 1994</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SEC Document Control</w:t>
      </w:r>
    </w:p>
    <w:p>
      <w:pPr>
        <w:spacing w:after="0"/>
        <w:rPr>
          <w:sz w:val="20"/>
          <w:szCs w:val="20"/>
          <w:color w:val="auto"/>
        </w:rPr>
      </w:pPr>
      <w:r>
        <w:rPr>
          <w:rFonts w:ascii="Courier New" w:cs="Courier New" w:eastAsia="Courier New" w:hAnsi="Courier New"/>
          <w:sz w:val="18"/>
          <w:szCs w:val="18"/>
          <w:color w:val="auto"/>
        </w:rPr>
        <w:t>450 Fifth Street, N.W.</w:t>
      </w:r>
    </w:p>
    <w:p>
      <w:pPr>
        <w:spacing w:after="0"/>
        <w:tabs>
          <w:tab w:leader="none" w:pos="16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tabs>
          <w:tab w:leader="none" w:pos="72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Filing Desk</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Sirs:</w:t>
      </w:r>
    </w:p>
    <w:p>
      <w:pPr>
        <w:sectPr>
          <w:pgSz w:w="11900" w:h="16850" w:orient="portrait"/>
          <w:cols w:equalWidth="0" w:num="1">
            <w:col w:w="10219"/>
          </w:cols>
          <w:pgMar w:left="240" w:top="244" w:right="1440" w:bottom="0" w:gutter="0" w:footer="0" w:header="0"/>
          <w:type w:val="continuous"/>
        </w:sectPr>
      </w:pPr>
    </w:p>
    <w:p>
      <w:pPr>
        <w:spacing w:after="0" w:line="207"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Filing of Schedule 13G on</w:t>
      </w:r>
    </w:p>
    <w:p>
      <w:pPr>
        <w:spacing w:after="0" w:line="16"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Texas Instruments Inc.</w:t>
      </w:r>
    </w:p>
    <w:p>
      <w:pPr>
        <w:spacing w:after="0" w:line="200" w:lineRule="exact"/>
        <w:rPr>
          <w:sz w:val="24"/>
          <w:szCs w:val="24"/>
          <w:color w:val="auto"/>
        </w:rPr>
      </w:pPr>
    </w:p>
    <w:p>
      <w:pPr>
        <w:sectPr>
          <w:pgSz w:w="11900" w:h="16850" w:orient="portrait"/>
          <w:cols w:equalWidth="0" w:num="2">
            <w:col w:w="1060" w:space="220"/>
            <w:col w:w="8939"/>
          </w:cols>
          <w:pgMar w:left="240" w:top="244" w:right="1440" w:bottom="0" w:gutter="0" w:footer="0" w:header="0"/>
          <w:type w:val="continuous"/>
        </w:sectPr>
      </w:pPr>
    </w:p>
    <w:p>
      <w:pPr>
        <w:spacing w:after="0" w:line="209"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Pursuant to Rule 13d-1 of the General Rules and Regulations under the Securities Exchange Act of 1934, the following is one copy of the Schedule 13G with respect to the common stock of the above referenced corporation.</w:t>
      </w:r>
    </w:p>
    <w:p>
      <w:pPr>
        <w:spacing w:after="0" w:line="207"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Please acknowledge your receipt of the Schedule 13G filing submission through the EDGAR-Link System software, by E-Mail confirmation.</w:t>
      </w:r>
    </w:p>
    <w:p>
      <w:pPr>
        <w:spacing w:after="0" w:line="203" w:lineRule="exact"/>
        <w:rPr>
          <w:sz w:val="24"/>
          <w:szCs w:val="24"/>
          <w:color w:val="auto"/>
        </w:rPr>
      </w:pPr>
    </w:p>
    <w:p>
      <w:pPr>
        <w:ind w:left="5600"/>
        <w:spacing w:after="0"/>
        <w:rPr>
          <w:sz w:val="20"/>
          <w:szCs w:val="20"/>
          <w:color w:val="auto"/>
        </w:rPr>
      </w:pPr>
      <w:r>
        <w:rPr>
          <w:rFonts w:ascii="Courier New" w:cs="Courier New" w:eastAsia="Courier New" w:hAnsi="Courier New"/>
          <w:sz w:val="18"/>
          <w:szCs w:val="18"/>
          <w:color w:val="auto"/>
        </w:rPr>
        <w:t>Sincerely,</w:t>
      </w:r>
    </w:p>
    <w:p>
      <w:pPr>
        <w:spacing w:after="0" w:line="207" w:lineRule="exact"/>
        <w:rPr>
          <w:sz w:val="24"/>
          <w:szCs w:val="24"/>
          <w:color w:val="auto"/>
        </w:rPr>
      </w:pPr>
    </w:p>
    <w:p>
      <w:pPr>
        <w:ind w:left="5600"/>
        <w:spacing w:after="0"/>
        <w:rPr>
          <w:sz w:val="20"/>
          <w:szCs w:val="20"/>
          <w:color w:val="auto"/>
        </w:rPr>
      </w:pPr>
      <w:r>
        <w:rPr>
          <w:rFonts w:ascii="Courier New" w:cs="Courier New" w:eastAsia="Courier New" w:hAnsi="Courier New"/>
          <w:sz w:val="16"/>
          <w:szCs w:val="16"/>
          <w:color w:val="auto"/>
        </w:rPr>
        <w:t>/s/Don R. De Souza</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Enclosures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ind w:left="3060"/>
        <w:spacing w:after="0"/>
        <w:tabs>
          <w:tab w:leader="none" w:pos="494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ind w:left="3480"/>
        <w:spacing w:after="0"/>
        <w:rPr>
          <w:sz w:val="20"/>
          <w:szCs w:val="20"/>
          <w:color w:val="auto"/>
        </w:rPr>
      </w:pPr>
      <w:r>
        <w:rPr>
          <w:rFonts w:ascii="Courier New" w:cs="Courier New" w:eastAsia="Courier New" w:hAnsi="Courier New"/>
          <w:sz w:val="18"/>
          <w:szCs w:val="18"/>
          <w:color w:val="auto"/>
        </w:rPr>
        <w:t>____</w:t>
      </w:r>
    </w:p>
    <w:p>
      <w:pPr>
        <w:spacing w:after="0" w:line="200"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Texas Instruments Inc.</w:t>
      </w:r>
    </w:p>
    <w:p>
      <w:pPr>
        <w:ind w:left="212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3380"/>
        <w:spacing w:after="0"/>
        <w:rPr>
          <w:sz w:val="20"/>
          <w:szCs w:val="20"/>
          <w:color w:val="auto"/>
        </w:rPr>
      </w:pPr>
      <w:r>
        <w:rPr>
          <w:rFonts w:ascii="Courier New" w:cs="Courier New" w:eastAsia="Courier New" w:hAnsi="Courier New"/>
          <w:sz w:val="18"/>
          <w:szCs w:val="18"/>
          <w:color w:val="auto"/>
        </w:rPr>
        <w:t>NAME OF ISSUER:</w:t>
      </w:r>
    </w:p>
    <w:p>
      <w:pPr>
        <w:ind w:left="2540"/>
        <w:spacing w:after="0" w:line="237" w:lineRule="auto"/>
        <w:rPr>
          <w:sz w:val="20"/>
          <w:szCs w:val="20"/>
          <w:color w:val="auto"/>
        </w:rPr>
      </w:pPr>
      <w:r>
        <w:rPr>
          <w:rFonts w:ascii="Courier New" w:cs="Courier New" w:eastAsia="Courier New" w:hAnsi="Courier New"/>
          <w:sz w:val="18"/>
          <w:szCs w:val="18"/>
          <w:color w:val="auto"/>
        </w:rPr>
        <w:t>Common Stock (Par Value $1.00)</w:t>
      </w:r>
    </w:p>
    <w:p>
      <w:pPr>
        <w:ind w:left="212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jc w:val="center"/>
        <w:ind w:right="1999"/>
        <w:spacing w:after="0"/>
        <w:rPr>
          <w:sz w:val="20"/>
          <w:szCs w:val="20"/>
          <w:color w:val="auto"/>
        </w:rPr>
      </w:pPr>
      <w:r>
        <w:rPr>
          <w:rFonts w:ascii="Courier New" w:cs="Courier New" w:eastAsia="Courier New" w:hAnsi="Courier New"/>
          <w:sz w:val="18"/>
          <w:szCs w:val="18"/>
          <w:color w:val="auto"/>
        </w:rPr>
        <w:t>TITLE OF CLASS OF SECURITIES</w:t>
      </w:r>
    </w:p>
    <w:p>
      <w:pPr>
        <w:jc w:val="center"/>
        <w:ind w:right="1879"/>
        <w:spacing w:after="0" w:line="237" w:lineRule="auto"/>
        <w:rPr>
          <w:sz w:val="20"/>
          <w:szCs w:val="20"/>
          <w:color w:val="auto"/>
        </w:rPr>
      </w:pPr>
      <w:r>
        <w:rPr>
          <w:rFonts w:ascii="Courier New" w:cs="Courier New" w:eastAsia="Courier New" w:hAnsi="Courier New"/>
          <w:sz w:val="18"/>
          <w:szCs w:val="18"/>
          <w:color w:val="auto"/>
        </w:rPr>
        <w:t>882508104</w:t>
      </w:r>
    </w:p>
    <w:p>
      <w:pPr>
        <w:ind w:left="2120"/>
        <w:spacing w:after="0"/>
        <w:rPr>
          <w:sz w:val="20"/>
          <w:szCs w:val="20"/>
          <w:color w:val="auto"/>
        </w:rPr>
      </w:pPr>
      <w:r>
        <w:rPr>
          <w:rFonts w:ascii="Courier New" w:cs="Courier New" w:eastAsia="Courier New" w:hAnsi="Courier New"/>
          <w:sz w:val="18"/>
          <w:szCs w:val="18"/>
          <w:color w:val="auto"/>
        </w:rPr>
        <w:t>_______________________________________</w:t>
      </w:r>
    </w:p>
    <w:p>
      <w:pPr>
        <w:ind w:left="3480"/>
        <w:spacing w:after="0" w:line="237"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10" w:lineRule="exact"/>
        <w:rPr>
          <w:sz w:val="24"/>
          <w:szCs w:val="24"/>
          <w:color w:val="auto"/>
        </w:rPr>
      </w:pPr>
    </w:p>
    <w:p>
      <w:pPr>
        <w:ind w:left="740" w:right="3899"/>
        <w:spacing w:after="0" w:line="273" w:lineRule="auto"/>
        <w:rPr>
          <w:sz w:val="20"/>
          <w:szCs w:val="20"/>
          <w:color w:val="auto"/>
        </w:rPr>
      </w:pPr>
      <w:r>
        <w:rPr>
          <w:rFonts w:ascii="Courier New" w:cs="Courier New" w:eastAsia="Courier New" w:hAnsi="Courier New"/>
          <w:sz w:val="16"/>
          <w:szCs w:val="16"/>
          <w:color w:val="auto"/>
        </w:rPr>
        <w:t>Check the following box if a fee is being paid with this statement [X]. (A fee is not required only if the filing person: (1) has a previous statement on file reporting beneficial ownership of more than five percent of the class of securities described in Item</w:t>
      </w:r>
    </w:p>
    <w:p>
      <w:pPr>
        <w:sectPr>
          <w:pgSz w:w="11900" w:h="16850" w:orient="portrait"/>
          <w:cols w:equalWidth="0" w:num="1">
            <w:col w:w="10219"/>
          </w:cols>
          <w:pgMar w:left="240" w:top="244" w:right="1440" w:bottom="0" w:gutter="0" w:footer="0" w:header="0"/>
          <w:type w:val="continuous"/>
        </w:sectPr>
      </w:pPr>
    </w:p>
    <w:bookmarkStart w:id="1" w:name="page2"/>
    <w:bookmarkEnd w:id="1"/>
    <w:p>
      <w:pPr>
        <w:ind w:right="3779"/>
        <w:spacing w:after="0" w:line="236" w:lineRule="auto"/>
        <w:rPr>
          <w:sz w:val="20"/>
          <w:szCs w:val="20"/>
          <w:color w:val="auto"/>
        </w:rPr>
      </w:pPr>
      <w:r>
        <w:rPr>
          <w:rFonts w:ascii="Courier New" w:cs="Courier New" w:eastAsia="Courier New" w:hAnsi="Courier New"/>
          <w:sz w:val="18"/>
          <w:szCs w:val="18"/>
          <w:color w:val="auto"/>
        </w:rPr>
        <w:t>1; and (2) has filed no amendment subsequent thereto reporting beneficial ownership of five percent or less of such class.) (See Rule 13d-7.)</w:t>
      </w:r>
    </w:p>
    <w:p>
      <w:pPr>
        <w:spacing w:after="0" w:line="209"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0"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0"/>
          <w:szCs w:val="20"/>
          <w:color w:val="auto"/>
        </w:rPr>
      </w:pPr>
    </w:p>
    <w:p>
      <w:pPr>
        <w:spacing w:after="0" w:line="208"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Page 1 of 6 Pages</w:t>
      </w:r>
    </w:p>
    <w:p>
      <w:pPr>
        <w:sectPr>
          <w:pgSz w:w="11900" w:h="16838" w:orient="portrait"/>
          <w:cols w:equalWidth="0" w:num="1">
            <w:col w:w="9479"/>
          </w:cols>
          <w:pgMar w:left="980" w:top="1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CUSIP No. 882508104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2 of 6 Pages</w:t>
      </w:r>
    </w:p>
    <w:p>
      <w:pPr>
        <w:spacing w:after="0" w:line="200" w:lineRule="exact"/>
        <w:rPr>
          <w:sz w:val="20"/>
          <w:szCs w:val="20"/>
          <w:color w:val="auto"/>
        </w:rPr>
      </w:pPr>
    </w:p>
    <w:p>
      <w:pPr>
        <w:sectPr>
          <w:pgSz w:w="11900" w:h="16838" w:orient="portrait"/>
          <w:cols w:equalWidth="0" w:num="2">
            <w:col w:w="4880" w:space="720"/>
            <w:col w:w="4619"/>
          </w:cols>
          <w:pgMar w:left="240" w:top="520" w:right="1440" w:bottom="1440" w:gutter="0" w:footer="0" w:header="0"/>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1.NAME OF REPORTING PERSON</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S.S. OR I.R.S. IDENTIFICATION NO. OF ABOVE PERSON</w:t>
      </w:r>
    </w:p>
    <w:p>
      <w:pPr>
        <w:sectPr>
          <w:pgSz w:w="11900" w:h="16838" w:orient="portrait"/>
          <w:cols w:equalWidth="0" w:num="1">
            <w:col w:w="10219"/>
          </w:cols>
          <w:pgMar w:left="240" w:top="520" w:right="1440" w:bottom="1440" w:gutter="0" w:footer="0" w:header="0"/>
          <w:type w:val="continuous"/>
        </w:sectPr>
      </w:pPr>
    </w:p>
    <w:p>
      <w:pPr>
        <w:spacing w:after="0" w:line="224" w:lineRule="exact"/>
        <w:rPr>
          <w:sz w:val="20"/>
          <w:szCs w:val="20"/>
          <w:color w:val="auto"/>
        </w:rPr>
      </w:pPr>
    </w:p>
    <w:p>
      <w:pPr>
        <w:ind w:left="320" w:right="3779"/>
        <w:spacing w:after="0" w:line="237" w:lineRule="auto"/>
        <w:rPr>
          <w:sz w:val="20"/>
          <w:szCs w:val="20"/>
          <w:color w:val="auto"/>
        </w:rPr>
      </w:pPr>
      <w:r>
        <w:rPr>
          <w:rFonts w:ascii="Courier New" w:cs="Courier New" w:eastAsia="Courier New" w:hAnsi="Courier New"/>
          <w:sz w:val="18"/>
          <w:szCs w:val="18"/>
          <w:color w:val="auto"/>
        </w:rPr>
        <w:t>Bankers Trust New York Corporation and Its Wholly Owned Subsidiary, Bankers Trust Company, as Trustee for various trusts, and employee benefit plans, and investment advisor 13-6180473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2.CHECK THE APPROPRIATE BOX IF A MEMBER OF A GROUP *</w:t>
      </w:r>
    </w:p>
    <w:p>
      <w:pPr>
        <w:ind w:left="1900" w:hanging="523"/>
        <w:spacing w:after="0" w:line="238" w:lineRule="auto"/>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900" w:hanging="523"/>
        <w:spacing w:after="0" w:line="238" w:lineRule="auto"/>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3.SEC USE ONLY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4.CITIZENSHIP OR PLACE OF ORGANIZATION</w:t>
      </w:r>
    </w:p>
    <w:p>
      <w:pPr>
        <w:spacing w:after="0" w:line="207" w:lineRule="exact"/>
        <w:rPr>
          <w:sz w:val="20"/>
          <w:szCs w:val="20"/>
          <w:color w:val="auto"/>
        </w:rPr>
      </w:pPr>
    </w:p>
    <w:p>
      <w:pPr>
        <w:ind w:left="320" w:right="3899"/>
        <w:spacing w:after="0" w:line="235" w:lineRule="auto"/>
        <w:rPr>
          <w:sz w:val="20"/>
          <w:szCs w:val="20"/>
          <w:color w:val="auto"/>
        </w:rPr>
      </w:pPr>
      <w:r>
        <w:rPr>
          <w:rFonts w:ascii="Courier New" w:cs="Courier New" w:eastAsia="Courier New" w:hAnsi="Courier New"/>
          <w:sz w:val="18"/>
          <w:szCs w:val="18"/>
          <w:color w:val="auto"/>
        </w:rPr>
        <w:t>Both Bankers Trust New York Corporation and Bankers Trust Company are New York Corporations.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700" w:type="dxa"/>
            <w:vAlign w:val="bottom"/>
          </w:tcPr>
          <w:p>
            <w:pPr>
              <w:ind w:left="220"/>
              <w:spacing w:after="0"/>
              <w:rPr>
                <w:sz w:val="20"/>
                <w:szCs w:val="20"/>
                <w:color w:val="auto"/>
              </w:rPr>
            </w:pPr>
            <w:r>
              <w:rPr>
                <w:rFonts w:ascii="Courier New" w:cs="Courier New" w:eastAsia="Courier New" w:hAnsi="Courier New"/>
                <w:sz w:val="18"/>
                <w:szCs w:val="18"/>
                <w:color w:val="auto"/>
              </w:rPr>
              <w:t>SHARES</w:t>
            </w:r>
          </w:p>
        </w:tc>
        <w:tc>
          <w:tcPr>
            <w:tcW w:w="680" w:type="dxa"/>
            <w:vAlign w:val="bottom"/>
          </w:tcPr>
          <w:p>
            <w:pPr>
              <w:spacing w:after="0"/>
              <w:rPr>
                <w:sz w:val="24"/>
                <w:szCs w:val="24"/>
                <w:color w:val="auto"/>
              </w:rPr>
            </w:pPr>
          </w:p>
        </w:tc>
        <w:tc>
          <w:tcPr>
            <w:tcW w:w="2580" w:type="dxa"/>
            <w:vAlign w:val="bottom"/>
          </w:tcPr>
          <w:p>
            <w:pPr>
              <w:ind w:left="480"/>
              <w:spacing w:after="0"/>
              <w:rPr>
                <w:sz w:val="20"/>
                <w:szCs w:val="20"/>
                <w:color w:val="auto"/>
              </w:rPr>
            </w:pPr>
            <w:r>
              <w:rPr>
                <w:rFonts w:ascii="Courier New" w:cs="Courier New" w:eastAsia="Courier New" w:hAnsi="Courier New"/>
                <w:sz w:val="18"/>
                <w:szCs w:val="18"/>
                <w:color w:val="auto"/>
              </w:rPr>
              <w:t>935,184</w:t>
            </w: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SHARED VOTING POWER</w:t>
            </w:r>
          </w:p>
        </w:tc>
      </w:tr>
      <w:tr>
        <w:trPr>
          <w:trHeight w:val="405"/>
        </w:trPr>
        <w:tc>
          <w:tcPr>
            <w:tcW w:w="1700" w:type="dxa"/>
            <w:vAlign w:val="bottom"/>
          </w:tcPr>
          <w:p>
            <w:pPr>
              <w:ind w:left="120"/>
              <w:spacing w:after="0"/>
              <w:rPr>
                <w:sz w:val="20"/>
                <w:szCs w:val="20"/>
                <w:color w:val="auto"/>
              </w:rPr>
            </w:pPr>
            <w:r>
              <w:rPr>
                <w:rFonts w:ascii="Courier New" w:cs="Courier New" w:eastAsia="Courier New" w:hAnsi="Courier New"/>
                <w:sz w:val="18"/>
                <w:szCs w:val="18"/>
                <w:color w:val="auto"/>
              </w:rPr>
              <w:t>OWNED BY</w:t>
            </w:r>
          </w:p>
        </w:tc>
        <w:tc>
          <w:tcPr>
            <w:tcW w:w="680" w:type="dxa"/>
            <w:vAlign w:val="bottom"/>
          </w:tcPr>
          <w:p>
            <w:pPr>
              <w:spacing w:after="0"/>
              <w:rPr>
                <w:sz w:val="24"/>
                <w:szCs w:val="24"/>
                <w:color w:val="auto"/>
              </w:rPr>
            </w:pPr>
          </w:p>
        </w:tc>
        <w:tc>
          <w:tcPr>
            <w:tcW w:w="2580" w:type="dxa"/>
            <w:vAlign w:val="bottom"/>
          </w:tcPr>
          <w:p>
            <w:pPr>
              <w:ind w:left="480"/>
              <w:spacing w:after="0"/>
              <w:rPr>
                <w:sz w:val="20"/>
                <w:szCs w:val="20"/>
                <w:color w:val="auto"/>
              </w:rPr>
            </w:pPr>
            <w:r>
              <w:rPr>
                <w:rFonts w:ascii="Courier New" w:cs="Courier New" w:eastAsia="Courier New" w:hAnsi="Courier New"/>
                <w:sz w:val="18"/>
                <w:szCs w:val="18"/>
                <w:color w:val="auto"/>
              </w:rPr>
              <w:t>3,047</w:t>
            </w:r>
          </w:p>
        </w:tc>
      </w:tr>
      <w:tr>
        <w:trPr>
          <w:trHeight w:val="405"/>
        </w:trPr>
        <w:tc>
          <w:tcPr>
            <w:tcW w:w="1700" w:type="dxa"/>
            <w:vAlign w:val="bottom"/>
          </w:tcPr>
          <w:p>
            <w:pPr>
              <w:ind w:left="220"/>
              <w:spacing w:after="0"/>
              <w:rPr>
                <w:sz w:val="20"/>
                <w:szCs w:val="20"/>
                <w:color w:val="auto"/>
              </w:rPr>
            </w:pPr>
            <w:r>
              <w:rPr>
                <w:rFonts w:ascii="Courier New" w:cs="Courier New" w:eastAsia="Courier New" w:hAnsi="Courier New"/>
                <w:sz w:val="18"/>
                <w:szCs w:val="18"/>
                <w:color w:val="auto"/>
              </w:rPr>
              <w:t>EACH</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680" w:type="dxa"/>
            <w:vAlign w:val="bottom"/>
          </w:tcPr>
          <w:p>
            <w:pPr>
              <w:spacing w:after="0"/>
              <w:rPr>
                <w:sz w:val="24"/>
                <w:szCs w:val="24"/>
                <w:color w:val="auto"/>
              </w:rPr>
            </w:pPr>
          </w:p>
        </w:tc>
        <w:tc>
          <w:tcPr>
            <w:tcW w:w="2580" w:type="dxa"/>
            <w:vAlign w:val="bottom"/>
          </w:tcPr>
          <w:p>
            <w:pPr>
              <w:ind w:left="480"/>
              <w:spacing w:after="0"/>
              <w:rPr>
                <w:sz w:val="20"/>
                <w:szCs w:val="20"/>
                <w:color w:val="auto"/>
              </w:rPr>
            </w:pPr>
            <w:r>
              <w:rPr>
                <w:rFonts w:ascii="Courier New" w:cs="Courier New" w:eastAsia="Courier New" w:hAnsi="Courier New"/>
                <w:sz w:val="18"/>
                <w:szCs w:val="18"/>
                <w:color w:val="auto"/>
              </w:rPr>
              <w:t>1,565,086</w:t>
            </w:r>
          </w:p>
        </w:tc>
      </w:tr>
      <w:tr>
        <w:trPr>
          <w:trHeight w:val="405"/>
        </w:trPr>
        <w:tc>
          <w:tcPr>
            <w:tcW w:w="1700" w:type="dxa"/>
            <w:vAlign w:val="bottom"/>
          </w:tcPr>
          <w:p>
            <w:pPr>
              <w:ind w:left="120"/>
              <w:spacing w:after="0"/>
              <w:rPr>
                <w:sz w:val="20"/>
                <w:szCs w:val="20"/>
                <w:color w:val="auto"/>
              </w:rPr>
            </w:pPr>
            <w:r>
              <w:rPr>
                <w:rFonts w:ascii="Courier New" w:cs="Courier New" w:eastAsia="Courier New" w:hAnsi="Courier New"/>
                <w:sz w:val="18"/>
                <w:szCs w:val="18"/>
                <w:color w:val="auto"/>
              </w:rPr>
              <w:t>PERSON</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w w:val="96"/>
              </w:rPr>
              <w:t>SHARED DISPOSITIVE POWER</w:t>
            </w:r>
          </w:p>
        </w:tc>
      </w:tr>
      <w:tr>
        <w:trPr>
          <w:trHeight w:val="405"/>
        </w:trPr>
        <w:tc>
          <w:tcPr>
            <w:tcW w:w="1700" w:type="dxa"/>
            <w:vAlign w:val="bottom"/>
          </w:tcPr>
          <w:p>
            <w:pPr>
              <w:ind w:left="220"/>
              <w:spacing w:after="0"/>
              <w:rPr>
                <w:sz w:val="20"/>
                <w:szCs w:val="20"/>
                <w:color w:val="auto"/>
              </w:rPr>
            </w:pPr>
            <w:r>
              <w:rPr>
                <w:rFonts w:ascii="Courier New" w:cs="Courier New" w:eastAsia="Courier New" w:hAnsi="Courier New"/>
                <w:sz w:val="18"/>
                <w:szCs w:val="18"/>
                <w:color w:val="auto"/>
              </w:rPr>
              <w:t>WITH</w:t>
            </w:r>
          </w:p>
        </w:tc>
        <w:tc>
          <w:tcPr>
            <w:tcW w:w="680" w:type="dxa"/>
            <w:vAlign w:val="bottom"/>
          </w:tcPr>
          <w:p>
            <w:pPr>
              <w:spacing w:after="0"/>
              <w:rPr>
                <w:sz w:val="24"/>
                <w:szCs w:val="24"/>
                <w:color w:val="auto"/>
              </w:rPr>
            </w:pPr>
          </w:p>
        </w:tc>
        <w:tc>
          <w:tcPr>
            <w:tcW w:w="2580" w:type="dxa"/>
            <w:vAlign w:val="bottom"/>
          </w:tcPr>
          <w:p>
            <w:pPr>
              <w:ind w:left="480"/>
              <w:spacing w:after="0"/>
              <w:rPr>
                <w:sz w:val="20"/>
                <w:szCs w:val="20"/>
                <w:color w:val="auto"/>
              </w:rPr>
            </w:pPr>
            <w:r>
              <w:rPr>
                <w:rFonts w:ascii="Courier New" w:cs="Courier New" w:eastAsia="Courier New" w:hAnsi="Courier New"/>
                <w:sz w:val="18"/>
                <w:szCs w:val="18"/>
                <w:color w:val="auto"/>
              </w:rPr>
              <w:t>3,047</w:t>
            </w:r>
          </w:p>
        </w:tc>
      </w:tr>
    </w:tbl>
    <w:p>
      <w:pPr>
        <w:spacing w:after="0" w:line="207"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6"/>
          <w:szCs w:val="16"/>
          <w:color w:val="auto"/>
        </w:rPr>
        <w:t>9.AGGREGATE AMOUNT BENEFICIALLY OWNED BY EACH REPORTING PERSON</w:t>
      </w:r>
    </w:p>
    <w:p>
      <w:pPr>
        <w:spacing w:after="0" w:line="218"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8"/>
          <w:szCs w:val="18"/>
          <w:color w:val="auto"/>
        </w:rPr>
        <w:t>1,568,133</w:t>
      </w:r>
    </w:p>
    <w:p>
      <w:pPr>
        <w:spacing w:after="0" w:line="207" w:lineRule="exact"/>
        <w:rPr>
          <w:sz w:val="20"/>
          <w:szCs w:val="20"/>
          <w:color w:val="auto"/>
        </w:rPr>
      </w:pPr>
    </w:p>
    <w:p>
      <w:pPr>
        <w:ind w:left="320" w:right="3579" w:hanging="315"/>
        <w:spacing w:after="0" w:line="235" w:lineRule="auto"/>
        <w:rPr>
          <w:sz w:val="20"/>
          <w:szCs w:val="20"/>
          <w:color w:val="auto"/>
        </w:rPr>
      </w:pPr>
      <w:r>
        <w:rPr>
          <w:rFonts w:ascii="Courier New" w:cs="Courier New" w:eastAsia="Courier New" w:hAnsi="Courier New"/>
          <w:sz w:val="18"/>
          <w:szCs w:val="18"/>
          <w:color w:val="auto"/>
        </w:rPr>
        <w:t>10.CHECK BOX IF THE AGGREGATE AMOUNT IN ROW(9) EXCLUDES CERTAIN SHARES *</w:t>
      </w: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X</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11.PERCENT OF CLASS REPRESENTED BY AMOUNT IN ROW 9</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12.TYPE OF REPORTING PERSON *</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Bankers Trust New York Corporation - HC</w:t>
      </w:r>
    </w:p>
    <w:p>
      <w:pPr>
        <w:ind w:left="740"/>
        <w:spacing w:after="0" w:line="238" w:lineRule="auto"/>
        <w:rPr>
          <w:sz w:val="20"/>
          <w:szCs w:val="20"/>
          <w:color w:val="auto"/>
        </w:rPr>
      </w:pPr>
      <w:r>
        <w:rPr>
          <w:rFonts w:ascii="Courier New" w:cs="Courier New" w:eastAsia="Courier New" w:hAnsi="Courier New"/>
          <w:sz w:val="18"/>
          <w:szCs w:val="18"/>
          <w:color w:val="auto"/>
        </w:rPr>
        <w:t>Bankers Trust Company - BK</w:t>
      </w:r>
    </w:p>
    <w:p>
      <w:pPr>
        <w:sectPr>
          <w:pgSz w:w="11900" w:h="16838" w:orient="portrait"/>
          <w:cols w:equalWidth="0" w:num="1">
            <w:col w:w="10219"/>
          </w:cols>
          <w:pgMar w:left="240" w:top="520" w:right="1440" w:bottom="1440" w:gutter="0" w:footer="0" w:header="0"/>
          <w:type w:val="continuous"/>
        </w:sectPr>
      </w:pPr>
    </w:p>
    <w:bookmarkStart w:id="3" w:name="page4"/>
    <w:bookmarkEnd w:id="3"/>
    <w:p>
      <w:pPr>
        <w:jc w:val="right"/>
        <w:ind w:right="2419"/>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DISCLAIMER OF BENEFICIAL OWNERSHIP</w:t>
      </w:r>
    </w:p>
    <w:p>
      <w:pPr>
        <w:spacing w:after="0" w:line="207" w:lineRule="exact"/>
        <w:rPr>
          <w:sz w:val="20"/>
          <w:szCs w:val="20"/>
          <w:color w:val="auto"/>
        </w:rPr>
      </w:pPr>
    </w:p>
    <w:p>
      <w:pPr>
        <w:ind w:left="740" w:right="3259"/>
        <w:spacing w:after="0" w:line="237" w:lineRule="auto"/>
        <w:rPr>
          <w:sz w:val="20"/>
          <w:szCs w:val="20"/>
          <w:color w:val="auto"/>
        </w:rPr>
      </w:pPr>
      <w:r>
        <w:rPr>
          <w:rFonts w:ascii="Courier New" w:cs="Courier New" w:eastAsia="Courier New" w:hAnsi="Courier New"/>
          <w:sz w:val="18"/>
          <w:szCs w:val="18"/>
          <w:color w:val="auto"/>
        </w:rPr>
        <w:t>THE FILING OF THIS SCHEDULE G STATEMENT SHALL NOT BE CONSTRUED AS AN ADMISSION THAT BANKERS TRUST NEW YORK CORPORATION OR BANKERS TRUST COMPANY, AS TRUSTEE (THE "BANK") IS, FOR THE PURPOSE OF SECTION 13(g) OF THE SECURITIES AND EXCHANGE ACT OF 1934, OR FOR ANY OTHER PURPOSE, THE BENEFICIAL OWNER OF ALL SECURITIES COVERED BY THIS STATEMENT, AND THE BANK EXPRESSLY DISCLAIMS BENEFICIAL OWNERSHIP AS SET FORTH IN ITEM 4(a) HEREOF.</w:t>
      </w:r>
    </w:p>
    <w:p>
      <w:pPr>
        <w:spacing w:after="0" w:line="207"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Texas Instruments Inc.</w:t>
      </w:r>
    </w:p>
    <w:p>
      <w:pPr>
        <w:spacing w:after="0" w:line="20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13500 North Central Expressway</w:t>
      </w:r>
    </w:p>
    <w:p>
      <w:pPr>
        <w:ind w:left="1800"/>
        <w:spacing w:after="0" w:line="238" w:lineRule="auto"/>
        <w:rPr>
          <w:sz w:val="20"/>
          <w:szCs w:val="20"/>
          <w:color w:val="auto"/>
        </w:rPr>
      </w:pPr>
      <w:r>
        <w:rPr>
          <w:rFonts w:ascii="Courier New" w:cs="Courier New" w:eastAsia="Courier New" w:hAnsi="Courier New"/>
          <w:sz w:val="18"/>
          <w:szCs w:val="18"/>
          <w:color w:val="auto"/>
        </w:rPr>
        <w:t>P.O. Box 655474</w:t>
      </w:r>
    </w:p>
    <w:p>
      <w:pPr>
        <w:ind w:left="1800"/>
        <w:spacing w:after="0"/>
        <w:tabs>
          <w:tab w:leader="none" w:pos="3040" w:val="left"/>
        </w:tabs>
        <w:rPr>
          <w:sz w:val="20"/>
          <w:szCs w:val="20"/>
          <w:color w:val="auto"/>
        </w:rPr>
      </w:pPr>
      <w:r>
        <w:rPr>
          <w:rFonts w:ascii="Courier New" w:cs="Courier New" w:eastAsia="Courier New" w:hAnsi="Courier New"/>
          <w:sz w:val="18"/>
          <w:szCs w:val="18"/>
          <w:color w:val="auto"/>
        </w:rPr>
        <w:t>Dallas, TX</w:t>
      </w:r>
      <w:r>
        <w:rPr>
          <w:sz w:val="20"/>
          <w:szCs w:val="20"/>
          <w:color w:val="auto"/>
        </w:rPr>
        <w:tab/>
      </w:r>
      <w:r>
        <w:rPr>
          <w:rFonts w:ascii="Courier New" w:cs="Courier New" w:eastAsia="Courier New" w:hAnsi="Courier New"/>
          <w:sz w:val="16"/>
          <w:szCs w:val="16"/>
          <w:color w:val="auto"/>
        </w:rPr>
        <w:t>75265-5474</w:t>
      </w:r>
    </w:p>
    <w:p>
      <w:pPr>
        <w:spacing w:after="0" w:line="200"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7" w:lineRule="exact"/>
        <w:rPr>
          <w:sz w:val="20"/>
          <w:szCs w:val="20"/>
          <w:color w:val="auto"/>
        </w:rPr>
      </w:pPr>
    </w:p>
    <w:p>
      <w:pPr>
        <w:jc w:val="both"/>
        <w:ind w:left="1800" w:right="3039"/>
        <w:spacing w:after="0" w:line="237" w:lineRule="auto"/>
        <w:rPr>
          <w:sz w:val="20"/>
          <w:szCs w:val="20"/>
          <w:color w:val="auto"/>
        </w:rPr>
      </w:pPr>
      <w:r>
        <w:rPr>
          <w:rFonts w:ascii="Courier New" w:cs="Courier New" w:eastAsia="Courier New" w:hAnsi="Courier New"/>
          <w:sz w:val="18"/>
          <w:szCs w:val="18"/>
          <w:color w:val="auto"/>
        </w:rPr>
        <w:t>Bankers Trust New York Corporation, and its wholly-owned subsidiary, Bankers Trust Company, as Trustee for various trusts, and employee benefit plans, and investment advisor.</w:t>
      </w:r>
    </w:p>
    <w:p>
      <w:pPr>
        <w:spacing w:after="0" w:line="202"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280 Park Avenue</w:t>
      </w:r>
    </w:p>
    <w:p>
      <w:pPr>
        <w:ind w:left="1800"/>
        <w:spacing w:after="0" w:line="238" w:lineRule="auto"/>
        <w:tabs>
          <w:tab w:leader="none" w:pos="3880" w:val="left"/>
        </w:tabs>
        <w:rPr>
          <w:sz w:val="20"/>
          <w:szCs w:val="20"/>
          <w:color w:val="auto"/>
        </w:rPr>
      </w:pPr>
      <w:r>
        <w:rPr>
          <w:rFonts w:ascii="Courier New" w:cs="Courier New" w:eastAsia="Courier New" w:hAnsi="Courier New"/>
          <w:sz w:val="18"/>
          <w:szCs w:val="18"/>
          <w:color w:val="auto"/>
        </w:rPr>
        <w:t>New York, New York</w:t>
        <w:tab/>
        <w:t>10017</w:t>
      </w:r>
    </w:p>
    <w:p>
      <w:pPr>
        <w:spacing w:after="0" w:line="202"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Bankers Trust New York Corporation and Bankers Trust Company, as Trustee for various trusts, and employee benefit plans, and investment advisor, are both corporations incorporated in the State of New York with their principal business offices located in New York.</w:t>
      </w:r>
    </w:p>
    <w:p>
      <w:pPr>
        <w:spacing w:after="0" w:line="204"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7" w:lineRule="exact"/>
        <w:rPr>
          <w:sz w:val="20"/>
          <w:szCs w:val="20"/>
          <w:color w:val="auto"/>
        </w:rPr>
      </w:pPr>
    </w:p>
    <w:p>
      <w:pPr>
        <w:ind w:left="1800" w:right="3039"/>
        <w:spacing w:after="0" w:line="235" w:lineRule="auto"/>
        <w:rPr>
          <w:sz w:val="20"/>
          <w:szCs w:val="20"/>
          <w:color w:val="auto"/>
        </w:rPr>
      </w:pPr>
      <w:r>
        <w:rPr>
          <w:rFonts w:ascii="Courier New" w:cs="Courier New" w:eastAsia="Courier New" w:hAnsi="Courier New"/>
          <w:sz w:val="18"/>
          <w:szCs w:val="18"/>
          <w:color w:val="auto"/>
        </w:rPr>
        <w:t>Common Stock (Par Value $1.00) of Texas Instruments Inc., a Delaware corporation.</w:t>
      </w:r>
    </w:p>
    <w:p>
      <w:pPr>
        <w:spacing w:after="0" w:line="20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882508104</w:t>
      </w:r>
    </w:p>
    <w:p>
      <w:pPr>
        <w:sectPr>
          <w:pgSz w:w="11900" w:h="16838" w:orient="portrait"/>
          <w:cols w:equalWidth="0" w:num="1">
            <w:col w:w="10219"/>
          </w:cols>
          <w:pgMar w:left="240" w:top="514" w:right="1440" w:bottom="1440" w:gutter="0" w:footer="0" w:header="0"/>
        </w:sectPr>
      </w:pPr>
    </w:p>
    <w:bookmarkStart w:id="4" w:name="page5"/>
    <w:bookmarkEnd w:id="4"/>
    <w:p>
      <w:pPr>
        <w:ind w:left="580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IS A:</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For Bankers Trust New York Corporation,</w:t>
      </w:r>
    </w:p>
    <w:p>
      <w:pPr>
        <w:spacing w:after="0" w:line="207" w:lineRule="exact"/>
        <w:rPr>
          <w:sz w:val="20"/>
          <w:szCs w:val="20"/>
          <w:color w:val="auto"/>
        </w:rPr>
      </w:pPr>
    </w:p>
    <w:p>
      <w:pPr>
        <w:ind w:left="1800" w:right="3579" w:hanging="1160"/>
        <w:spacing w:after="0" w:line="235" w:lineRule="auto"/>
        <w:tabs>
          <w:tab w:leader="none" w:pos="18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Section 240.13d-1(b)(ii)(G)</w:t>
      </w:r>
    </w:p>
    <w:p>
      <w:pPr>
        <w:spacing w:after="0" w:line="202"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Bankers Trust Company,</w:t>
      </w:r>
    </w:p>
    <w:p>
      <w:pPr>
        <w:spacing w:after="0" w:line="201" w:lineRule="exact"/>
        <w:rPr>
          <w:sz w:val="20"/>
          <w:szCs w:val="20"/>
          <w:color w:val="auto"/>
        </w:rPr>
      </w:pPr>
    </w:p>
    <w:p>
      <w:pPr>
        <w:ind w:left="1800" w:hanging="1160"/>
        <w:spacing w:after="0"/>
        <w:tabs>
          <w:tab w:leader="none" w:pos="18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3(a)(6) of the Act.</w:t>
      </w:r>
    </w:p>
    <w:p>
      <w:pPr>
        <w:spacing w:after="0" w:line="20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2320" w:hanging="521"/>
        <w:spacing w:after="0"/>
        <w:tabs>
          <w:tab w:leader="none" w:pos="2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7" w:lineRule="exact"/>
        <w:rPr>
          <w:sz w:val="20"/>
          <w:szCs w:val="20"/>
          <w:color w:val="auto"/>
        </w:rPr>
      </w:pPr>
    </w:p>
    <w:p>
      <w:pPr>
        <w:ind w:left="1800" w:right="2739" w:firstLine="527"/>
        <w:spacing w:after="0" w:line="237" w:lineRule="auto"/>
        <w:rPr>
          <w:sz w:val="20"/>
          <w:szCs w:val="20"/>
          <w:color w:val="auto"/>
        </w:rPr>
      </w:pPr>
      <w:r>
        <w:rPr>
          <w:rFonts w:ascii="Courier New" w:cs="Courier New" w:eastAsia="Courier New" w:hAnsi="Courier New"/>
          <w:sz w:val="18"/>
          <w:szCs w:val="18"/>
          <w:color w:val="auto"/>
        </w:rPr>
        <w:t>Bankers Trust Company, as Trustee for various trusts, and employee benefit plans, and investment advisor (the "Bank"), was the beneficial owner as of December 31, 1993 of 1,568,133 shares of common stock. It was also the record owner of 6,654,150 shares held by the Bank as Trustee of the Texas Instruments Inc. Employee Universal Profit Sharing Plan (the "Plan") with respect to which the bank disclaims beneficial ownership.</w:t>
      </w:r>
    </w:p>
    <w:p>
      <w:pPr>
        <w:spacing w:after="0" w:line="11" w:lineRule="exact"/>
        <w:rPr>
          <w:sz w:val="20"/>
          <w:szCs w:val="20"/>
          <w:color w:val="auto"/>
        </w:rPr>
      </w:pPr>
    </w:p>
    <w:p>
      <w:pPr>
        <w:ind w:left="1800" w:right="2739" w:firstLine="527"/>
        <w:spacing w:after="0" w:line="270" w:lineRule="auto"/>
        <w:rPr>
          <w:sz w:val="20"/>
          <w:szCs w:val="20"/>
          <w:color w:val="auto"/>
        </w:rPr>
      </w:pPr>
      <w:r>
        <w:rPr>
          <w:rFonts w:ascii="Courier New" w:cs="Courier New" w:eastAsia="Courier New" w:hAnsi="Courier New"/>
          <w:sz w:val="16"/>
          <w:szCs w:val="16"/>
          <w:color w:val="auto"/>
        </w:rPr>
        <w:t>The Plan states that each Plan participant shall have the right to direct the manner in which shares of common stock shall be voted at all stockholders' meetings. The Department of Labor has expressed the view that, under certain circumstances, ERISA may require the Trustee to vote shares which are not allocated to participants' accounts and unvoted shares. Since, in the view of the Bank and Bankers Trust New York Corporation, such voting power is merely a residual power based upon the occurrence of an unlikely contingency and is not a sole or shared power to vote the securities, the Bank and Bankers Trust New York Corporation hereby disclaim beneficial ownership of such securities.</w:t>
      </w:r>
    </w:p>
    <w:p>
      <w:pPr>
        <w:sectPr>
          <w:pgSz w:w="11900" w:h="16838" w:orient="portrait"/>
          <w:cols w:equalWidth="0" w:num="1">
            <w:col w:w="10219"/>
          </w:cols>
          <w:pgMar w:left="240" w:top="514" w:right="1440" w:bottom="1440" w:gutter="0" w:footer="0" w:header="0"/>
        </w:sectPr>
      </w:pPr>
    </w:p>
    <w:bookmarkStart w:id="5" w:name="page6"/>
    <w:bookmarkEnd w:id="5"/>
    <w:p>
      <w:pPr>
        <w:ind w:left="580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ind w:left="1800"/>
        <w:spacing w:after="0"/>
        <w:tabs>
          <w:tab w:leader="none" w:pos="2300" w:val="left"/>
        </w:tabs>
        <w:rPr>
          <w:sz w:val="20"/>
          <w:szCs w:val="20"/>
          <w:color w:val="auto"/>
        </w:rPr>
      </w:pPr>
      <w:r>
        <w:rPr>
          <w:rFonts w:ascii="Courier New" w:cs="Courier New" w:eastAsia="Courier New" w:hAnsi="Courier New"/>
          <w:sz w:val="18"/>
          <w:szCs w:val="18"/>
          <w:color w:val="auto"/>
        </w:rPr>
        <w:t>(b)</w:t>
        <w:tab/>
        <w:t>PERCENT OF CLASS:</w:t>
      </w:r>
    </w:p>
    <w:p>
      <w:pPr>
        <w:spacing w:after="0" w:line="207" w:lineRule="exact"/>
        <w:rPr>
          <w:sz w:val="20"/>
          <w:szCs w:val="20"/>
          <w:color w:val="auto"/>
        </w:rPr>
      </w:pPr>
    </w:p>
    <w:p>
      <w:pPr>
        <w:ind w:left="1800" w:right="2739"/>
        <w:spacing w:after="0" w:line="237" w:lineRule="auto"/>
        <w:rPr>
          <w:sz w:val="20"/>
          <w:szCs w:val="20"/>
          <w:color w:val="auto"/>
        </w:rPr>
      </w:pPr>
      <w:r>
        <w:rPr>
          <w:rFonts w:ascii="Courier New" w:cs="Courier New" w:eastAsia="Courier New" w:hAnsi="Courier New"/>
          <w:sz w:val="18"/>
          <w:szCs w:val="18"/>
          <w:color w:val="auto"/>
        </w:rPr>
        <w:t>The common stock described in Item 4(a) above as to which the Bank acknowledges beneficial ownership constitutes 1.6% of the Issuer's outstanding Common Stock. The Common Stock as to which the Bank disclaims beneficial ownership constitutes 6.8% of the Issuer's outstanding Common Stock.</w:t>
      </w:r>
    </w:p>
    <w:p>
      <w:pPr>
        <w:spacing w:after="0" w:line="204" w:lineRule="exact"/>
        <w:rPr>
          <w:sz w:val="20"/>
          <w:szCs w:val="20"/>
          <w:color w:val="auto"/>
        </w:rPr>
      </w:pPr>
    </w:p>
    <w:p>
      <w:pPr>
        <w:ind w:left="1800"/>
        <w:spacing w:after="0"/>
        <w:tabs>
          <w:tab w:leader="none" w:pos="2300" w:val="left"/>
        </w:tabs>
        <w:rPr>
          <w:sz w:val="20"/>
          <w:szCs w:val="20"/>
          <w:color w:val="auto"/>
        </w:rPr>
      </w:pPr>
      <w:r>
        <w:rPr>
          <w:rFonts w:ascii="Courier New" w:cs="Courier New" w:eastAsia="Courier New" w:hAnsi="Courier New"/>
          <w:sz w:val="18"/>
          <w:szCs w:val="18"/>
          <w:color w:val="auto"/>
        </w:rPr>
        <w:t>(c)</w:t>
        <w:tab/>
        <w:t>Number of shares as to which the Bank has:</w:t>
      </w:r>
    </w:p>
    <w:p>
      <w:pPr>
        <w:ind w:left="2640"/>
        <w:spacing w:after="0"/>
        <w:tabs>
          <w:tab w:leader="none" w:pos="314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w:t>
      </w:r>
    </w:p>
    <w:p>
      <w:pPr>
        <w:ind w:left="2740"/>
        <w:spacing w:after="0"/>
        <w:rPr>
          <w:sz w:val="20"/>
          <w:szCs w:val="20"/>
          <w:color w:val="auto"/>
        </w:rPr>
      </w:pPr>
      <w:r>
        <w:rPr>
          <w:rFonts w:ascii="Courier New" w:cs="Courier New" w:eastAsia="Courier New" w:hAnsi="Courier New"/>
          <w:sz w:val="18"/>
          <w:szCs w:val="18"/>
          <w:color w:val="auto"/>
        </w:rPr>
        <w:t>vote - 935,184</w:t>
      </w:r>
    </w:p>
    <w:p>
      <w:pPr>
        <w:spacing w:after="0" w:line="200" w:lineRule="exact"/>
        <w:rPr>
          <w:sz w:val="20"/>
          <w:szCs w:val="20"/>
          <w:color w:val="auto"/>
        </w:rPr>
      </w:pPr>
    </w:p>
    <w:p>
      <w:pPr>
        <w:ind w:left="2540"/>
        <w:spacing w:after="0"/>
        <w:tabs>
          <w:tab w:leader="none" w:pos="314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power to vote or to direct the</w:t>
      </w:r>
    </w:p>
    <w:p>
      <w:pPr>
        <w:ind w:left="2740"/>
        <w:spacing w:after="0" w:line="238" w:lineRule="auto"/>
        <w:rPr>
          <w:sz w:val="20"/>
          <w:szCs w:val="20"/>
          <w:color w:val="auto"/>
        </w:rPr>
      </w:pPr>
      <w:r>
        <w:rPr>
          <w:rFonts w:ascii="Courier New" w:cs="Courier New" w:eastAsia="Courier New" w:hAnsi="Courier New"/>
          <w:sz w:val="18"/>
          <w:szCs w:val="18"/>
          <w:color w:val="auto"/>
        </w:rPr>
        <w:t>vote - 3,047</w:t>
      </w:r>
    </w:p>
    <w:p>
      <w:pPr>
        <w:spacing w:after="0" w:line="202" w:lineRule="exact"/>
        <w:rPr>
          <w:sz w:val="20"/>
          <w:szCs w:val="20"/>
          <w:color w:val="auto"/>
        </w:rPr>
      </w:pPr>
    </w:p>
    <w:p>
      <w:pPr>
        <w:ind w:left="2000"/>
        <w:spacing w:after="0"/>
        <w:tabs>
          <w:tab w:leader="none" w:pos="2720" w:val="left"/>
        </w:tabs>
        <w:rPr>
          <w:sz w:val="20"/>
          <w:szCs w:val="20"/>
          <w:color w:val="auto"/>
        </w:rPr>
      </w:pPr>
      <w:r>
        <w:rPr>
          <w:rFonts w:ascii="Courier New" w:cs="Courier New" w:eastAsia="Courier New" w:hAnsi="Courier New"/>
          <w:sz w:val="18"/>
          <w:szCs w:val="18"/>
          <w:color w:val="auto"/>
        </w:rPr>
        <w:t>(iii)</w:t>
        <w:tab/>
        <w:t>sole power to dispose or to direct the</w:t>
      </w:r>
    </w:p>
    <w:p>
      <w:pPr>
        <w:ind w:left="3160"/>
        <w:spacing w:after="0" w:line="238" w:lineRule="auto"/>
        <w:rPr>
          <w:sz w:val="20"/>
          <w:szCs w:val="20"/>
          <w:color w:val="auto"/>
        </w:rPr>
      </w:pPr>
      <w:r>
        <w:rPr>
          <w:rFonts w:ascii="Courier New" w:cs="Courier New" w:eastAsia="Courier New" w:hAnsi="Courier New"/>
          <w:sz w:val="18"/>
          <w:szCs w:val="18"/>
          <w:color w:val="auto"/>
        </w:rPr>
        <w:t>disposition of - 1,565,086</w:t>
      </w:r>
    </w:p>
    <w:p>
      <w:pPr>
        <w:spacing w:after="0" w:line="202" w:lineRule="exact"/>
        <w:rPr>
          <w:sz w:val="20"/>
          <w:szCs w:val="20"/>
          <w:color w:val="auto"/>
        </w:rPr>
      </w:pPr>
    </w:p>
    <w:p>
      <w:pPr>
        <w:ind w:left="2540"/>
        <w:spacing w:after="0"/>
        <w:tabs>
          <w:tab w:leader="none" w:pos="314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6"/>
          <w:szCs w:val="16"/>
          <w:color w:val="auto"/>
        </w:rPr>
        <w:t>shared power to dispose or to direct</w:t>
      </w:r>
    </w:p>
    <w:p>
      <w:pPr>
        <w:ind w:left="2640"/>
        <w:spacing w:after="0" w:line="238" w:lineRule="auto"/>
        <w:rPr>
          <w:sz w:val="20"/>
          <w:szCs w:val="20"/>
          <w:color w:val="auto"/>
        </w:rPr>
      </w:pPr>
      <w:r>
        <w:rPr>
          <w:rFonts w:ascii="Courier New" w:cs="Courier New" w:eastAsia="Courier New" w:hAnsi="Courier New"/>
          <w:sz w:val="18"/>
          <w:szCs w:val="18"/>
          <w:color w:val="auto"/>
        </w:rPr>
        <w:t>the disposition of - 3,047</w:t>
      </w:r>
    </w:p>
    <w:p>
      <w:pPr>
        <w:sectPr>
          <w:pgSz w:w="11900" w:h="16838" w:orient="portrait"/>
          <w:cols w:equalWidth="0" w:num="1">
            <w:col w:w="10219"/>
          </w:cols>
          <w:pgMar w:left="240" w:top="514"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 OF FIVE PERCENT OR LESS OF A CLASS:</w:t>
      </w:r>
    </w:p>
    <w:p>
      <w:pPr>
        <w:spacing w:after="0" w:line="200" w:lineRule="exact"/>
        <w:rPr>
          <w:sz w:val="20"/>
          <w:szCs w:val="20"/>
          <w:color w:val="auto"/>
        </w:rPr>
      </w:pPr>
    </w:p>
    <w:p>
      <w:pPr>
        <w:sectPr>
          <w:pgSz w:w="11900" w:h="16838" w:orient="portrait"/>
          <w:cols w:equalWidth="0" w:num="2">
            <w:col w:w="1080" w:space="720"/>
            <w:col w:w="8419"/>
          </w:cols>
          <w:pgMar w:left="240" w:top="514" w:right="1440" w:bottom="1440" w:gutter="0" w:footer="0" w:header="0"/>
          <w:type w:val="continuous"/>
        </w:sectPr>
      </w:pPr>
    </w:p>
    <w:p>
      <w:pPr>
        <w:spacing w:after="0" w:line="24"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[X]</w:t>
      </w:r>
    </w:p>
    <w:p>
      <w:pPr>
        <w:sectPr>
          <w:pgSz w:w="11900" w:h="16838" w:orient="portrait"/>
          <w:cols w:equalWidth="0" w:num="1">
            <w:col w:w="10219"/>
          </w:cols>
          <w:pgMar w:left="240" w:top="514"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OWNERSHIP OF MORE THAN FIVE PERCENT ON BEHALF OF ANOTHER PERSON:</w:t>
      </w:r>
    </w:p>
    <w:p>
      <w:pPr>
        <w:spacing w:after="0" w:line="200" w:lineRule="exact"/>
        <w:rPr>
          <w:sz w:val="20"/>
          <w:szCs w:val="20"/>
          <w:color w:val="auto"/>
        </w:rPr>
      </w:pPr>
    </w:p>
    <w:p>
      <w:pPr>
        <w:sectPr>
          <w:pgSz w:w="11900" w:h="16838" w:orient="portrait"/>
          <w:cols w:equalWidth="0" w:num="2">
            <w:col w:w="1080" w:space="720"/>
            <w:col w:w="8419"/>
          </w:cols>
          <w:pgMar w:left="240" w:top="514" w:right="1440" w:bottom="1440" w:gutter="0" w:footer="0" w:header="0"/>
          <w:type w:val="continuous"/>
        </w:sectPr>
      </w:pPr>
    </w:p>
    <w:p>
      <w:pPr>
        <w:spacing w:after="0" w:line="8" w:lineRule="exact"/>
        <w:rPr>
          <w:sz w:val="20"/>
          <w:szCs w:val="20"/>
          <w:color w:val="auto"/>
        </w:rPr>
      </w:pPr>
    </w:p>
    <w:p>
      <w:pPr>
        <w:ind w:left="1800" w:right="2739"/>
        <w:spacing w:after="0" w:line="237" w:lineRule="auto"/>
        <w:rPr>
          <w:sz w:val="20"/>
          <w:szCs w:val="20"/>
          <w:color w:val="auto"/>
        </w:rPr>
      </w:pPr>
      <w:r>
        <w:rPr>
          <w:rFonts w:ascii="Courier New" w:cs="Courier New" w:eastAsia="Courier New" w:hAnsi="Courier New"/>
          <w:sz w:val="18"/>
          <w:szCs w:val="18"/>
          <w:color w:val="auto"/>
        </w:rPr>
        <w:t>The Issuer's Plan, and various trusts, and employee benefit plan for which the Bank serves as Trustee, and accounts for which the Bank serves as investment advisor, have the right to receive and/or the power to direct the receipt of dividends from, or the proceeds from the sale of, such securities.</w:t>
      </w:r>
    </w:p>
    <w:p>
      <w:pPr>
        <w:sectPr>
          <w:pgSz w:w="11900" w:h="16838" w:orient="portrait"/>
          <w:cols w:equalWidth="0" w:num="1">
            <w:col w:w="10219"/>
          </w:cols>
          <w:pgMar w:left="240" w:top="514" w:right="1440"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1080" w:space="720"/>
            <w:col w:w="8419"/>
          </w:cols>
          <w:pgMar w:left="240" w:top="514" w:right="1440" w:bottom="1440" w:gutter="0" w:footer="0" w:header="0"/>
          <w:type w:val="continuous"/>
        </w:sectPr>
      </w:pPr>
    </w:p>
    <w:p>
      <w:pPr>
        <w:spacing w:after="0" w:line="9"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See Item 3 above.</w:t>
      </w:r>
    </w:p>
    <w:p>
      <w:pPr>
        <w:sectPr>
          <w:pgSz w:w="11900" w:h="16838" w:orient="portrait"/>
          <w:cols w:equalWidth="0" w:num="1">
            <w:col w:w="10219"/>
          </w:cols>
          <w:pgMar w:left="240" w:top="514"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080" w:space="720"/>
            <w:col w:w="8419"/>
          </w:cols>
          <w:pgMar w:left="240" w:top="514" w:right="1440" w:bottom="1440" w:gutter="0" w:footer="0" w:header="0"/>
          <w:type w:val="continuous"/>
        </w:sectPr>
      </w:pPr>
    </w:p>
    <w:p>
      <w:pPr>
        <w:spacing w:after="0" w:line="8"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514" w:right="1440" w:bottom="1440" w:gutter="0" w:footer="0" w:header="0"/>
          <w:type w:val="continuous"/>
        </w:sectPr>
      </w:pPr>
    </w:p>
    <w:bookmarkStart w:id="6" w:name="page7"/>
    <w:bookmarkEnd w:id="6"/>
    <w:p>
      <w:pPr>
        <w:ind w:left="580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9</w:t>
            </w:r>
          </w:p>
        </w:tc>
        <w:tc>
          <w:tcPr>
            <w:tcW w:w="3780" w:type="dxa"/>
            <w:vAlign w:val="bottom"/>
          </w:tcPr>
          <w:p>
            <w:pPr>
              <w:ind w:left="520"/>
              <w:spacing w:after="0"/>
              <w:rPr>
                <w:sz w:val="20"/>
                <w:szCs w:val="20"/>
                <w:color w:val="auto"/>
              </w:rPr>
            </w:pPr>
            <w:r>
              <w:rPr>
                <w:rFonts w:ascii="Courier New" w:cs="Courier New" w:eastAsia="Courier New" w:hAnsi="Courier New"/>
                <w:sz w:val="18"/>
                <w:szCs w:val="18"/>
                <w:color w:val="auto"/>
                <w:w w:val="96"/>
              </w:rPr>
              <w:t>NOTICE OF DISSOLUTION OF GROUP:</w:t>
            </w:r>
          </w:p>
        </w:tc>
      </w:tr>
      <w:tr>
        <w:trPr>
          <w:trHeight w:val="405"/>
        </w:trPr>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780" w:type="dxa"/>
            <w:vAlign w:val="bottom"/>
          </w:tcPr>
          <w:p>
            <w:pPr>
              <w:ind w:left="52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10</w:t>
            </w:r>
          </w:p>
        </w:tc>
        <w:tc>
          <w:tcPr>
            <w:tcW w:w="3780" w:type="dxa"/>
            <w:vAlign w:val="bottom"/>
          </w:tcPr>
          <w:p>
            <w:pPr>
              <w:ind w:left="520"/>
              <w:spacing w:after="0"/>
              <w:rPr>
                <w:sz w:val="20"/>
                <w:szCs w:val="20"/>
                <w:color w:val="auto"/>
              </w:rPr>
            </w:pPr>
            <w:r>
              <w:rPr>
                <w:rFonts w:ascii="Courier New" w:cs="Courier New" w:eastAsia="Courier New" w:hAnsi="Courier New"/>
                <w:sz w:val="18"/>
                <w:szCs w:val="18"/>
                <w:color w:val="auto"/>
              </w:rPr>
              <w:t>CERTIFICATION:</w:t>
            </w:r>
          </w:p>
        </w:tc>
      </w:tr>
    </w:tbl>
    <w:p>
      <w:pPr>
        <w:spacing w:after="0" w:line="207" w:lineRule="exact"/>
        <w:rPr>
          <w:sz w:val="20"/>
          <w:szCs w:val="20"/>
          <w:color w:val="auto"/>
        </w:rPr>
      </w:pPr>
    </w:p>
    <w:p>
      <w:pPr>
        <w:ind w:right="3159" w:firstLine="1791"/>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359" w:firstLine="1791"/>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as of December 31, 1993</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Bankers Trust New York Corporation</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/s/James T. Byrne, Jr.</w:t>
      </w:r>
    </w:p>
    <w:p>
      <w:pPr>
        <w:spacing w:after="0" w:line="238" w:lineRule="auto"/>
        <w:tabs>
          <w:tab w:leader="none" w:pos="1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James T. Byrne, Jr.</w:t>
      </w:r>
    </w:p>
    <w:p>
      <w:pPr>
        <w:spacing w:after="0"/>
        <w:tabs>
          <w:tab w:leader="none" w:pos="22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Signature: Bankers Trust Company, as Trustee for various trusts, and employee benefit plans, and investment advisor.</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/s/Don R. De Souza</w:t>
      </w: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Don R. De Souza</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Vice President</w:t>
      </w:r>
    </w:p>
    <w:sectPr>
      <w:pgSz w:w="11900" w:h="16838" w:orient="portrait"/>
      <w:cols w:equalWidth="0" w:num="2">
        <w:col w:w="760" w:space="720"/>
        <w:col w:w="8739"/>
      </w:cols>
      <w:pgMar w:left="240" w:top="5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1"/>
    </w:lvl>
  </w:abstractNum>
  <w:abstractNum w:abstractNumId="1">
    <w:nsid w:val="19495CFF"/>
    <w:multiLevelType w:val="hybridMultilevel"/>
    <w:lvl w:ilvl="0">
      <w:lvlJc w:val="left"/>
      <w:lvlText w:val="(%1)"/>
      <w:numFmt w:val="lowerLetter"/>
      <w:start w:val="7"/>
    </w:lvl>
  </w:abstractNum>
  <w:abstractNum w:abstractNumId="2">
    <w:nsid w:val="2AE8944A"/>
    <w:multiLevelType w:val="hybridMultilevel"/>
    <w:lvl w:ilvl="0">
      <w:lvlJc w:val="left"/>
      <w:lvlText w:val="(%1)"/>
      <w:numFmt w:val="lowerLetter"/>
      <w:start w:val="2"/>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2019-12-12T07:29:39Z</dcterms:created>
  <dcterms:modified xsi:type="dcterms:W3CDTF">2019-12-12T07:29:39Z</dcterms:modified>
</cp:coreProperties>
</file>