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12700</wp:posOffset>
            </wp:positionV>
            <wp:extent cx="4166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27940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72" w:lineRule="exact"/>
        <w:rPr>
          <w:sz w:val="24"/>
          <w:szCs w:val="24"/>
          <w:color w:val="auto"/>
        </w:rPr>
      </w:pPr>
    </w:p>
    <w:tbl>
      <w:tblPr>
        <w:tblLayout w:type="fixed"/>
        <w:tblInd w:w="940" w:type="dxa"/>
        <w:tblCellMar>
          <w:top w:w="0" w:type="dxa"/>
          <w:left w:w="0" w:type="dxa"/>
          <w:bottom w:w="0" w:type="dxa"/>
          <w:right w:w="0" w:type="dxa"/>
        </w:tblCellMar>
      </w:tblPr>
      <w:tr>
        <w:trPr>
          <w:trHeight w:val="225"/>
        </w:trPr>
        <w:tc>
          <w:tcPr>
            <w:tcW w:w="2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8"/>
              </w:rPr>
              <w:t>DELAWARE</w:t>
            </w: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0"/>
              </w:rPr>
              <w:t>001-03761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75-0289970</w:t>
            </w:r>
          </w:p>
        </w:tc>
      </w:tr>
      <w:tr>
        <w:trPr>
          <w:trHeight w:val="144"/>
        </w:trPr>
        <w:tc>
          <w:tcPr>
            <w:tcW w:w="214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640"/>
              <w:spacing w:after="0" w:line="145" w:lineRule="exact"/>
              <w:rPr>
                <w:sz w:val="20"/>
                <w:szCs w:val="20"/>
                <w:color w:val="auto"/>
              </w:rPr>
            </w:pPr>
            <w:r>
              <w:rPr>
                <w:rFonts w:ascii="Arial" w:cs="Arial" w:eastAsia="Arial" w:hAnsi="Arial"/>
                <w:sz w:val="14"/>
                <w:szCs w:val="14"/>
                <w:b w:val="1"/>
                <w:bCs w:val="1"/>
                <w:color w:val="auto"/>
                <w:w w:val="92"/>
              </w:rPr>
              <w:t>(Commission</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of incorporation)</w:t>
            </w: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7"/>
              </w:rPr>
              <w:t>file 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511"/>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7"/>
              </w:rPr>
              <w:t>12500 TI BOULEVARD</w:t>
            </w:r>
          </w:p>
        </w:tc>
        <w:tc>
          <w:tcPr>
            <w:tcW w:w="1120" w:type="dxa"/>
            <w:vAlign w:val="bottom"/>
          </w:tcPr>
          <w:p>
            <w:pPr>
              <w:spacing w:after="0"/>
              <w:rPr>
                <w:sz w:val="24"/>
                <w:szCs w:val="24"/>
                <w:color w:val="auto"/>
              </w:rPr>
            </w:pPr>
          </w:p>
        </w:tc>
      </w:tr>
      <w:tr>
        <w:trPr>
          <w:trHeight w:val="212"/>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Arial" w:cs="Arial" w:eastAsia="Arial" w:hAnsi="Arial"/>
                <w:sz w:val="18"/>
                <w:szCs w:val="18"/>
                <w:b w:val="1"/>
                <w:bCs w:val="1"/>
                <w:color w:val="auto"/>
                <w:w w:val="96"/>
              </w:rPr>
              <w:t>DALLAS, TEXAS 75243</w:t>
            </w:r>
          </w:p>
        </w:tc>
        <w:tc>
          <w:tcPr>
            <w:tcW w:w="112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spacing w:after="0"/>
              <w:rPr>
                <w:sz w:val="16"/>
                <w:szCs w:val="16"/>
                <w:color w:val="auto"/>
              </w:rPr>
            </w:pPr>
          </w:p>
        </w:tc>
      </w:tr>
      <w:tr>
        <w:trPr>
          <w:trHeight w:val="378"/>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20" w:type="dxa"/>
            <w:vAlign w:val="bottom"/>
          </w:tcPr>
          <w:p>
            <w:pPr>
              <w:spacing w:after="0"/>
              <w:rPr>
                <w:sz w:val="24"/>
                <w:szCs w:val="24"/>
                <w:color w:val="auto"/>
              </w:rPr>
            </w:pPr>
          </w:p>
        </w:tc>
      </w:tr>
      <w:tr>
        <w:trPr>
          <w:trHeight w:val="25"/>
        </w:trPr>
        <w:tc>
          <w:tcPr>
            <w:tcW w:w="1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350" w:lineRule="exact"/>
        <w:rPr>
          <w:sz w:val="24"/>
          <w:szCs w:val="24"/>
          <w:color w:val="auto"/>
        </w:rPr>
      </w:pPr>
    </w:p>
    <w:p>
      <w:pPr>
        <w:ind w:right="380"/>
        <w:spacing w:after="0" w:line="25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7"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3"/>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60" w:type="dxa"/>
            <w:vAlign w:val="bottom"/>
            <w:gridSpan w:val="2"/>
            <w:vMerge w:val="continue"/>
          </w:tcPr>
          <w:p>
            <w:pPr>
              <w:spacing w:after="0"/>
              <w:rPr>
                <w:sz w:val="19"/>
                <w:szCs w:val="19"/>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Symbol(s)</w:t>
            </w:r>
          </w:p>
        </w:tc>
        <w:tc>
          <w:tcPr>
            <w:tcW w:w="4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32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340" w:type="dxa"/>
            <w:vAlign w:val="bottom"/>
          </w:tcPr>
          <w:p>
            <w:pPr>
              <w:spacing w:after="0"/>
              <w:rPr>
                <w:sz w:val="19"/>
                <w:szCs w:val="19"/>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29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133350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73660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July 21, 2021, regarding its first-quarter results of operations and financial condition is attached hereto as Exhibit 99.</w:t>
      </w:r>
    </w:p>
    <w:p>
      <w:pPr>
        <w:spacing w:after="0" w:line="24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jc w:val="center"/>
              <w:ind w:right="262"/>
              <w:spacing w:after="0"/>
              <w:rPr>
                <w:sz w:val="20"/>
                <w:szCs w:val="20"/>
                <w:color w:val="auto"/>
              </w:rPr>
            </w:pPr>
            <w:r>
              <w:rPr>
                <w:rFonts w:ascii="Arial" w:cs="Arial" w:eastAsia="Arial" w:hAnsi="Arial"/>
                <w:sz w:val="14"/>
                <w:szCs w:val="14"/>
                <w:color w:val="auto"/>
                <w:w w:val="91"/>
              </w:rPr>
              <w:t>Designation</w:t>
            </w: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jc w:val="center"/>
              <w:ind w:right="242"/>
              <w:spacing w:after="0" w:line="135" w:lineRule="exact"/>
              <w:rPr>
                <w:sz w:val="20"/>
                <w:szCs w:val="20"/>
                <w:color w:val="auto"/>
              </w:rPr>
            </w:pPr>
            <w:r>
              <w:rPr>
                <w:rFonts w:ascii="Arial" w:cs="Arial" w:eastAsia="Arial" w:hAnsi="Arial"/>
                <w:sz w:val="14"/>
                <w:szCs w:val="14"/>
                <w:color w:val="auto"/>
              </w:rPr>
              <w:t>of Exhibit</w:t>
            </w:r>
          </w:p>
        </w:tc>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jc w:val="center"/>
              <w:ind w:right="262"/>
              <w:spacing w:after="0" w:line="135" w:lineRule="exact"/>
              <w:rPr>
                <w:sz w:val="20"/>
                <w:szCs w:val="20"/>
                <w:color w:val="auto"/>
              </w:rPr>
            </w:pPr>
            <w:r>
              <w:rPr>
                <w:rFonts w:ascii="Arial" w:cs="Arial" w:eastAsia="Arial" w:hAnsi="Arial"/>
                <w:sz w:val="14"/>
                <w:szCs w:val="14"/>
                <w:color w:val="auto"/>
                <w:w w:val="98"/>
              </w:rPr>
              <w:t>in this</w:t>
            </w:r>
          </w:p>
        </w:tc>
        <w:tc>
          <w:tcPr>
            <w:tcW w:w="20" w:type="dxa"/>
            <w:vAlign w:val="bottom"/>
          </w:tcPr>
          <w:p>
            <w:pPr>
              <w:spacing w:after="0"/>
              <w:rPr>
                <w:sz w:val="11"/>
                <w:szCs w:val="11"/>
                <w:color w:val="auto"/>
              </w:rPr>
            </w:pPr>
          </w:p>
        </w:tc>
        <w:tc>
          <w:tcPr>
            <w:tcW w:w="9640" w:type="dxa"/>
            <w:vAlign w:val="bottom"/>
            <w:gridSpan w:val="2"/>
            <w:vMerge w:val="restart"/>
          </w:tcPr>
          <w:p>
            <w:pPr>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86"/>
        </w:trPr>
        <w:tc>
          <w:tcPr>
            <w:tcW w:w="1580" w:type="dxa"/>
            <w:vAlign w:val="bottom"/>
          </w:tcPr>
          <w:p>
            <w:pPr>
              <w:jc w:val="center"/>
              <w:ind w:right="262"/>
              <w:spacing w:after="0"/>
              <w:rPr>
                <w:sz w:val="20"/>
                <w:szCs w:val="20"/>
                <w:color w:val="auto"/>
              </w:rPr>
            </w:pPr>
            <w:r>
              <w:rPr>
                <w:rFonts w:ascii="Arial" w:cs="Arial" w:eastAsia="Arial" w:hAnsi="Arial"/>
                <w:sz w:val="14"/>
                <w:szCs w:val="14"/>
                <w:color w:val="auto"/>
                <w:w w:val="95"/>
              </w:rPr>
              <w:t>Report</w:t>
            </w:r>
          </w:p>
        </w:tc>
        <w:tc>
          <w:tcPr>
            <w:tcW w:w="20" w:type="dxa"/>
            <w:vAlign w:val="bottom"/>
            <w:tcBorders>
              <w:bottom w:val="single" w:sz="8" w:color="auto"/>
            </w:tcBorders>
          </w:tcPr>
          <w:p>
            <w:pPr>
              <w:spacing w:after="0"/>
              <w:rPr>
                <w:sz w:val="16"/>
                <w:szCs w:val="16"/>
                <w:color w:val="auto"/>
              </w:rPr>
            </w:pPr>
          </w:p>
        </w:tc>
        <w:tc>
          <w:tcPr>
            <w:tcW w:w="96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1580" w:type="dxa"/>
            <w:vAlign w:val="bottom"/>
          </w:tcPr>
          <w:p>
            <w:pPr>
              <w:jc w:val="right"/>
              <w:ind w:right="782"/>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4"/>
                <w:szCs w:val="24"/>
                <w:color w:val="auto"/>
              </w:rPr>
            </w:pPr>
          </w:p>
        </w:tc>
        <w:tc>
          <w:tcPr>
            <w:tcW w:w="964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Registrant’s News Release</w:t>
              </w:r>
            </w:hyperlink>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Dated July 21, 2021 (furnished pursuant to Item 2.02)</w:t>
            </w:r>
          </w:p>
        </w:tc>
        <w:tc>
          <w:tcPr>
            <w:tcW w:w="0" w:type="dxa"/>
            <w:vAlign w:val="bottom"/>
          </w:tcPr>
          <w:p>
            <w:pPr>
              <w:spacing w:after="0"/>
              <w:rPr>
                <w:sz w:val="1"/>
                <w:szCs w:val="1"/>
                <w:color w:val="auto"/>
              </w:rPr>
            </w:pPr>
          </w:p>
        </w:tc>
      </w:tr>
      <w:tr>
        <w:trPr>
          <w:trHeight w:val="230"/>
        </w:trPr>
        <w:tc>
          <w:tcPr>
            <w:tcW w:w="1580" w:type="dxa"/>
            <w:vAlign w:val="bottom"/>
          </w:tcPr>
          <w:p>
            <w:pPr>
              <w:jc w:val="right"/>
              <w:ind w:right="742"/>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7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460" w:type="dxa"/>
            <w:vAlign w:val="bottom"/>
            <w:gridSpan w:val="2"/>
          </w:tcPr>
          <w:p>
            <w:pPr>
              <w:ind w:left="2340"/>
              <w:spacing w:after="0"/>
              <w:rPr>
                <w:sz w:val="20"/>
                <w:szCs w:val="20"/>
                <w:color w:val="auto"/>
              </w:rPr>
            </w:pPr>
            <w:r>
              <w:rPr>
                <w:rFonts w:ascii="Arial" w:cs="Arial" w:eastAsia="Arial" w:hAnsi="Arial"/>
                <w:sz w:val="18"/>
                <w:szCs w:val="18"/>
                <w:color w:val="auto"/>
              </w:rPr>
              <w:t>TEXAS INSTRUMENTS INCORPORATED</w:t>
            </w: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Date: July 21, 2021</w:t>
            </w:r>
          </w:p>
        </w:tc>
        <w:tc>
          <w:tcPr>
            <w:tcW w:w="3180" w:type="dxa"/>
            <w:vAlign w:val="bottom"/>
          </w:tcPr>
          <w:p>
            <w:pPr>
              <w:ind w:left="23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22"/>
        </w:trPr>
        <w:tc>
          <w:tcPr>
            <w:tcW w:w="37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7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0"/>
        </w:trPr>
        <w:tc>
          <w:tcPr>
            <w:tcW w:w="3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second quarter 2021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DALLAS (July 21, 2021) – Texas Instruments Incorporated (TI) (Nasdaq: TXN) today reported second quarter revenue of $4.58 billion, net income of $1.93 billion and earnings per share of $2.05. Earnings per share included a 6-cent benefit for items that were not in the company's original guidance.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Regarding the company's performance and returns to shareholders, Rich Templeton, TI's chairman, president and CEO, made the following comments:</w:t>
      </w:r>
    </w:p>
    <w:p>
      <w:pPr>
        <w:spacing w:after="0" w:line="248" w:lineRule="exact"/>
        <w:rPr>
          <w:sz w:val="20"/>
          <w:szCs w:val="20"/>
          <w:color w:val="auto"/>
        </w:rPr>
      </w:pPr>
    </w:p>
    <w:p>
      <w:pPr>
        <w:ind w:left="620" w:right="480" w:hanging="329"/>
        <w:spacing w:after="0" w:line="261"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increased 7% sequentially and increased 41% from the same quarter a year ago due to strong demand in industrial, automotive and personal electronics.</w:t>
      </w:r>
    </w:p>
    <w:p>
      <w:pPr>
        <w:spacing w:after="0" w:line="170" w:lineRule="exact"/>
        <w:rPr>
          <w:rFonts w:ascii="Arial" w:cs="Arial" w:eastAsia="Arial" w:hAnsi="Arial"/>
          <w:sz w:val="18"/>
          <w:szCs w:val="18"/>
          <w:color w:val="auto"/>
        </w:rPr>
      </w:pPr>
    </w:p>
    <w:p>
      <w:pPr>
        <w:ind w:left="620" w:right="220" w:hanging="329"/>
        <w:spacing w:after="0" w:line="277"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our core businesses, Analog revenue grew 6% and Embedded Processing grew 2% sequentially. From a year ago, Analog revenue grew 42% and Embedded Processing grew 43%.</w:t>
      </w:r>
    </w:p>
    <w:p>
      <w:pPr>
        <w:spacing w:after="0" w:line="170" w:lineRule="exact"/>
        <w:rPr>
          <w:rFonts w:ascii="Arial" w:cs="Arial" w:eastAsia="Arial" w:hAnsi="Arial"/>
          <w:sz w:val="18"/>
          <w:szCs w:val="18"/>
          <w:color w:val="auto"/>
        </w:rPr>
      </w:pPr>
    </w:p>
    <w:p>
      <w:pPr>
        <w:ind w:left="620" w:right="120" w:hanging="329"/>
        <w:spacing w:after="0" w:line="263"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cash flow from operations of $7.5 billion for the trailing 12 months again underscored the strength of our business model. Free cash flow for the same period was $6.5 billion and 39% of revenue. This reflects the quality of our product portfolio, as well as the efficiency of our manufacturing strategy, including the benefit of 300-millimeter Analog production.</w:t>
      </w:r>
    </w:p>
    <w:p>
      <w:pPr>
        <w:spacing w:after="0" w:line="183" w:lineRule="exact"/>
        <w:rPr>
          <w:rFonts w:ascii="Arial" w:cs="Arial" w:eastAsia="Arial" w:hAnsi="Arial"/>
          <w:sz w:val="18"/>
          <w:szCs w:val="18"/>
          <w:color w:val="auto"/>
        </w:rPr>
      </w:pPr>
    </w:p>
    <w:p>
      <w:pPr>
        <w:ind w:left="620" w:right="860" w:hanging="329"/>
        <w:spacing w:after="0" w:line="277"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returned $3.9 billion to owners in the past 12 months through dividends and stock repurchases. Over the same period, our dividend represented 56% of free cash flow, underscoring its sustainability.</w:t>
      </w:r>
    </w:p>
    <w:p>
      <w:pPr>
        <w:spacing w:after="0" w:line="170" w:lineRule="exact"/>
        <w:rPr>
          <w:rFonts w:ascii="Arial" w:cs="Arial" w:eastAsia="Arial" w:hAnsi="Arial"/>
          <w:sz w:val="18"/>
          <w:szCs w:val="18"/>
          <w:color w:val="auto"/>
        </w:rPr>
      </w:pPr>
    </w:p>
    <w:p>
      <w:pPr>
        <w:ind w:left="620" w:right="20" w:hanging="329"/>
        <w:spacing w:after="0" w:line="277"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third quarter outlook is for revenue in the range of $4.40 billion to $4.76 billion and earnings per share between $1.87 and $2.13. We continue to expect our 2021 annual operating tax rate to be about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Q2 2021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Q2 2020</w:t>
            </w:r>
          </w:p>
        </w:tc>
        <w:tc>
          <w:tcPr>
            <w:tcW w:w="20" w:type="dxa"/>
            <w:vAlign w:val="bottom"/>
          </w:tcPr>
          <w:p>
            <w:pPr>
              <w:spacing w:after="0"/>
              <w:rPr>
                <w:sz w:val="20"/>
                <w:szCs w:val="20"/>
                <w:color w:val="auto"/>
              </w:rPr>
            </w:pPr>
          </w:p>
        </w:tc>
        <w:tc>
          <w:tcPr>
            <w:tcW w:w="1540" w:type="dxa"/>
            <w:vAlign w:val="bottom"/>
          </w:tcPr>
          <w:p>
            <w:pPr>
              <w:ind w:left="480"/>
              <w:spacing w:after="0"/>
              <w:rPr>
                <w:sz w:val="20"/>
                <w:szCs w:val="20"/>
                <w:color w:val="auto"/>
              </w:rPr>
            </w:pPr>
            <w:r>
              <w:rPr>
                <w:rFonts w:ascii="Arial" w:cs="Arial" w:eastAsia="Arial" w:hAnsi="Arial"/>
                <w:sz w:val="18"/>
                <w:szCs w:val="18"/>
                <w:color w:val="auto"/>
              </w:rPr>
              <w:t>Change</w:t>
            </w:r>
          </w:p>
        </w:tc>
      </w:tr>
      <w:tr>
        <w:trPr>
          <w:trHeight w:val="223"/>
        </w:trPr>
        <w:tc>
          <w:tcPr>
            <w:tcW w:w="4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4,580</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2,213</w:t>
            </w:r>
          </w:p>
        </w:tc>
        <w:tc>
          <w:tcPr>
            <w:tcW w:w="360" w:type="dxa"/>
            <w:vAlign w:val="bottom"/>
            <w:gridSpan w:val="5"/>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80 %</w:t>
            </w:r>
          </w:p>
        </w:tc>
      </w:tr>
      <w:tr>
        <w:trPr>
          <w:trHeight w:val="229"/>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1,931</w:t>
            </w:r>
          </w:p>
        </w:tc>
        <w:tc>
          <w:tcPr>
            <w:tcW w:w="36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360" w:type="dxa"/>
            <w:vAlign w:val="bottom"/>
            <w:gridSpan w:val="5"/>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39 %</w:t>
            </w:r>
          </w:p>
        </w:tc>
      </w:tr>
      <w:tr>
        <w:trPr>
          <w:trHeight w:val="59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Cash generation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45"/>
        </w:trPr>
        <w:tc>
          <w:tcPr>
            <w:tcW w:w="494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3"/>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color w:val="auto"/>
                <w:w w:val="94"/>
              </w:rPr>
              <w:t>Trailing 12 Months</w:t>
            </w: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23"/>
        </w:trPr>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Q2 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Q2 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Q2 2020</w:t>
            </w:r>
          </w:p>
        </w:tc>
        <w:tc>
          <w:tcPr>
            <w:tcW w:w="20" w:type="dxa"/>
            <w:vAlign w:val="bottom"/>
          </w:tcPr>
          <w:p>
            <w:pPr>
              <w:spacing w:after="0"/>
              <w:rPr>
                <w:sz w:val="19"/>
                <w:szCs w:val="19"/>
                <w:color w:val="auto"/>
              </w:rPr>
            </w:pPr>
          </w:p>
        </w:tc>
        <w:tc>
          <w:tcPr>
            <w:tcW w:w="1540" w:type="dxa"/>
            <w:vAlign w:val="bottom"/>
          </w:tcPr>
          <w:p>
            <w:pPr>
              <w:ind w:left="500"/>
              <w:spacing w:after="0"/>
              <w:rPr>
                <w:sz w:val="20"/>
                <w:szCs w:val="20"/>
                <w:color w:val="auto"/>
              </w:rPr>
            </w:pPr>
            <w:r>
              <w:rPr>
                <w:rFonts w:ascii="Arial" w:cs="Arial" w:eastAsia="Arial" w:hAnsi="Arial"/>
                <w:sz w:val="18"/>
                <w:szCs w:val="18"/>
                <w:color w:val="auto"/>
              </w:rPr>
              <w:t>Change</w:t>
            </w:r>
          </w:p>
        </w:tc>
      </w:tr>
      <w:tr>
        <w:trPr>
          <w:trHeight w:val="223"/>
        </w:trPr>
        <w:tc>
          <w:tcPr>
            <w:tcW w:w="4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flow from operations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7,539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6,317</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19"/>
                <w:szCs w:val="19"/>
                <w:color w:val="auto"/>
              </w:rPr>
            </w:pPr>
          </w:p>
        </w:tc>
        <w:tc>
          <w:tcPr>
            <w:tcW w:w="360" w:type="dxa"/>
            <w:vAlign w:val="bottom"/>
            <w:gridSpan w:val="5"/>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603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74 %</w:t>
            </w:r>
          </w:p>
        </w:tc>
      </w:tr>
      <w:tr>
        <w:trPr>
          <w:trHeight w:val="229"/>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6,487</w:t>
            </w:r>
          </w:p>
        </w:tc>
        <w:tc>
          <w:tcPr>
            <w:tcW w:w="80" w:type="dxa"/>
            <w:vAlign w:val="bottom"/>
            <w:shd w:val="clear" w:color="auto" w:fill="CCEEFF"/>
          </w:tcPr>
          <w:p>
            <w:pPr>
              <w:spacing w:after="0"/>
              <w:rPr>
                <w:sz w:val="19"/>
                <w:szCs w:val="19"/>
                <w:color w:val="auto"/>
              </w:rPr>
            </w:pPr>
          </w:p>
        </w:tc>
        <w:tc>
          <w:tcPr>
            <w:tcW w:w="36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Free cash flow % of revenue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41.7 %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580"/>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Cash return</w:t>
            </w:r>
          </w:p>
        </w:tc>
        <w:tc>
          <w:tcPr>
            <w:tcW w:w="40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5"/>
        </w:trPr>
        <w:tc>
          <w:tcPr>
            <w:tcW w:w="494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2"/>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5"/>
              </w:rPr>
              <w:t>Trailing 12 Months</w:t>
            </w: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23"/>
        </w:trPr>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Q2 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Q2 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ind w:left="160"/>
              <w:spacing w:after="0"/>
              <w:rPr>
                <w:sz w:val="20"/>
                <w:szCs w:val="20"/>
                <w:color w:val="auto"/>
              </w:rPr>
            </w:pPr>
            <w:r>
              <w:rPr>
                <w:rFonts w:ascii="Arial" w:cs="Arial" w:eastAsia="Arial" w:hAnsi="Arial"/>
                <w:sz w:val="18"/>
                <w:szCs w:val="18"/>
                <w:color w:val="auto"/>
              </w:rPr>
              <w:t>Q2 2020</w:t>
            </w:r>
          </w:p>
        </w:tc>
        <w:tc>
          <w:tcPr>
            <w:tcW w:w="20" w:type="dxa"/>
            <w:vAlign w:val="bottom"/>
          </w:tcPr>
          <w:p>
            <w:pPr>
              <w:spacing w:after="0"/>
              <w:rPr>
                <w:sz w:val="19"/>
                <w:szCs w:val="19"/>
                <w:color w:val="auto"/>
              </w:rPr>
            </w:pPr>
          </w:p>
        </w:tc>
        <w:tc>
          <w:tcPr>
            <w:tcW w:w="1540" w:type="dxa"/>
            <w:vAlign w:val="bottom"/>
          </w:tcPr>
          <w:p>
            <w:pPr>
              <w:ind w:left="480"/>
              <w:spacing w:after="0"/>
              <w:rPr>
                <w:sz w:val="20"/>
                <w:szCs w:val="20"/>
                <w:color w:val="auto"/>
              </w:rPr>
            </w:pPr>
            <w:r>
              <w:rPr>
                <w:rFonts w:ascii="Arial" w:cs="Arial" w:eastAsia="Arial" w:hAnsi="Arial"/>
                <w:sz w:val="18"/>
                <w:szCs w:val="18"/>
                <w:color w:val="auto"/>
              </w:rPr>
              <w:t>Change</w:t>
            </w:r>
          </w:p>
        </w:tc>
      </w:tr>
      <w:tr>
        <w:trPr>
          <w:trHeight w:val="223"/>
        </w:trPr>
        <w:tc>
          <w:tcPr>
            <w:tcW w:w="4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3"/>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Stock repurchases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360" w:type="dxa"/>
            <w:vAlign w:val="bottom"/>
            <w:gridSpan w:val="5"/>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cash returned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3,920</w:t>
            </w:r>
          </w:p>
        </w:tc>
        <w:tc>
          <w:tcPr>
            <w:tcW w:w="360" w:type="dxa"/>
            <w:vAlign w:val="bottom"/>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1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280" w:type="dxa"/>
            <w:vAlign w:val="bottom"/>
            <w:gridSpan w:val="4"/>
          </w:tcPr>
          <w:p>
            <w:pPr>
              <w:jc w:val="center"/>
              <w:ind w:left="277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3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w w:val="99"/>
              </w:rPr>
              <w:t>For Three Months Ended</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vMerge w:val="continue"/>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w w:val="89"/>
              </w:rPr>
              <w:t>(Millions of dollars, except share and per-share amounts)</w:t>
            </w:r>
          </w:p>
        </w:tc>
        <w:tc>
          <w:tcPr>
            <w:tcW w:w="3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(COR)</w:t>
            </w:r>
          </w:p>
        </w:tc>
        <w:tc>
          <w:tcPr>
            <w:tcW w:w="3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Research and development (R&amp;D)</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Acquisition charges</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charges/other</w:t>
            </w: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2,213</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 (OI&amp;E)</w:t>
            </w: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debt expense</w:t>
            </w:r>
          </w:p>
        </w:tc>
        <w:tc>
          <w:tcPr>
            <w:tcW w:w="3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84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shares outstanding (millions):</w:t>
            </w: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Basic</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923</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84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440" w:type="dxa"/>
            <w:vAlign w:val="bottom"/>
          </w:tcPr>
          <w:p>
            <w:pPr>
              <w:spacing w:after="0"/>
              <w:rPr>
                <w:sz w:val="24"/>
                <w:szCs w:val="24"/>
                <w:color w:val="auto"/>
              </w:rPr>
            </w:pPr>
          </w:p>
        </w:tc>
        <w:tc>
          <w:tcPr>
            <w:tcW w:w="3840" w:type="dxa"/>
            <w:vAlign w:val="bottom"/>
            <w:gridSpan w:val="3"/>
          </w:tcPr>
          <w:p>
            <w:pPr>
              <w:jc w:val="center"/>
              <w:ind w:right="1510"/>
              <w:spacing w:after="0"/>
              <w:rPr>
                <w:sz w:val="20"/>
                <w:szCs w:val="20"/>
                <w:color w:val="auto"/>
              </w:rPr>
            </w:pPr>
            <w:r>
              <w:rPr>
                <w:rFonts w:ascii="Arial" w:cs="Arial" w:eastAsia="Arial" w:hAnsi="Arial"/>
                <w:sz w:val="18"/>
                <w:szCs w:val="18"/>
                <w:b w:val="1"/>
                <w:bCs w:val="1"/>
                <w:color w:val="auto"/>
                <w:w w:val="91"/>
              </w:rPr>
              <w:t>Supplemental Information</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3840" w:type="dxa"/>
            <w:vAlign w:val="bottom"/>
            <w:gridSpan w:val="3"/>
          </w:tcPr>
          <w:p>
            <w:pPr>
              <w:jc w:val="center"/>
              <w:ind w:right="1490"/>
              <w:spacing w:after="0"/>
              <w:rPr>
                <w:sz w:val="20"/>
                <w:szCs w:val="20"/>
                <w:color w:val="auto"/>
              </w:rPr>
            </w:pPr>
            <w:r>
              <w:rPr>
                <w:rFonts w:ascii="Arial" w:cs="Arial" w:eastAsia="Arial" w:hAnsi="Arial"/>
                <w:sz w:val="18"/>
                <w:szCs w:val="18"/>
                <w:b w:val="1"/>
                <w:bCs w:val="1"/>
                <w:color w:val="auto"/>
                <w:w w:val="89"/>
              </w:rPr>
              <w:t>(Quarterly, except as noted)</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annual operating tax rate, which does not include discrete tax items, was 14% for the current period and 13% for the year-ago period.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7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6"/>
              </w:rPr>
              <w:t>164</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Discrete tax items</w:t>
            </w: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0"/>
              </w:rPr>
              <w:t>(265)</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0"/>
              </w:rPr>
              <w:t>(101)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0" w:right="160"/>
        <w:spacing w:after="0" w:line="235"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allocated to RSUs</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80"/>
          </w:cols>
          <w:pgMar w:left="380" w:top="89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28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1"/>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540" w:type="dxa"/>
            <w:vAlign w:val="bottom"/>
          </w:tcPr>
          <w:p>
            <w:pPr>
              <w:spacing w:after="0"/>
              <w:rPr>
                <w:sz w:val="24"/>
                <w:szCs w:val="24"/>
                <w:color w:val="auto"/>
              </w:rPr>
            </w:pPr>
          </w:p>
        </w:tc>
        <w:tc>
          <w:tcPr>
            <w:tcW w:w="16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24"/>
                <w:szCs w:val="24"/>
                <w:color w:val="auto"/>
              </w:rPr>
            </w:pPr>
          </w:p>
        </w:tc>
      </w:tr>
      <w:tr>
        <w:trPr>
          <w:trHeight w:val="223"/>
        </w:trPr>
        <w:tc>
          <w:tcPr>
            <w:tcW w:w="76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(Millions of dollars, except share amounts)</w:t>
            </w:r>
          </w:p>
        </w:tc>
        <w:tc>
          <w:tcPr>
            <w:tcW w:w="12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($9) and ($9)</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30"/>
        </w:trPr>
        <w:tc>
          <w:tcPr>
            <w:tcW w:w="7740" w:type="dxa"/>
            <w:vAlign w:val="bottom"/>
            <w:gridSpan w:val="2"/>
          </w:tcPr>
          <w:p>
            <w:pPr>
              <w:ind w:left="460"/>
              <w:spacing w:after="0"/>
              <w:rPr>
                <w:sz w:val="20"/>
                <w:szCs w:val="20"/>
                <w:color w:val="auto"/>
              </w:rPr>
            </w:pPr>
            <w:r>
              <w:rPr>
                <w:rFonts w:ascii="Arial" w:cs="Arial" w:eastAsia="Arial" w:hAnsi="Arial"/>
                <w:sz w:val="18"/>
                <w:szCs w:val="18"/>
                <w:color w:val="auto"/>
              </w:rPr>
              <w:t>Raw materials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Work in process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29"/>
        </w:trPr>
        <w:tc>
          <w:tcPr>
            <w:tcW w:w="774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Finished goods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r>
      <w:tr>
        <w:trPr>
          <w:trHeight w:val="223"/>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r>
      <w:tr>
        <w:trPr>
          <w:trHeight w:val="223"/>
        </w:trPr>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23"/>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11,177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w:t>
            </w:r>
          </w:p>
        </w:tc>
      </w:tr>
      <w:tr>
        <w:trPr>
          <w:trHeight w:val="223"/>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6,235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5,741</w:t>
            </w: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depreciation</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r>
      <w:tr>
        <w:trPr>
          <w:trHeight w:val="223"/>
        </w:trPr>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w:t>
            </w: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r>
      <w:tr>
        <w:trPr>
          <w:trHeight w:val="23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Acquisition-related intangibles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Capitalized software licenses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Overfunded retirement plans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7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assets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248"/>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17,445</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compensation</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29"/>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23"/>
        </w:trPr>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w:t>
            </w:r>
          </w:p>
        </w:tc>
      </w:tr>
      <w:tr>
        <w:trPr>
          <w:trHeight w:val="23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Underfunded retirement plans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9,801</w:t>
            </w:r>
          </w:p>
        </w:tc>
      </w:tr>
      <w:tr>
        <w:trPr>
          <w:trHeight w:val="21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Preferred stock, $25 par value. Authorized – 10,000,000 shares; none issued</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Common stock, $1 par value. Authorized – 2,400,000,000 shares</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Shares issued – 1,740,815,939</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2,182</w:t>
            </w: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40,780</w:t>
            </w: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Shares: June 30, 2021 – 817,729,258; June 30, 2020 – 825,225,307</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(36,725)</w:t>
            </w:r>
          </w:p>
        </w:tc>
      </w:tr>
      <w:tr>
        <w:trPr>
          <w:trHeight w:val="229"/>
        </w:trPr>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11,153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r>
      <w:tr>
        <w:trPr>
          <w:trHeight w:val="223"/>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20,603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17,445</w:t>
            </w:r>
          </w:p>
        </w:tc>
      </w:tr>
      <w:tr>
        <w:trPr>
          <w:trHeight w:val="20"/>
        </w:trPr>
        <w:tc>
          <w:tcPr>
            <w:tcW w:w="7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8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0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380" w:top="89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28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540" w:type="dxa"/>
            <w:vAlign w:val="bottom"/>
          </w:tcPr>
          <w:p>
            <w:pPr>
              <w:spacing w:after="0"/>
              <w:rPr>
                <w:sz w:val="22"/>
                <w:szCs w:val="22"/>
                <w:color w:val="auto"/>
              </w:rPr>
            </w:pPr>
          </w:p>
        </w:tc>
        <w:tc>
          <w:tcPr>
            <w:tcW w:w="28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w w:val="99"/>
              </w:rPr>
              <w:t>For Three Months Ended</w:t>
            </w:r>
          </w:p>
        </w:tc>
        <w:tc>
          <w:tcPr>
            <w:tcW w:w="0" w:type="dxa"/>
            <w:vAlign w:val="bottom"/>
          </w:tcPr>
          <w:p>
            <w:pPr>
              <w:spacing w:after="0"/>
              <w:rPr>
                <w:sz w:val="1"/>
                <w:szCs w:val="1"/>
                <w:color w:val="auto"/>
              </w:rPr>
            </w:pPr>
          </w:p>
        </w:tc>
      </w:tr>
      <w:tr>
        <w:trPr>
          <w:trHeight w:val="229"/>
        </w:trPr>
        <w:tc>
          <w:tcPr>
            <w:tcW w:w="774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(Millions of dollars)</w:t>
            </w:r>
          </w:p>
        </w:tc>
        <w:tc>
          <w:tcPr>
            <w:tcW w:w="12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1,931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Adjustments to net income:</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tcPr>
          <w:p>
            <w:pPr>
              <w:ind w:left="46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Amortization of acquisition-related intangibles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7740" w:type="dxa"/>
            <w:vAlign w:val="bottom"/>
            <w:gridSpan w:val="2"/>
          </w:tcPr>
          <w:p>
            <w:pPr>
              <w:ind w:left="460"/>
              <w:spacing w:after="0"/>
              <w:rPr>
                <w:sz w:val="20"/>
                <w:szCs w:val="20"/>
                <w:color w:val="auto"/>
              </w:rPr>
            </w:pPr>
            <w:r>
              <w:rPr>
                <w:rFonts w:ascii="Arial" w:cs="Arial" w:eastAsia="Arial" w:hAnsi="Arial"/>
                <w:sz w:val="18"/>
                <w:szCs w:val="18"/>
                <w:color w:val="auto"/>
              </w:rPr>
              <w:t>Amortization of capitalized software</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Stock compensation</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7740" w:type="dxa"/>
            <w:vAlign w:val="bottom"/>
            <w:gridSpan w:val="2"/>
          </w:tcPr>
          <w:p>
            <w:pPr>
              <w:ind w:left="460"/>
              <w:spacing w:after="0"/>
              <w:rPr>
                <w:sz w:val="20"/>
                <w:szCs w:val="20"/>
                <w:color w:val="auto"/>
              </w:rPr>
            </w:pPr>
            <w:r>
              <w:rPr>
                <w:rFonts w:ascii="Arial" w:cs="Arial" w:eastAsia="Arial" w:hAnsi="Arial"/>
                <w:sz w:val="18"/>
                <w:szCs w:val="18"/>
                <w:color w:val="auto"/>
              </w:rPr>
              <w:t>Gains on sales of assets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Deferred taxes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Increase (decrease) from changes in:</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7740" w:type="dxa"/>
            <w:vAlign w:val="bottom"/>
            <w:gridSpan w:val="2"/>
          </w:tcPr>
          <w:p>
            <w:pPr>
              <w:ind w:left="46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7740" w:type="dxa"/>
            <w:vAlign w:val="bottom"/>
            <w:gridSpan w:val="2"/>
          </w:tcPr>
          <w:p>
            <w:pPr>
              <w:ind w:left="46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Accrued compensation</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7740" w:type="dxa"/>
            <w:vAlign w:val="bottom"/>
            <w:gridSpan w:val="2"/>
          </w:tcPr>
          <w:p>
            <w:pPr>
              <w:ind w:left="460"/>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asset sales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Purchases of short-term investments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short-term investments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Repayment of debt</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Dividends paid</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 repurchases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37"/>
        </w:trPr>
        <w:tc>
          <w:tcPr>
            <w:tcW w:w="7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23"/>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80"/>
          </w:cols>
          <w:pgMar w:left="380" w:top="89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rPr>
              <w:t>Q2 2021</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Q2 2020</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Analog:</w:t>
            </w: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30"/>
        </w:trPr>
        <w:tc>
          <w:tcPr>
            <w:tcW w:w="6620" w:type="dxa"/>
            <w:vAlign w:val="bottom"/>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2,434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Embedded Processing: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662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6620" w:type="dxa"/>
            <w:vAlign w:val="bottom"/>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18"/>
        </w:trPr>
        <w:tc>
          <w:tcPr>
            <w:tcW w:w="6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For 12 Months Ended</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9"/>
        </w:trPr>
        <w:tc>
          <w:tcPr>
            <w:tcW w:w="6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operations (GAAP)</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7,539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6,317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(1,052)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6,487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5,714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3"/>
        </w:trPr>
        <w:tc>
          <w:tcPr>
            <w:tcW w:w="63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16,762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13,689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4"/>
        </w:trPr>
        <w:tc>
          <w:tcPr>
            <w:tcW w:w="636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38.7 %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41.7 %</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9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21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620" w:right="720" w:hanging="329"/>
        <w:spacing w:after="0" w:line="258" w:lineRule="auto"/>
        <w:tabs>
          <w:tab w:leader="none" w:pos="61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duration and scope of the COVID-19 pandemic, government and other third-party responses to it and the consequences for the global economy, including to our business and the businesses of our suppliers, customers and distributors;</w:t>
      </w:r>
    </w:p>
    <w:p>
      <w:pPr>
        <w:ind w:left="620" w:right="60" w:hanging="329"/>
        <w:spacing w:after="0" w:line="249"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ind w:left="620" w:hanging="329"/>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20" w:lineRule="exact"/>
        <w:rPr>
          <w:rFonts w:ascii="Arial" w:cs="Arial" w:eastAsia="Arial" w:hAnsi="Arial"/>
          <w:sz w:val="17"/>
          <w:szCs w:val="17"/>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9" w:lineRule="exact"/>
        <w:rPr>
          <w:rFonts w:ascii="Arial" w:cs="Arial" w:eastAsia="Arial" w:hAnsi="Arial"/>
          <w:sz w:val="18"/>
          <w:szCs w:val="18"/>
          <w:color w:val="auto"/>
        </w:rPr>
      </w:pPr>
    </w:p>
    <w:p>
      <w:pPr>
        <w:ind w:left="620" w:right="32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10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ind w:left="620" w:hanging="329"/>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20" w:right="1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ind w:left="620" w:right="6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60" w:hanging="329"/>
        <w:spacing w:after="0" w:line="265" w:lineRule="auto"/>
        <w:tabs>
          <w:tab w:leader="none" w:pos="615"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9" w:lineRule="exact"/>
        <w:rPr>
          <w:rFonts w:ascii="Arial" w:cs="Arial" w:eastAsia="Arial" w:hAnsi="Arial"/>
          <w:sz w:val="18"/>
          <w:szCs w:val="18"/>
          <w:color w:val="auto"/>
        </w:rPr>
      </w:pPr>
    </w:p>
    <w:p>
      <w:pPr>
        <w:ind w:left="620" w:right="38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20" w:lineRule="exact"/>
        <w:rPr>
          <w:rFonts w:ascii="Arial" w:cs="Arial" w:eastAsia="Arial" w:hAnsi="Arial"/>
          <w:sz w:val="17"/>
          <w:szCs w:val="17"/>
          <w:color w:val="auto"/>
        </w:rPr>
      </w:pPr>
    </w:p>
    <w:p>
      <w:pPr>
        <w:ind w:left="620" w:right="10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10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 w:cs="Arial" w:eastAsia="Arial" w:hAnsi="Arial"/>
          <w:sz w:val="17"/>
          <w:szCs w:val="17"/>
          <w:u w:val="single" w:color="auto"/>
          <w:color w:val="3A3AFF"/>
        </w:rPr>
        <w:t>TI.com</w:t>
      </w:r>
      <w:r>
        <w:rPr>
          <w:rFonts w:ascii="Arial" w:cs="Arial" w:eastAsia="Arial" w:hAnsi="Arial"/>
          <w:sz w:val="17"/>
          <w:szCs w:val="17"/>
          <w:color w:val="auto"/>
        </w:rPr>
        <w:t>.</w:t>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2021-07-21T15:10:24Z</dcterms:created>
  <dcterms:modified xsi:type="dcterms:W3CDTF">2021-07-21T15:10:24Z</dcterms:modified>
</cp:coreProperties>
</file>