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333-229797</w:t>
      </w:r>
    </w:p>
    <w:p>
      <w:pPr>
        <w:spacing w:after="0" w:line="200" w:lineRule="exact"/>
        <w:rPr>
          <w:sz w:val="24"/>
          <w:szCs w:val="24"/>
          <w:color w:val="auto"/>
        </w:rPr>
      </w:pP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3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r>
      <w:tr>
        <w:trPr>
          <w:trHeight w:val="149"/>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Max</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Price 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1.750% Notes due 2030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99.890%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$749,175,000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$97,242.92</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$750,000,000</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$749,175,000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$97,242.92</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177165</wp:posOffset>
            </wp:positionV>
            <wp:extent cx="2871470" cy="677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1.750%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245745</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Texas Instruments Incorporated is offering $750,000,000 aggregate principal amount of its 1.750% Notes due 2030 (the “Notes”), which will bear interest at the rate per year as set forth above. Interest on the Notes will be payable semi-annually in arrears on May 4 and November 4 of each year, beginning on November 4,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mature on May 4, 2030.</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203200</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233680</wp:posOffset>
            </wp:positionV>
            <wp:extent cx="1114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186055</wp:posOffset>
            </wp:positionV>
            <wp:extent cx="1114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Per</w:t>
            </w:r>
          </w:p>
        </w:tc>
        <w:tc>
          <w:tcPr>
            <w:tcW w:w="100" w:type="dxa"/>
            <w:vAlign w:val="bottom"/>
          </w:tcPr>
          <w:p>
            <w:pPr>
              <w:spacing w:after="0"/>
              <w:rPr>
                <w:sz w:val="14"/>
                <w:szCs w:val="14"/>
                <w:color w:val="auto"/>
              </w:rPr>
            </w:pPr>
          </w:p>
        </w:tc>
        <w:tc>
          <w:tcPr>
            <w:tcW w:w="9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Note</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99.890%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749,175,000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0.450%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3,375,000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99.440%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745,800,000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on the Notes will accrue from May 4, 2020 to the date of delivery.</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and its participants, including Euroclear Bank S.A./N.V. and Clearstream Banking, S.A., on or about May 4, 2020, which is the sixth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194310</wp:posOffset>
            </wp:positionV>
            <wp:extent cx="1114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Mizuho Securities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159" w:lineRule="exact"/>
        <w:rPr>
          <w:sz w:val="20"/>
          <w:szCs w:val="20"/>
          <w:color w:val="auto"/>
        </w:rPr>
      </w:pPr>
    </w:p>
    <w:p>
      <w:pPr>
        <w:sectPr>
          <w:pgSz w:w="11900" w:h="16838" w:orient="portrait"/>
          <w:cols w:equalWidth="0" w:num="3">
            <w:col w:w="3720" w:space="720"/>
            <w:col w:w="3740" w:space="720"/>
            <w:col w:w="224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MUFG</w:t>
      </w:r>
    </w:p>
    <w:p>
      <w:pPr>
        <w:spacing w:after="0" w:line="200" w:lineRule="exact"/>
        <w:rPr>
          <w:sz w:val="20"/>
          <w:szCs w:val="20"/>
          <w:color w:val="auto"/>
        </w:rPr>
      </w:pPr>
    </w:p>
    <w:p>
      <w:pPr>
        <w:sectPr>
          <w:pgSz w:w="11900" w:h="16838" w:orient="portrait"/>
          <w:cols w:equalWidth="0" w:num="4">
            <w:col w:w="2060" w:space="720"/>
            <w:col w:w="3580" w:space="720"/>
            <w:col w:w="2560" w:space="720"/>
            <w:col w:w="780"/>
          </w:cols>
          <w:pgMar w:left="320" w:top="459" w:right="439" w:bottom="1440" w:gutter="0" w:footer="0" w:header="0"/>
          <w:type w:val="continuous"/>
        </w:sectPr>
      </w:pP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9"/>
          <w:szCs w:val="19"/>
          <w:i w:val="1"/>
          <w:iCs w:val="1"/>
          <w:color w:val="auto"/>
        </w:rPr>
        <w:t>Co-Managers</w:t>
      </w:r>
    </w:p>
    <w:p>
      <w:pPr>
        <w:sectPr>
          <w:pgSz w:w="11900" w:h="16838" w:orient="portrait"/>
          <w:cols w:equalWidth="0" w:num="1">
            <w:col w:w="11140"/>
          </w:cols>
          <w:pgMar w:left="320" w:top="459" w:right="439" w:bottom="1440" w:gutter="0" w:footer="0" w:header="0"/>
          <w:type w:val="continuous"/>
        </w:sect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Siebert Williams Shank</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US Bancorp</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BNP PARIBAS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HSBC</w:t>
      </w:r>
    </w:p>
    <w:p>
      <w:pPr>
        <w:spacing w:after="0" w:line="200" w:lineRule="exact"/>
        <w:rPr>
          <w:sz w:val="20"/>
          <w:szCs w:val="20"/>
          <w:color w:val="auto"/>
        </w:rPr>
      </w:pPr>
    </w:p>
    <w:p>
      <w:pPr>
        <w:sectPr>
          <w:pgSz w:w="11900" w:h="16838" w:orient="portrait"/>
          <w:cols w:equalWidth="0" w:num="4">
            <w:col w:w="3100" w:space="720"/>
            <w:col w:w="1580" w:space="720"/>
            <w:col w:w="3600" w:space="720"/>
            <w:col w:w="700"/>
          </w:cols>
          <w:pgMar w:left="320" w:top="459" w:right="439" w:bottom="1440" w:gutter="0" w:footer="0" w:header="0"/>
          <w:type w:val="continuous"/>
        </w:sectPr>
      </w:pP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April 24,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060" w:type="dxa"/>
            <w:vAlign w:val="bottom"/>
            <w:gridSpan w:val="4"/>
          </w:tcPr>
          <w:p>
            <w:pPr>
              <w:ind w:left="6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3920" w:type="dxa"/>
            <w:vAlign w:val="bottom"/>
          </w:tcPr>
          <w:p>
            <w:pPr>
              <w:spacing w:after="0"/>
              <w:rPr>
                <w:sz w:val="24"/>
                <w:szCs w:val="24"/>
                <w:color w:val="auto"/>
              </w:rPr>
            </w:pPr>
          </w:p>
        </w:tc>
        <w:tc>
          <w:tcPr>
            <w:tcW w:w="66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Notice Regarding Forward-Looking Statements</w:t>
              </w:r>
            </w:hyperlink>
          </w:p>
        </w:tc>
        <w:tc>
          <w:tcPr>
            <w:tcW w:w="6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2"/>
        </w:trPr>
        <w:tc>
          <w:tcPr>
            <w:tcW w:w="3920" w:type="dxa"/>
            <w:vAlign w:val="bottom"/>
            <w:vMerge w:val="continue"/>
          </w:tcPr>
          <w:p>
            <w:pPr>
              <w:spacing w:after="0"/>
              <w:rPr>
                <w:sz w:val="17"/>
                <w:szCs w:val="17"/>
                <w:color w:val="auto"/>
              </w:rPr>
            </w:pPr>
          </w:p>
        </w:tc>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Capitalization</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Description of the Notes</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w w:val="98"/>
              </w:rPr>
            </w:pPr>
            <w:hyperlink w:anchor="page22">
              <w:r>
                <w:rPr>
                  <w:rFonts w:ascii="Arial" w:cs="Arial" w:eastAsia="Arial" w:hAnsi="Arial"/>
                  <w:sz w:val="18"/>
                  <w:szCs w:val="18"/>
                  <w:u w:val="single" w:color="auto"/>
                  <w:color w:val="0000EE"/>
                  <w:w w:val="98"/>
                </w:rPr>
                <w:t>Material U.S. Federal Income Tax Consequences</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Underwriting</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Validity of Securities</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Experts</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30"/>
        </w:trPr>
        <w:tc>
          <w:tcPr>
            <w:tcW w:w="39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Where You Can Find More Information</w:t>
              </w:r>
            </w:hyperlink>
          </w:p>
        </w:tc>
        <w:tc>
          <w:tcPr>
            <w:tcW w:w="664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391"/>
        </w:trPr>
        <w:tc>
          <w:tcPr>
            <w:tcW w:w="3920" w:type="dxa"/>
            <w:vAlign w:val="bottom"/>
          </w:tcPr>
          <w:p>
            <w:pPr>
              <w:spacing w:after="0"/>
              <w:rPr>
                <w:sz w:val="24"/>
                <w:szCs w:val="24"/>
                <w:color w:val="auto"/>
              </w:rPr>
            </w:pPr>
          </w:p>
        </w:tc>
        <w:tc>
          <w:tcPr>
            <w:tcW w:w="6740" w:type="dxa"/>
            <w:vAlign w:val="bottom"/>
            <w:gridSpan w:val="2"/>
            <w:vMerge w:val="restart"/>
          </w:tcPr>
          <w:p>
            <w:pPr>
              <w:ind w:left="820"/>
              <w:spacing w:after="0"/>
              <w:rPr>
                <w:sz w:val="20"/>
                <w:szCs w:val="20"/>
                <w:color w:val="auto"/>
              </w:rPr>
            </w:pPr>
            <w:r>
              <w:rPr>
                <w:rFonts w:ascii="Arial" w:cs="Arial" w:eastAsia="Arial" w:hAnsi="Arial"/>
                <w:sz w:val="18"/>
                <w:szCs w:val="18"/>
                <w:b w:val="1"/>
                <w:bCs w:val="1"/>
                <w:color w:val="auto"/>
              </w:rPr>
              <w:t>Prospectus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740" w:type="dxa"/>
            <w:vAlign w:val="bottom"/>
            <w:gridSpan w:val="2"/>
            <w:vMerge w:val="continue"/>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The Company</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About this Prospectus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Where You Can Find More Information</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Notice Regarding Forward-Looking Statements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Capital Stock</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Debt Securities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Warrants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Units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Forms of Securities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 of Distribution</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Validity of Securities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92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Experts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760" w:right="44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760" w:right="28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demand for semiconductors, particularly in the industrial and automotive markets, and customer demand that differs from forecasts;</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30" w:lineRule="exact"/>
        <w:rPr>
          <w:rFonts w:ascii="Arial" w:cs="Arial" w:eastAsia="Arial" w:hAnsi="Arial"/>
          <w:sz w:val="18"/>
          <w:szCs w:val="18"/>
          <w:color w:val="auto"/>
        </w:rPr>
      </w:pPr>
    </w:p>
    <w:p>
      <w:pPr>
        <w:ind w:left="760" w:right="6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75" w:lineRule="exact"/>
        <w:rPr>
          <w:rFonts w:ascii="Arial" w:cs="Arial" w:eastAsia="Arial" w:hAnsi="Arial"/>
          <w:sz w:val="18"/>
          <w:szCs w:val="18"/>
          <w:color w:val="auto"/>
        </w:rPr>
      </w:pPr>
    </w:p>
    <w:p>
      <w:pPr>
        <w:ind w:left="760" w:right="78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760" w:right="18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760" w:right="40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760" w:right="300" w:hanging="212"/>
        <w:spacing w:after="0" w:line="342"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difficulties of our distributors or their promotion of competing product lines to our detriment; or disputes with significant distributors;</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220" w:hanging="21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760" w:right="380" w:hanging="21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13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0130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1140"/>
              <w:spacing w:after="0"/>
              <w:rPr>
                <w:sz w:val="20"/>
                <w:szCs w:val="20"/>
                <w:color w:val="auto"/>
              </w:rPr>
            </w:pPr>
            <w:r>
              <w:rPr>
                <w:rFonts w:ascii="Arial" w:cs="Arial" w:eastAsia="Arial" w:hAnsi="Arial"/>
                <w:sz w:val="18"/>
                <w:szCs w:val="18"/>
                <w:color w:val="auto"/>
              </w:rPr>
              <w:t>$750,000,000 aggregate principal amount of 1.750% Notes due 2030.</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40" w:type="dxa"/>
            <w:vAlign w:val="bottom"/>
          </w:tcPr>
          <w:p>
            <w:pPr>
              <w:ind w:left="1140"/>
              <w:spacing w:after="0"/>
              <w:rPr>
                <w:sz w:val="20"/>
                <w:szCs w:val="20"/>
                <w:color w:val="auto"/>
              </w:rPr>
            </w:pPr>
            <w:r>
              <w:rPr>
                <w:rFonts w:ascii="Arial" w:cs="Arial" w:eastAsia="Arial" w:hAnsi="Arial"/>
                <w:sz w:val="18"/>
                <w:szCs w:val="18"/>
                <w:color w:val="auto"/>
              </w:rPr>
              <w:t>May 4, 2030.</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940" w:type="dxa"/>
            <w:vAlign w:val="bottom"/>
          </w:tcPr>
          <w:p>
            <w:pPr>
              <w:ind w:left="1140"/>
              <w:spacing w:after="0"/>
              <w:rPr>
                <w:sz w:val="20"/>
                <w:szCs w:val="20"/>
                <w:color w:val="auto"/>
              </w:rPr>
            </w:pPr>
            <w:r>
              <w:rPr>
                <w:rFonts w:ascii="Arial" w:cs="Arial" w:eastAsia="Arial" w:hAnsi="Arial"/>
                <w:sz w:val="18"/>
                <w:szCs w:val="18"/>
                <w:color w:val="auto"/>
              </w:rPr>
              <w:t>May 4, 2020.</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40" w:type="dxa"/>
            <w:vAlign w:val="bottom"/>
          </w:tcPr>
          <w:p>
            <w:pPr>
              <w:ind w:left="1140"/>
              <w:spacing w:after="0"/>
              <w:rPr>
                <w:sz w:val="20"/>
                <w:szCs w:val="20"/>
                <w:color w:val="auto"/>
              </w:rPr>
            </w:pPr>
            <w:r>
              <w:rPr>
                <w:rFonts w:ascii="Arial" w:cs="Arial" w:eastAsia="Arial" w:hAnsi="Arial"/>
                <w:sz w:val="18"/>
                <w:szCs w:val="18"/>
                <w:color w:val="auto"/>
              </w:rPr>
              <w:t>Fixed rate of 1.750%.</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Each May 4 and November 4, beginning on November 4, 2020, and on the maturity date.</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7"/>
              </w:rPr>
              <w:t>As of March 31, 2020, Texas Instruments Incorporated had approximately $6.6 billion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7"/>
              </w:rPr>
              <w:t>outstanding indebtedness. As of March 31, 2020, Texas Instruments had approximately</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$9.5 billion of total liabilities on a consolidated basis. These amounts include $500 million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principal amount of notes that we repaid on April 10, 2020. Of the $9.5 billion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consolidated total liabilities, approximately $0.8 billion of liabilities (including trade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3"/>
              </w:rPr>
              <w:t>payables and excluding intercompany debt) were held by subsidiaries of Texas Instruments</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Incorporated to which the Notes will be effectively subordinated.</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Pr>
          <w:p>
            <w:pPr>
              <w:ind w:left="114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for, and registered in the name of, a nominee of The Depository Trust Company, or DTC.</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Except in the limited circumstances described under “Description of the Notes—Book-</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exchanged for interests in global securities.</w:t>
            </w: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7940" w:type="dxa"/>
            <w:vAlign w:val="bottom"/>
          </w:tcPr>
          <w:p>
            <w:pPr>
              <w:ind w:left="114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27"/>
        </w:trPr>
        <w:tc>
          <w:tcPr>
            <w:tcW w:w="308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of Proceeds.” In connection with the</w:t>
            </w: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9"/>
              </w:rPr>
              <w:t>issuance of the Notes, we may enter into interest rate swap agreements with financial</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institutions, which may include one or more of the underwriters or their affiliates.</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further notes will be consolidated and form a single series with the Notes offered by this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this prospectus supplement for more information about possible market-making by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27"/>
        </w:trPr>
        <w:tc>
          <w:tcPr>
            <w:tcW w:w="2980" w:type="dxa"/>
            <w:vAlign w:val="bottom"/>
            <w:tcBorders>
              <w:left w:val="single" w:sz="8" w:color="auto"/>
              <w:bottom w:val="single" w:sz="8" w:color="auto"/>
            </w:tcBorders>
          </w:tcPr>
          <w:p>
            <w:pPr>
              <w:spacing w:after="0"/>
              <w:rPr>
                <w:sz w:val="19"/>
                <w:szCs w:val="19"/>
                <w:color w:val="auto"/>
              </w:rPr>
            </w:pPr>
          </w:p>
        </w:tc>
        <w:tc>
          <w:tcPr>
            <w:tcW w:w="804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2019 and risk factors in Item 1A of our Quarterly Report on Form 10-Q for the quarter ended March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300"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2020, we had approximately $9.5 billion of total liabilities on a consolidated basis. This amount includes $500 million principal amount of notes that we repaid on April 10, 2020 and approximately $0.8 billion of liabilities (including trade payables and excluding intercompany debt) held by subsidiaries of Texas Instruments Incorporated to which the Notes will be effectively subordinated.</w:t>
      </w:r>
    </w:p>
    <w:p>
      <w:pPr>
        <w:spacing w:after="0" w:line="195"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an as adjusted basis after giving effect to this offering, and our repayment of $500 million principal amount of notes on April 10, 2020, as of March 31, 2020, Texas Instruments Incorporated would have had approximately $6.2 billion of total long-term indebtedness (including the Notes), all of which would have been unsecured and unsubordinated.</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760" w:right="840" w:hanging="212"/>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760" w:right="480" w:hanging="212"/>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jc w:val="both"/>
        <w:ind w:left="760" w:right="160" w:hanging="212"/>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540"/>
        <w:spacing w:after="0"/>
        <w:tabs>
          <w:tab w:leader="none" w:pos="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anticipate that we will receive net proceeds of approximately $744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March 31, 2020.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10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March 31, 2020</w:t>
            </w:r>
          </w:p>
        </w:tc>
        <w:tc>
          <w:tcPr>
            <w:tcW w:w="0" w:type="dxa"/>
            <w:vAlign w:val="bottom"/>
          </w:tcPr>
          <w:p>
            <w:pPr>
              <w:spacing w:after="0"/>
              <w:rPr>
                <w:sz w:val="1"/>
                <w:szCs w:val="1"/>
                <w:color w:val="auto"/>
              </w:rPr>
            </w:pPr>
          </w:p>
        </w:tc>
      </w:tr>
      <w:tr>
        <w:trPr>
          <w:trHeight w:val="142"/>
        </w:trPr>
        <w:tc>
          <w:tcPr>
            <w:tcW w:w="88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Actual</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5,499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5,499</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11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40,227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40,227</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(819,335,097 shares)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9"/>
              </w:rPr>
              <w:t>(36,002)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(36,002)</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100" w:type="dxa"/>
            <w:vAlign w:val="bottom"/>
          </w:tcPr>
          <w:p>
            <w:pPr>
              <w:spacing w:after="0"/>
              <w:rPr>
                <w:sz w:val="18"/>
                <w:szCs w:val="18"/>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23"/>
        </w:trPr>
        <w:tc>
          <w:tcPr>
            <w:tcW w:w="882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13,233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540" w:right="300" w:hanging="424"/>
        <w:spacing w:after="0" w:line="28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$6.6 billion of our existing outstanding notes less net unamortized discounts, premiums and debt issuance costs of $50 million, less $1.1 billion representing the current portion of long-term debt. The $1.1 billion current portion of our long-term indebtedness includes</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$500 million principal amount of notes that we repaid on April 10, 2020.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Notes will mature on May 4, 2030. The Notes will be issued in book-entry form only, in denominations of $2,000 and multiples of $1,000 in excess thereof. Interest on the Notes will accrue from May 4, 2020 at the rate per annum shown on the cover of this prospectus supplement. Interest on the Notes will be payable semi-annually on May 4 and November 4, commencing on November 4, 2020 to the persons in whose names the Notes are registered at the close of business on the preceding April 19 or October 20, as the case may be. Interest on the Notes will be paid to but excluding the relevant interest payment date. Interest on the Notes will be calculated on the basis of a 360-day year comprised of twelve 30-day months.</w:t>
      </w:r>
    </w:p>
    <w:p>
      <w:pPr>
        <w:spacing w:after="0" w:line="16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2020, Texas Instruments Incorporated had approximately $6.6 billion of outstanding indebtedness. As of March 31, 2020, Texas Instruments had approximately $9.5 billion of total liabilities on a consolidated basis. These amounts include $500 million principal amount of notes that we repaid on April 10, 2020. Of the $9.5 billion of consolidated total liabilities, approximately $0.8 billion of liabilities (including trade payables and excluding intercompany debt) were held by subsidiaries of Texas Instruments Incorporated to which the Notes will be effectively subordinated.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an as adjusted basis after giving effect to this offering and our repayment of $500 million principal amount of notes on April 10, 2020,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w:t>
      </w:r>
    </w:p>
    <w:p>
      <w:pPr>
        <w:spacing w:after="0" w:line="116" w:lineRule="exact"/>
        <w:rPr>
          <w:sz w:val="20"/>
          <w:szCs w:val="20"/>
          <w:color w:val="auto"/>
        </w:rPr>
      </w:pPr>
    </w:p>
    <w:p>
      <w:pPr>
        <w:ind w:left="760" w:right="140" w:hanging="212"/>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$6.2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have had approximately $9.8 billion of total liabilities on a consolidated basis;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760" w:right="140" w:hanging="212"/>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$0.8 billion of liabilities (including trade payables but excluding intercompany debt) to which the Notes would have been structurally subordinated.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issue price and interest accrued prior to the issue date of the additional Notes. The additional Notes will have the same CUSIP number as the Notes; provided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Prior to February 4, 2030 (the date that is three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6" w:lineRule="exact"/>
        <w:rPr>
          <w:sz w:val="20"/>
          <w:szCs w:val="20"/>
          <w:color w:val="auto"/>
        </w:rPr>
      </w:pPr>
    </w:p>
    <w:p>
      <w:pPr>
        <w:ind w:left="1200" w:hanging="22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560" w:firstLine="419"/>
        <w:spacing w:after="0" w:line="279" w:lineRule="auto"/>
        <w:tabs>
          <w:tab w:leader="none" w:pos="124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sum of the present values of the principal amount of such Notes and the scheduled payments of interest thereon (not including any portion of such payments of interest accrued as of the date of redemption) from the date of redemption to February 4, 2030 (the date that is three months prior to the maturity date of the Notes), in each case discounted to the date of redemption on a semi-annual basis (assuming a 360-day year consisting of twelve 30-day months) at the Treasury Rate (as defined below), plus 20 basis points;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At any time on or after February 4, 2030 (the date that is three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“Reference Treasury Dealer” means (i) Citigroup Global Markets Inc., Mizuho Securities USA LLC and Morgan Stanley &amp; Co. LLC (or their respective affiliates that are Primary Treasury Dealers) and their respective successors; provided, however, that if any of the foregoing shall cease to be a primary U.S. Government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securities dealer in New York City (a “Primary Treasury Dealer”), Texas Instruments Incorporated will substitute therefor another Primary Treasury Dealer, and (ii) any other Primary Treasury Dealer selected by Texas Instruments Incorporated.</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to each holder of the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760" w:right="20" w:hanging="212"/>
        <w:spacing w:after="0" w:line="34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760" w:right="60" w:hanging="212"/>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ind w:left="760" w:hanging="212"/>
        <w:spacing w:after="0" w:line="301"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0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83" w:lineRule="exact"/>
        <w:rPr>
          <w:sz w:val="20"/>
          <w:szCs w:val="20"/>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760" w:right="140" w:hanging="212"/>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760" w:right="500" w:hanging="212"/>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6"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2"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left="120" w:right="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others, such as banks, brokers, dealers and trust companies that clear through or maintain a custodial relationship with a participant, either directly or indirectly. The rules applicable to DTC and its participants are on file with the SEC.</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maintain ordinary banking relationships with the trustee and its affiliates and in the future may enter into additional such relationships. An affiliate of the trustee is a lender under our credit facility and an affiliate of the trustee is an underwriter of this offering.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84"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760" w:right="440" w:hanging="212"/>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760" w:hanging="21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160" w:hanging="212"/>
        <w:spacing w:after="0" w:line="34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00"/>
          </w:cols>
          <w:pgMar w:left="320" w:top="459" w:right="5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Citigroup Global Markets Inc.,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97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9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9"/>
        </w:trPr>
        <w:tc>
          <w:tcPr>
            <w:tcW w:w="9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142,500,000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Siebert Williams Shank &amp; 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750,000,000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ind w:left="120" w:right="380"/>
        <w:spacing w:after="0" w:line="255" w:lineRule="auto"/>
        <w:rPr>
          <w:sz w:val="20"/>
          <w:szCs w:val="20"/>
          <w:color w:val="auto"/>
        </w:rPr>
      </w:pPr>
      <w:r>
        <w:rPr>
          <w:rFonts w:ascii="Arial" w:cs="Arial" w:eastAsia="Arial" w:hAnsi="Arial"/>
          <w:sz w:val="18"/>
          <w:szCs w:val="18"/>
          <w:color w:val="auto"/>
        </w:rPr>
        <w:t>0.250% per Note. Any such securities dealers may resell any Notes purchased from the underwriters to certain other brokers or dealers at a discount from the initial public offering price not to exceed 0.150% per Note. If all the Notes are not sold at the initial offering price, the underwriters may change the offering price and the other selling terms.</w:t>
      </w:r>
    </w:p>
    <w:p>
      <w:pPr>
        <w:spacing w:after="0" w:line="19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89" w:lineRule="exact"/>
        <w:rPr>
          <w:sz w:val="20"/>
          <w:szCs w:val="20"/>
          <w:color w:val="auto"/>
        </w:rPr>
      </w:pPr>
    </w:p>
    <w:p>
      <w:pPr>
        <w:ind w:left="10080"/>
        <w:spacing w:after="0"/>
        <w:rPr>
          <w:sz w:val="20"/>
          <w:szCs w:val="20"/>
          <w:color w:val="auto"/>
        </w:rPr>
      </w:pPr>
      <w:r>
        <w:rPr>
          <w:rFonts w:ascii="Arial" w:cs="Arial" w:eastAsia="Arial" w:hAnsi="Arial"/>
          <w:sz w:val="14"/>
          <w:szCs w:val="14"/>
          <w:b w:val="1"/>
          <w:bCs w:val="1"/>
          <w:color w:val="auto"/>
        </w:rPr>
        <w:t>Paid by Texas</w:t>
      </w:r>
    </w:p>
    <w:p>
      <w:pPr>
        <w:ind w:left="10120"/>
        <w:spacing w:after="0" w:line="226" w:lineRule="auto"/>
        <w:rPr>
          <w:sz w:val="20"/>
          <w:szCs w:val="20"/>
          <w:color w:val="auto"/>
        </w:rPr>
      </w:pPr>
      <w:r>
        <w:rPr>
          <w:rFonts w:ascii="Arial" w:cs="Arial" w:eastAsia="Arial" w:hAnsi="Arial"/>
          <w:sz w:val="14"/>
          <w:szCs w:val="14"/>
          <w:b w:val="1"/>
          <w:bCs w:val="1"/>
          <w:color w:val="auto"/>
        </w:rPr>
        <w:t>Instruments</w:t>
      </w:r>
    </w:p>
    <w:p>
      <w:pPr>
        <w:ind w:left="10100"/>
        <w:spacing w:after="0" w:line="232" w:lineRule="auto"/>
        <w:rPr>
          <w:sz w:val="20"/>
          <w:szCs w:val="20"/>
          <w:color w:val="auto"/>
        </w:rPr>
      </w:pPr>
      <w:r>
        <w:rPr>
          <w:rFonts w:ascii="Arial" w:cs="Arial" w:eastAsia="Arial" w:hAnsi="Arial"/>
          <w:sz w:val="14"/>
          <w:szCs w:val="14"/>
          <w:b w:val="1"/>
          <w:bCs w:val="1"/>
          <w:color w:val="auto"/>
        </w:rPr>
        <w:t>Incorporated</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9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96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0.450%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total expenses for this offering will be approximately $4.7 million, including underwriting discounts.</w:t>
      </w:r>
    </w:p>
    <w:p>
      <w:pPr>
        <w:spacing w:after="0" w:line="225"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760" w:right="480" w:hanging="212"/>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500" w:hanging="212"/>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760" w:right="240" w:hanging="212"/>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84"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9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sixth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T+6,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7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in the United Kingdom (the “UK”).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has been prepared on the basis that any offer of Notes in any Member State of the EEA or in the UK will be made pursuant to an exemption under the Prospectus Regulation from the requirement to publish a prospectus for offers of Notes. This prospectus is not a prospectus for the purposes of the Prospectus Regulation.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6"/>
          <w:szCs w:val="16"/>
          <w:color w:val="auto"/>
        </w:rPr>
        <w:t>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360" w:firstLine="440"/>
        <w:spacing w:after="0" w:line="255"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w:t>
      </w:r>
    </w:p>
    <w:p>
      <w:pPr>
        <w:spacing w:after="0" w:line="3" w:lineRule="exact"/>
        <w:rPr>
          <w:sz w:val="20"/>
          <w:szCs w:val="20"/>
          <w:color w:val="auto"/>
        </w:rPr>
      </w:pPr>
    </w:p>
    <w:p>
      <w:pPr>
        <w:ind w:left="120" w:right="240"/>
        <w:spacing w:after="0" w:line="281" w:lineRule="auto"/>
        <w:rPr>
          <w:sz w:val="20"/>
          <w:szCs w:val="20"/>
          <w:color w:val="auto"/>
        </w:rPr>
      </w:pPr>
      <w:r>
        <w:rPr>
          <w:rFonts w:ascii="Arial" w:cs="Arial" w:eastAsia="Arial" w:hAnsi="Arial"/>
          <w:sz w:val="16"/>
          <w:szCs w:val="16"/>
          <w:color w:val="auto"/>
        </w:rPr>
        <w:t xml:space="preserve">investment only and not with a view to resale or redistribution; (ii) is an “accredited investor” as such term is defined in section 1.1 of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(“NI 45-106”) or, in Ontario, as such term is defined in section 73.3(1) of the Securities Act (Ontario); and</w:t>
      </w:r>
    </w:p>
    <w:p>
      <w:pPr>
        <w:spacing w:after="0" w:line="1" w:lineRule="exact"/>
        <w:rPr>
          <w:sz w:val="20"/>
          <w:szCs w:val="20"/>
          <w:color w:val="auto"/>
        </w:rPr>
      </w:pPr>
    </w:p>
    <w:p>
      <w:pPr>
        <w:ind w:left="120" w:right="280" w:hanging="4"/>
        <w:spacing w:after="0" w:line="260" w:lineRule="auto"/>
        <w:tabs>
          <w:tab w:leader="none" w:pos="4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is a “permitted client” as such term is defined in section 1.1 of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and in Multilateral Instrument </w:t>
      </w:r>
      <w:r>
        <w:rPr>
          <w:rFonts w:ascii="Arial" w:cs="Arial" w:eastAsia="Arial" w:hAnsi="Arial"/>
          <w:sz w:val="16"/>
          <w:szCs w:val="16"/>
          <w:color w:val="auto"/>
        </w:rPr>
        <w:t>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760" w:right="40" w:hanging="212"/>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760" w:right="120" w:hanging="212"/>
        <w:spacing w:after="0" w:line="342" w:lineRule="auto"/>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760" w:right="120" w:hanging="212"/>
        <w:spacing w:after="0" w:line="308"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760" w:right="640" w:hanging="212"/>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9" w:lineRule="exact"/>
        <w:rPr>
          <w:sz w:val="20"/>
          <w:szCs w:val="20"/>
          <w:color w:val="auto"/>
        </w:rPr>
      </w:pPr>
    </w:p>
    <w:p>
      <w:pPr>
        <w:ind w:left="760" w:hanging="212"/>
        <w:spacing w:after="0" w:line="25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Singapore Securities and Futures Act Product Classification </w:t>
      </w:r>
      <w:r>
        <w:rPr>
          <w:rFonts w:ascii="Arial" w:cs="Arial" w:eastAsia="Arial" w:hAnsi="Arial"/>
          <w:sz w:val="17"/>
          <w:szCs w:val="17"/>
          <w:color w:val="auto"/>
        </w:rPr>
        <w:t>– 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in Taiwan (either directly or through properly licensed Taiwan intermediaries acting on behalf of such investors), but may not be issued, offered or sold in Taiwan.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that is a Plan must also determine, and will be deemed to have represented by its purchase and holding of a Note, that such purchase and holding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herein. Our financial statements are incorporated by reference in reliance on Ernst &amp; Young LLP’s reports, given on their authority as experts in accounting and auditing.</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4" w:lineRule="exact"/>
        <w:rPr>
          <w:sz w:val="20"/>
          <w:szCs w:val="20"/>
          <w:color w:val="auto"/>
        </w:rPr>
      </w:pPr>
    </w:p>
    <w:p>
      <w:pPr>
        <w:ind w:left="120" w:right="20" w:firstLine="44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8">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2019, filed on February 20, 2020, the sections of our Definitive Proxy Statement on </w:t>
      </w:r>
      <w:hyperlink r:id="rId49">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2020 annual meeting of stockholders, filed on March 10, 2020 that are incorporated by reference in our Annual Report on Form 10-K for the year ended December 31, 2019, our Quarterly Report on Form 10-Q for the quarter ended </w:t>
      </w:r>
      <w:hyperlink r:id="rId50">
        <w:r>
          <w:rPr>
            <w:rFonts w:ascii="Arial" w:cs="Arial" w:eastAsia="Arial" w:hAnsi="Arial"/>
            <w:sz w:val="16"/>
            <w:szCs w:val="16"/>
            <w:u w:val="single" w:color="auto"/>
            <w:color w:val="0000EE"/>
          </w:rPr>
          <w:t>March 31, 2020</w:t>
        </w:r>
      </w:hyperlink>
      <w:r>
        <w:rPr>
          <w:rFonts w:ascii="Arial" w:cs="Arial" w:eastAsia="Arial" w:hAnsi="Arial"/>
          <w:sz w:val="16"/>
          <w:szCs w:val="16"/>
          <w:color w:val="auto"/>
        </w:rPr>
        <w:t>, filed on April 22, 2020, our Current Reports on Form</w:t>
      </w:r>
    </w:p>
    <w:p>
      <w:pPr>
        <w:spacing w:after="0" w:line="4" w:lineRule="exact"/>
        <w:rPr>
          <w:rFonts w:ascii="Arial" w:cs="Arial" w:eastAsia="Arial" w:hAnsi="Arial"/>
          <w:sz w:val="16"/>
          <w:szCs w:val="16"/>
          <w:color w:val="auto"/>
        </w:rPr>
      </w:pPr>
    </w:p>
    <w:p>
      <w:pPr>
        <w:jc w:val="both"/>
        <w:ind w:left="120" w:right="10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8-K filed on </w:t>
      </w:r>
      <w:hyperlink r:id="rId51">
        <w:r>
          <w:rPr>
            <w:rFonts w:ascii="Arial" w:cs="Arial" w:eastAsia="Arial" w:hAnsi="Arial"/>
            <w:sz w:val="18"/>
            <w:szCs w:val="18"/>
            <w:u w:val="single" w:color="auto"/>
            <w:color w:val="0000EE"/>
          </w:rPr>
          <w:t>February 20,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2">
        <w:r>
          <w:rPr>
            <w:rFonts w:ascii="Arial" w:cs="Arial" w:eastAsia="Arial" w:hAnsi="Arial"/>
            <w:sz w:val="18"/>
            <w:szCs w:val="18"/>
            <w:u w:val="single" w:color="auto"/>
            <w:color w:val="0000EE"/>
          </w:rPr>
          <w:t>March 12, 2020</w:t>
        </w:r>
      </w:hyperlink>
      <w:r>
        <w:rPr>
          <w:rFonts w:ascii="Arial" w:cs="Arial" w:eastAsia="Arial" w:hAnsi="Arial"/>
          <w:sz w:val="18"/>
          <w:szCs w:val="18"/>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9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P.O. Box 660199, MS</w:t>
      </w:r>
    </w:p>
    <w:p>
      <w:pPr>
        <w:spacing w:after="0" w:line="2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63215" cy="660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8632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120"/>
          </w:cols>
          <w:pgMar w:left="320" w:top="459" w:right="459" w:bottom="1440" w:gutter="0" w:footer="0" w:header="0"/>
        </w:sectPr>
      </w:pP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40"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9"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460" w:hanging="34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Amount payable at maturity</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70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right="2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120"/>
          </w:cols>
          <w:pgMar w:left="320" w:top="459" w:right="4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226695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000" w:type="dxa"/>
            <w:vAlign w:val="bottom"/>
            <w:gridSpan w:val="3"/>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vMerge w:val="restart"/>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The Company</w:t>
              </w:r>
            </w:hyperlink>
          </w:p>
        </w:tc>
        <w:tc>
          <w:tcPr>
            <w:tcW w:w="67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670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About this Prospectus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Where You Can Find More Information</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Notice Regarding Forward-Looking Statements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Capital Stock</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Debt Securities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Warrants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Units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Forms of Securities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 of Distribution</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Validity of Securities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98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Experts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4"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9" w:right="7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64">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9"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080" w:right="180" w:hanging="532"/>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80" w:right="320" w:hanging="532"/>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80" w:right="160" w:hanging="532"/>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80" w:right="40" w:hanging="532"/>
        <w:spacing w:after="0" w:line="275"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0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80" w:right="32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540" w:hanging="439"/>
        <w:spacing w:after="0"/>
        <w:tabs>
          <w:tab w:leader="none" w:pos="1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740" w:hanging="439"/>
        <w:spacing w:after="0" w:line="342" w:lineRule="auto"/>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80" w:right="140" w:hanging="532"/>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80" w:right="180" w:hanging="532"/>
        <w:spacing w:after="0" w:line="273"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080" w:right="600" w:hanging="532"/>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80" w:right="4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532"/>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439"/>
        <w:spacing w:after="0" w:line="277" w:lineRule="auto"/>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120" w:right="18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80" w:right="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80" w:right="40" w:hanging="532"/>
        <w:spacing w:after="0" w:line="270"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80" w:right="240" w:hanging="532"/>
        <w:spacing w:after="0" w:line="308"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80" w:right="720" w:hanging="532"/>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178435</wp:posOffset>
            </wp:positionV>
            <wp:extent cx="2871470" cy="677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1.750 %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1678305</wp:posOffset>
            </wp:positionV>
            <wp:extent cx="11144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240030</wp:posOffset>
            </wp:positionV>
            <wp:extent cx="11144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421"/>
        </w:trPr>
        <w:tc>
          <w:tcPr>
            <w:tcW w:w="260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5940" w:type="dxa"/>
            <w:vAlign w:val="bottom"/>
            <w:gridSpan w:val="2"/>
          </w:tcPr>
          <w:p>
            <w:pPr>
              <w:ind w:left="1720"/>
              <w:spacing w:after="0"/>
              <w:rPr>
                <w:sz w:val="20"/>
                <w:szCs w:val="20"/>
                <w:color w:val="auto"/>
              </w:rPr>
            </w:pPr>
            <w:r>
              <w:rPr>
                <w:rFonts w:ascii="Arial" w:cs="Arial" w:eastAsia="Arial" w:hAnsi="Arial"/>
                <w:sz w:val="32"/>
                <w:szCs w:val="32"/>
                <w:b w:val="1"/>
                <w:bCs w:val="1"/>
                <w:color w:val="auto"/>
              </w:rPr>
              <w:t>Mizuho Securities</w:t>
            </w:r>
          </w:p>
        </w:tc>
        <w:tc>
          <w:tcPr>
            <w:tcW w:w="248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412"/>
        </w:trPr>
        <w:tc>
          <w:tcPr>
            <w:tcW w:w="260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3620" w:type="dxa"/>
            <w:vAlign w:val="bottom"/>
          </w:tcPr>
          <w:p>
            <w:pPr>
              <w:ind w:left="60"/>
              <w:spacing w:after="0"/>
              <w:rPr>
                <w:sz w:val="20"/>
                <w:szCs w:val="20"/>
                <w:color w:val="auto"/>
              </w:rPr>
            </w:pPr>
            <w:r>
              <w:rPr>
                <w:rFonts w:ascii="Arial" w:cs="Arial" w:eastAsia="Arial" w:hAnsi="Arial"/>
                <w:sz w:val="25"/>
                <w:szCs w:val="25"/>
                <w:b w:val="1"/>
                <w:bCs w:val="1"/>
                <w:color w:val="auto"/>
              </w:rPr>
              <w:t>BofA Securities</w:t>
            </w:r>
          </w:p>
        </w:tc>
        <w:tc>
          <w:tcPr>
            <w:tcW w:w="2320" w:type="dxa"/>
            <w:vAlign w:val="bottom"/>
          </w:tcPr>
          <w:p>
            <w:pPr>
              <w:ind w:left="740"/>
              <w:spacing w:after="0"/>
              <w:rPr>
                <w:sz w:val="20"/>
                <w:szCs w:val="20"/>
                <w:color w:val="auto"/>
              </w:rPr>
            </w:pPr>
            <w:r>
              <w:rPr>
                <w:rFonts w:ascii="Arial" w:cs="Arial" w:eastAsia="Arial" w:hAnsi="Arial"/>
                <w:sz w:val="25"/>
                <w:szCs w:val="25"/>
                <w:b w:val="1"/>
                <w:bCs w:val="1"/>
                <w:color w:val="auto"/>
              </w:rPr>
              <w:t>J.P. Morgan</w:t>
            </w:r>
          </w:p>
        </w:tc>
        <w:tc>
          <w:tcPr>
            <w:tcW w:w="2480" w:type="dxa"/>
            <w:vAlign w:val="bottom"/>
          </w:tcPr>
          <w:p>
            <w:pPr>
              <w:jc w:val="right"/>
              <w:spacing w:after="0"/>
              <w:rPr>
                <w:sz w:val="20"/>
                <w:szCs w:val="20"/>
                <w:color w:val="auto"/>
              </w:rPr>
            </w:pPr>
            <w:r>
              <w:rPr>
                <w:rFonts w:ascii="Arial" w:cs="Arial" w:eastAsia="Arial" w:hAnsi="Arial"/>
                <w:sz w:val="25"/>
                <w:szCs w:val="25"/>
                <w:b w:val="1"/>
                <w:bCs w:val="1"/>
                <w:color w:val="auto"/>
              </w:rPr>
              <w:t>MUFG</w:t>
            </w:r>
          </w:p>
        </w:tc>
      </w:tr>
      <w:tr>
        <w:trPr>
          <w:trHeight w:val="461"/>
        </w:trPr>
        <w:tc>
          <w:tcPr>
            <w:tcW w:w="2600" w:type="dxa"/>
            <w:vAlign w:val="bottom"/>
          </w:tcPr>
          <w:p>
            <w:pPr>
              <w:spacing w:after="0"/>
              <w:rPr>
                <w:sz w:val="24"/>
                <w:szCs w:val="24"/>
                <w:color w:val="auto"/>
              </w:rPr>
            </w:pPr>
          </w:p>
        </w:tc>
        <w:tc>
          <w:tcPr>
            <w:tcW w:w="3620" w:type="dxa"/>
            <w:vAlign w:val="bottom"/>
          </w:tcPr>
          <w:p>
            <w:pPr>
              <w:ind w:left="2300"/>
              <w:spacing w:after="0"/>
              <w:rPr>
                <w:sz w:val="20"/>
                <w:szCs w:val="20"/>
                <w:color w:val="auto"/>
              </w:rPr>
            </w:pPr>
            <w:r>
              <w:rPr>
                <w:rFonts w:ascii="Arial" w:cs="Arial" w:eastAsia="Arial" w:hAnsi="Arial"/>
                <w:sz w:val="22"/>
                <w:szCs w:val="22"/>
                <w:i w:val="1"/>
                <w:iCs w:val="1"/>
                <w:color w:val="auto"/>
                <w:w w:val="97"/>
              </w:rPr>
              <w:t>Co-Managers</w:t>
            </w:r>
          </w:p>
        </w:tc>
        <w:tc>
          <w:tcPr>
            <w:tcW w:w="23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39"/>
        </w:trPr>
        <w:tc>
          <w:tcPr>
            <w:tcW w:w="2600" w:type="dxa"/>
            <w:vAlign w:val="bottom"/>
          </w:tcPr>
          <w:p>
            <w:pPr>
              <w:spacing w:after="0"/>
              <w:rPr>
                <w:sz w:val="20"/>
                <w:szCs w:val="20"/>
                <w:color w:val="auto"/>
              </w:rPr>
            </w:pPr>
            <w:r>
              <w:rPr>
                <w:rFonts w:ascii="Arial" w:cs="Arial" w:eastAsia="Arial" w:hAnsi="Arial"/>
                <w:sz w:val="25"/>
                <w:szCs w:val="25"/>
                <w:b w:val="1"/>
                <w:bCs w:val="1"/>
                <w:color w:val="auto"/>
                <w:w w:val="93"/>
              </w:rPr>
              <w:t>Siebert Williams Shank</w:t>
            </w:r>
          </w:p>
        </w:tc>
        <w:tc>
          <w:tcPr>
            <w:tcW w:w="3620" w:type="dxa"/>
            <w:vAlign w:val="bottom"/>
          </w:tcPr>
          <w:p>
            <w:pPr>
              <w:ind w:left="1060"/>
              <w:spacing w:after="0"/>
              <w:rPr>
                <w:sz w:val="20"/>
                <w:szCs w:val="20"/>
                <w:color w:val="auto"/>
              </w:rPr>
            </w:pPr>
            <w:r>
              <w:rPr>
                <w:rFonts w:ascii="Arial" w:cs="Arial" w:eastAsia="Arial" w:hAnsi="Arial"/>
                <w:sz w:val="25"/>
                <w:szCs w:val="25"/>
                <w:b w:val="1"/>
                <w:bCs w:val="1"/>
                <w:color w:val="auto"/>
              </w:rPr>
              <w:t>US Bancorp</w:t>
            </w:r>
          </w:p>
        </w:tc>
        <w:tc>
          <w:tcPr>
            <w:tcW w:w="2320" w:type="dxa"/>
            <w:vAlign w:val="bottom"/>
          </w:tcPr>
          <w:p>
            <w:pPr>
              <w:ind w:left="120"/>
              <w:spacing w:after="0"/>
              <w:rPr>
                <w:sz w:val="20"/>
                <w:szCs w:val="20"/>
                <w:color w:val="auto"/>
              </w:rPr>
            </w:pPr>
            <w:r>
              <w:rPr>
                <w:rFonts w:ascii="Arial" w:cs="Arial" w:eastAsia="Arial" w:hAnsi="Arial"/>
                <w:sz w:val="25"/>
                <w:szCs w:val="25"/>
                <w:b w:val="1"/>
                <w:bCs w:val="1"/>
                <w:color w:val="auto"/>
              </w:rPr>
              <w:t>BNP PARIBAS</w:t>
            </w:r>
          </w:p>
        </w:tc>
        <w:tc>
          <w:tcPr>
            <w:tcW w:w="2480" w:type="dxa"/>
            <w:vAlign w:val="bottom"/>
          </w:tcPr>
          <w:p>
            <w:pPr>
              <w:jc w:val="right"/>
              <w:spacing w:after="0"/>
              <w:rPr>
                <w:sz w:val="20"/>
                <w:szCs w:val="20"/>
                <w:color w:val="auto"/>
              </w:rPr>
            </w:pPr>
            <w:r>
              <w:rPr>
                <w:rFonts w:ascii="Arial" w:cs="Arial" w:eastAsia="Arial" w:hAnsi="Arial"/>
                <w:sz w:val="25"/>
                <w:szCs w:val="25"/>
                <w:b w:val="1"/>
                <w:bCs w:val="1"/>
                <w:color w:val="auto"/>
              </w:rPr>
              <w:t>HSBC</w:t>
            </w:r>
          </w:p>
        </w:tc>
      </w:tr>
      <w:tr>
        <w:trPr>
          <w:trHeight w:val="302"/>
        </w:trPr>
        <w:tc>
          <w:tcPr>
            <w:tcW w:w="26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95"/>
        </w:trPr>
        <w:tc>
          <w:tcPr>
            <w:tcW w:w="26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lowerRoman"/>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lvl w:ilvl="1">
      <w:lvlJc w:val="left"/>
      <w:lvlText w:val="(%2)"/>
      <w:numFmt w:val="decimal"/>
      <w:start w:val="1"/>
    </w:lvl>
  </w:abstractNum>
  <w:abstractNum w:abstractNumId="10">
    <w:nsid w:val="836C40E"/>
    <w:multiLevelType w:val="hybridMultilevel"/>
    <w:lvl w:ilvl="0">
      <w:lvlJc w:val="left"/>
      <w:lvlText w:val="•"/>
      <w:numFmt w:val="bullet"/>
      <w:start w:val="1"/>
    </w:lvl>
    <w:lvl w:ilvl="1">
      <w:lvlJc w:val="left"/>
      <w:lvlText w:val="(%2)"/>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Roman"/>
      <w:start w:val="3"/>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lvl w:ilvl="1">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lvl w:ilvl="1">
      <w:lvlJc w:val="left"/>
      <w:lvlText w:val="•"/>
      <w:numFmt w:val="bullet"/>
      <w:start w:val="1"/>
    </w:lvl>
  </w:abstractNum>
  <w:abstractNum w:abstractNumId="33">
    <w:nsid w:val="2D517796"/>
    <w:multiLevelType w:val="hybridMultilevel"/>
    <w:lvl w:ilvl="0">
      <w:lvlJc w:val="left"/>
      <w:lvlText w:val="•"/>
      <w:numFmt w:val="bullet"/>
      <w:start w:val="1"/>
    </w:lvl>
    <w:lvl w:ilvl="1">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lvl w:ilvl="1">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jpe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jpeg"/><Relationship Id="rId88" Type="http://schemas.openxmlformats.org/officeDocument/2006/relationships/image" Target="media/image74.png"/><Relationship Id="rId89" Type="http://schemas.openxmlformats.org/officeDocument/2006/relationships/image" Target="media/image75.png"/><Relationship Id="rId48" Type="http://schemas.openxmlformats.org/officeDocument/2006/relationships/hyperlink" Target="http://www.sec.gov/ix?doc=/Archives/edgar/data/97476/000009747620000009/txn-20191231.htm" TargetMode="External"/><Relationship Id="rId49" Type="http://schemas.openxmlformats.org/officeDocument/2006/relationships/hyperlink" Target="http://www.sec.gov/Archives/edgar/data/97476/000119312520068304/d840106ddef14a.htm" TargetMode="External"/><Relationship Id="rId50" Type="http://schemas.openxmlformats.org/officeDocument/2006/relationships/hyperlink" Target="http://www.sec.gov/ix?doc=/Archives/edgar/data/97476/000009747620000017/txn-20200331.htm" TargetMode="External"/><Relationship Id="rId51" Type="http://schemas.openxmlformats.org/officeDocument/2006/relationships/hyperlink" Target="http://www.sec.gov/ix?doc=/Archives/edgar/data/97476/000119312520043531/d858415d8k.htm" TargetMode="External"/><Relationship Id="rId52" Type="http://schemas.openxmlformats.org/officeDocument/2006/relationships/hyperlink" Target="http://www.sec.gov/ix?doc=/Archives/edgar/data/97476/000119312520071568/d883949d8k.htm" TargetMode="External"/><Relationship Id="rId63" Type="http://schemas.openxmlformats.org/officeDocument/2006/relationships/hyperlink" Target="http://www.sec.gov/Archives/edgar/data/97476/000156459019003839/txn-10k_20181231.htm" TargetMode="External"/><Relationship Id="rId64"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2020-04-27T15:12:17Z</dcterms:created>
  <dcterms:modified xsi:type="dcterms:W3CDTF">2020-04-27T15:12:17Z</dcterms:modified>
</cp:coreProperties>
</file>