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120" w:right="140"/>
        <w:spacing w:after="0" w:line="247"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Registration No. 333-229797</w:t>
      </w:r>
    </w:p>
    <w:p>
      <w:pPr>
        <w:spacing w:after="0" w:line="20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CC062A"/>
        </w:rPr>
        <w:t>SUBJECT TO COMPLETION, DATED APRIL 24, 2020</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193" w:lineRule="exact"/>
        <w:rPr>
          <w:sz w:val="24"/>
          <w:szCs w:val="24"/>
          <w:color w:val="auto"/>
        </w:rPr>
      </w:pPr>
    </w:p>
    <w:p>
      <w:pPr>
        <w:ind w:left="4980"/>
        <w:spacing w:after="0"/>
        <w:rPr>
          <w:sz w:val="20"/>
          <w:szCs w:val="20"/>
          <w:color w:val="auto"/>
        </w:rPr>
      </w:pPr>
      <w:r>
        <w:rPr>
          <w:rFonts w:ascii="Arial" w:cs="Arial" w:eastAsia="Arial" w:hAnsi="Arial"/>
          <w:sz w:val="29"/>
          <w:szCs w:val="29"/>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177165</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245745</wp:posOffset>
            </wp:positionV>
            <wp:extent cx="1114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120" w:firstLine="440"/>
        <w:spacing w:after="0" w:line="263" w:lineRule="auto"/>
        <w:rPr>
          <w:sz w:val="20"/>
          <w:szCs w:val="20"/>
          <w:color w:val="auto"/>
        </w:rPr>
      </w:pPr>
      <w:r>
        <w:rPr>
          <w:rFonts w:ascii="Arial" w:cs="Arial" w:eastAsia="Arial" w:hAnsi="Arial"/>
          <w:sz w:val="18"/>
          <w:szCs w:val="18"/>
          <w:color w:val="auto"/>
        </w:rPr>
        <w:t>Texas Instruments Incorporated is offering $ aggregate principal amount of its % Notes due 20 interest at the rate per year as set forth above. Interest on the Notes will be payable semi-annually in arrears on beginning on , 2020.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2" w:lineRule="exact"/>
        <w:rPr>
          <w:sz w:val="24"/>
          <w:szCs w:val="24"/>
          <w:color w:val="auto"/>
        </w:rPr>
      </w:pPr>
    </w:p>
    <w:p>
      <w:pPr>
        <w:ind w:right="80" w:firstLine="101"/>
        <w:spacing w:after="0" w:line="277" w:lineRule="auto"/>
        <w:rPr>
          <w:sz w:val="20"/>
          <w:szCs w:val="20"/>
          <w:color w:val="auto"/>
        </w:rPr>
      </w:pPr>
      <w:r>
        <w:rPr>
          <w:rFonts w:ascii="Arial" w:cs="Arial" w:eastAsia="Arial" w:hAnsi="Arial"/>
          <w:sz w:val="18"/>
          <w:szCs w:val="18"/>
          <w:color w:val="auto"/>
        </w:rPr>
        <w:t>(the “Notes”), which will bear and of each year,</w:t>
      </w:r>
    </w:p>
    <w:p>
      <w:pPr>
        <w:spacing w:after="0" w:line="386" w:lineRule="exact"/>
        <w:rPr>
          <w:sz w:val="24"/>
          <w:szCs w:val="24"/>
          <w:color w:val="auto"/>
        </w:rPr>
      </w:pPr>
    </w:p>
    <w:p>
      <w:pPr>
        <w:sectPr>
          <w:pgSz w:w="11900" w:h="16838" w:orient="portrait"/>
          <w:cols w:equalWidth="0" w:num="2">
            <w:col w:w="8720" w:space="80"/>
            <w:col w:w="2340"/>
          </w:cols>
          <w:pgMar w:left="320" w:top="230" w:right="4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The Notes will mature 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3">
            <w:col w:w="2440" w:space="720"/>
            <w:col w:w="260" w:space="180"/>
            <w:col w:w="7540"/>
          </w:cols>
          <w:pgMar w:left="320" w:top="230" w:right="439" w:bottom="1440" w:gutter="0" w:footer="0" w:header="0"/>
          <w:type w:val="continuous"/>
        </w:sectPr>
      </w:pPr>
    </w:p>
    <w:p>
      <w:pPr>
        <w:spacing w:after="0" w:line="25" w:lineRule="exact"/>
        <w:rPr>
          <w:sz w:val="24"/>
          <w:szCs w:val="24"/>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203200</wp:posOffset>
            </wp:positionV>
            <wp:extent cx="1114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233680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186055</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w w:val="93"/>
              </w:rPr>
              <w:t>Per Note</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58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5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r>
      <w:tr>
        <w:trPr>
          <w:trHeight w:val="432"/>
        </w:trPr>
        <w:tc>
          <w:tcPr>
            <w:tcW w:w="3520" w:type="dxa"/>
            <w:vAlign w:val="bottom"/>
          </w:tcPr>
          <w:p>
            <w:pPr>
              <w:ind w:left="440"/>
              <w:spacing w:after="0"/>
              <w:rPr>
                <w:sz w:val="20"/>
                <w:szCs w:val="20"/>
                <w:color w:val="auto"/>
              </w:rPr>
            </w:pPr>
            <w:r>
              <w:rPr>
                <w:rFonts w:ascii="Arial" w:cs="Arial" w:eastAsia="Arial" w:hAnsi="Arial"/>
                <w:sz w:val="18"/>
                <w:szCs w:val="18"/>
                <w:color w:val="auto"/>
              </w:rPr>
              <w:t>Interest on the Notes will accrue from</w:t>
            </w:r>
          </w:p>
        </w:tc>
        <w:tc>
          <w:tcPr>
            <w:tcW w:w="6580" w:type="dxa"/>
            <w:vAlign w:val="bottom"/>
            <w:gridSpan w:val="3"/>
          </w:tcPr>
          <w:p>
            <w:pPr>
              <w:jc w:val="right"/>
              <w:ind w:right="4010"/>
              <w:spacing w:after="0"/>
              <w:rPr>
                <w:sz w:val="20"/>
                <w:szCs w:val="20"/>
                <w:color w:val="auto"/>
              </w:rPr>
            </w:pPr>
            <w:r>
              <w:rPr>
                <w:rFonts w:ascii="Arial" w:cs="Arial" w:eastAsia="Arial" w:hAnsi="Arial"/>
                <w:sz w:val="18"/>
                <w:szCs w:val="18"/>
                <w:color w:val="auto"/>
              </w:rPr>
              <w:t>, 2020 to the date of delivery.</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w:t>
      </w:r>
    </w:p>
    <w:p>
      <w:pPr>
        <w:spacing w:after="0" w:line="46" w:lineRule="exact"/>
        <w:rPr>
          <w:sz w:val="24"/>
          <w:szCs w:val="24"/>
          <w:color w:val="auto"/>
        </w:rPr>
      </w:pPr>
    </w:p>
    <w:p>
      <w:pPr>
        <w:ind w:left="120" w:right="540"/>
        <w:spacing w:after="0" w:line="260" w:lineRule="auto"/>
        <w:rPr>
          <w:sz w:val="20"/>
          <w:szCs w:val="20"/>
          <w:color w:val="auto"/>
        </w:rPr>
      </w:pPr>
      <w:r>
        <w:rPr>
          <w:rFonts w:ascii="Arial" w:cs="Arial" w:eastAsia="Arial" w:hAnsi="Arial"/>
          <w:sz w:val="18"/>
          <w:szCs w:val="18"/>
          <w:color w:val="auto"/>
        </w:rPr>
        <w:t>participants, including Euroclear Bank S.A./N.V. and Clearstream Banking, S.A., on or about , 2020,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195580</wp:posOffset>
            </wp:positionV>
            <wp:extent cx="1114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140"/>
          </w:cols>
          <w:pgMar w:left="320" w:top="230" w:right="439" w:bottom="1440" w:gutter="0" w:footer="0" w:header="0"/>
          <w:type w:val="continuous"/>
        </w:sectPr>
      </w:pPr>
    </w:p>
    <w:p>
      <w:pPr>
        <w:spacing w:after="0" w:line="213" w:lineRule="exact"/>
        <w:rPr>
          <w:sz w:val="24"/>
          <w:szCs w:val="24"/>
          <w:color w:val="auto"/>
        </w:rPr>
      </w:pPr>
    </w:p>
    <w:p>
      <w:pPr>
        <w:ind w:left="12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Mizuho Securities</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159" w:lineRule="exact"/>
        <w:rPr>
          <w:sz w:val="24"/>
          <w:szCs w:val="24"/>
          <w:color w:val="auto"/>
        </w:rPr>
      </w:pPr>
    </w:p>
    <w:p>
      <w:pPr>
        <w:sectPr>
          <w:pgSz w:w="11900" w:h="16838" w:orient="portrait"/>
          <w:cols w:equalWidth="0" w:num="3">
            <w:col w:w="3720" w:space="720"/>
            <w:col w:w="3740" w:space="720"/>
            <w:col w:w="224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5"/>
          <w:szCs w:val="25"/>
          <w:b w:val="1"/>
          <w:bCs w:val="1"/>
          <w:color w:val="auto"/>
        </w:rPr>
        <w:t>MUFG</w:t>
      </w:r>
    </w:p>
    <w:p>
      <w:pPr>
        <w:spacing w:after="0" w:line="41" w:lineRule="exact"/>
        <w:rPr>
          <w:sz w:val="24"/>
          <w:szCs w:val="24"/>
          <w:color w:val="auto"/>
        </w:rPr>
      </w:pPr>
    </w:p>
    <w:p>
      <w:pPr>
        <w:sectPr>
          <w:pgSz w:w="11900" w:h="16838" w:orient="portrait"/>
          <w:cols w:equalWidth="0" w:num="4">
            <w:col w:w="2060" w:space="720"/>
            <w:col w:w="3580" w:space="720"/>
            <w:col w:w="2560" w:space="720"/>
            <w:col w:w="780"/>
          </w:cols>
          <w:pgMar w:left="320" w:top="230" w:right="439" w:bottom="1440" w:gutter="0" w:footer="0" w:header="0"/>
          <w:type w:val="continuous"/>
        </w:sectPr>
      </w:pPr>
    </w:p>
    <w:p>
      <w:pPr>
        <w:ind w:left="6060"/>
        <w:spacing w:after="0"/>
        <w:rPr>
          <w:sz w:val="20"/>
          <w:szCs w:val="20"/>
          <w:color w:val="auto"/>
        </w:rPr>
      </w:pPr>
      <w:r>
        <w:rPr>
          <w:rFonts w:ascii="Arial" w:cs="Arial" w:eastAsia="Arial" w:hAnsi="Arial"/>
          <w:sz w:val="15"/>
          <w:szCs w:val="15"/>
          <w:color w:val="auto"/>
        </w:rPr>
        <w:t>, 2020</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060" w:type="dxa"/>
            <w:vAlign w:val="bottom"/>
            <w:gridSpan w:val="4"/>
          </w:tcPr>
          <w:p>
            <w:pPr>
              <w:ind w:left="6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3920" w:type="dxa"/>
            <w:vAlign w:val="bottom"/>
          </w:tcPr>
          <w:p>
            <w:pPr>
              <w:spacing w:after="0"/>
              <w:rPr>
                <w:sz w:val="24"/>
                <w:szCs w:val="24"/>
                <w:color w:val="auto"/>
              </w:rPr>
            </w:pPr>
          </w:p>
        </w:tc>
        <w:tc>
          <w:tcPr>
            <w:tcW w:w="66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Notice Regarding Forward-Looking Statements</w:t>
              </w:r>
            </w:hyperlink>
          </w:p>
        </w:tc>
        <w:tc>
          <w:tcPr>
            <w:tcW w:w="6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2"/>
        </w:trPr>
        <w:tc>
          <w:tcPr>
            <w:tcW w:w="3920" w:type="dxa"/>
            <w:vAlign w:val="bottom"/>
            <w:vMerge w:val="continue"/>
          </w:tcPr>
          <w:p>
            <w:pPr>
              <w:spacing w:after="0"/>
              <w:rPr>
                <w:sz w:val="17"/>
                <w:szCs w:val="17"/>
                <w:color w:val="auto"/>
              </w:rPr>
            </w:pPr>
          </w:p>
        </w:tc>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S-iii</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Capitalization</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the Notes</w:t>
              </w:r>
            </w:hyperlink>
          </w:p>
        </w:tc>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w w:val="98"/>
              </w:rPr>
            </w:pPr>
            <w:hyperlink w:anchor="page21">
              <w:r>
                <w:rPr>
                  <w:rFonts w:ascii="Arial" w:cs="Arial" w:eastAsia="Arial" w:hAnsi="Arial"/>
                  <w:sz w:val="18"/>
                  <w:szCs w:val="18"/>
                  <w:u w:val="single" w:color="auto"/>
                  <w:color w:val="0000EE"/>
                  <w:w w:val="98"/>
                </w:rPr>
                <w:t>Material U.S. Federal Income Tax Consequences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Underwriting</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Validity of Securities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66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230"/>
        </w:trPr>
        <w:tc>
          <w:tcPr>
            <w:tcW w:w="39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You Can Find More Information</w:t>
              </w:r>
            </w:hyperlink>
          </w:p>
        </w:tc>
        <w:tc>
          <w:tcPr>
            <w:tcW w:w="6640" w:type="dxa"/>
            <w:vAlign w:val="bottom"/>
          </w:tcPr>
          <w:p>
            <w:pPr>
              <w:spacing w:after="0"/>
              <w:rPr>
                <w:sz w:val="20"/>
                <w:szCs w:val="20"/>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S-28</w:t>
            </w:r>
          </w:p>
        </w:tc>
        <w:tc>
          <w:tcPr>
            <w:tcW w:w="0" w:type="dxa"/>
            <w:vAlign w:val="bottom"/>
          </w:tcPr>
          <w:p>
            <w:pPr>
              <w:spacing w:after="0"/>
              <w:rPr>
                <w:sz w:val="1"/>
                <w:szCs w:val="1"/>
                <w:color w:val="auto"/>
              </w:rPr>
            </w:pPr>
          </w:p>
        </w:tc>
      </w:tr>
      <w:tr>
        <w:trPr>
          <w:trHeight w:val="391"/>
        </w:trPr>
        <w:tc>
          <w:tcPr>
            <w:tcW w:w="3920" w:type="dxa"/>
            <w:vAlign w:val="bottom"/>
          </w:tcPr>
          <w:p>
            <w:pPr>
              <w:spacing w:after="0"/>
              <w:rPr>
                <w:sz w:val="24"/>
                <w:szCs w:val="24"/>
                <w:color w:val="auto"/>
              </w:rPr>
            </w:pPr>
          </w:p>
        </w:tc>
        <w:tc>
          <w:tcPr>
            <w:tcW w:w="6740" w:type="dxa"/>
            <w:vAlign w:val="bottom"/>
            <w:gridSpan w:val="2"/>
            <w:vMerge w:val="restart"/>
          </w:tcPr>
          <w:p>
            <w:pPr>
              <w:ind w:left="820"/>
              <w:spacing w:after="0"/>
              <w:rPr>
                <w:sz w:val="20"/>
                <w:szCs w:val="20"/>
                <w:color w:val="auto"/>
              </w:rPr>
            </w:pPr>
            <w:r>
              <w:rPr>
                <w:rFonts w:ascii="Arial" w:cs="Arial" w:eastAsia="Arial" w:hAnsi="Arial"/>
                <w:sz w:val="18"/>
                <w:szCs w:val="18"/>
                <w:b w:val="1"/>
                <w:bCs w:val="1"/>
                <w:color w:val="auto"/>
              </w:rPr>
              <w:t>Prospectus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740" w:type="dxa"/>
            <w:vAlign w:val="bottom"/>
            <w:gridSpan w:val="2"/>
            <w:vMerge w:val="continue"/>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The Company</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Where You Can Find More Information</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Notice Regarding Forward-Looking Statements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Capital Stock</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Debt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Warrants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Units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Forms of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Plan of Distribution</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2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Validity of Securities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2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Experts</w:t>
              </w:r>
            </w:hyperlink>
          </w:p>
        </w:tc>
        <w:tc>
          <w:tcPr>
            <w:tcW w:w="706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760" w:right="44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760" w:right="28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demand for semiconductors, particularly in the industrial and automotive markets, and customer demand that differs from forecasts;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30" w:lineRule="exact"/>
        <w:rPr>
          <w:rFonts w:ascii="Arial" w:cs="Arial" w:eastAsia="Arial" w:hAnsi="Arial"/>
          <w:sz w:val="18"/>
          <w:szCs w:val="18"/>
          <w:color w:val="auto"/>
        </w:rPr>
      </w:pPr>
    </w:p>
    <w:p>
      <w:pPr>
        <w:ind w:left="760" w:right="6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75" w:lineRule="exact"/>
        <w:rPr>
          <w:rFonts w:ascii="Arial" w:cs="Arial" w:eastAsia="Arial" w:hAnsi="Arial"/>
          <w:sz w:val="18"/>
          <w:szCs w:val="18"/>
          <w:color w:val="auto"/>
        </w:rPr>
      </w:pPr>
    </w:p>
    <w:p>
      <w:pPr>
        <w:ind w:left="760" w:right="78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760" w:right="18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760" w:right="400" w:hanging="21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760" w:right="300" w:hanging="212"/>
        <w:spacing w:after="0" w:line="342" w:lineRule="auto"/>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disputes with significant distributors;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22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760" w:right="380" w:hanging="21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13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0130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4540" w:type="dxa"/>
            <w:vAlign w:val="bottom"/>
            <w:gridSpan w:val="3"/>
          </w:tcPr>
          <w:p>
            <w:pPr>
              <w:ind w:left="1140"/>
              <w:spacing w:after="0"/>
              <w:rPr>
                <w:sz w:val="20"/>
                <w:szCs w:val="20"/>
                <w:color w:val="auto"/>
              </w:rPr>
            </w:pPr>
            <w:r>
              <w:rPr>
                <w:rFonts w:ascii="Arial" w:cs="Arial" w:eastAsia="Arial" w:hAnsi="Arial"/>
                <w:sz w:val="18"/>
                <w:szCs w:val="18"/>
                <w:color w:val="auto"/>
              </w:rPr>
              <w:t>Texas Instruments Incorporated.</w:t>
            </w:r>
          </w:p>
        </w:tc>
        <w:tc>
          <w:tcPr>
            <w:tcW w:w="3400" w:type="dxa"/>
            <w:vAlign w:val="bottom"/>
          </w:tcPr>
          <w:p>
            <w:pPr>
              <w:spacing w:after="0"/>
              <w:rPr>
                <w:sz w:val="20"/>
                <w:szCs w:val="20"/>
                <w:color w:val="auto"/>
              </w:rPr>
            </w:pP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2080" w:type="dxa"/>
            <w:vAlign w:val="bottom"/>
          </w:tcPr>
          <w:p>
            <w:pPr>
              <w:ind w:left="114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w w:val="99"/>
              </w:rPr>
              <w:t>aggregate principal amount of</w:t>
            </w:r>
          </w:p>
        </w:tc>
        <w:tc>
          <w:tcPr>
            <w:tcW w:w="3400" w:type="dxa"/>
            <w:vAlign w:val="bottom"/>
          </w:tcPr>
          <w:p>
            <w:pPr>
              <w:ind w:left="200"/>
              <w:spacing w:after="0"/>
              <w:rPr>
                <w:sz w:val="20"/>
                <w:szCs w:val="20"/>
                <w:color w:val="auto"/>
              </w:rPr>
            </w:pPr>
            <w:r>
              <w:rPr>
                <w:rFonts w:ascii="Arial" w:cs="Arial" w:eastAsia="Arial" w:hAnsi="Arial"/>
                <w:sz w:val="18"/>
                <w:szCs w:val="18"/>
                <w:color w:val="auto"/>
              </w:rPr>
              <w:t>% Notes due 20  .</w:t>
            </w: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2760" w:type="dxa"/>
            <w:vAlign w:val="bottom"/>
            <w:gridSpan w:val="2"/>
          </w:tcPr>
          <w:p>
            <w:pPr>
              <w:ind w:left="2040"/>
              <w:spacing w:after="0"/>
              <w:rPr>
                <w:sz w:val="20"/>
                <w:szCs w:val="20"/>
                <w:color w:val="auto"/>
              </w:rPr>
            </w:pPr>
            <w:r>
              <w:rPr>
                <w:rFonts w:ascii="Arial" w:cs="Arial" w:eastAsia="Arial" w:hAnsi="Arial"/>
                <w:sz w:val="18"/>
                <w:szCs w:val="18"/>
                <w:color w:val="auto"/>
              </w:rPr>
              <w:t>,20  .</w:t>
            </w:r>
          </w:p>
        </w:tc>
        <w:tc>
          <w:tcPr>
            <w:tcW w:w="17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2760" w:type="dxa"/>
            <w:vAlign w:val="bottom"/>
            <w:gridSpan w:val="2"/>
          </w:tcPr>
          <w:p>
            <w:pPr>
              <w:ind w:left="2040"/>
              <w:spacing w:after="0"/>
              <w:rPr>
                <w:sz w:val="20"/>
                <w:szCs w:val="20"/>
                <w:color w:val="auto"/>
              </w:rPr>
            </w:pPr>
            <w:r>
              <w:rPr>
                <w:rFonts w:ascii="Arial" w:cs="Arial" w:eastAsia="Arial" w:hAnsi="Arial"/>
                <w:sz w:val="18"/>
                <w:szCs w:val="18"/>
                <w:color w:val="auto"/>
              </w:rPr>
              <w:t>, 2020.</w:t>
            </w:r>
          </w:p>
        </w:tc>
        <w:tc>
          <w:tcPr>
            <w:tcW w:w="17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2080" w:type="dxa"/>
            <w:vAlign w:val="bottom"/>
          </w:tcPr>
          <w:p>
            <w:pPr>
              <w:ind w:left="1140"/>
              <w:spacing w:after="0"/>
              <w:rPr>
                <w:sz w:val="20"/>
                <w:szCs w:val="20"/>
                <w:color w:val="auto"/>
              </w:rPr>
            </w:pPr>
            <w:r>
              <w:rPr>
                <w:rFonts w:ascii="Arial" w:cs="Arial" w:eastAsia="Arial" w:hAnsi="Arial"/>
                <w:sz w:val="18"/>
                <w:szCs w:val="18"/>
                <w:color w:val="auto"/>
                <w:w w:val="91"/>
              </w:rPr>
              <w:t>Fixed rate of</w:t>
            </w:r>
          </w:p>
        </w:tc>
        <w:tc>
          <w:tcPr>
            <w:tcW w:w="680" w:type="dxa"/>
            <w:vAlign w:val="bottom"/>
          </w:tcPr>
          <w:p>
            <w:pPr>
              <w:ind w:left="20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73"/>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2080" w:type="dxa"/>
            <w:vAlign w:val="bottom"/>
          </w:tcPr>
          <w:p>
            <w:pPr>
              <w:ind w:left="1140"/>
              <w:spacing w:after="0"/>
              <w:rPr>
                <w:sz w:val="20"/>
                <w:szCs w:val="20"/>
                <w:color w:val="auto"/>
              </w:rPr>
            </w:pPr>
            <w:r>
              <w:rPr>
                <w:rFonts w:ascii="Arial" w:cs="Arial" w:eastAsia="Arial" w:hAnsi="Arial"/>
                <w:sz w:val="18"/>
                <w:szCs w:val="18"/>
                <w:color w:val="auto"/>
              </w:rPr>
              <w:t>Each</w:t>
            </w:r>
          </w:p>
        </w:tc>
        <w:tc>
          <w:tcPr>
            <w:tcW w:w="680" w:type="dxa"/>
            <w:vAlign w:val="bottom"/>
          </w:tcPr>
          <w:p>
            <w:pPr>
              <w:ind w:left="40"/>
              <w:spacing w:after="0"/>
              <w:rPr>
                <w:sz w:val="20"/>
                <w:szCs w:val="20"/>
                <w:color w:val="auto"/>
              </w:rPr>
            </w:pPr>
            <w:r>
              <w:rPr>
                <w:rFonts w:ascii="Arial" w:cs="Arial" w:eastAsia="Arial" w:hAnsi="Arial"/>
                <w:sz w:val="18"/>
                <w:szCs w:val="18"/>
                <w:color w:val="auto"/>
              </w:rPr>
              <w:t>and</w:t>
            </w:r>
          </w:p>
        </w:tc>
        <w:tc>
          <w:tcPr>
            <w:tcW w:w="1780" w:type="dxa"/>
            <w:vAlign w:val="bottom"/>
          </w:tcPr>
          <w:p>
            <w:pPr>
              <w:ind w:left="200"/>
              <w:spacing w:after="0"/>
              <w:rPr>
                <w:sz w:val="20"/>
                <w:szCs w:val="20"/>
                <w:color w:val="auto"/>
              </w:rPr>
            </w:pPr>
            <w:r>
              <w:rPr>
                <w:rFonts w:ascii="Arial" w:cs="Arial" w:eastAsia="Arial" w:hAnsi="Arial"/>
                <w:sz w:val="18"/>
                <w:szCs w:val="18"/>
                <w:color w:val="auto"/>
              </w:rPr>
              <w:t>, beginning on</w:t>
            </w:r>
          </w:p>
        </w:tc>
        <w:tc>
          <w:tcPr>
            <w:tcW w:w="3400" w:type="dxa"/>
            <w:vAlign w:val="bottom"/>
          </w:tcPr>
          <w:p>
            <w:pPr>
              <w:ind w:left="400"/>
              <w:spacing w:after="0"/>
              <w:rPr>
                <w:sz w:val="20"/>
                <w:szCs w:val="20"/>
                <w:color w:val="auto"/>
              </w:rPr>
            </w:pPr>
            <w:r>
              <w:rPr>
                <w:rFonts w:ascii="Arial" w:cs="Arial" w:eastAsia="Arial" w:hAnsi="Arial"/>
                <w:sz w:val="18"/>
                <w:szCs w:val="18"/>
                <w:color w:val="auto"/>
              </w:rPr>
              <w:t>, 2020, and on the maturity date.</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Pr>
          <w:p>
            <w:pPr>
              <w:spacing w:after="0"/>
              <w:rPr>
                <w:sz w:val="20"/>
                <w:szCs w:val="20"/>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Pr>
          <w:p>
            <w:pPr>
              <w:spacing w:after="0"/>
              <w:rPr>
                <w:sz w:val="24"/>
                <w:szCs w:val="24"/>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7"/>
              </w:rPr>
              <w:t>As of March 31, 2020, Texas Instruments Incorporated had approximately $6.6 billion of</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7"/>
              </w:rPr>
              <w:t>outstanding indebtedness. As of March 31, 2020, Texas Instruments had approximately</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5"/>
              </w:rPr>
              <w:t>$9.5 billion of total liabilities on a consolidated basis. These amounts include $500 million</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principal amount of notes that we repaid on April 10, 2020. Of the $9.5 billion of</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consolidated total liabilities, approximately $0.8 billion of liabilities (including trade</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3"/>
              </w:rPr>
              <w:t>payables and excluding intercompany debt) were held by subsidiaries of Texas Instruments</w:t>
            </w:r>
          </w:p>
        </w:tc>
      </w:tr>
      <w:tr>
        <w:trPr>
          <w:trHeight w:val="230"/>
        </w:trPr>
        <w:tc>
          <w:tcPr>
            <w:tcW w:w="3080" w:type="dxa"/>
            <w:vAlign w:val="bottom"/>
          </w:tcPr>
          <w:p>
            <w:pPr>
              <w:spacing w:after="0"/>
              <w:rPr>
                <w:sz w:val="20"/>
                <w:szCs w:val="20"/>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Incorporated to which the Notes will be effectively subordinated.</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5"/>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080" w:type="dxa"/>
            <w:vAlign w:val="bottom"/>
          </w:tcPr>
          <w:p>
            <w:pPr>
              <w:spacing w:after="0"/>
              <w:rPr>
                <w:sz w:val="20"/>
                <w:szCs w:val="20"/>
                <w:color w:val="auto"/>
              </w:rPr>
            </w:pPr>
          </w:p>
        </w:tc>
        <w:tc>
          <w:tcPr>
            <w:tcW w:w="4540" w:type="dxa"/>
            <w:vAlign w:val="bottom"/>
            <w:gridSpan w:val="3"/>
          </w:tcPr>
          <w:p>
            <w:pPr>
              <w:ind w:left="1140"/>
              <w:spacing w:after="0"/>
              <w:rPr>
                <w:sz w:val="20"/>
                <w:szCs w:val="20"/>
                <w:color w:val="auto"/>
              </w:rPr>
            </w:pPr>
            <w:r>
              <w:rPr>
                <w:rFonts w:ascii="Arial" w:cs="Arial" w:eastAsia="Arial" w:hAnsi="Arial"/>
                <w:sz w:val="18"/>
                <w:szCs w:val="18"/>
                <w:color w:val="auto"/>
                <w:w w:val="97"/>
              </w:rPr>
              <w:t>exchanged for interests in global securities.</w:t>
            </w:r>
          </w:p>
        </w:tc>
        <w:tc>
          <w:tcPr>
            <w:tcW w:w="3400" w:type="dxa"/>
            <w:vAlign w:val="bottom"/>
          </w:tcPr>
          <w:p>
            <w:pPr>
              <w:spacing w:after="0"/>
              <w:rPr>
                <w:sz w:val="20"/>
                <w:szCs w:val="20"/>
                <w:color w:val="auto"/>
              </w:rPr>
            </w:pP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4540" w:type="dxa"/>
            <w:vAlign w:val="bottom"/>
            <w:gridSpan w:val="3"/>
          </w:tcPr>
          <w:p>
            <w:pPr>
              <w:ind w:left="1140"/>
              <w:spacing w:after="0"/>
              <w:rPr>
                <w:sz w:val="20"/>
                <w:szCs w:val="20"/>
                <w:color w:val="auto"/>
              </w:rPr>
            </w:pPr>
            <w:r>
              <w:rPr>
                <w:rFonts w:ascii="Arial" w:cs="Arial" w:eastAsia="Arial" w:hAnsi="Arial"/>
                <w:sz w:val="18"/>
                <w:szCs w:val="18"/>
                <w:color w:val="auto"/>
                <w:w w:val="99"/>
              </w:rPr>
              <w:t>The internal laws of the State of New York.</w:t>
            </w:r>
          </w:p>
        </w:tc>
        <w:tc>
          <w:tcPr>
            <w:tcW w:w="3400" w:type="dxa"/>
            <w:vAlign w:val="bottom"/>
          </w:tcPr>
          <w:p>
            <w:pPr>
              <w:spacing w:after="0"/>
              <w:rPr>
                <w:sz w:val="24"/>
                <w:szCs w:val="24"/>
                <w:color w:val="auto"/>
              </w:rPr>
            </w:pP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gridSpan w:val="4"/>
          </w:tcPr>
          <w:p>
            <w:pPr>
              <w:ind w:left="11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27"/>
        </w:trPr>
        <w:tc>
          <w:tcPr>
            <w:tcW w:w="308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rPr>
              <w:t>of Proceeds.” In connection with the</w:t>
            </w:r>
          </w:p>
        </w:tc>
        <w:tc>
          <w:tcPr>
            <w:tcW w:w="3400" w:type="dxa"/>
            <w:vAlign w:val="bottom"/>
            <w:tcBorders>
              <w:bottom w:val="single" w:sz="8" w:color="auto"/>
            </w:tcBorders>
          </w:tcPr>
          <w:p>
            <w:pPr>
              <w:spacing w:after="0"/>
              <w:rPr>
                <w:sz w:val="19"/>
                <w:szCs w:val="19"/>
                <w:color w:val="auto"/>
              </w:rPr>
            </w:pPr>
          </w:p>
        </w:tc>
      </w:tr>
      <w:tr>
        <w:trPr>
          <w:trHeight w:val="361"/>
        </w:trPr>
        <w:tc>
          <w:tcPr>
            <w:tcW w:w="3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Arial" w:cs="Arial" w:eastAsia="Arial" w:hAnsi="Arial"/>
                <w:sz w:val="18"/>
                <w:szCs w:val="18"/>
                <w:color w:val="auto"/>
              </w:rPr>
              <w:t>S-2</w:t>
            </w:r>
          </w:p>
        </w:tc>
        <w:tc>
          <w:tcPr>
            <w:tcW w:w="178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9"/>
              </w:rPr>
              <w:t>issuance of the Notes, we may enter into interest rate swap agreements with financial</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4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2019 and risk factors in Item 1A of our Quarterly Report on Form 10-Q for the quarter ended March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0"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2020, we had approximately $9.5 billion of total liabilities on a consolidated basis. This amount includes $500 million principal amount of notes that we repaid on April 10, 2020 and approximately $0.8 billion of liabilities (including trade payables and excluding intercompany debt) held by subsidiaries of Texas Instruments Incorporated to which the Notes will be effectively subordinated.</w:t>
      </w:r>
    </w:p>
    <w:p>
      <w:pPr>
        <w:spacing w:after="0" w:line="195"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right="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an as adjusted basis after giving effect to this offering, and our repayment of $500 million principal amount of notes on April 10, 2020, as of</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March 31, 2020, Texas Instruments Incorporated would have had approximately $ billion of total long-term indebtedness (including the Notes), all of which would have been unsecured and unsubordinated.</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760" w:right="860" w:hanging="21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760" w:right="500" w:hanging="21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jc w:val="both"/>
        <w:ind w:left="760" w:right="180" w:hanging="212"/>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860"/>
          </w:cols>
          <w:pgMar w:left="320" w:top="459" w:right="7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March 31, 2020.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0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March 31, 2020</w:t>
            </w:r>
          </w:p>
        </w:tc>
        <w:tc>
          <w:tcPr>
            <w:tcW w:w="0" w:type="dxa"/>
            <w:vAlign w:val="bottom"/>
          </w:tcPr>
          <w:p>
            <w:pPr>
              <w:spacing w:after="0"/>
              <w:rPr>
                <w:sz w:val="1"/>
                <w:szCs w:val="1"/>
                <w:color w:val="auto"/>
              </w:rPr>
            </w:pPr>
          </w:p>
        </w:tc>
      </w:tr>
      <w:tr>
        <w:trPr>
          <w:trHeight w:val="142"/>
        </w:trPr>
        <w:tc>
          <w:tcPr>
            <w:tcW w:w="88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Actual</w:t>
            </w:r>
          </w:p>
        </w:tc>
        <w:tc>
          <w:tcPr>
            <w:tcW w:w="9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5,499</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5,499</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40,227</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(819,335,097 shares)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(36,002)</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100" w:type="dxa"/>
            <w:vAlign w:val="bottom"/>
          </w:tcPr>
          <w:p>
            <w:pPr>
              <w:spacing w:after="0"/>
              <w:rPr>
                <w:sz w:val="19"/>
                <w:szCs w:val="19"/>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(328)</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13,233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300" w:hanging="424"/>
        <w:spacing w:after="0" w:line="28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$6.6 billion of our existing outstanding notes less net unamortized discounts, premiums and debt issuance costs of $50 million, less $1.1 billion representing the current portion of long-term debt. The $1.1 billion current portion of our long-term indebtedness includes</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$500 million principal amount of notes that we repaid on April 10, 2020.</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Notes will mature on , 20 . The Notes will be issued in book-entry form only, in denominations of $2,000 and multiples of $1,000 in excess thereof. Interest on the Notes will accrue from , 2020 at the rate per annum shown on the cover of this prospectus supplement. Interest on the Notes will be payable semi-annually on and , commencing on , 2020 to the persons in whose names the Notes are registered at the close of business on the preceding or , as the case may be. Interest on the Notes will be paid to</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but excluding the relevant interest payment date. Interest on the Notes will be calculated on the basis of a 360-day year comprised of twelve 30-day months.</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2020, Texas Instruments Incorporated had approximately $6.6 billion of outstanding indebtedness. As of March 31, 2020, Texas Instruments had approximately $9.5 billion of total liabilities on a consolidated basis. These amounts include $500 million principal amount of notes that we repaid on April 10, 2020. Of the $9.5 billion of consolidated total liabilities, approximately $0.8 billion of liabilities (including trade payables and excluding intercompany debt) were held by subsidiaries of Texas Instruments Incorporated to which the Notes will be effectively subordinated.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an as adjusted basis after giving effect to this offering and our repayment of $500 million principal amount of notes on April 10, 2020,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both"/>
        <w:ind w:left="760" w:hanging="219"/>
        <w:spacing w:after="0" w:line="342" w:lineRule="auto"/>
        <w:tabs>
          <w:tab w:leader="none" w:pos="740" w:val="left"/>
        </w:tabs>
        <w:rPr>
          <w:sz w:val="20"/>
          <w:szCs w:val="20"/>
          <w:color w:val="auto"/>
        </w:rPr>
      </w:pPr>
      <w:r>
        <w:rPr>
          <w:rFonts w:ascii="Arial" w:cs="Arial" w:eastAsia="Arial" w:hAnsi="Arial"/>
          <w:sz w:val="16"/>
          <w:szCs w:val="16"/>
          <w:color w:val="auto"/>
        </w:rPr>
        <w:t>•</w:t>
        <w:tab/>
        <w:t>Texas Instruments Incorporated would have had approximately $ which would constitute senior and unsubordinated indebtedness;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w:t>
      </w:r>
    </w:p>
    <w:p>
      <w:pPr>
        <w:spacing w:after="0" w:line="369" w:lineRule="exact"/>
        <w:rPr>
          <w:sz w:val="20"/>
          <w:szCs w:val="20"/>
          <w:color w:val="auto"/>
        </w:rPr>
      </w:pPr>
    </w:p>
    <w:p>
      <w:pPr>
        <w:sectPr>
          <w:pgSz w:w="11900" w:h="16838" w:orient="portrait"/>
          <w:cols w:equalWidth="0" w:num="2">
            <w:col w:w="5440" w:space="720"/>
            <w:col w:w="4960"/>
          </w:cols>
          <w:pgMar w:left="320" w:top="459" w:right="459" w:bottom="1440" w:gutter="0" w:footer="0" w:header="0"/>
          <w:type w:val="continuous"/>
        </w:sectPr>
      </w:pPr>
    </w:p>
    <w:p>
      <w:pPr>
        <w:ind w:left="540"/>
        <w:spacing w:after="0"/>
        <w:tabs>
          <w:tab w:leader="none" w:pos="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53" w:lineRule="exact"/>
        <w:rPr>
          <w:sz w:val="20"/>
          <w:szCs w:val="20"/>
          <w:color w:val="auto"/>
        </w:rPr>
      </w:pPr>
    </w:p>
    <w:p>
      <w:pPr>
        <w:sectPr>
          <w:pgSz w:w="11900" w:h="16838" w:orient="portrait"/>
          <w:cols w:equalWidth="0" w:num="2">
            <w:col w:w="3380" w:space="720"/>
            <w:col w:w="7020"/>
          </w:cols>
          <w:pgMar w:left="320" w:top="459" w:right="459" w:bottom="1440" w:gutter="0" w:footer="0" w:header="0"/>
          <w:type w:val="continuous"/>
        </w:sectPr>
      </w:pPr>
    </w:p>
    <w:p>
      <w:pPr>
        <w:ind w:left="760" w:right="240" w:hanging="212"/>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6" w:lineRule="exact"/>
        <w:rPr>
          <w:sz w:val="20"/>
          <w:szCs w:val="20"/>
          <w:color w:val="auto"/>
        </w:rPr>
      </w:pPr>
    </w:p>
    <w:p>
      <w:pPr>
        <w:ind w:left="760" w:right="420" w:hanging="219"/>
        <w:spacing w:after="0" w:line="277" w:lineRule="auto"/>
        <w:tabs>
          <w:tab w:leader="none" w:pos="7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issue price and interest accrued prior to the issue date of the additional Notes. The additional Notes will have the same CUSIP number as the Notes; provided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560"/>
        <w:spacing w:after="0"/>
        <w:tabs>
          <w:tab w:leader="none" w:pos="1800" w:val="left"/>
          <w:tab w:leader="none" w:pos="2260" w:val="left"/>
          <w:tab w:leader="none" w:pos="408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 whole or in part</w:t>
      </w:r>
    </w:p>
    <w:p>
      <w:pPr>
        <w:spacing w:after="0" w:line="23"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at any time, or from time to time, at Texas Instruments Incorporated’s option, at a “make-whole premium” redemption price calculated by Texas Instruments Incorporated equal to the greater of:</w:t>
      </w:r>
    </w:p>
    <w:p>
      <w:pPr>
        <w:spacing w:after="0" w:line="77" w:lineRule="exact"/>
        <w:rPr>
          <w:sz w:val="20"/>
          <w:szCs w:val="20"/>
          <w:color w:val="auto"/>
        </w:rPr>
      </w:pPr>
    </w:p>
    <w:p>
      <w:pPr>
        <w:ind w:left="1200" w:hanging="22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 thereon (not including any</w:t>
      </w:r>
    </w:p>
    <w:p>
      <w:pPr>
        <w:spacing w:after="0" w:line="46" w:lineRule="exact"/>
        <w:rPr>
          <w:sz w:val="20"/>
          <w:szCs w:val="20"/>
          <w:color w:val="auto"/>
        </w:rPr>
      </w:pPr>
    </w:p>
    <w:p>
      <w:pPr>
        <w:ind w:left="560"/>
        <w:spacing w:after="0"/>
        <w:tabs>
          <w:tab w:leader="none" w:pos="8820" w:val="left"/>
          <w:tab w:leader="none" w:pos="9280" w:val="left"/>
        </w:tabs>
        <w:rPr>
          <w:sz w:val="20"/>
          <w:szCs w:val="20"/>
          <w:color w:val="auto"/>
        </w:rPr>
      </w:pPr>
      <w:r>
        <w:rPr>
          <w:rFonts w:ascii="Arial" w:cs="Arial" w:eastAsia="Arial" w:hAnsi="Arial"/>
          <w:sz w:val="18"/>
          <w:szCs w:val="18"/>
          <w:color w:val="auto"/>
        </w:rPr>
        <w:t>portion of such payments of interest accrued as of the date of redemption) from the date of redemption to</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(the date that</w:t>
      </w:r>
    </w:p>
    <w:p>
      <w:pPr>
        <w:spacing w:after="0" w:line="9" w:lineRule="exact"/>
        <w:rPr>
          <w:sz w:val="20"/>
          <w:szCs w:val="20"/>
          <w:color w:val="auto"/>
        </w:rPr>
      </w:pPr>
    </w:p>
    <w:p>
      <w:pPr>
        <w:ind w:left="560"/>
        <w:spacing w:after="0"/>
        <w:tabs>
          <w:tab w:leader="none" w:pos="1380" w:val="left"/>
        </w:tabs>
        <w:rPr>
          <w:sz w:val="20"/>
          <w:szCs w:val="20"/>
          <w:color w:val="auto"/>
        </w:rPr>
      </w:pPr>
      <w:r>
        <w:rPr>
          <w:rFonts w:ascii="Arial" w:cs="Arial" w:eastAsia="Arial" w:hAnsi="Arial"/>
          <w:sz w:val="16"/>
          <w:szCs w:val="16"/>
          <w:color w:val="auto"/>
        </w:rPr>
        <w:t>is</w:t>
      </w:r>
      <w:r>
        <w:rPr>
          <w:sz w:val="20"/>
          <w:szCs w:val="20"/>
          <w:color w:val="auto"/>
        </w:rPr>
        <w:tab/>
      </w:r>
      <w:r>
        <w:rPr>
          <w:rFonts w:ascii="Arial" w:cs="Arial" w:eastAsia="Arial" w:hAnsi="Arial"/>
          <w:sz w:val="16"/>
          <w:szCs w:val="16"/>
          <w:color w:val="auto"/>
        </w:rPr>
        <w:t>months prior to the maturity date of the Notes), in each case discounted to the date of redemption on a semi-annual basis (assuming a</w:t>
      </w:r>
    </w:p>
    <w:p>
      <w:pPr>
        <w:spacing w:after="0" w:line="32" w:lineRule="exact"/>
        <w:rPr>
          <w:sz w:val="20"/>
          <w:szCs w:val="20"/>
          <w:color w:val="auto"/>
        </w:rPr>
      </w:pPr>
    </w:p>
    <w:p>
      <w:pPr>
        <w:ind w:left="560"/>
        <w:spacing w:after="0"/>
        <w:tabs>
          <w:tab w:leader="none" w:pos="8140" w:val="left"/>
        </w:tabs>
        <w:rPr>
          <w:sz w:val="20"/>
          <w:szCs w:val="20"/>
          <w:color w:val="auto"/>
        </w:rPr>
      </w:pPr>
      <w:r>
        <w:rPr>
          <w:rFonts w:ascii="Arial" w:cs="Arial" w:eastAsia="Arial" w:hAnsi="Arial"/>
          <w:sz w:val="18"/>
          <w:szCs w:val="18"/>
          <w:color w:val="auto"/>
        </w:rPr>
        <w:t>360-day year consisting of twelve 30-day months) at the Treasury Rate (as defined below), plus</w:t>
      </w:r>
      <w:r>
        <w:rPr>
          <w:sz w:val="20"/>
          <w:szCs w:val="20"/>
          <w:color w:val="auto"/>
        </w:rPr>
        <w:tab/>
      </w:r>
      <w:r>
        <w:rPr>
          <w:rFonts w:ascii="Arial" w:cs="Arial" w:eastAsia="Arial" w:hAnsi="Arial"/>
          <w:sz w:val="16"/>
          <w:szCs w:val="16"/>
          <w:color w:val="auto"/>
        </w:rPr>
        <w:t>basis points;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560"/>
        <w:spacing w:after="0"/>
        <w:tabs>
          <w:tab w:leader="none" w:pos="2900" w:val="left"/>
          <w:tab w:leader="none" w:pos="3340" w:val="left"/>
          <w:tab w:leader="none" w:pos="5180" w:val="left"/>
        </w:tabs>
        <w:rPr>
          <w:sz w:val="20"/>
          <w:szCs w:val="20"/>
          <w:color w:val="auto"/>
        </w:rPr>
      </w:pPr>
      <w:r>
        <w:rPr>
          <w:rFonts w:ascii="Arial" w:cs="Arial" w:eastAsia="Arial" w:hAnsi="Arial"/>
          <w:sz w:val="18"/>
          <w:szCs w:val="18"/>
          <w:color w:val="auto"/>
        </w:rPr>
        <w:t>At any time on or after</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w:t>
      </w:r>
    </w:p>
    <w:p>
      <w:pPr>
        <w:spacing w:after="0" w:line="23"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whole or in part at any time and from time to time, at Texas Instruments Incorporated’s option at a redemption price equal to 100% of the principal amount of the Notes to be redeemed plus accrued interest thereon to the date of redemption.</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securities dealer in New York City (a “Primary Treasury Dealer”), Texas Instruments Incorporated will substitute therefor another Primary Treasury Dealer, and (ii) any other Primary Treasury Dealer selected by Texas Instruments Incorporated.</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Notice of any redemption will be mailed at least 15 days but not more than 60 days before the redemption date to each holder of the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760" w:right="20" w:hanging="212"/>
        <w:spacing w:after="0" w:line="342"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760" w:right="60" w:hanging="21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760" w:hanging="212"/>
        <w:spacing w:after="0" w:line="30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hanging="21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760" w:hanging="21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3" w:lineRule="exact"/>
        <w:rPr>
          <w:sz w:val="20"/>
          <w:szCs w:val="20"/>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760" w:right="140" w:hanging="21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760" w:right="500" w:hanging="212"/>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6"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2"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left="120" w:right="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participant, either directly or indirectly. The rules applicable to DTC and its participants are on file with the SEC.</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760" w:right="440" w:hanging="212"/>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760" w:hanging="21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60" w:hanging="212"/>
        <w:spacing w:after="0" w:line="342"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00"/>
          </w:cols>
          <w:pgMar w:left="320" w:top="459" w:right="5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100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10020" w:type="dxa"/>
            <w:vAlign w:val="bottom"/>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Barclays Capital Inc.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20" w:firstLine="440"/>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w:t>
      </w:r>
    </w:p>
    <w:p>
      <w:pPr>
        <w:ind w:left="120" w:right="220"/>
        <w:spacing w:after="0" w:line="265" w:lineRule="auto"/>
        <w:rPr>
          <w:sz w:val="20"/>
          <w:szCs w:val="20"/>
          <w:color w:val="auto"/>
        </w:rPr>
      </w:pPr>
      <w:r>
        <w:rPr>
          <w:rFonts w:ascii="Arial" w:cs="Arial" w:eastAsia="Arial" w:hAnsi="Arial"/>
          <w:sz w:val="17"/>
          <w:szCs w:val="17"/>
          <w:color w:val="auto"/>
        </w:rPr>
        <w:t>exceed % per Note. Any such securities dealers may resell any Notes purchased from the underwriters to certain other brokers or dealers at a discount from the initial public offering price not to exceed % per Note. If all the Notes are not sold at the initial offering price, the</w:t>
      </w:r>
    </w:p>
    <w:p>
      <w:pPr>
        <w:ind w:left="120"/>
        <w:spacing w:after="0"/>
        <w:rPr>
          <w:sz w:val="20"/>
          <w:szCs w:val="20"/>
          <w:color w:val="auto"/>
        </w:rPr>
      </w:pPr>
      <w:r>
        <w:rPr>
          <w:rFonts w:ascii="Arial" w:cs="Arial" w:eastAsia="Arial" w:hAnsi="Arial"/>
          <w:sz w:val="18"/>
          <w:szCs w:val="18"/>
          <w:color w:val="auto"/>
        </w:rPr>
        <w:t>underwriters may change the offering price and the other selling terms.</w:t>
      </w:r>
    </w:p>
    <w:p>
      <w:pPr>
        <w:spacing w:after="0" w:line="21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Paid by Texas</w:t>
            </w:r>
          </w:p>
        </w:tc>
      </w:tr>
      <w:tr>
        <w:trPr>
          <w:trHeight w:val="149"/>
        </w:trPr>
        <w:tc>
          <w:tcPr>
            <w:tcW w:w="62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6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6280" w:type="dxa"/>
            <w:vAlign w:val="bottom"/>
          </w:tcPr>
          <w:p>
            <w:pPr>
              <w:ind w:left="440"/>
              <w:spacing w:after="0"/>
              <w:rPr>
                <w:sz w:val="20"/>
                <w:szCs w:val="20"/>
                <w:color w:val="auto"/>
              </w:rPr>
            </w:pPr>
            <w:r>
              <w:rPr>
                <w:rFonts w:ascii="Arial" w:cs="Arial" w:eastAsia="Arial" w:hAnsi="Arial"/>
                <w:sz w:val="18"/>
                <w:szCs w:val="18"/>
                <w:color w:val="auto"/>
                <w:w w:val="97"/>
              </w:rPr>
              <w:t>We estimate that our total expenses for this offering will be approximately $</w:t>
            </w:r>
          </w:p>
        </w:tc>
        <w:tc>
          <w:tcPr>
            <w:tcW w:w="4740" w:type="dxa"/>
            <w:vAlign w:val="bottom"/>
            <w:gridSpan w:val="3"/>
          </w:tcPr>
          <w:p>
            <w:pPr>
              <w:jc w:val="right"/>
              <w:ind w:right="1270"/>
              <w:spacing w:after="0"/>
              <w:rPr>
                <w:sz w:val="20"/>
                <w:szCs w:val="20"/>
                <w:color w:val="auto"/>
              </w:rPr>
            </w:pPr>
            <w:r>
              <w:rPr>
                <w:rFonts w:ascii="Arial" w:cs="Arial" w:eastAsia="Arial" w:hAnsi="Arial"/>
                <w:sz w:val="18"/>
                <w:szCs w:val="18"/>
                <w:color w:val="auto"/>
              </w:rPr>
              <w:t>million, including underwriting discounts.</w:t>
            </w:r>
          </w:p>
        </w:tc>
      </w:tr>
    </w:tbl>
    <w:p>
      <w:pPr>
        <w:spacing w:after="0" w:line="202"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760" w:right="480" w:hanging="21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760" w:right="520" w:hanging="21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760" w:right="260" w:hanging="212"/>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w:t>
      </w:r>
    </w:p>
    <w:p>
      <w:pPr>
        <w:spacing w:after="0" w:line="3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or in the United Kingdom (the “UK”).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has been prepared on the basis that any offer of Notes in any Member State of the EEA or in the UK will be made pursuant to an exemption under the Prospectus Regulation from the requirement to publish a prospectus for offers of Notes. This prospectus is not a prospectus for the purposes of the Prospectus Regulation.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 xml:space="preserve">investment only and not with a view to resale or redistribution; (ii) is an “accredited investor” as such term is defined in section 1.1 of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(“NI 45-106”) or, in Ontario, as such term is defined in section 73.3(1) of the Securities Act (Ontario); and</w:t>
      </w:r>
    </w:p>
    <w:p>
      <w:pPr>
        <w:ind w:left="120" w:right="280" w:hanging="4"/>
        <w:spacing w:after="0" w:line="260" w:lineRule="auto"/>
        <w:tabs>
          <w:tab w:leader="none" w:pos="4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is a “permitted client” as such term is defined in section 1.1 of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and in Multilateral Instrument </w:t>
      </w:r>
      <w:r>
        <w:rPr>
          <w:rFonts w:ascii="Arial" w:cs="Arial" w:eastAsia="Arial" w:hAnsi="Arial"/>
          <w:sz w:val="16"/>
          <w:szCs w:val="16"/>
          <w:color w:val="auto"/>
        </w:rPr>
        <w:t>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63"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760" w:right="40" w:hanging="212"/>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760" w:right="120" w:hanging="212"/>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760" w:right="120" w:hanging="212"/>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760" w:right="640" w:hanging="212"/>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760" w:hanging="212"/>
        <w:spacing w:after="0" w:line="25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Taiwan (either directly or through properly licensed Taiwan intermediaries acting on behalf of such investors), but may not be issued, offered or sold in Taiwan.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that is a Plan must also determine, and will be deemed to have represented by its purchase and holding of a Note, that such purchase and holding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herein. Our financial statements are incorporated by reference in reliance on Ernst &amp; Young LLP’s reports, given on their authority as experts in accounting and auditing.</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4" w:lineRule="exact"/>
        <w:rPr>
          <w:sz w:val="20"/>
          <w:szCs w:val="20"/>
          <w:color w:val="auto"/>
        </w:rPr>
      </w:pPr>
    </w:p>
    <w:p>
      <w:pPr>
        <w:ind w:left="120" w:right="20" w:firstLine="440"/>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7">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2019, filed on February 20, 2020, the sections of our Definitive Proxy Statement on </w:t>
      </w:r>
      <w:hyperlink r:id="rId48">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2020 annual meeting of stockholders, filed on March 10, 2020 that are incorporated by reference in our Annual Report on Form 10-K for the year ended December 31, 2019, our Quarterly Report on Form 10-Q for the quarter ended </w:t>
      </w:r>
      <w:hyperlink r:id="rId49">
        <w:r>
          <w:rPr>
            <w:rFonts w:ascii="Arial" w:cs="Arial" w:eastAsia="Arial" w:hAnsi="Arial"/>
            <w:sz w:val="16"/>
            <w:szCs w:val="16"/>
            <w:u w:val="single" w:color="auto"/>
            <w:color w:val="0000EE"/>
          </w:rPr>
          <w:t>March 31, 2020</w:t>
        </w:r>
      </w:hyperlink>
      <w:r>
        <w:rPr>
          <w:rFonts w:ascii="Arial" w:cs="Arial" w:eastAsia="Arial" w:hAnsi="Arial"/>
          <w:sz w:val="16"/>
          <w:szCs w:val="16"/>
          <w:color w:val="auto"/>
        </w:rPr>
        <w:t>, filed on April 22, 2020, our Current Reports on Form</w:t>
      </w:r>
    </w:p>
    <w:p>
      <w:pPr>
        <w:spacing w:after="0" w:line="4" w:lineRule="exact"/>
        <w:rPr>
          <w:rFonts w:ascii="Arial" w:cs="Arial" w:eastAsia="Arial" w:hAnsi="Arial"/>
          <w:sz w:val="16"/>
          <w:szCs w:val="16"/>
          <w:color w:val="auto"/>
        </w:rPr>
      </w:pPr>
    </w:p>
    <w:p>
      <w:pPr>
        <w:jc w:val="both"/>
        <w:ind w:left="120"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8-K filed on </w:t>
      </w:r>
      <w:hyperlink r:id="rId50">
        <w:r>
          <w:rPr>
            <w:rFonts w:ascii="Arial" w:cs="Arial" w:eastAsia="Arial" w:hAnsi="Arial"/>
            <w:sz w:val="18"/>
            <w:szCs w:val="18"/>
            <w:u w:val="single" w:color="auto"/>
            <w:color w:val="0000EE"/>
          </w:rPr>
          <w:t>February 20,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March 12, 2020</w:t>
        </w:r>
      </w:hyperlink>
      <w:r>
        <w:rPr>
          <w:rFonts w:ascii="Arial" w:cs="Arial" w:eastAsia="Arial" w:hAnsi="Arial"/>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9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P.O. Box 660199, MS</w:t>
      </w:r>
    </w:p>
    <w:p>
      <w:pPr>
        <w:spacing w:after="0" w:line="2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63215" cy="660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8632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120"/>
          </w:cols>
          <w:pgMar w:left="320" w:top="459" w:right="459" w:bottom="1440" w:gutter="0" w:footer="0" w:header="0"/>
        </w:sectPr>
      </w:pP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40"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9" w:lineRule="exact"/>
        <w:rPr>
          <w:sz w:val="20"/>
          <w:szCs w:val="20"/>
          <w:color w:val="auto"/>
        </w:rPr>
      </w:pPr>
    </w:p>
    <w:p>
      <w:pPr>
        <w:sectPr>
          <w:pgSz w:w="11900" w:h="16838" w:orient="portrait"/>
          <w:cols w:equalWidth="0" w:num="4">
            <w:col w:w="180" w:space="280"/>
            <w:col w:w="4560" w:space="720"/>
            <w:col w:w="60" w:space="280"/>
            <w:col w:w="5040"/>
          </w:cols>
          <w:pgMar w:left="320" w:top="459" w:right="459" w:bottom="1440" w:gutter="0" w:footer="0" w:header="0"/>
          <w:type w:val="continuous"/>
        </w:sectPr>
      </w:pPr>
    </w:p>
    <w:p>
      <w:pPr>
        <w:ind w:left="460" w:hanging="34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Amount payable at maturity</w:t>
            </w:r>
          </w:p>
        </w:tc>
        <w:tc>
          <w:tcPr>
            <w:tcW w:w="1040" w:type="dxa"/>
            <w:vAlign w:val="bottom"/>
          </w:tcPr>
          <w:p>
            <w:pPr>
              <w:ind w:left="84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40" w:type="dxa"/>
            <w:vAlign w:val="bottom"/>
          </w:tcPr>
          <w:p>
            <w:pPr>
              <w:ind w:left="1440"/>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70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000" w:type="dxa"/>
            <w:vAlign w:val="bottom"/>
            <w:gridSpan w:val="3"/>
          </w:tcPr>
          <w:p>
            <w:pPr>
              <w:ind w:left="5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The Company</w:t>
              </w:r>
            </w:hyperlink>
          </w:p>
        </w:tc>
        <w:tc>
          <w:tcPr>
            <w:tcW w:w="67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3980" w:type="dxa"/>
            <w:vAlign w:val="bottom"/>
            <w:vMerge w:val="continue"/>
          </w:tcPr>
          <w:p>
            <w:pPr>
              <w:spacing w:after="0"/>
              <w:rPr>
                <w:sz w:val="16"/>
                <w:szCs w:val="16"/>
                <w:color w:val="auto"/>
              </w:rPr>
            </w:pPr>
          </w:p>
        </w:tc>
        <w:tc>
          <w:tcPr>
            <w:tcW w:w="670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Where You Can Find More Information</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Notice Regarding Forward-Looking Statements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Capital Stock</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Debt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Warrants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Units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Forms of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Plan of Distribution</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Validity of Securities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Experts</w:t>
              </w:r>
            </w:hyperlink>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41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998970" cy="3441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4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4"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60"/>
          </w:cols>
          <w:pgMar w:left="32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3">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9"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80" w:right="180" w:hanging="532"/>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532"/>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right="160" w:hanging="532"/>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532"/>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532"/>
        <w:spacing w:after="0" w:line="34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740" w:hanging="439"/>
        <w:spacing w:after="0" w:line="342"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40" w:hanging="532"/>
        <w:spacing w:after="0" w:line="286"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80" w:hanging="532"/>
        <w:spacing w:after="0" w:line="273"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80" w:right="600" w:hanging="532"/>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right="4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532"/>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439"/>
        <w:spacing w:after="0" w:line="277"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120" w:right="18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532"/>
        <w:spacing w:after="0" w:line="270"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178435</wp:posOffset>
            </wp:positionV>
            <wp:extent cx="2871470" cy="677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1678305</wp:posOffset>
            </wp:positionV>
            <wp:extent cx="1114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PRELIMINARY PROSPECTUS SUPPLEMENT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4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2020</w:t>
            </w: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51"/>
        </w:trPr>
        <w:tc>
          <w:tcPr>
            <w:tcW w:w="2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74"/>
        </w:trPr>
        <w:tc>
          <w:tcPr>
            <w:tcW w:w="2000" w:type="dxa"/>
            <w:vAlign w:val="bottom"/>
          </w:tcPr>
          <w:p>
            <w:pPr>
              <w:spacing w:after="0"/>
              <w:rPr>
                <w:sz w:val="23"/>
                <w:szCs w:val="23"/>
                <w:color w:val="auto"/>
              </w:rPr>
            </w:pPr>
          </w:p>
        </w:tc>
        <w:tc>
          <w:tcPr>
            <w:tcW w:w="4900" w:type="dxa"/>
            <w:vAlign w:val="bottom"/>
            <w:gridSpan w:val="3"/>
          </w:tcPr>
          <w:p>
            <w:pPr>
              <w:ind w:left="2180"/>
              <w:spacing w:after="0"/>
              <w:rPr>
                <w:sz w:val="20"/>
                <w:szCs w:val="20"/>
                <w:color w:val="auto"/>
              </w:rPr>
            </w:pPr>
            <w:r>
              <w:rPr>
                <w:rFonts w:ascii="Arial" w:cs="Arial" w:eastAsia="Arial" w:hAnsi="Arial"/>
                <w:sz w:val="22"/>
                <w:szCs w:val="22"/>
                <w:i w:val="1"/>
                <w:iCs w:val="1"/>
                <w:color w:val="auto"/>
                <w:w w:val="91"/>
              </w:rPr>
              <w:t>Joint Book-Running Managers</w:t>
            </w:r>
          </w:p>
        </w:tc>
        <w:tc>
          <w:tcPr>
            <w:tcW w:w="16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734"/>
        </w:trPr>
        <w:tc>
          <w:tcPr>
            <w:tcW w:w="20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4900" w:type="dxa"/>
            <w:vAlign w:val="bottom"/>
            <w:gridSpan w:val="3"/>
          </w:tcPr>
          <w:p>
            <w:pPr>
              <w:ind w:left="2320"/>
              <w:spacing w:after="0"/>
              <w:rPr>
                <w:sz w:val="20"/>
                <w:szCs w:val="20"/>
                <w:color w:val="auto"/>
              </w:rPr>
            </w:pPr>
            <w:r>
              <w:rPr>
                <w:rFonts w:ascii="Arial" w:cs="Arial" w:eastAsia="Arial" w:hAnsi="Arial"/>
                <w:sz w:val="32"/>
                <w:szCs w:val="32"/>
                <w:b w:val="1"/>
                <w:bCs w:val="1"/>
                <w:color w:val="auto"/>
                <w:w w:val="94"/>
              </w:rPr>
              <w:t>Mizuho Securities</w:t>
            </w:r>
          </w:p>
        </w:tc>
        <w:tc>
          <w:tcPr>
            <w:tcW w:w="16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412"/>
        </w:trPr>
        <w:tc>
          <w:tcPr>
            <w:tcW w:w="200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4900" w:type="dxa"/>
            <w:vAlign w:val="bottom"/>
            <w:gridSpan w:val="3"/>
          </w:tcPr>
          <w:p>
            <w:pPr>
              <w:ind w:left="660"/>
              <w:spacing w:after="0"/>
              <w:rPr>
                <w:sz w:val="20"/>
                <w:szCs w:val="20"/>
                <w:color w:val="auto"/>
              </w:rPr>
            </w:pPr>
            <w:r>
              <w:rPr>
                <w:rFonts w:ascii="Arial" w:cs="Arial" w:eastAsia="Arial" w:hAnsi="Arial"/>
                <w:sz w:val="25"/>
                <w:szCs w:val="25"/>
                <w:b w:val="1"/>
                <w:bCs w:val="1"/>
                <w:color w:val="auto"/>
              </w:rPr>
              <w:t>BofA Securities</w:t>
            </w:r>
          </w:p>
        </w:tc>
        <w:tc>
          <w:tcPr>
            <w:tcW w:w="1640" w:type="dxa"/>
            <w:vAlign w:val="bottom"/>
          </w:tcPr>
          <w:p>
            <w:pPr>
              <w:ind w:left="60"/>
              <w:spacing w:after="0"/>
              <w:rPr>
                <w:sz w:val="20"/>
                <w:szCs w:val="20"/>
                <w:color w:val="auto"/>
              </w:rPr>
            </w:pPr>
            <w:r>
              <w:rPr>
                <w:rFonts w:ascii="Arial" w:cs="Arial" w:eastAsia="Arial" w:hAnsi="Arial"/>
                <w:sz w:val="25"/>
                <w:szCs w:val="25"/>
                <w:b w:val="1"/>
                <w:bCs w:val="1"/>
                <w:color w:val="auto"/>
              </w:rPr>
              <w:t>J.P. Morgan</w:t>
            </w:r>
          </w:p>
        </w:tc>
        <w:tc>
          <w:tcPr>
            <w:tcW w:w="248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r>
      <w:tr>
        <w:trPr>
          <w:trHeight w:val="532"/>
        </w:trPr>
        <w:tc>
          <w:tcPr>
            <w:tcW w:w="2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95"/>
        </w:trPr>
        <w:tc>
          <w:tcPr>
            <w:tcW w:w="200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lvl w:ilvl="1">
      <w:lvlJc w:val="left"/>
      <w:lvlText w:val="(%2)"/>
      <w:numFmt w:val="decimal"/>
      <w:start w:val="1"/>
    </w:lvl>
  </w:abstractNum>
  <w:abstractNum w:abstractNumId="9">
    <w:nsid w:val="54E49EB4"/>
    <w:multiLevelType w:val="hybridMultilevel"/>
    <w:lvl w:ilvl="0">
      <w:lvlJc w:val="left"/>
      <w:lvlText w:val="•"/>
      <w:numFmt w:val="bullet"/>
      <w:start w:val="1"/>
    </w:lvl>
    <w:lvl w:ilvl="1">
      <w:lvlJc w:val="left"/>
      <w:lvlText w:val="(%2)"/>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Roman"/>
      <w:start w:val="3"/>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lvl w:ilvl="1">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lvl w:ilvl="1">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jpe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jpeg"/><Relationship Id="rId87" Type="http://schemas.openxmlformats.org/officeDocument/2006/relationships/image" Target="media/image73.png"/><Relationship Id="rId47" Type="http://schemas.openxmlformats.org/officeDocument/2006/relationships/hyperlink" Target="http://www.sec.gov/ix?doc=/Archives/edgar/data/97476/000009747620000009/txn-20191231.htm" TargetMode="External"/><Relationship Id="rId48" Type="http://schemas.openxmlformats.org/officeDocument/2006/relationships/hyperlink" Target="http://www.sec.gov/Archives/edgar/data/97476/000119312520068304/d840106ddef14a.htm" TargetMode="External"/><Relationship Id="rId49" Type="http://schemas.openxmlformats.org/officeDocument/2006/relationships/hyperlink" Target="http://www.sec.gov/ix?doc=/Archives/edgar/data/97476/000009747620000017/txn-20200331.htm" TargetMode="External"/><Relationship Id="rId50" Type="http://schemas.openxmlformats.org/officeDocument/2006/relationships/hyperlink" Target="http://www.sec.gov/ix?doc=/Archives/edgar/data/97476/000119312520043531/d858415d8k.htm" TargetMode="External"/><Relationship Id="rId51" Type="http://schemas.openxmlformats.org/officeDocument/2006/relationships/hyperlink" Target="http://www.sec.gov/ix?doc=/Archives/edgar/data/97476/000119312520071568/d883949d8k.htm" TargetMode="External"/><Relationship Id="rId62" Type="http://schemas.openxmlformats.org/officeDocument/2006/relationships/hyperlink" Target="http://www.sec.gov/Archives/edgar/data/97476/000156459019003839/txn-10k_20181231.htm" TargetMode="External"/><Relationship Id="rId63"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2020-04-24T08:06:18Z</dcterms:created>
  <dcterms:modified xsi:type="dcterms:W3CDTF">2020-04-24T08:06:18Z</dcterms:modified>
</cp:coreProperties>
</file>