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492125</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397510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1900" w:hanging="545"/>
        <w:spacing w:after="0" w:line="485" w:lineRule="auto"/>
        <w:tabs>
          <w:tab w:leader="none" w:pos="4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TEXAS INSTRUMENTS INCORPORATED</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41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4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(State of Incorporation)</w:t>
            </w:r>
          </w:p>
        </w:tc>
        <w:tc>
          <w:tcPr>
            <w:tcW w:w="4920" w:type="dxa"/>
            <w:vAlign w:val="bottom"/>
          </w:tcPr>
          <w:p>
            <w:pPr>
              <w:jc w:val="center"/>
              <w:ind w:left="2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567"/>
        </w:trPr>
        <w:tc>
          <w:tcPr>
            <w:tcW w:w="4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492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41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920" w:type="dxa"/>
            <w:vAlign w:val="bottom"/>
          </w:tcPr>
          <w:p>
            <w:pPr>
              <w:jc w:val="center"/>
              <w:ind w:left="2090"/>
              <w:spacing w:after="0"/>
              <w:rPr>
                <w:sz w:val="20"/>
                <w:szCs w:val="20"/>
                <w:color w:val="auto"/>
              </w:rPr>
            </w:pPr>
            <w:r>
              <w:rPr>
                <w:rFonts w:ascii="Arial" w:cs="Arial" w:eastAsia="Arial" w:hAnsi="Arial"/>
                <w:sz w:val="18"/>
                <w:szCs w:val="18"/>
                <w:b w:val="1"/>
                <w:bCs w:val="1"/>
                <w:color w:val="auto"/>
                <w:w w:val="92"/>
              </w:rPr>
              <w:t>(Zip Code)</w:t>
            </w:r>
          </w:p>
        </w:tc>
      </w:tr>
      <w:tr>
        <w:trPr>
          <w:trHeight w:val="405"/>
        </w:trPr>
        <w:tc>
          <w:tcPr>
            <w:tcW w:w="4140" w:type="dxa"/>
            <w:vAlign w:val="bottom"/>
          </w:tcPr>
          <w:p>
            <w:pPr>
              <w:spacing w:after="0"/>
              <w:rPr>
                <w:sz w:val="24"/>
                <w:szCs w:val="24"/>
                <w:color w:val="auto"/>
              </w:rPr>
            </w:pPr>
          </w:p>
        </w:tc>
        <w:tc>
          <w:tcPr>
            <w:tcW w:w="4920" w:type="dxa"/>
            <w:vAlign w:val="bottom"/>
          </w:tcPr>
          <w:p>
            <w:pPr>
              <w:jc w:val="right"/>
              <w:ind w:right="3630"/>
              <w:spacing w:after="0"/>
              <w:rPr>
                <w:sz w:val="20"/>
                <w:szCs w:val="20"/>
                <w:color w:val="auto"/>
              </w:rPr>
            </w:pPr>
            <w:r>
              <w:rPr>
                <w:rFonts w:ascii="Arial" w:cs="Arial" w:eastAsia="Arial" w:hAnsi="Arial"/>
                <w:sz w:val="18"/>
                <w:szCs w:val="18"/>
                <w:b w:val="1"/>
                <w:bCs w:val="1"/>
                <w:color w:val="auto"/>
              </w:rPr>
              <w:t>972-995-3773</w:t>
            </w:r>
          </w:p>
        </w:tc>
      </w:tr>
    </w:tbl>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38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8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780" w:space="720"/>
            <w:col w:w="1900" w:space="720"/>
            <w:col w:w="640"/>
          </w:cols>
          <w:pgMar w:left="240" w:top="882"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5">
            <w:col w:w="1940" w:space="720"/>
            <w:col w:w="160" w:space="540"/>
            <w:col w:w="4080" w:space="720"/>
            <w:col w:w="1960" w:space="660"/>
            <w:col w:w="640"/>
          </w:cols>
          <w:pgMar w:left="240" w:top="882" w:right="239" w:bottom="1440" w:gutter="0" w:footer="0" w:header="0"/>
          <w:type w:val="continuous"/>
        </w:sectPr>
      </w:pPr>
    </w:p>
    <w:p>
      <w:pPr>
        <w:spacing w:after="0" w:line="43"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1,120,802,980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For Three Months Ended</w:t>
            </w:r>
          </w:p>
        </w:tc>
        <w:tc>
          <w:tcPr>
            <w:tcW w:w="300" w:type="dxa"/>
            <w:vAlign w:val="bottom"/>
          </w:tcPr>
          <w:p>
            <w:pPr>
              <w:spacing w:after="0"/>
              <w:rPr>
                <w:sz w:val="18"/>
                <w:szCs w:val="18"/>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3,390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9,846</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 (COR)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4,924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1,740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4,922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(R&amp;D)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 (OI&amp;E)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784</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1,495</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1,130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1,141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1,153</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784</w:t>
            </w:r>
          </w:p>
        </w:tc>
        <w:tc>
          <w:tcPr>
            <w:tcW w:w="12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601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net of taxes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Reclassification of recognized transactions, including actuarial losses</w:t>
            </w:r>
          </w:p>
        </w:tc>
        <w:tc>
          <w:tcPr>
            <w:tcW w:w="88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associated with the transfer of Japan substitutional pension, net of taxes</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Change in fair value of derivative instrument, net of taxes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907</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1,654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2,451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($23) and ($19)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736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w:t>
            </w:r>
          </w:p>
        </w:tc>
        <w:tc>
          <w:tcPr>
            <w:tcW w:w="160" w:type="dxa"/>
            <w:vAlign w:val="bottom"/>
            <w:shd w:val="clear" w:color="auto" w:fill="CCEEFF"/>
          </w:tcPr>
          <w:p>
            <w:pPr>
              <w:spacing w:after="0"/>
              <w:rPr>
                <w:sz w:val="19"/>
                <w:szCs w:val="19"/>
                <w:color w:val="auto"/>
              </w:rPr>
            </w:pPr>
          </w:p>
        </w:tc>
        <w:tc>
          <w:tcPr>
            <w:tcW w:w="1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5"/>
              </w:rPr>
              <w:t>Common stock, $1 par value. Authorized – 2,400,000,000 shares. Shares issued: September 30, 2012 –</w:t>
            </w:r>
          </w:p>
        </w:tc>
        <w:tc>
          <w:tcPr>
            <w:tcW w:w="160" w:type="dxa"/>
            <w:vAlign w:val="bottom"/>
          </w:tcPr>
          <w:p>
            <w:pPr>
              <w:spacing w:after="0"/>
              <w:rPr>
                <w:sz w:val="19"/>
                <w:szCs w:val="19"/>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1,740,815,939; December 31, 2011 – 1,740,630,391</w:t>
            </w:r>
          </w:p>
        </w:tc>
        <w:tc>
          <w:tcPr>
            <w:tcW w:w="16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27,179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Less treasury common stock at cost. Shares: September 30, 2012 – 620,012,959; December 31, 2011 –</w:t>
            </w:r>
          </w:p>
        </w:tc>
        <w:tc>
          <w:tcPr>
            <w:tcW w:w="16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601,131,631</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20,514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57"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ectPr>
          <w:pgSz w:w="11900" w:h="16838" w:orient="portrait"/>
          <w:cols w:equalWidth="0" w:num="1">
            <w:col w:w="11420"/>
          </w:cols>
          <w:pgMar w:left="240" w:top="580" w:right="239" w:bottom="5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For Nine Months Ended</w:t>
      </w:r>
    </w:p>
    <w:p>
      <w:pPr>
        <w:spacing w:after="0" w:line="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Gains on sales of assets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 on transfer of Japan substitutional pension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 and insurance recovery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costs for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ind w:left="340" w:hanging="31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3" w:lineRule="exact"/>
        <w:rPr>
          <w:rFonts w:ascii="Arial" w:cs="Arial" w:eastAsia="Arial" w:hAnsi="Arial"/>
          <w:sz w:val="18"/>
          <w:szCs w:val="18"/>
          <w:color w:val="auto"/>
        </w:rPr>
      </w:pPr>
    </w:p>
    <w:p>
      <w:pPr>
        <w:ind w:left="340" w:right="40"/>
        <w:spacing w:after="0" w:line="268" w:lineRule="auto"/>
        <w:rPr>
          <w:rFonts w:ascii="Arial" w:cs="Arial" w:eastAsia="Arial" w:hAnsi="Arial"/>
          <w:sz w:val="18"/>
          <w:szCs w:val="18"/>
          <w:color w:val="auto"/>
        </w:rPr>
      </w:pPr>
      <w:r>
        <w:rPr>
          <w:rFonts w:ascii="Arial" w:cs="Arial" w:eastAsia="Arial" w:hAnsi="Arial"/>
          <w:sz w:val="17"/>
          <w:szCs w:val="17"/>
          <w:color w:val="auto"/>
        </w:rPr>
        <w:t>The consolidated financial statements have been prepared in accordance with accounting principles generally accepted in the U.S. (U.S. GAAP) and on the same basis as the audited financial statements included in our annual report on Form 10-K for the year ended December 31, 2011. The consolidated statements of income, statements of comprehensive income and statements of cash flows for the periods ended September 30, 2012 and 2011, and the balance sheet as of September 30, 2012,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2011. The results for the three-and nine-month periods are not necessarily indicative of a full year’s results.</w:t>
      </w:r>
    </w:p>
    <w:p>
      <w:pPr>
        <w:spacing w:after="0" w:line="179" w:lineRule="exact"/>
        <w:rPr>
          <w:rFonts w:ascii="Arial" w:cs="Arial" w:eastAsia="Arial" w:hAnsi="Arial"/>
          <w:sz w:val="18"/>
          <w:szCs w:val="18"/>
          <w:color w:val="auto"/>
        </w:rPr>
      </w:pPr>
    </w:p>
    <w:p>
      <w:pPr>
        <w:ind w:left="340" w:right="30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Acquisition</w:t>
      </w:r>
    </w:p>
    <w:p>
      <w:pPr>
        <w:spacing w:after="0" w:line="23" w:lineRule="exact"/>
        <w:rPr>
          <w:rFonts w:ascii="Arial" w:cs="Arial" w:eastAsia="Arial" w:hAnsi="Arial"/>
          <w:sz w:val="18"/>
          <w:szCs w:val="18"/>
          <w:color w:val="auto"/>
        </w:rPr>
      </w:pPr>
    </w:p>
    <w:p>
      <w:pPr>
        <w:ind w:left="340" w:right="160"/>
        <w:spacing w:after="0" w:line="302" w:lineRule="auto"/>
        <w:rPr>
          <w:rFonts w:ascii="Arial" w:cs="Arial" w:eastAsia="Arial" w:hAnsi="Arial"/>
          <w:sz w:val="18"/>
          <w:szCs w:val="18"/>
          <w:color w:val="auto"/>
        </w:rPr>
      </w:pPr>
      <w:r>
        <w:rPr>
          <w:rFonts w:ascii="Arial" w:cs="Arial" w:eastAsia="Arial" w:hAnsi="Arial"/>
          <w:sz w:val="16"/>
          <w:szCs w:val="16"/>
          <w:color w:val="auto"/>
        </w:rPr>
        <w:t xml:space="preserve">On September 23, 2011, we completed the acquisition of National Semiconductor Corporation (National). We accounted for this transaction under Accounting Standards Codification (ASC) 805 -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the consolidated financial statements include the balances and results of operations of National from the date of acquisition. National’s operating results are included in the Analog segment. See Note 2 for further information.</w:t>
      </w:r>
    </w:p>
    <w:p>
      <w:pPr>
        <w:spacing w:after="0" w:line="15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Earnings per share (EPS)</w:t>
      </w:r>
    </w:p>
    <w:p>
      <w:pPr>
        <w:spacing w:after="0" w:line="23" w:lineRule="exact"/>
        <w:rPr>
          <w:rFonts w:ascii="Arial" w:cs="Arial" w:eastAsia="Arial" w:hAnsi="Arial"/>
          <w:sz w:val="18"/>
          <w:szCs w:val="18"/>
          <w:color w:val="auto"/>
        </w:rPr>
      </w:pPr>
    </w:p>
    <w:p>
      <w:pPr>
        <w:ind w:left="340" w:right="140"/>
        <w:spacing w:after="0" w:line="254" w:lineRule="auto"/>
        <w:rPr>
          <w:rFonts w:ascii="Arial" w:cs="Arial" w:eastAsia="Arial" w:hAnsi="Arial"/>
          <w:sz w:val="18"/>
          <w:szCs w:val="18"/>
          <w:color w:val="auto"/>
        </w:rPr>
      </w:pPr>
      <w:r>
        <w:rPr>
          <w:rFonts w:ascii="Arial" w:cs="Arial" w:eastAsia="Arial" w:hAnsi="Arial"/>
          <w:sz w:val="18"/>
          <w:szCs w:val="18"/>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784</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769</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1,130</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784</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770</w:t>
            </w:r>
          </w:p>
        </w:tc>
        <w:tc>
          <w:tcPr>
            <w:tcW w:w="120" w:type="dxa"/>
            <w:vAlign w:val="bottom"/>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1,141</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3"/>
              </w:rPr>
              <w:t>For Nine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Nine Months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89"/>
              </w:rPr>
              <w:t>September 30, 2012</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9"/>
              </w:rPr>
              <w:t>September 30, 2011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1,495</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1,468</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1,138</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1,495</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1,468</w:t>
            </w:r>
          </w:p>
        </w:tc>
        <w:tc>
          <w:tcPr>
            <w:tcW w:w="120" w:type="dxa"/>
            <w:vAlign w:val="bottom"/>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1,153</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80"/>
        <w:spacing w:after="0" w:line="286" w:lineRule="auto"/>
        <w:rPr>
          <w:sz w:val="20"/>
          <w:szCs w:val="20"/>
          <w:color w:val="auto"/>
        </w:rPr>
      </w:pPr>
      <w:r>
        <w:rPr>
          <w:rFonts w:ascii="Arial" w:cs="Arial" w:eastAsia="Arial" w:hAnsi="Arial"/>
          <w:sz w:val="17"/>
          <w:szCs w:val="17"/>
          <w:color w:val="auto"/>
        </w:rPr>
        <w:t>Potentially dilutive securities representing 65 million and 55 million shares of common stock that were outstanding during the third quarters of 2012 and 2011, respectively, and 65 million and 56 million shares outstanding during the first nine months of 2012 and 2011, respectively, were excluded from the computation of diluted earnings per common share for these periods because their effect would have been anti-dilutive.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jc w:val="both"/>
        <w:ind w:left="340" w:right="100"/>
        <w:spacing w:after="0" w:line="277" w:lineRule="auto"/>
        <w:rPr>
          <w:sz w:val="20"/>
          <w:szCs w:val="20"/>
          <w:color w:val="auto"/>
        </w:rPr>
      </w:pPr>
      <w:r>
        <w:rPr>
          <w:rFonts w:ascii="Arial" w:cs="Arial" w:eastAsia="Arial" w:hAnsi="Arial"/>
          <w:sz w:val="17"/>
          <w:szCs w:val="17"/>
          <w:color w:val="auto"/>
        </w:rPr>
        <w:t>We have an interest rate swap, entered into in connection with the issuance of variable-rate long-term debt in May 2011, which is designated as a hedge of the variability of cash flows related to interest payments. See Note 9 for additional information. Gains and losses from changes in the fair value of the interest rate swap are credited or charged to Accumulated other comprehensive income (loss), net of taxes (AOCI).</w:t>
      </w:r>
    </w:p>
    <w:p>
      <w:pPr>
        <w:spacing w:after="0" w:line="173"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apply hedge accounting to our foreign currency derivative instruments.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3"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significant at September 30, 2012. Our investments in cash equivalents, short-term investments and certain long-term investments, as well as our deferred compensation liabilities, are carried at fair value and are discussed in Note 6.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6 for the definition of level 2 inputs.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6" w:right="239" w:bottom="1440" w:gutter="0" w:footer="0" w:header="0"/>
        </w:sectPr>
      </w:pPr>
    </w:p>
    <w:bookmarkStart w:id="8" w:name="page9"/>
    <w:bookmarkEnd w:id="8"/>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National Semiconductor acquisition-related costs</w:t>
      </w:r>
    </w:p>
    <w:p>
      <w:pPr>
        <w:spacing w:after="0" w:line="27"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6"/>
          <w:szCs w:val="16"/>
          <w:color w:val="auto"/>
        </w:rPr>
        <w:t>For the periods presented, we incurred total acquisition-related costs associated with the National acquisition, which are included in Other, as follows:</w:t>
      </w:r>
    </w:p>
    <w:p>
      <w:pPr>
        <w:spacing w:after="0" w:line="392" w:lineRule="exact"/>
        <w:rPr>
          <w:sz w:val="20"/>
          <w:szCs w:val="20"/>
          <w:color w:val="auto"/>
        </w:rPr>
      </w:pPr>
    </w:p>
    <w:tbl>
      <w:tblPr>
        <w:tblLayout w:type="fixed"/>
        <w:tblInd w:w="712"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Nine Months Ended</w:t>
            </w:r>
          </w:p>
        </w:tc>
        <w:tc>
          <w:tcPr>
            <w:tcW w:w="40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7"/>
              </w:rPr>
              <w:t>September 30,</w:t>
            </w:r>
          </w:p>
        </w:tc>
        <w:tc>
          <w:tcPr>
            <w:tcW w:w="40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160"/>
              <w:spacing w:after="0"/>
              <w:rPr>
                <w:sz w:val="20"/>
                <w:szCs w:val="20"/>
                <w:color w:val="auto"/>
              </w:rPr>
            </w:pPr>
            <w:r>
              <w:rPr>
                <w:rFonts w:ascii="Arial" w:cs="Arial" w:eastAsia="Arial" w:hAnsi="Arial"/>
                <w:sz w:val="18"/>
                <w:szCs w:val="18"/>
                <w:color w:val="auto"/>
              </w:rPr>
              <w:t>Distributor contract termination</w:t>
            </w:r>
          </w:p>
        </w:tc>
        <w:tc>
          <w:tcPr>
            <w:tcW w:w="8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 related</w:t>
            </w:r>
          </w:p>
        </w:tc>
        <w:tc>
          <w:tcPr>
            <w:tcW w:w="8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As recorded in COR</w:t>
            </w:r>
          </w:p>
        </w:tc>
        <w:tc>
          <w:tcPr>
            <w:tcW w:w="8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640" w:type="dxa"/>
            <w:vAlign w:val="bottom"/>
          </w:tcPr>
          <w:p>
            <w:pPr>
              <w:ind w:left="160"/>
              <w:spacing w:after="0"/>
              <w:rPr>
                <w:sz w:val="20"/>
                <w:szCs w:val="20"/>
                <w:color w:val="auto"/>
              </w:rPr>
            </w:pPr>
            <w:r>
              <w:rPr>
                <w:rFonts w:ascii="Arial" w:cs="Arial" w:eastAsia="Arial" w:hAnsi="Arial"/>
                <w:sz w:val="18"/>
                <w:szCs w:val="18"/>
                <w:color w:val="auto"/>
              </w:rPr>
              <w:t>Retention bonuses</w:t>
            </w:r>
          </w:p>
        </w:tc>
        <w:tc>
          <w:tcPr>
            <w:tcW w:w="8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640" w:type="dxa"/>
            <w:vAlign w:val="bottom"/>
          </w:tcPr>
          <w:p>
            <w:pPr>
              <w:ind w:left="160"/>
              <w:spacing w:after="0"/>
              <w:rPr>
                <w:sz w:val="20"/>
                <w:szCs w:val="20"/>
                <w:color w:val="auto"/>
              </w:rPr>
            </w:pPr>
            <w:r>
              <w:rPr>
                <w:rFonts w:ascii="Arial" w:cs="Arial" w:eastAsia="Arial" w:hAnsi="Arial"/>
                <w:sz w:val="18"/>
                <w:szCs w:val="18"/>
                <w:color w:val="auto"/>
              </w:rPr>
              <w:t>Severance and other benefits:</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reductions announced at closing</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Change of control</w:t>
            </w:r>
          </w:p>
        </w:tc>
        <w:tc>
          <w:tcPr>
            <w:tcW w:w="84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Transaction and other costs</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As recorded in Acquisition charges</w:t>
            </w:r>
          </w:p>
        </w:tc>
        <w:tc>
          <w:tcPr>
            <w:tcW w:w="8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147</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363</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162</w:t>
            </w:r>
          </w:p>
        </w:tc>
      </w:tr>
      <w:tr>
        <w:trPr>
          <w:trHeight w:val="27"/>
        </w:trPr>
        <w:tc>
          <w:tcPr>
            <w:tcW w:w="4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acquisition-related costs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w:t>
            </w:r>
          </w:p>
        </w:tc>
      </w:tr>
      <w:tr>
        <w:trPr>
          <w:trHeight w:val="20"/>
        </w:trPr>
        <w:tc>
          <w:tcPr>
            <w:tcW w:w="4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32" w:right="40"/>
        <w:spacing w:after="0" w:line="286" w:lineRule="auto"/>
        <w:rPr>
          <w:sz w:val="20"/>
          <w:szCs w:val="20"/>
          <w:color w:val="auto"/>
        </w:rPr>
      </w:pPr>
      <w:r>
        <w:rPr>
          <w:rFonts w:ascii="Arial" w:cs="Arial" w:eastAsia="Arial" w:hAnsi="Arial"/>
          <w:sz w:val="17"/>
          <w:szCs w:val="17"/>
          <w:color w:val="auto"/>
        </w:rPr>
        <w:t>In 2011, we discontinued using one of National’s distributors. We acquired the distributor’s inventory at fair value, resulting in an incremental charge of $21 million to COR upon sale of the inventory in 2012. Also, at acquisition we adjusted National’s inventory valuation to reflect a fair-value write-up. In the third quarter of 2011, we expensed $7 million related to this adjustment as the inventory was sold.</w:t>
      </w:r>
    </w:p>
    <w:p>
      <w:pPr>
        <w:spacing w:after="0" w:line="166" w:lineRule="exact"/>
        <w:rPr>
          <w:sz w:val="20"/>
          <w:szCs w:val="20"/>
          <w:color w:val="auto"/>
        </w:rPr>
      </w:pPr>
    </w:p>
    <w:p>
      <w:pPr>
        <w:ind w:left="332" w:right="260"/>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7 for additional information.</w:t>
      </w:r>
    </w:p>
    <w:p>
      <w:pPr>
        <w:spacing w:after="0" w:line="170" w:lineRule="exact"/>
        <w:rPr>
          <w:sz w:val="20"/>
          <w:szCs w:val="20"/>
          <w:color w:val="auto"/>
        </w:rPr>
      </w:pPr>
    </w:p>
    <w:p>
      <w:pPr>
        <w:ind w:left="332" w:right="200"/>
        <w:spacing w:after="0" w:line="277" w:lineRule="auto"/>
        <w:rPr>
          <w:sz w:val="20"/>
          <w:szCs w:val="20"/>
          <w:color w:val="auto"/>
        </w:rPr>
      </w:pPr>
      <w:r>
        <w:rPr>
          <w:rFonts w:ascii="Arial" w:cs="Arial" w:eastAsia="Arial" w:hAnsi="Arial"/>
          <w:sz w:val="18"/>
          <w:szCs w:val="18"/>
          <w:color w:val="auto"/>
        </w:rPr>
        <w:t>Retention bonuses reflect amounts already or expected to be paid to former National employees who fulfill agreed-upon service period obligations and are recognized ratably over the required service period.</w:t>
      </w:r>
    </w:p>
    <w:p>
      <w:pPr>
        <w:spacing w:after="0" w:line="170" w:lineRule="exact"/>
        <w:rPr>
          <w:sz w:val="20"/>
          <w:szCs w:val="20"/>
          <w:color w:val="auto"/>
        </w:rPr>
      </w:pPr>
    </w:p>
    <w:p>
      <w:pPr>
        <w:ind w:left="332"/>
        <w:spacing w:after="0"/>
        <w:rPr>
          <w:sz w:val="20"/>
          <w:szCs w:val="20"/>
          <w:color w:val="auto"/>
        </w:rPr>
      </w:pPr>
      <w:r>
        <w:rPr>
          <w:rFonts w:ascii="Arial" w:cs="Arial" w:eastAsia="Arial" w:hAnsi="Arial"/>
          <w:sz w:val="16"/>
          <w:szCs w:val="16"/>
          <w:color w:val="auto"/>
        </w:rPr>
        <w:t>At acquisition, stock-based compensation of $41 million was recognized for the accelerated vesting of equity awards upon the termination of employees.</w:t>
      </w:r>
    </w:p>
    <w:p>
      <w:pPr>
        <w:spacing w:after="0" w:line="4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Additional acquisition-related stock-based compensation is being recognized over the applicable vesting period for each grantee.</w:t>
      </w:r>
    </w:p>
    <w:p>
      <w:pPr>
        <w:spacing w:after="0" w:line="211" w:lineRule="exact"/>
        <w:rPr>
          <w:sz w:val="20"/>
          <w:szCs w:val="20"/>
          <w:color w:val="auto"/>
        </w:rPr>
      </w:pPr>
    </w:p>
    <w:p>
      <w:pPr>
        <w:ind w:left="332"/>
        <w:spacing w:after="0" w:line="279" w:lineRule="auto"/>
        <w:rPr>
          <w:sz w:val="20"/>
          <w:szCs w:val="20"/>
          <w:color w:val="auto"/>
        </w:rPr>
      </w:pPr>
      <w:r>
        <w:rPr>
          <w:rFonts w:ascii="Arial" w:cs="Arial" w:eastAsia="Arial" w:hAnsi="Arial"/>
          <w:sz w:val="17"/>
          <w:szCs w:val="17"/>
          <w:color w:val="auto"/>
        </w:rPr>
        <w:t>Charges for employment reductions announced at closing relate to former National employees who have been or will be terminated. About 350 jobs have been eliminated as a result of redundancies and cost efficiency measures. As of September 30, 2012, a total of $45 million in charges has been recognized, of which $34 million has been paid. Of the remaining $11 million, $4 million will be paid in the fourth quarter of 2012. At acquisition we incurred $41 million of charges related to change of control provisions under existing employment agreements.</w:t>
      </w:r>
    </w:p>
    <w:p>
      <w:pPr>
        <w:spacing w:after="0" w:line="171" w:lineRule="exact"/>
        <w:rPr>
          <w:sz w:val="20"/>
          <w:szCs w:val="20"/>
          <w:color w:val="auto"/>
        </w:rPr>
      </w:pPr>
    </w:p>
    <w:p>
      <w:pPr>
        <w:ind w:left="332" w:right="300"/>
        <w:spacing w:after="0" w:line="277" w:lineRule="auto"/>
        <w:rPr>
          <w:sz w:val="20"/>
          <w:szCs w:val="20"/>
          <w:color w:val="auto"/>
        </w:rPr>
      </w:pPr>
      <w:r>
        <w:rPr>
          <w:rFonts w:ascii="Arial" w:cs="Arial" w:eastAsia="Arial" w:hAnsi="Arial"/>
          <w:sz w:val="18"/>
          <w:szCs w:val="18"/>
          <w:color w:val="auto"/>
        </w:rPr>
        <w:t>Transaction and other costs include various expenses incurred in connection with the National acquisition. In 2011, we also incurred bridge financing costs.</w:t>
      </w:r>
    </w:p>
    <w:p>
      <w:pPr>
        <w:spacing w:after="0" w:line="166" w:lineRule="exact"/>
        <w:rPr>
          <w:sz w:val="20"/>
          <w:szCs w:val="20"/>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Losses associated with the earthquake in Japan</w:t>
      </w:r>
    </w:p>
    <w:p>
      <w:pPr>
        <w:spacing w:after="0" w:line="27" w:lineRule="exact"/>
        <w:rPr>
          <w:rFonts w:ascii="Arial" w:cs="Arial" w:eastAsia="Arial" w:hAnsi="Arial"/>
          <w:sz w:val="18"/>
          <w:szCs w:val="18"/>
          <w:color w:val="auto"/>
        </w:rPr>
      </w:pPr>
    </w:p>
    <w:p>
      <w:pPr>
        <w:ind w:left="332" w:right="80"/>
        <w:spacing w:after="0" w:line="254" w:lineRule="auto"/>
        <w:rPr>
          <w:rFonts w:ascii="Arial" w:cs="Arial" w:eastAsia="Arial" w:hAnsi="Arial"/>
          <w:sz w:val="18"/>
          <w:szCs w:val="18"/>
          <w:color w:val="auto"/>
        </w:rPr>
      </w:pPr>
      <w:r>
        <w:rPr>
          <w:rFonts w:ascii="Arial" w:cs="Arial" w:eastAsia="Arial" w:hAnsi="Arial"/>
          <w:sz w:val="18"/>
          <w:szCs w:val="18"/>
          <w:color w:val="auto"/>
        </w:rPr>
        <w:t>In 2011, we incurred cumulative gross operating losses of $101 million (including $98 million for the first nine months of 2011) related to the March 11, 2011, earthquake and associated events in Japan. These losses related to property damage, the underutilization expense we incurred from having our manufacturing assets only partially loaded and costs associated with recovery teams assembled from across the world. Gross operating losses do not comprehend any lost revenue.</w:t>
      </w:r>
    </w:p>
    <w:p>
      <w:pPr>
        <w:spacing w:after="0" w:line="189" w:lineRule="exact"/>
        <w:rPr>
          <w:rFonts w:ascii="Arial" w:cs="Arial" w:eastAsia="Arial" w:hAnsi="Arial"/>
          <w:sz w:val="18"/>
          <w:szCs w:val="18"/>
          <w:color w:val="auto"/>
        </w:rPr>
      </w:pPr>
    </w:p>
    <w:p>
      <w:pPr>
        <w:ind w:left="332" w:right="80"/>
        <w:spacing w:after="0" w:line="312" w:lineRule="auto"/>
        <w:rPr>
          <w:rFonts w:ascii="Arial" w:cs="Arial" w:eastAsia="Arial" w:hAnsi="Arial"/>
          <w:sz w:val="18"/>
          <w:szCs w:val="18"/>
          <w:color w:val="auto"/>
        </w:rPr>
      </w:pPr>
      <w:r>
        <w:rPr>
          <w:rFonts w:ascii="Arial" w:cs="Arial" w:eastAsia="Arial" w:hAnsi="Arial"/>
          <w:sz w:val="16"/>
          <w:szCs w:val="16"/>
          <w:color w:val="auto"/>
        </w:rPr>
        <w:t>These losses have been offset by $36 million in cumulative insurance proceeds related to property damage claims (including $10 million for the third quarter of 2012 and $13 million for the third quarter of 2011, with $13 million for the first nine months of 2012 and $20 million for the first nine months of 2011). Almost all of these costs and proceeds are included in COR in our Consolidated statements of income and are recorded in Other.</w:t>
      </w:r>
    </w:p>
    <w:p>
      <w:pPr>
        <w:spacing w:after="0" w:line="39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364" w:right="259" w:bottom="1440" w:gutter="0" w:footer="0" w:header="0"/>
        </w:sectPr>
      </w:pPr>
    </w:p>
    <w:bookmarkStart w:id="9" w:name="page10"/>
    <w:bookmarkEnd w:id="9"/>
    <w:p>
      <w:pPr>
        <w:ind w:left="340" w:right="60"/>
        <w:spacing w:after="0" w:line="286" w:lineRule="auto"/>
        <w:rPr>
          <w:sz w:val="20"/>
          <w:szCs w:val="20"/>
          <w:color w:val="auto"/>
        </w:rPr>
      </w:pPr>
      <w:r>
        <w:rPr>
          <w:rFonts w:ascii="Arial" w:cs="Arial" w:eastAsia="Arial" w:hAnsi="Arial"/>
          <w:sz w:val="17"/>
          <w:szCs w:val="17"/>
          <w:color w:val="auto"/>
        </w:rPr>
        <w:t>In addition, we recognized $172 million in cumulative insurance proceeds through September 30, 2012 (including $60 million for the third quarter of 2012 and $22 million for the third quarter of 2011, with $135 million for the first nine months of 2012 and $22 million for the first nine months of 2011), related to business interruption claims. These proceeds were recorded as revenue in our Consolidated statements of income and in Other.</w:t>
      </w:r>
    </w:p>
    <w:p>
      <w:pPr>
        <w:spacing w:after="0" w:line="166" w:lineRule="exact"/>
        <w:rPr>
          <w:sz w:val="20"/>
          <w:szCs w:val="20"/>
          <w:color w:val="auto"/>
        </w:rPr>
      </w:pPr>
    </w:p>
    <w:p>
      <w:pPr>
        <w:ind w:left="340" w:right="680"/>
        <w:spacing w:after="0" w:line="277" w:lineRule="auto"/>
        <w:rPr>
          <w:sz w:val="20"/>
          <w:szCs w:val="20"/>
          <w:color w:val="auto"/>
        </w:rPr>
      </w:pPr>
      <w:r>
        <w:rPr>
          <w:rFonts w:ascii="Arial" w:cs="Arial" w:eastAsia="Arial" w:hAnsi="Arial"/>
          <w:sz w:val="18"/>
          <w:szCs w:val="18"/>
          <w:color w:val="auto"/>
        </w:rPr>
        <w:t>In the third quarter of 2012, we completed discussions with our insurers and their advisors, settling all associated claims against our policies. All proceeds have been recognized and received as of the end of the third quarter of 2012.</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Restructuring charges/other</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For the periods presented, we recognized a net gain of $122 million of Restructuring charges/other, which is included in Other as follows:</w:t>
      </w:r>
    </w:p>
    <w:p>
      <w:pPr>
        <w:spacing w:after="0" w:line="36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For Nine Months Ended</w:t>
            </w:r>
          </w:p>
        </w:tc>
      </w:tr>
      <w:tr>
        <w:trPr>
          <w:trHeight w:val="234"/>
        </w:trPr>
        <w:tc>
          <w:tcPr>
            <w:tcW w:w="5140" w:type="dxa"/>
            <w:vAlign w:val="bottom"/>
          </w:tcPr>
          <w:p>
            <w:pPr>
              <w:spacing w:after="0"/>
              <w:rPr>
                <w:sz w:val="20"/>
                <w:szCs w:val="20"/>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5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2011</w:t>
            </w:r>
          </w:p>
        </w:tc>
      </w:tr>
      <w:tr>
        <w:trPr>
          <w:trHeight w:val="27"/>
        </w:trPr>
        <w:tc>
          <w:tcPr>
            <w:tcW w:w="5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8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transfer of Japan substitutional pension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Restructuring charges</w:t>
      </w:r>
    </w:p>
    <w:p>
      <w:pPr>
        <w:spacing w:after="0" w:line="23" w:lineRule="exact"/>
        <w:rPr>
          <w:sz w:val="20"/>
          <w:szCs w:val="20"/>
          <w:color w:val="auto"/>
        </w:rPr>
      </w:pPr>
    </w:p>
    <w:p>
      <w:pPr>
        <w:ind w:left="340" w:right="780"/>
        <w:spacing w:after="0" w:line="261" w:lineRule="auto"/>
        <w:rPr>
          <w:sz w:val="20"/>
          <w:szCs w:val="20"/>
          <w:color w:val="auto"/>
        </w:rPr>
      </w:pPr>
      <w:r>
        <w:rPr>
          <w:rFonts w:ascii="Arial" w:cs="Arial" w:eastAsia="Arial" w:hAnsi="Arial"/>
          <w:sz w:val="18"/>
          <w:szCs w:val="18"/>
          <w:color w:val="auto"/>
        </w:rPr>
        <w:t>Restructuring actions related to the acquisition of National are discussed in Note 2 and are reflected in Acquisition charges in our Consolidated statements of income.</w:t>
      </w:r>
    </w:p>
    <w:p>
      <w:pPr>
        <w:spacing w:after="0" w:line="184"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i w:val="1"/>
          <w:iCs w:val="1"/>
          <w:color w:val="auto"/>
        </w:rPr>
        <w:t xml:space="preserve">2011 actions: </w:t>
      </w:r>
      <w:r>
        <w:rPr>
          <w:rFonts w:ascii="Arial" w:cs="Arial" w:eastAsia="Arial" w:hAnsi="Arial"/>
          <w:sz w:val="18"/>
          <w:szCs w:val="18"/>
          <w:color w:val="auto"/>
        </w:rPr>
        <w:t>Beginning in the fourth quarter of 2011, we recognized restructuring charges associated with the announced plans to close two older</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manufacturing facilities in Houston, Texas, and Hiji, Japan, by mid-2013. The total charge for these closures is estimated at $215 million, of which $149 million has been recognized through September 30, 2012. The Restructuring charges of $37 million recognized in the first nine months of 2012 consist of $13 million of accelerated depreciation and $24 million of other exit-related costs; $14 million of restructuring charges was recognized in the third quarter of 2012 consisting of $4 million of accelerated depreciation and $10 million of other exit-related costs. Of the estimated $215 million total charge, about $135 million will be for severance and related benefits, about $30 million will be for accelerated depreciation of facility assets and about $50 million will be for other exit-related costs.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Previous actions: </w:t>
      </w:r>
      <w:r>
        <w:rPr>
          <w:rFonts w:ascii="Arial" w:cs="Arial" w:eastAsia="Arial" w:hAnsi="Arial"/>
          <w:sz w:val="18"/>
          <w:szCs w:val="18"/>
          <w:color w:val="auto"/>
        </w:rPr>
        <w:t>In 2008 and 2009, we announced actions that eliminated about 3,900 jobs. These actions were completed in 2009.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ind w:left="680"/>
              <w:spacing w:after="0"/>
              <w:rPr>
                <w:sz w:val="20"/>
                <w:szCs w:val="20"/>
                <w:color w:val="auto"/>
              </w:rPr>
            </w:pPr>
            <w:r>
              <w:rPr>
                <w:rFonts w:ascii="Arial" w:cs="Arial" w:eastAsia="Arial" w:hAnsi="Arial"/>
                <w:sz w:val="18"/>
                <w:szCs w:val="18"/>
                <w:b w:val="1"/>
                <w:bCs w:val="1"/>
                <w:color w:val="auto"/>
              </w:rPr>
              <w:t>2011 Actions</w:t>
            </w:r>
          </w:p>
        </w:tc>
        <w:tc>
          <w:tcPr>
            <w:tcW w:w="140" w:type="dxa"/>
            <w:vAlign w:val="bottom"/>
          </w:tcPr>
          <w:p>
            <w:pPr>
              <w:spacing w:after="0"/>
              <w:rPr>
                <w:sz w:val="20"/>
                <w:szCs w:val="20"/>
                <w:color w:val="auto"/>
              </w:rPr>
            </w:pPr>
          </w:p>
        </w:tc>
        <w:tc>
          <w:tcPr>
            <w:tcW w:w="2560" w:type="dxa"/>
            <w:vAlign w:val="bottom"/>
            <w:gridSpan w:val="5"/>
          </w:tcPr>
          <w:p>
            <w:pPr>
              <w:ind w:left="520"/>
              <w:spacing w:after="0"/>
              <w:rPr>
                <w:sz w:val="20"/>
                <w:szCs w:val="20"/>
                <w:color w:val="auto"/>
              </w:rPr>
            </w:pPr>
            <w:r>
              <w:rPr>
                <w:rFonts w:ascii="Arial" w:cs="Arial" w:eastAsia="Arial" w:hAnsi="Arial"/>
                <w:sz w:val="18"/>
                <w:szCs w:val="18"/>
                <w:b w:val="1"/>
                <w:bCs w:val="1"/>
                <w:color w:val="auto"/>
              </w:rPr>
              <w:t>Previous Actions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Severance and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Severance and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Benefits</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September 30, 2012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ind w:left="360" w:right="940" w:firstLine="296"/>
        <w:spacing w:after="0" w:line="605" w:lineRule="auto"/>
        <w:tabs>
          <w:tab w:leader="none" w:pos="90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Reflects charges for accelerated depreciation and curtailment/special termination benefits relating to the postretirement benefit plans. The accrual balances above are primarily a component of Accrued expenses and other liabilities on our Consolidated balance sheets.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left="352"/>
        <w:spacing w:after="0"/>
        <w:rPr>
          <w:sz w:val="20"/>
          <w:szCs w:val="20"/>
          <w:color w:val="auto"/>
        </w:rPr>
      </w:pPr>
      <w:r>
        <w:rPr>
          <w:rFonts w:ascii="Arial" w:cs="Arial" w:eastAsia="Arial" w:hAnsi="Arial"/>
          <w:sz w:val="18"/>
          <w:szCs w:val="18"/>
          <w:u w:val="single" w:color="auto"/>
          <w:color w:val="auto"/>
        </w:rPr>
        <w:t>Gain on transfer of Japan substitutional pension</w:t>
      </w:r>
    </w:p>
    <w:p>
      <w:pPr>
        <w:spacing w:after="0" w:line="23" w:lineRule="exact"/>
        <w:rPr>
          <w:sz w:val="20"/>
          <w:szCs w:val="20"/>
          <w:color w:val="auto"/>
        </w:rPr>
      </w:pPr>
    </w:p>
    <w:p>
      <w:pPr>
        <w:ind w:left="352" w:right="220"/>
        <w:spacing w:after="0" w:line="261" w:lineRule="auto"/>
        <w:rPr>
          <w:sz w:val="20"/>
          <w:szCs w:val="20"/>
          <w:color w:val="auto"/>
        </w:rPr>
      </w:pPr>
      <w:r>
        <w:rPr>
          <w:rFonts w:ascii="Arial" w:cs="Arial" w:eastAsia="Arial" w:hAnsi="Arial"/>
          <w:sz w:val="18"/>
          <w:szCs w:val="18"/>
          <w:color w:val="auto"/>
        </w:rPr>
        <w:t>During the third quarter of 2012, we transferred the obligations and assets of the substitutional portion of our Japan pension plan to the government of Japan, resulting in a net gain of $144 million. See Note 8 for additional details.</w:t>
      </w:r>
    </w:p>
    <w:p>
      <w:pPr>
        <w:spacing w:after="0" w:line="180" w:lineRule="exact"/>
        <w:rPr>
          <w:sz w:val="20"/>
          <w:szCs w:val="20"/>
          <w:color w:val="auto"/>
        </w:rPr>
      </w:pPr>
    </w:p>
    <w:p>
      <w:pPr>
        <w:ind w:left="332" w:hanging="332"/>
        <w:spacing w:after="0"/>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color w:val="auto"/>
        </w:rPr>
      </w:pPr>
    </w:p>
    <w:p>
      <w:pPr>
        <w:ind w:left="332"/>
        <w:spacing w:after="0" w:line="268" w:lineRule="auto"/>
        <w:rPr>
          <w:rFonts w:ascii="Arial" w:cs="Arial" w:eastAsia="Arial" w:hAnsi="Arial"/>
          <w:sz w:val="18"/>
          <w:szCs w:val="18"/>
          <w:color w:val="auto"/>
        </w:rPr>
      </w:pPr>
      <w:r>
        <w:rPr>
          <w:rFonts w:ascii="Arial" w:cs="Arial" w:eastAsia="Arial" w:hAnsi="Arial"/>
          <w:sz w:val="17"/>
          <w:szCs w:val="17"/>
          <w:color w:val="auto"/>
        </w:rPr>
        <w:t>Federal income taxes for the interim periods presented have been included in the accompanying financial statements on the basis of an estimated annual effective tax rate. The rate is based on current tax law and for 2012 does not assume reinstatement of the federal research tax credit, which expired at the end of 2011. As of September 30, 2012, the estimated annual effective tax rate for 2012 is about 22 percent, which differs from the 35 percent statutory corporate tax rate due to the impact of non-U.S. effective tax rates. The third-quarter 2012 tax provision includes a $90 million discrete tax benefit that was primarily the result of additional U.S. tax benefits for manufacturing related to years 2007 through 2011, and a $67 million benefit from the cumulative effect of our lowering the estimated effective tax rate for 2012. The lower tax rate estimate was primarily due to a revised estimate of the impact of non-U.S. effective tax rates. With respect to the benefits for manufacturing, we may seek additional deductions for years prior to 2007 and, as a result, may recognize an additional discrete item in the fourth quarter.</w:t>
      </w:r>
    </w:p>
    <w:p>
      <w:pPr>
        <w:spacing w:after="0" w:line="180" w:lineRule="exact"/>
        <w:rPr>
          <w:rFonts w:ascii="Arial" w:cs="Arial" w:eastAsia="Arial" w:hAnsi="Arial"/>
          <w:sz w:val="18"/>
          <w:szCs w:val="18"/>
          <w:color w:val="auto"/>
        </w:rPr>
      </w:pPr>
    </w:p>
    <w:p>
      <w:pPr>
        <w:ind w:left="332" w:right="6240" w:hanging="332"/>
        <w:spacing w:after="0" w:line="261"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32"/>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33" w:lineRule="exact"/>
        <w:rPr>
          <w:rFonts w:ascii="Arial" w:cs="Arial" w:eastAsia="Arial" w:hAnsi="Arial"/>
          <w:sz w:val="18"/>
          <w:szCs w:val="18"/>
          <w:color w:val="auto"/>
        </w:rPr>
      </w:pPr>
    </w:p>
    <w:p>
      <w:pPr>
        <w:ind w:left="332" w:right="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the fair-value discussion below. Unrealized gains and losses on available-for-sale securities are recorded as an increase or decrease, net of taxes, in AOCI on our Consolidated balance sheets. We record other-than-temporary losses (impairments) on available-for-sale securities in OI&amp;E in our Consolidated statements of income.</w:t>
      </w:r>
    </w:p>
    <w:p>
      <w:pPr>
        <w:spacing w:after="0" w:line="187" w:lineRule="exact"/>
        <w:rPr>
          <w:sz w:val="20"/>
          <w:szCs w:val="20"/>
          <w:color w:val="auto"/>
        </w:rPr>
      </w:pPr>
    </w:p>
    <w:p>
      <w:pPr>
        <w:ind w:left="332" w:right="40"/>
        <w:spacing w:after="0" w:line="286" w:lineRule="auto"/>
        <w:rPr>
          <w:sz w:val="20"/>
          <w:szCs w:val="20"/>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left="352" w:right="1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584" w:right="27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Equivalents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At September 30, 2012, we had no available-for-sale investments with unrealized losses. We did not recognize any credit losses related to available-for-sale investments for the nine months ended September 30, 2012 and 2011.</w:t>
      </w:r>
    </w:p>
    <w:p>
      <w:pPr>
        <w:spacing w:after="0" w:line="170"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During the third quarter of 2012, we sold all of our remaining investments in auction-rate securities. For the nine months ended September 30, 2012 and 2011, the proceeds from sales, redemptions and maturities of short-term available-for-sale investments were $1.64 billion and $3.25 billion, respectively. Gross realized gains and losses from these sales were not significant.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aggregate maturities of investments in money market funds and debt securities classified as available for sale at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2012:</w:t>
      </w:r>
    </w:p>
    <w:p>
      <w:pPr>
        <w:spacing w:after="0" w:line="36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2,758</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Greater than three years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8" w:right="239" w:bottom="1440" w:gutter="0" w:footer="0" w:header="0"/>
          <w:type w:val="continuous"/>
        </w:sectPr>
      </w:pPr>
    </w:p>
    <w:bookmarkStart w:id="12" w:name="page13"/>
    <w:bookmarkEnd w:id="12"/>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ind w:left="340" w:right="240"/>
        <w:spacing w:after="0" w:line="293" w:lineRule="auto"/>
        <w:rPr>
          <w:sz w:val="20"/>
          <w:szCs w:val="20"/>
          <w:color w:val="auto"/>
        </w:rPr>
      </w:pPr>
      <w:r>
        <w:rPr>
          <w:rFonts w:ascii="Arial" w:cs="Arial" w:eastAsia="Arial" w:hAnsi="Arial"/>
          <w:sz w:val="16"/>
          <w:szCs w:val="16"/>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securities. We utilize a third-party data service to provide Level 2 valuations, verifying these valuations for reasonableness relative to unadjusted quotes obtained from brokers or dealers based on observable prices for similar assets in active markets.</w:t>
      </w:r>
    </w:p>
    <w:p>
      <w:pPr>
        <w:spacing w:after="0" w:line="165" w:lineRule="exact"/>
        <w:rPr>
          <w:sz w:val="20"/>
          <w:szCs w:val="20"/>
          <w:color w:val="auto"/>
        </w:rPr>
      </w:pPr>
    </w:p>
    <w:p>
      <w:pPr>
        <w:ind w:left="340" w:right="28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our assets and liabilities that were accounted for at fair value on a recurring basis as of September 30, 2012, and December 31,</w:t>
      </w:r>
    </w:p>
    <w:p>
      <w:pPr>
        <w:spacing w:after="0" w:line="35"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2011. These tables do not include cash on hand, assets held by our postretirement plans, or assets and liabilities that are measured at historical cost or any basis other than fair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w:t>
            </w:r>
          </w:p>
        </w:tc>
        <w:tc>
          <w:tcPr>
            <w:tcW w:w="30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w:t>
            </w:r>
          </w:p>
        </w:tc>
        <w:tc>
          <w:tcPr>
            <w:tcW w:w="300" w:type="dxa"/>
            <w:vAlign w:val="bottom"/>
          </w:tcPr>
          <w:p>
            <w:pPr>
              <w:spacing w:after="0"/>
              <w:rPr>
                <w:sz w:val="21"/>
                <w:szCs w:val="21"/>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79"/>
              </w:rPr>
              <w:t>3</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2,917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3,556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1,281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2,275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5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w:t>
            </w:r>
          </w:p>
        </w:tc>
        <w:tc>
          <w:tcPr>
            <w:tcW w:w="30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w:t>
            </w:r>
          </w:p>
        </w:tc>
        <w:tc>
          <w:tcPr>
            <w:tcW w:w="300" w:type="dxa"/>
            <w:vAlign w:val="bottom"/>
          </w:tcPr>
          <w:p>
            <w:pPr>
              <w:spacing w:after="0"/>
              <w:rPr>
                <w:sz w:val="21"/>
                <w:szCs w:val="21"/>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2011</w:t>
            </w:r>
          </w:p>
        </w:tc>
        <w:tc>
          <w:tcPr>
            <w:tcW w:w="280" w:type="dxa"/>
            <w:vAlign w:val="bottom"/>
          </w:tcPr>
          <w:p>
            <w:pPr>
              <w:spacing w:after="0"/>
              <w:rPr>
                <w:sz w:val="20"/>
                <w:szCs w:val="20"/>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79"/>
              </w:rPr>
              <w:t>3</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Auction-rate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7"/>
          <w:szCs w:val="17"/>
          <w:color w:val="auto"/>
        </w:rPr>
        <w:t>The following table summarizes the changes in fair values for Level 3 assets and liabilities for the periods ended September 30, 2012 and 2011:</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15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76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Auction-rate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Securities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Consideration</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2010</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4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 and sales</w:t>
            </w:r>
          </w:p>
        </w:tc>
        <w:tc>
          <w:tcPr>
            <w:tcW w:w="1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September 30, 2011</w:t>
            </w:r>
          </w:p>
        </w:tc>
        <w:tc>
          <w:tcPr>
            <w:tcW w:w="1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66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Redemptions and sales</w:t>
            </w:r>
          </w:p>
        </w:tc>
        <w:tc>
          <w:tcPr>
            <w:tcW w:w="1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Balance, December 31, 2011</w:t>
            </w:r>
          </w:p>
        </w:tc>
        <w:tc>
          <w:tcPr>
            <w:tcW w:w="14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1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14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1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Sales</w:t>
            </w:r>
          </w:p>
        </w:tc>
        <w:tc>
          <w:tcPr>
            <w:tcW w:w="14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September 30, 2012</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7" w:lineRule="exact"/>
        <w:rPr>
          <w:rFonts w:ascii="Arial" w:cs="Arial" w:eastAsia="Arial" w:hAnsi="Arial"/>
          <w:sz w:val="18"/>
          <w:szCs w:val="18"/>
          <w:color w:val="auto"/>
        </w:rPr>
      </w:pPr>
    </w:p>
    <w:p>
      <w:pPr>
        <w:jc w:val="both"/>
        <w:ind w:left="340" w:right="340"/>
        <w:spacing w:after="0" w:line="255" w:lineRule="auto"/>
        <w:rPr>
          <w:rFonts w:ascii="Arial" w:cs="Arial" w:eastAsia="Arial" w:hAnsi="Arial"/>
          <w:sz w:val="18"/>
          <w:szCs w:val="18"/>
          <w:color w:val="auto"/>
        </w:rPr>
      </w:pPr>
      <w:r>
        <w:rPr>
          <w:rFonts w:ascii="Arial" w:cs="Arial" w:eastAsia="Arial" w:hAnsi="Arial"/>
          <w:sz w:val="18"/>
          <w:szCs w:val="18"/>
          <w:color w:val="auto"/>
        </w:rPr>
        <w:t>Goodwill was $4.452 billion as of September 30, 2012, and December 31, 2011. There was no impairment of goodwill during the nine months ended September 30, 2012. The following table shows the components of acquisition-related intangible assets as of September 30, 2012, and December 31, 2011: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gridSpan w:val="5"/>
          </w:tcPr>
          <w:p>
            <w:pPr>
              <w:ind w:left="40"/>
              <w:spacing w:after="0"/>
              <w:rPr>
                <w:sz w:val="20"/>
                <w:szCs w:val="20"/>
                <w:color w:val="auto"/>
              </w:rPr>
            </w:pPr>
            <w:r>
              <w:rPr>
                <w:rFonts w:ascii="Arial" w:cs="Arial" w:eastAsia="Arial" w:hAnsi="Arial"/>
                <w:sz w:val="18"/>
                <w:szCs w:val="18"/>
                <w:b w:val="1"/>
                <w:bCs w:val="1"/>
                <w:color w:val="auto"/>
              </w:rPr>
              <w:t>September 30, 2012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Acquisition-related Intangibles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4 - 10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2,141</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2 - 7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In-process R&amp;D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200" w:hanging="8"/>
        <w:spacing w:after="0" w:line="277" w:lineRule="auto"/>
        <w:tabs>
          <w:tab w:leader="none" w:pos="5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at which point it becomes Developed technology. Alternatively, if the associated project is determined not to be viable, it will be expensed.</w:t>
      </w:r>
    </w:p>
    <w:p>
      <w:pPr>
        <w:spacing w:after="0" w:line="170"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Amortization of acquisition-related intangibles was $86 million and $257 million for the three- and nine-month periods ended September 30, 2012, respectively, and $12 million and $26 million for the three- and nine-month periods ended September 30, 2011, respectively. Amortization expenses related to the National acquisition were $81 million and $244 million for the three- and nine-month periods ended September 30, 2012, respectively, and $6 million for both the three- and nine-month periods ended September 30, 2011.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4" w:name="page15"/>
    <w:bookmarkEnd w:id="14"/>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U.S.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September 30,</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 charges (credits)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including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47"/>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U.S.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Nine Months Ended September 30,</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4"/>
        </w:trPr>
        <w:tc>
          <w:tcPr>
            <w:tcW w:w="40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Curtailment charges (credits)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charges (credits)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Special termination benefit charges (credits)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including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Transfer of Japan substitutional pension</w:t>
      </w:r>
    </w:p>
    <w:p>
      <w:pPr>
        <w:spacing w:after="0" w:line="23" w:lineRule="exact"/>
        <w:rPr>
          <w:sz w:val="20"/>
          <w:szCs w:val="20"/>
          <w:color w:val="auto"/>
        </w:rPr>
      </w:pPr>
    </w:p>
    <w:p>
      <w:pPr>
        <w:jc w:val="both"/>
        <w:ind w:left="340" w:right="160"/>
        <w:spacing w:after="0" w:line="254" w:lineRule="auto"/>
        <w:rPr>
          <w:sz w:val="20"/>
          <w:szCs w:val="20"/>
          <w:color w:val="auto"/>
        </w:rPr>
      </w:pPr>
      <w:r>
        <w:rPr>
          <w:rFonts w:ascii="Arial" w:cs="Arial" w:eastAsia="Arial" w:hAnsi="Arial"/>
          <w:sz w:val="18"/>
          <w:szCs w:val="18"/>
          <w:color w:val="auto"/>
        </w:rPr>
        <w:t>In Japan, we maintain employee pension fund plans (EPFs) pursuant to the Japanese Welfare Pension Insurance Law (JWPIL). An EPF consists of two portions: a substitutional portion based on JWPIL-determined minimum old-age pension benefits similar to social security benefits in the United States; and a corporate portion established at the discretion of each employer. Employers and employees are exempt from contributing to the Japanese Pension Insurance (JPI) if the substitutional portion is funded by an EPF.</w:t>
      </w:r>
    </w:p>
    <w:p>
      <w:pPr>
        <w:spacing w:after="0" w:line="190"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The JWPIL was amended to permit each EPF to separate the substitutional portion and transfer those obligations and related assets to the government of Japan. After such a transfer, the employer is required to contribute periodically to JPI, and the government of Japan is responsible for future benefit payments relating to the substitutional portion.</w:t>
      </w:r>
    </w:p>
    <w:p>
      <w:pPr>
        <w:spacing w:after="0" w:line="181" w:lineRule="exact"/>
        <w:rPr>
          <w:sz w:val="20"/>
          <w:szCs w:val="20"/>
          <w:color w:val="auto"/>
        </w:rPr>
      </w:pPr>
    </w:p>
    <w:p>
      <w:pPr>
        <w:ind w:left="340" w:right="60"/>
        <w:spacing w:after="0" w:line="297" w:lineRule="auto"/>
        <w:rPr>
          <w:sz w:val="20"/>
          <w:szCs w:val="20"/>
          <w:color w:val="auto"/>
        </w:rPr>
      </w:pPr>
      <w:r>
        <w:rPr>
          <w:rFonts w:ascii="Arial" w:cs="Arial" w:eastAsia="Arial" w:hAnsi="Arial"/>
          <w:sz w:val="16"/>
          <w:szCs w:val="16"/>
          <w:color w:val="auto"/>
        </w:rPr>
        <w:t>During the third quarter of 2012, our EPF received final approval for such a separation and transferred the obligations and assets of its substitutional portion to the government of Japan. On a pre-tax basis, this resulted in a net gain of $144 million recorded in Restructuring charges/other on our Consolidated statements of income and included in Other. This net gain of $144 million consisted of two parts - a gain of $339 million, representing the difference between the fair values of the obligations settled ($537 million) and the assets transferred to the government of Japan ($198 million), offset by a settlement loss of $195 million related to the recognition of previously unrecognized actuarial losses included in AOCI.</w:t>
      </w:r>
    </w:p>
    <w:p>
      <w:pPr>
        <w:spacing w:after="0" w:line="154" w:lineRule="exact"/>
        <w:rPr>
          <w:sz w:val="20"/>
          <w:szCs w:val="20"/>
          <w:color w:val="auto"/>
        </w:rPr>
      </w:pPr>
    </w:p>
    <w:p>
      <w:pPr>
        <w:ind w:left="340" w:right="9300" w:hanging="332"/>
        <w:spacing w:after="0" w:line="29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color w:val="auto"/>
        </w:rPr>
      </w:pPr>
    </w:p>
    <w:p>
      <w:pPr>
        <w:ind w:left="340" w:right="80"/>
        <w:spacing w:after="0" w:line="273" w:lineRule="auto"/>
        <w:rPr>
          <w:rFonts w:ascii="Arial" w:cs="Arial" w:eastAsia="Arial" w:hAnsi="Arial"/>
          <w:sz w:val="16"/>
          <w:szCs w:val="16"/>
          <w:color w:val="auto"/>
        </w:rPr>
      </w:pPr>
      <w:r>
        <w:rPr>
          <w:rFonts w:ascii="Arial" w:cs="Arial" w:eastAsia="Arial" w:hAnsi="Arial"/>
          <w:sz w:val="17"/>
          <w:szCs w:val="17"/>
          <w:color w:val="auto"/>
        </w:rPr>
        <w:t>We maintain a line of credit to support commercial paper borrowings and to provide additional liquidity through bank loans. In March 2012, we replaced our existing lines of credit with a new five-year variable-rate revolving credit facility that allows us to borrow up to $2 billion through March 2017. This variable-rate credit facility is indexed to the London Interbank Offered Rate (LIBOR). As of September 30, 2012, we have no commercial paper outstanding, having repaid $500 million in the third quarter of 2012 and $1 billion on a cumulative basis in 2012.</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15" w:name="page16"/>
    <w:bookmarkEnd w:id="15"/>
    <w:p>
      <w:pPr>
        <w:ind w:left="332"/>
        <w:spacing w:after="0"/>
        <w:rPr>
          <w:sz w:val="20"/>
          <w:szCs w:val="20"/>
          <w:color w:val="auto"/>
        </w:rPr>
      </w:pPr>
      <w:r>
        <w:rPr>
          <w:rFonts w:ascii="Arial" w:cs="Arial" w:eastAsia="Arial" w:hAnsi="Arial"/>
          <w:sz w:val="18"/>
          <w:szCs w:val="18"/>
          <w:u w:val="single" w:color="auto"/>
          <w:color w:val="auto"/>
        </w:rPr>
        <w:t>Long-term debt</w:t>
      </w:r>
    </w:p>
    <w:p>
      <w:pPr>
        <w:spacing w:after="0" w:line="23" w:lineRule="exact"/>
        <w:rPr>
          <w:sz w:val="20"/>
          <w:szCs w:val="20"/>
          <w:color w:val="auto"/>
        </w:rPr>
      </w:pPr>
    </w:p>
    <w:p>
      <w:pPr>
        <w:ind w:left="332" w:right="120"/>
        <w:spacing w:after="0" w:line="254" w:lineRule="auto"/>
        <w:rPr>
          <w:sz w:val="20"/>
          <w:szCs w:val="20"/>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costs which are included in Other assets and are being amortized to Interest and debt expense over the term of the debt. The proceeds are for general corporate purposes, which include, among other things, the repurchases of common stock.</w:t>
      </w:r>
    </w:p>
    <w:p>
      <w:pPr>
        <w:spacing w:after="0" w:line="190" w:lineRule="exact"/>
        <w:rPr>
          <w:sz w:val="20"/>
          <w:szCs w:val="20"/>
          <w:color w:val="auto"/>
        </w:rPr>
      </w:pPr>
    </w:p>
    <w:p>
      <w:pPr>
        <w:jc w:val="both"/>
        <w:ind w:left="332" w:right="140"/>
        <w:spacing w:after="0" w:line="264" w:lineRule="auto"/>
        <w:rPr>
          <w:sz w:val="20"/>
          <w:szCs w:val="20"/>
          <w:color w:val="auto"/>
        </w:rPr>
      </w:pPr>
      <w:r>
        <w:rPr>
          <w:rFonts w:ascii="Arial" w:cs="Arial" w:eastAsia="Arial" w:hAnsi="Arial"/>
          <w:sz w:val="18"/>
          <w:szCs w:val="18"/>
          <w:color w:val="auto"/>
        </w:rPr>
        <w:t>In May 2011, we issued fixed- and floating-rate long-term debt to help fund the National acquisition. The proceeds of the offering were $3.497 billion, net of the original issuance discount. We also incurred $12 million of issuance costs that are included in Other assets and are being amortized to Interest and debt expense over the term of the debt.</w:t>
      </w:r>
    </w:p>
    <w:p>
      <w:pPr>
        <w:spacing w:after="0" w:line="181" w:lineRule="exact"/>
        <w:rPr>
          <w:sz w:val="20"/>
          <w:szCs w:val="20"/>
          <w:color w:val="auto"/>
        </w:rPr>
      </w:pPr>
    </w:p>
    <w:p>
      <w:pPr>
        <w:ind w:left="332"/>
        <w:spacing w:after="0" w:line="297" w:lineRule="auto"/>
        <w:rPr>
          <w:sz w:val="20"/>
          <w:szCs w:val="20"/>
          <w:color w:val="auto"/>
        </w:rPr>
      </w:pPr>
      <w:r>
        <w:rPr>
          <w:rFonts w:ascii="Arial" w:cs="Arial" w:eastAsia="Arial" w:hAnsi="Arial"/>
          <w:sz w:val="16"/>
          <w:szCs w:val="16"/>
          <w:color w:val="auto"/>
        </w:rPr>
        <w:t>We also have an interest rate swap agreement related to the $1 billion floating-rate debt due 2013. Under this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As of September 30, 2012, the fair value of the swap agreement is a $2 million liability. The net effect of this swap is to convert the $1 billion floating-rate debt to a fixed-rate obligation bearing a rate of 0.922 percent.</w:t>
      </w:r>
    </w:p>
    <w:p>
      <w:pPr>
        <w:spacing w:after="0" w:line="158" w:lineRule="exact"/>
        <w:rPr>
          <w:sz w:val="20"/>
          <w:szCs w:val="20"/>
          <w:color w:val="auto"/>
        </w:rPr>
      </w:pPr>
    </w:p>
    <w:p>
      <w:pPr>
        <w:ind w:left="332"/>
        <w:spacing w:after="0" w:line="264" w:lineRule="auto"/>
        <w:rPr>
          <w:sz w:val="20"/>
          <w:szCs w:val="20"/>
          <w:color w:val="auto"/>
        </w:rPr>
      </w:pPr>
      <w:r>
        <w:rPr>
          <w:rFonts w:ascii="Arial" w:cs="Arial" w:eastAsia="Arial" w:hAnsi="Arial"/>
          <w:sz w:val="18"/>
          <w:szCs w:val="18"/>
          <w:color w:val="auto"/>
        </w:rPr>
        <w:t>At the acquisition date, we assumed $1 billion of outstanding National debt with a fair value of $1.105 billion. The excess of the fair value over the stated value is being amortized as a reduction of Interest and debt expense over the term of the related debt. In the first nine months of 2012, we repaid $375 million of this debt.</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following table summarizes the total long-term debt outstanding as of September 30, 2012 and December 31, 2011:</w:t>
      </w:r>
    </w:p>
    <w:p>
      <w:pPr>
        <w:spacing w:after="0" w:line="397"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December 31, 2011</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2012 at 6.15% (assumed with National acquisition)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Floating-rate notes due 2013 (swapped to a 0.922% fixed rate)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2013 at 0.875%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2014 at 1.375%</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2015 at 3.95% (assumed with National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2015 at 0.45%</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2016 at 2.375%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2017 at 6.60% (assumed with National acquisition)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2019 at 1.65%</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5,625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Plus net unamortized premium</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4,190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32" w:right="180"/>
        <w:spacing w:after="0" w:line="264" w:lineRule="auto"/>
        <w:rPr>
          <w:sz w:val="20"/>
          <w:szCs w:val="20"/>
          <w:color w:val="auto"/>
        </w:rPr>
      </w:pPr>
      <w:r>
        <w:rPr>
          <w:rFonts w:ascii="Arial" w:cs="Arial" w:eastAsia="Arial" w:hAnsi="Arial"/>
          <w:sz w:val="18"/>
          <w:szCs w:val="18"/>
          <w:color w:val="auto"/>
        </w:rPr>
        <w:t>Interest incurred on debt and amortization of debt expense was $21 million and $62 million for the three- and nine-month periods ended September 30, 2012, respectively, and $15 million and $21 million for the three- and nine-month periods ended September 30, 2011, respectively. Capitalized interest was not material.</w:t>
      </w:r>
    </w:p>
    <w:p>
      <w:pPr>
        <w:spacing w:after="0" w:line="204" w:lineRule="exact"/>
        <w:rPr>
          <w:sz w:val="20"/>
          <w:szCs w:val="20"/>
          <w:color w:val="auto"/>
        </w:rPr>
      </w:pPr>
    </w:p>
    <w:p>
      <w:pPr>
        <w:ind w:left="332" w:right="9100" w:hanging="332"/>
        <w:spacing w:after="0" w:line="293" w:lineRule="auto"/>
        <w:tabs>
          <w:tab w:leader="none" w:pos="33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spacing w:after="0" w:line="1" w:lineRule="exact"/>
        <w:rPr>
          <w:rFonts w:ascii="Arial" w:cs="Arial" w:eastAsia="Arial" w:hAnsi="Arial"/>
          <w:sz w:val="16"/>
          <w:szCs w:val="16"/>
          <w:color w:val="auto"/>
        </w:rPr>
      </w:pPr>
    </w:p>
    <w:p>
      <w:pPr>
        <w:ind w:left="332" w:right="80"/>
        <w:spacing w:after="0" w:line="323"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8"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Warranty costs/product liabilities</w:t>
      </w:r>
    </w:p>
    <w:p>
      <w:pPr>
        <w:spacing w:after="0" w:line="23" w:lineRule="exact"/>
        <w:rPr>
          <w:rFonts w:ascii="Arial" w:cs="Arial" w:eastAsia="Arial" w:hAnsi="Arial"/>
          <w:sz w:val="16"/>
          <w:szCs w:val="16"/>
          <w:color w:val="auto"/>
        </w:rPr>
      </w:pPr>
    </w:p>
    <w:p>
      <w:pPr>
        <w:jc w:val="both"/>
        <w:ind w:left="332" w:right="440"/>
        <w:spacing w:after="0" w:line="255" w:lineRule="auto"/>
        <w:rPr>
          <w:rFonts w:ascii="Arial" w:cs="Arial" w:eastAsia="Arial" w:hAnsi="Arial"/>
          <w:sz w:val="16"/>
          <w:szCs w:val="16"/>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w:t>
      </w: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368" w:right="259" w:bottom="1440" w:gutter="0" w:footer="0" w:header="0"/>
        </w:sectPr>
      </w:pPr>
    </w:p>
    <w:bookmarkStart w:id="16" w:name="page17"/>
    <w:bookmarkEnd w:id="16"/>
    <w:p>
      <w:pPr>
        <w:ind w:right="40"/>
        <w:spacing w:after="0" w:line="279" w:lineRule="auto"/>
        <w:rPr>
          <w:sz w:val="20"/>
          <w:szCs w:val="20"/>
          <w:color w:val="auto"/>
        </w:rPr>
      </w:pPr>
      <w:r>
        <w:rPr>
          <w:rFonts w:ascii="Arial" w:cs="Arial" w:eastAsia="Arial" w:hAnsi="Arial"/>
          <w:sz w:val="17"/>
          <w:szCs w:val="17"/>
          <w:color w:val="auto"/>
        </w:rPr>
        <w:t>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September 30, 2012, we believe future payments related to these indemnity obligations will not have a material effect on our financial condition, results of operations or liquidity.</w:t>
      </w:r>
    </w:p>
    <w:p>
      <w:pPr>
        <w:spacing w:after="0" w:line="200" w:lineRule="exact"/>
        <w:rPr>
          <w:sz w:val="20"/>
          <w:szCs w:val="20"/>
          <w:color w:val="auto"/>
        </w:rPr>
      </w:pPr>
    </w:p>
    <w:p>
      <w:pPr>
        <w:spacing w:after="0" w:line="23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580" w:top="368"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Segment data</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5620" w:type="dxa"/>
            <w:vAlign w:val="bottom"/>
          </w:tcPr>
          <w:p>
            <w:pPr>
              <w:spacing w:after="0"/>
              <w:rPr>
                <w:sz w:val="24"/>
                <w:szCs w:val="24"/>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24"/>
                <w:szCs w:val="24"/>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702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3,390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10,315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620" w:type="dxa"/>
            <w:vAlign w:val="bottom"/>
          </w:tcPr>
          <w:p>
            <w:pPr>
              <w:spacing w:after="0"/>
              <w:rPr>
                <w:sz w:val="24"/>
                <w:szCs w:val="24"/>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24"/>
                <w:szCs w:val="24"/>
                <w:color w:val="auto"/>
              </w:rPr>
            </w:pPr>
          </w:p>
        </w:tc>
        <w:tc>
          <w:tcPr>
            <w:tcW w:w="25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 (Loss)</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370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Profit</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We use centralized manufacturing and facilities organizations to provide products and support to our operating segments. Costs incurred by these organizations, including depreciation, are charged out to the segments on a per-unit basis. Consequently, depreciation expense is not an independently identifiable component within the segments’ results, and therefore is not provided.</w:t>
      </w:r>
    </w:p>
    <w:p>
      <w:pPr>
        <w:spacing w:after="0" w:line="17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Dividends</w:t>
      </w:r>
    </w:p>
    <w:p>
      <w:pPr>
        <w:spacing w:after="0" w:line="27" w:lineRule="exact"/>
        <w:rPr>
          <w:rFonts w:ascii="Arial" w:cs="Arial" w:eastAsia="Arial" w:hAnsi="Arial"/>
          <w:sz w:val="18"/>
          <w:szCs w:val="18"/>
          <w:color w:val="auto"/>
        </w:rPr>
      </w:pPr>
    </w:p>
    <w:p>
      <w:pPr>
        <w:ind w:left="340" w:right="440"/>
        <w:spacing w:after="0" w:line="261" w:lineRule="auto"/>
        <w:rPr>
          <w:rFonts w:ascii="Arial" w:cs="Arial" w:eastAsia="Arial" w:hAnsi="Arial"/>
          <w:sz w:val="18"/>
          <w:szCs w:val="18"/>
          <w:color w:val="auto"/>
        </w:rPr>
      </w:pPr>
      <w:r>
        <w:rPr>
          <w:rFonts w:ascii="Arial" w:cs="Arial" w:eastAsia="Arial" w:hAnsi="Arial"/>
          <w:sz w:val="18"/>
          <w:szCs w:val="18"/>
          <w:color w:val="auto"/>
        </w:rPr>
        <w:t>In September 2012, we announced a 24 percent increase in our quarterly cash dividend rate. The new quarterly dividend will increase from $0.17 to $0.21 per share. The new dividend will be payable November 19, 2012, to stockholders of record on October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were the world's fourth largest semiconductor company in 2011 as measured by revenue, according to industry data from an external source. Additionally, we sell calculators and related products.</w:t>
      </w:r>
    </w:p>
    <w:p>
      <w:pPr>
        <w:spacing w:after="0" w:line="170"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On September 23, 2011, we completed the acquisition of National Semiconductor Corporation (National). The acquisition has brought to TI a portfolio of thousands of analog products, strong customer design tools and additional manufacturing capacity, and is consistent with our strategy to grow our Analog business. The results of National's operations from the acquisition date are included in our Analog segment under the name Silicon Valley Analog.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spacing w:after="0" w:line="349"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80,000 in number,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 In 2011, we sold over 20 billion units of our products.</w:t>
      </w:r>
    </w:p>
    <w:p>
      <w:pPr>
        <w:spacing w:after="0" w:line="13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sell custom and catalog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Catalog products are designed for use by many customers and/or many applications and are generally sold through both distribution and direct channels. They include both proprietary and commodity products. The life cycles of catalog products are generally longer than for custom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90,000 customers generated about 47 percent of our revenue in 2011. According to external sources, the worldwide market for analog semiconductors was about $42 billion in 2011. Our Analog segment's revenue in 2011 was about $6.5 billion, or about 15 percent of this fragmented market, the leading position. We believe that we are well positioned to increase our market share over time.</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HVAL products: These include both high-volume analog products and logic and standard linear products. High-volume analog includes products for specific applications, including custom products. The life cycles of our high-volume analog products are generally shorter than most of our other Analog product lines.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9" w:name="page20"/>
    <w:bookmarkEnd w:id="19"/>
    <w:p>
      <w:pPr>
        <w:ind w:right="160"/>
        <w:spacing w:after="0" w:line="259" w:lineRule="auto"/>
        <w:rPr>
          <w:sz w:val="20"/>
          <w:szCs w:val="20"/>
          <w:color w:val="auto"/>
        </w:rPr>
      </w:pPr>
      <w:r>
        <w:rPr>
          <w:rFonts w:ascii="Arial" w:cs="Arial" w:eastAsia="Arial" w:hAnsi="Arial"/>
          <w:sz w:val="18"/>
          <w:szCs w:val="18"/>
          <w:color w:val="auto"/>
        </w:rPr>
        <w:t>Power products: These include both catalog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HPA products: These include catalog analog semiconductors,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SVA products: These include catalog analog products, particularly in the areas of power management, data converters, interface and operational amplifiers, nearly all of which are complementary to our other Analog products. This portfolio of thousands of products is marketed to many different customers who use them in manufacturing a wide range of products sold in many end markets. Many SVA products have long life cycles, often more than 10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2011. According to external sources, the worldwide market for embedded processors was about $18 billion in 2011. Our Embedded Processing segment's revenue in 2011 was about $2.0 billion, or about 12 percent of this fragmented market. We believe we are well positioned to increase our market share over time.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catalog Embedded Processing products used in many different applications and custom Embedded Processing products used in specific applications, such as communications infrastructure equipment and automotive.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2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Growth in the wireless market is being driven by the demand for smartphones, tablet computers and other emerging applications. Many of today's smartphones and tablets use an applications processor to run the device's software operating system and to enable the expanding functionality that has made smartphones and tablets the fastest growing wireless market segments. Many wireless devices also use other semiconductors to enable wireless connectivity using technologies such as Bluetooth</w:t>
      </w:r>
      <w:r>
        <w:rPr>
          <w:rFonts w:ascii="Arial" w:cs="Arial" w:eastAsia="Arial" w:hAnsi="Arial"/>
          <w:sz w:val="24"/>
          <w:szCs w:val="24"/>
          <w:color w:val="auto"/>
          <w:vertAlign w:val="superscript"/>
        </w:rPr>
        <w:t>®</w:t>
      </w:r>
      <w:r>
        <w:rPr>
          <w:rFonts w:ascii="Arial" w:cs="Arial" w:eastAsia="Arial" w:hAnsi="Arial"/>
          <w:sz w:val="17"/>
          <w:szCs w:val="17"/>
          <w:color w:val="auto"/>
        </w:rPr>
        <w:t>, WiFi networks, GPS and Near Field Communications.</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Our Wireless portfolio includes both catalog products and custom products. Sales of Wireless products generated about $2.5 billion, or about 18 percent of our revenue, in 2011, with a majority of those sales to a single customer.</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Wireless investments are concentrated on our OMAP</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applications processors and our connectivity products, areas we believe offer growth opportunities and which will enable us to take advantage of the increasing demand for more powerful and more functional wireless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$1.1 billion in 2011, to cease by the end of 2012. We recently announced that we are reprofiling our remaining Wireless activities as we focus on emerging embedded processing market opportunities for these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that we may enter into in connection with acquisitions and divestitures. The semiconductor products in our Other segment include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(primarily used in projectors to create high-definition images) and custom semiconductors known as application-specific integrated circuits (ASICs). This segment generated about $2.5 billion, or about 20 percent of our revenue, in 2011. We also include in our Other segment certain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0" w:name="page21"/>
    <w:bookmarkEnd w:id="20"/>
    <w:p>
      <w:pPr>
        <w:ind w:right="220"/>
        <w:spacing w:after="0" w:line="259" w:lineRule="auto"/>
        <w:rPr>
          <w:sz w:val="20"/>
          <w:szCs w:val="20"/>
          <w:color w:val="auto"/>
        </w:rPr>
      </w:pPr>
      <w:r>
        <w:rPr>
          <w:rFonts w:ascii="Arial" w:cs="Arial" w:eastAsia="Arial" w:hAnsi="Arial"/>
          <w:sz w:val="18"/>
          <w:szCs w:val="18"/>
          <w:color w:val="auto"/>
        </w:rPr>
        <w:t>acquisition-related charges that are not used in evaluating results and allocating resources to our segments. These charges include certain fair-value adjustments, restructuring charges, transaction expenses, acquisition-related retention bonuses and the amortization of intangible assets. Our Other segment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of those products than custom products. Additionally, we sometimes maintain catalog-product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 supplement our internal wafer fabrication capacity and maximize our responsiveness to customer demand and return on capital, our wafer manufacturing strategy utilizes the capacity of outside suppliers, commonly known as foundries. We source about 20 percent of our wafers from external foundries, with this outsourcing being about equally split between analog wafers and advanced logic wafers. In 2011, external foundries provided about 75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 In January 2012, we announced that we plan to close an older wafer fabrication facility in Hiji, Japan, and another in Houston, Texas. We expect to complete these plant closures in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1" w:name="page22"/>
    <w:bookmarkEnd w:id="21"/>
    <w:p>
      <w:pPr>
        <w:ind w:right="220"/>
        <w:spacing w:after="0" w:line="264" w:lineRule="auto"/>
        <w:rPr>
          <w:sz w:val="20"/>
          <w:szCs w:val="20"/>
          <w:color w:val="auto"/>
        </w:rPr>
      </w:pPr>
      <w:r>
        <w:rPr>
          <w:rFonts w:ascii="Arial" w:cs="Arial" w:eastAsia="Arial" w:hAnsi="Arial"/>
          <w:sz w:val="18"/>
          <w:szCs w:val="18"/>
          <w:color w:val="auto"/>
        </w:rPr>
        <w:t>and product life cycles mature. Typically, new chips are produced in limited quantities at first and then ramp to higher-volume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Third-Quarter 2012 results</w:t>
      </w:r>
    </w:p>
    <w:p>
      <w:pPr>
        <w:spacing w:after="0" w:line="14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third-quarter revenue was $3.39 billion, net income was $784 million and earnings per share (EPS) were 67 cents. EPS includes 7 cents of charges associated with the company's acquisition of National and restructuring. EPS also includes a benefit of 22 cents for changes in taxes and a Japan pension program.</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revenue grew sequentially and operations were well executed even though the economy and semiconductor market remained weak and likely will get weaker in the fourth quarter. Our core businesses of Analog and Embedded Processing each grew revenue by 2 percent. Our operations were disciplined, with expenses and inventory levels both down, and our core businesses grew profit faster than revenue.</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business model is focused on Analog and Embedded Processing. These two core businesses now comprise 70 percent of our revenue. The importance of this strategy shows in the strong cash that we generate even in weak markets and in our ability to return that cash to shareholders. In the third quarter, our free cash flow exceeded $1 billion, and we returned more than 75 percent of it through dividends and share repurchases. Our confidence in the long-term sustainability of our business model drove the dividend increase of 24 percent that we announced in the quarter.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144" w:lineRule="exact"/>
        <w:rPr>
          <w:sz w:val="20"/>
          <w:szCs w:val="20"/>
          <w:color w:val="auto"/>
        </w:rPr>
      </w:pPr>
    </w:p>
    <w:tbl>
      <w:tblPr>
        <w:tblLayout w:type="fixed"/>
        <w:tblInd w:w="840" w:type="dxa"/>
        <w:tblCellMar>
          <w:top w:w="0" w:type="dxa"/>
          <w:left w:w="0" w:type="dxa"/>
          <w:bottom w:w="0" w:type="dxa"/>
          <w:right w:w="0" w:type="dxa"/>
        </w:tblCellMar>
      </w:tblPr>
      <w:tr>
        <w:trPr>
          <w:trHeight w:val="264"/>
        </w:trPr>
        <w:tc>
          <w:tcPr>
            <w:tcW w:w="46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3120" w:type="dxa"/>
            <w:vAlign w:val="bottom"/>
            <w:tcBorders>
              <w:bottom w:val="single" w:sz="8" w:color="auto"/>
            </w:tcBorders>
            <w:gridSpan w:val="5"/>
            <w:shd w:val="clear" w:color="auto" w:fill="CCEEFF"/>
          </w:tcPr>
          <w:p>
            <w:pPr>
              <w:ind w:left="1020"/>
              <w:spacing w:after="0"/>
              <w:rPr>
                <w:sz w:val="20"/>
                <w:szCs w:val="20"/>
                <w:color w:val="auto"/>
              </w:rPr>
            </w:pPr>
            <w:r>
              <w:rPr>
                <w:rFonts w:ascii="Arial" w:cs="Arial" w:eastAsia="Arial" w:hAnsi="Arial"/>
                <w:sz w:val="18"/>
                <w:szCs w:val="18"/>
                <w:b w:val="1"/>
                <w:bCs w:val="1"/>
                <w:color w:val="auto"/>
                <w:w w:val="98"/>
              </w:rPr>
              <w:t>For Three Months Ended</w:t>
            </w: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r>
      <w:tr>
        <w:trPr>
          <w:trHeight w:val="243"/>
        </w:trPr>
        <w:tc>
          <w:tcPr>
            <w:tcW w:w="4620" w:type="dxa"/>
            <w:vAlign w:val="bottom"/>
          </w:tcPr>
          <w:p>
            <w:pPr>
              <w:spacing w:after="0"/>
              <w:rPr>
                <w:sz w:val="21"/>
                <w:szCs w:val="21"/>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2012</w:t>
            </w: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June 30, 2012</w:t>
            </w:r>
          </w:p>
        </w:tc>
      </w:tr>
      <w:tr>
        <w:trPr>
          <w:trHeight w:val="27"/>
        </w:trPr>
        <w:tc>
          <w:tcPr>
            <w:tcW w:w="4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3,390</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3,466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3,335</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Cost of revenue (COR)</w:t>
            </w:r>
          </w:p>
        </w:tc>
        <w:tc>
          <w:tcPr>
            <w:tcW w:w="5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1,650</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1,722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1,684</w:t>
            </w:r>
          </w:p>
        </w:tc>
      </w:tr>
      <w:tr>
        <w:trPr>
          <w:trHeight w:val="27"/>
        </w:trPr>
        <w:tc>
          <w:tcPr>
            <w:tcW w:w="4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1,740</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5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463</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480</w:t>
            </w:r>
          </w:p>
        </w:tc>
      </w:tr>
      <w:tr>
        <w:trPr>
          <w:trHeight w:val="27"/>
        </w:trPr>
        <w:tc>
          <w:tcPr>
            <w:tcW w:w="4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5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(122)</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27"/>
        </w:trPr>
        <w:tc>
          <w:tcPr>
            <w:tcW w:w="4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charges</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106</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840</w:t>
            </w:r>
          </w:p>
        </w:tc>
        <w:tc>
          <w:tcPr>
            <w:tcW w:w="1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598</w:t>
            </w:r>
          </w:p>
        </w:tc>
      </w:tr>
      <w:tr>
        <w:trPr>
          <w:trHeight w:val="27"/>
        </w:trPr>
        <w:tc>
          <w:tcPr>
            <w:tcW w:w="4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5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w:t>
            </w:r>
          </w:p>
        </w:tc>
      </w:tr>
      <w:tr>
        <w:trPr>
          <w:trHeight w:val="27"/>
        </w:trPr>
        <w:tc>
          <w:tcPr>
            <w:tcW w:w="4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843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130</w:t>
            </w:r>
          </w:p>
        </w:tc>
      </w:tr>
      <w:tr>
        <w:trPr>
          <w:trHeight w:val="27"/>
        </w:trPr>
        <w:tc>
          <w:tcPr>
            <w:tcW w:w="4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784</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601</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446</w:t>
            </w:r>
          </w:p>
        </w:tc>
      </w:tr>
      <w:tr>
        <w:trPr>
          <w:trHeight w:val="20"/>
        </w:trPr>
        <w:tc>
          <w:tcPr>
            <w:tcW w:w="4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4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04"/>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.68</w:t>
            </w:r>
          </w:p>
        </w:tc>
        <w:tc>
          <w:tcPr>
            <w:tcW w:w="1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r>
      <w:tr>
        <w:trPr>
          <w:trHeight w:val="251"/>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.67</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r>
      <w:tr>
        <w:trPr>
          <w:trHeight w:val="20"/>
        </w:trPr>
        <w:tc>
          <w:tcPr>
            <w:tcW w:w="4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4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04"/>
        </w:trPr>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1,130</w:t>
            </w:r>
          </w:p>
        </w:tc>
        <w:tc>
          <w:tcPr>
            <w:tcW w:w="1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1,144</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1,140</w:t>
            </w:r>
          </w:p>
        </w:tc>
      </w:tr>
      <w:tr>
        <w:trPr>
          <w:trHeight w:val="251"/>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1,141</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1,157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1,154</w:t>
            </w:r>
          </w:p>
        </w:tc>
      </w:tr>
      <w:tr>
        <w:trPr>
          <w:trHeight w:val="20"/>
        </w:trPr>
        <w:tc>
          <w:tcPr>
            <w:tcW w:w="4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4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r>
      <w:tr>
        <w:trPr>
          <w:trHeight w:val="20"/>
        </w:trPr>
        <w:tc>
          <w:tcPr>
            <w:tcW w:w="4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4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4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SG&amp;A</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4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46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on which we pay dividend equivalents, is excluded from the calculation of EPS. The amount excluded is $14 million, $10 million and $8 million for the quarters ending September 30, 2012, September 30, 2011, and June 30,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Events affecting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or transactions have been recorded in Other:</w:t>
      </w:r>
    </w:p>
    <w:p>
      <w:pPr>
        <w:spacing w:after="0" w:line="22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Results for all periods presented include the related costs and insurance proceeds from the impact of the March 2011 earthquake and associated events in Japan. See Note 3 to the financial statements for detailed information.</w:t>
      </w:r>
    </w:p>
    <w:p>
      <w:pPr>
        <w:spacing w:after="0" w:line="17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During the third quarter of 2012, we transferred the obligations and assets of a portion of our Japan pension program to the government of Japan, which resulted in a net gain. See Note 8 to the financial statements for detailed information.</w:t>
      </w:r>
    </w:p>
    <w:p>
      <w:pPr>
        <w:sectPr>
          <w:pgSz w:w="11900" w:h="16838" w:orient="portrait"/>
          <w:cols w:equalWidth="0" w:num="1">
            <w:col w:w="11360"/>
          </w:cols>
          <w:pgMar w:left="240" w:top="580" w:right="2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60"/>
          </w:cols>
          <w:pgMar w:left="240" w:top="580" w:right="299" w:bottom="1440" w:gutter="0" w:footer="0" w:header="0"/>
          <w:type w:val="continuous"/>
        </w:sectPr>
      </w:pPr>
    </w:p>
    <w:bookmarkStart w:id="23" w:name="page24"/>
    <w:bookmarkEnd w:id="23"/>
    <w:p>
      <w:pPr>
        <w:ind w:left="660" w:right="140"/>
        <w:spacing w:after="0" w:line="308" w:lineRule="auto"/>
        <w:rPr>
          <w:sz w:val="20"/>
          <w:szCs w:val="20"/>
          <w:color w:val="auto"/>
        </w:rPr>
      </w:pPr>
      <w:r>
        <w:rPr>
          <w:rFonts w:ascii="Arial" w:cs="Arial" w:eastAsia="Arial" w:hAnsi="Arial"/>
          <w:sz w:val="17"/>
          <w:szCs w:val="17"/>
          <w:color w:val="auto"/>
        </w:rPr>
        <w:t>Quarterly results for 2012 also include restructuring and other charges associated with actions initiated in the fourth quarter of 2011 to close certain manufacturing facilities in Houston, Texas, and Hiji, Japan. See Note 4 to the financial statements for detailed information.</w:t>
      </w:r>
    </w:p>
    <w:p>
      <w:pPr>
        <w:spacing w:after="0" w:line="147"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Various incremental costs, such as amortization of intangibles, retention bonuses and other items directly associated with the acquisition of National that are separately identifiable from the ongoing operating results have been recorded in Other as they were incurred. See Note 2 to the financial statements for detailed information.</w:t>
      </w:r>
    </w:p>
    <w:p>
      <w:pPr>
        <w:spacing w:after="0" w:line="18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third-quarter 2012 tax provision includes a discrete tax benefit and a benefit from the cumulative effect of our lowering the effective tax rate for 2012. See Note 5 to the financial statements for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Revenue for the third quarter of 2012 was $3.39 billion, a decrease of $76 million, or 2 percent, from the year-ago quarter primarily due to lower revenue from Wireless and, to a lesser extent, Other. These declines were mostly offset by growth in Analog, specifically from the inclusion of a full quarter of SVA. Compared with the prior quarter, revenue increased $55 million, or 2 percent, due to growth in Analog and Embedded Processing, each of which grew about 2 percent, and to a lesser extent, the receipt of $60 million of business interruption insurance proceeds resulting from the Japan earthquake.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for the third quarter of 2012 was $1.74 billion, or 51.3 percent of revenue, about even with the year-ago quarter. The effect of lower revenue and the costs associated with lower levels of factory utilization were offset by profit from higher business interruption insurance proceeds and lower manufacturing costs. The impact of underutilization for the third quarter of 2012 was $146 million. Compared with the prior quarter, gross profit increased $89 million, or 5 percent, primarily due to higher revenue, specifically business interruption insurance proceeds.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for the third quarter of 2012 were $463 million for R&amp;D and $453 million for SG&amp;A. Compared with the year-ago period, R&amp;D expense increased $68 million, or 17 percent, and SG&amp;A expense increased $65 million, or 17 percent, both primarily due to the inclusion of a full quarter of SVA. Compared with the prior quarter, R&amp;D expense decreased $17 million, or 4 percent, due to lower product development costs, and SG&amp;A expense was about even.</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Included in the Restructuring charges/other line on the income statement is a net benefit of $144 million associated with the Japan pension program change. Partially offsetting this benefit are charges of $22 million associated with the previously announced planned closure or potential sale of several older factories. Restructuring charges for the prior quarter were $13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2012, we incurred $106 million of acquisition charges associated with the National acquisition, compared with $147 million in the year-ago quarter and $104 million in the prior quarter. Quarterly acquisition charges of $81 million are from the ongoing amortization of intangible assets, with the remainder due to retention bonuses and other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2012, we expect EPS will be negatively impacted by about 6 cents from acquisition and restructuring charges.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third quarter of 2012, our operating profit was $840 million, or 24.8 percent of revenue, compared with $814 million, or 23.5 percent of revenue, for the year-ago quarter and $598 million, or 17.9 percent of revenue, for the prior quarter. The increase from the year-ago quarter was due to the benefit from the Japan pension program change and lower acquisition charges that more than offset higher operating expenses resulting from the inclusion of a full quarter of SVA. Compared with the prior quarter, operating profit was higher primarily due to the effects of the Japan pension program change, and to a lesser extent, higher gross profit and lower operating expenses.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OI&amp;E for the third quarter of 2012 was income of $24 million compared with expense of $19 million in the year-ago quarter and expense of $2 million in the prior quarter. The increase from the year-ago quarter was primarily due to recognition last year of an expense associated with a lawsuit related to a divested business. Also affecting the increase in income in both comparisons was higher income from equity investments.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Interest and debt expense for the third quarter of 2012 was $21 million. The increase over the year-ago quarter and the prior quarter was primarily due to the effect of having more debt outstanding in the current quarter. In August 2012, we issued $1.5 billion of fixed-rate long-term debt. See Note 9 to the financial statements for details regarding debt outstanding.</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2012, our estimated annual effective tax rate for 2012 is about 22 percent. Quarterly income taxes are calculated using the estimated annual effective tax rate. See Note 5 to the financial statements for additional information.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tax rate is based on current law and does not assume reinstatement of the federal research tax credit, which expired at the end of 2011.</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third quarter of 2012, our tax provision was $59 million compared with $179 million in the year-ago quarter and $130 million in the prior quarter. The third-quarter tax provision includes a $90 million discrete tax benefit, which is primarily due to additional U.S. tax benefits for manufacturing related to the years 2007 through 2011, and a $67 million benefit from the cumulative effect of our lowering the estimated effective tax rate for 2012. The lower tax rate estimate was primarily due to a revised estimate of the impact of non-U.S. effective tax rates. With respect to the benefits for manufacturing, we may seek additional deductions for years prior to 2007 and, as a result, may recognize an additional discrete item in the fourth quarter.</w:t>
      </w:r>
    </w:p>
    <w:p>
      <w:pPr>
        <w:spacing w:after="0" w:line="1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the third quarter of 2012, net income was $784 million compared with $601 million for the year-ago quarter and $446 million for the prior quarter. EPS was $0.67 compared with $0.51 for the year-ago quarter and $0.38 for the prior quarter. EPS includes 7 cents of charges associated with the acquisition of National and with restructuring. EPS also includes a benefit of 14 cents for taxes and a benefit of 8 cents for the Japan pension program.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Orders in the third quarter were $3.24 billion, an increase of 6 percent from the year-ago quarter and a decrease of 5 percent from the prior quarter.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results discussions below, changes in revenue are caused by changes in product shipment volumes unless otherwise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60"/>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3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vs. 3Q11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vs. 2Q12</w:t>
            </w:r>
          </w:p>
        </w:tc>
        <w:tc>
          <w:tcPr>
            <w:tcW w:w="380" w:type="dxa"/>
            <w:vAlign w:val="bottom"/>
          </w:tcPr>
          <w:p>
            <w:pPr>
              <w:spacing w:after="0"/>
              <w:rPr>
                <w:sz w:val="20"/>
                <w:szCs w:val="20"/>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1,843</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3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Analog revenue increased 18 percent from the year-ago quarter due to the inclusion of a full quarter of SVA revenue. Revenue from Power and HVAL contributed to the increase to a lesser extent. Partially offsetting these increases was lower revenue from HPA. Compared with the prior quarter, revenue increased 2 percent due to growth in HVAL and, to a lesser extent, Power. HPA revenue declined due to lower shipments and SVA revenue declined due to a lower proportion of shipments of higher priced products. Compared with the year-ago quarter, operating profit was up as higher revenue and associated gross profit more than offset higher operating expenses. Operating profit increased from the prior quarter primarily due to operating expense reductions, and to a lesser extent, higher gross profit.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60"/>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3Q12</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3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vs. 3Q11</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vs. 2Q12</w:t>
            </w:r>
          </w:p>
        </w:tc>
        <w:tc>
          <w:tcPr>
            <w:tcW w:w="380" w:type="dxa"/>
            <w:vAlign w:val="bottom"/>
          </w:tcPr>
          <w:p>
            <w:pPr>
              <w:spacing w:after="0"/>
              <w:rPr>
                <w:sz w:val="20"/>
                <w:szCs w:val="20"/>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-44 %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3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Embedded Processing revenue decreased 4 percent from the year-ago quarter due to lower revenue from products sold into communications infrastructure applications. Partially offsetting this decrease was a higher proportion of shipments of higher-priced products sold into automotive applications and, to a lesser extent, higher revenue from catalog products. Compared with the prior quarter, revenue increased 2 percent due to catalog products. Revenue from products sold into communications infrastructure applications declined and revenue from products sold into automotive applications was even. Compared with the year-ago quarter, operating profit decreased primarily due to lower gross profit. Operating profit increased from the prior quarter primarily due to operating expense reductions.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3Q12</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3Q12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3Q11</w:t>
            </w: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2Q12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vs. 2Q12</w:t>
            </w:r>
          </w:p>
        </w:tc>
        <w:tc>
          <w:tcPr>
            <w:tcW w:w="3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 % of revenue</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Wireless revenue decreased 44 percent from the year-ago quarter and 5 percent from the prior quarter, primarily due to baseband products, and to a lesser extent, connectivity products. Compared to the year-ago quarter, revenue from OMAP applications processors increased primarily due to a higher proportion of shipments of higher priced products. Revenue from OMAP applications processors increased compared to the prior quarter. Baseband revenue for the third quarter of 2012 was $54 million, a decrease of $209 million, or 79 percent, from the year-ago quarter and $36 million, or 40 percent, from the prior quarter. Wireless operating profit from the year-ago quarter became an operating loss due to lower revenue and associated gross profit. The operating loss increased from the prior quarter due to lower revenue and associated gross profit.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60"/>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3Q12</w:t>
            </w:r>
          </w:p>
        </w:tc>
        <w:tc>
          <w:tcPr>
            <w:tcW w:w="380" w:type="dxa"/>
            <w:vAlign w:val="bottom"/>
          </w:tcPr>
          <w:p>
            <w:pPr>
              <w:spacing w:after="0"/>
              <w:rPr>
                <w:sz w:val="24"/>
                <w:szCs w:val="24"/>
                <w:color w:val="auto"/>
              </w:rPr>
            </w:pPr>
          </w:p>
        </w:tc>
      </w:tr>
      <w:tr>
        <w:trPr>
          <w:trHeight w:val="234"/>
        </w:trPr>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3Q12</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3Q11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vs. 3Q11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vs. 2Q12</w:t>
            </w:r>
          </w:p>
        </w:tc>
        <w:tc>
          <w:tcPr>
            <w:tcW w:w="380" w:type="dxa"/>
            <w:vAlign w:val="bottom"/>
          </w:tcPr>
          <w:p>
            <w:pPr>
              <w:spacing w:after="0"/>
              <w:rPr>
                <w:sz w:val="20"/>
                <w:szCs w:val="20"/>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702</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370</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Restructuring charges and other*</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 pension program change*</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acquisition-related charges — in</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r>
      <w:tr>
        <w:trPr>
          <w:trHeight w:val="27"/>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profit</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Compared with the year-ago quarter, revenue was down 11 percent due to lower revenue from DLP products, the expiration of transitional supply agreements associated with previously acquired factories, and to a lesser extent, lower calculator revenue. These decreases more than offset higher revenue resulting from the business interruption insurance proceeds. Compared with the prior quarter, revenue was up 3 percent due to higher business interruption insurance proceeds, and to a lesser extent, higher royalties and increased revenue from a higher proportion of shipments of higher priced graphing calculators. Partially offsetting these increases was lower revenue from DLP products and custom ASIC products. Operating profit increased from the year-ago quarter primarily due to the Japan pension program change, although lower acquisition charges and lower operating expenses also contributed. Operating profit increased from the prior quarter primarily due to the pension change, although business interruption insurance proceeds also contributed to a lesser extent.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2012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2012, we report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was $9.85 billion, a decrease of $469 million, or 5 percent, compared with the year-ago period due to a decline across a broad range of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declines were partially offset by the inclusion of SVA results.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was $4.92 billion, a decrease of $302 million, or 6 percent, from the year-ago period due to lower revenue and higher underutilization expense, partially offset by insurance proceeds resulting from the Japan earthquake. Underutilization expense in the first nine months of 2012 was $361 million. Gross profit margin was 50.0 percent of revenue compared with 50.6 percent in the year-ago period.</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R&amp;D expense of $1.45 billion increased 17 percent from the year-ago period primarily due to the inclusion of SVA. R&amp;D expense as a percent of revenue was 14.7 percent compared with 12.0 percent in the year-ago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6" w:name="page27"/>
    <w:bookmarkEnd w:id="26"/>
    <w:p>
      <w:pPr>
        <w:ind w:right="280"/>
        <w:spacing w:after="0" w:line="277" w:lineRule="auto"/>
        <w:rPr>
          <w:sz w:val="20"/>
          <w:szCs w:val="20"/>
          <w:color w:val="auto"/>
        </w:rPr>
      </w:pPr>
      <w:r>
        <w:rPr>
          <w:rFonts w:ascii="Arial" w:cs="Arial" w:eastAsia="Arial" w:hAnsi="Arial"/>
          <w:sz w:val="18"/>
          <w:szCs w:val="18"/>
          <w:color w:val="auto"/>
        </w:rPr>
        <w:t>SG&amp;A expense was $1.37 billion, an increase of 15 percent from the year-ago period, due to the inclusion of SVA. SG&amp;A expense as a percent of revenue was 13.9 percent compared with 11.6 percent in the year-ago period.</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Restructuring charges/other for the first nine months of 2012 was a net benefit of $99 million reflecting the benefit from the change in the Japan pension program as well as the effect of restructuring charges. See Note 4 to the financial statements for detailed information.</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Acquisition charges for the first nine months of 2012 were $363 million. Ongoing amortization of intangible assets related to National was $244 million and the remainder was due to retention bonuses and other costs. In the first nine months of 2012, we also recognized $21 million in COR associated with the termination of a distributor contract. Acquisition charges for the first nine months of 2011 were $162 million, consisting primarily of severance and other benefits, transaction costs and stock-based compensation.</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Operating profit was $1.83 billion, or 18.6 percent of revenue, compared with $2.63 billion, or 25.5 percent of revenue, in the year-ago period. The decrease was due to, in declining order, higher operating expenses, lower revenue and associated gross profit and higher acquisition charges.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and debt expense was $62 million, an increase over the year-ago period due to the effects of a full nine months' interest and other debt amortization associated with the issuance of $3.5 billion of long-term debt in May 2011 and the $1.0 billion of debt assumed with the acquisition of National in September 2011.</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tax provision was $285 million, compared with $669 million in the year-ago period. The decrease was due to lower income before income taxes and discrete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$1.49 billion compared with $1.94 billion in the year-ago period. EPS was $1.27 compared with $1.62 in the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Orders were $9.89 billion, a decrease of 4 percent from the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results discussions below, changes in revenue are caused by changes in product shipment volumes unless otherwise noted.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0"/>
        </w:trPr>
        <w:tc>
          <w:tcPr>
            <w:tcW w:w="6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YTD 2012</w:t>
            </w:r>
          </w:p>
        </w:tc>
        <w:tc>
          <w:tcPr>
            <w:tcW w:w="260" w:type="dxa"/>
            <w:vAlign w:val="bottom"/>
          </w:tcPr>
          <w:p>
            <w:pPr>
              <w:spacing w:after="0"/>
              <w:rPr>
                <w:sz w:val="24"/>
                <w:szCs w:val="24"/>
                <w:color w:val="auto"/>
              </w:rPr>
            </w:pPr>
          </w:p>
        </w:tc>
      </w:tr>
      <w:tr>
        <w:trPr>
          <w:trHeight w:val="216"/>
        </w:trPr>
        <w:tc>
          <w:tcPr>
            <w:tcW w:w="6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vs.</w:t>
            </w:r>
          </w:p>
        </w:tc>
        <w:tc>
          <w:tcPr>
            <w:tcW w:w="26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YTD 2011</w:t>
            </w:r>
          </w:p>
        </w:tc>
        <w:tc>
          <w:tcPr>
            <w:tcW w:w="260" w:type="dxa"/>
            <w:vAlign w:val="bottom"/>
          </w:tcPr>
          <w:p>
            <w:pPr>
              <w:spacing w:after="0"/>
              <w:rPr>
                <w:sz w:val="20"/>
                <w:szCs w:val="20"/>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5,329</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1,231</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1,278</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
        </w:trPr>
        <w:tc>
          <w:tcPr>
            <w:tcW w:w="6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Analog revenue increased 14 percent from the year-ago period due to the inclusion of SVA. Power also increased, but to a lesser extent. Partially offsetting these increases was lower revenue from HPA. HVAL was about even. For the first nine months of 2012, operating profit decreased 4 percent from the year-ago period as higher operating expenses were partially offset by higher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YTD 2012</w:t>
            </w:r>
          </w:p>
        </w:tc>
      </w:tr>
      <w:tr>
        <w:trPr>
          <w:trHeight w:val="216"/>
        </w:trPr>
        <w:tc>
          <w:tcPr>
            <w:tcW w:w="39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vs.</w:t>
            </w:r>
          </w:p>
        </w:tc>
      </w:tr>
      <w:tr>
        <w:trPr>
          <w:trHeight w:val="234"/>
        </w:trPr>
        <w:tc>
          <w:tcPr>
            <w:tcW w:w="39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YTD 2011</w:t>
            </w:r>
          </w:p>
        </w:tc>
      </w:tr>
      <w:tr>
        <w:trPr>
          <w:trHeight w:val="27"/>
        </w:trPr>
        <w:tc>
          <w:tcPr>
            <w:tcW w:w="39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$1,668</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39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2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459"/>
        </w:trPr>
        <w:tc>
          <w:tcPr>
            <w:tcW w:w="3920" w:type="dxa"/>
            <w:vAlign w:val="bottom"/>
          </w:tcPr>
          <w:p>
            <w:pPr>
              <w:spacing w:after="0"/>
              <w:rPr>
                <w:sz w:val="24"/>
                <w:szCs w:val="24"/>
                <w:color w:val="auto"/>
              </w:rPr>
            </w:pPr>
          </w:p>
        </w:tc>
        <w:tc>
          <w:tcPr>
            <w:tcW w:w="2380" w:type="dxa"/>
            <w:vAlign w:val="bottom"/>
          </w:tcPr>
          <w:p>
            <w:pPr>
              <w:jc w:val="right"/>
              <w:ind w:right="41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7" w:name="page28"/>
    <w:bookmarkEnd w:id="27"/>
    <w:p>
      <w:pPr>
        <w:spacing w:after="0" w:line="312" w:lineRule="auto"/>
        <w:rPr>
          <w:sz w:val="20"/>
          <w:szCs w:val="20"/>
          <w:color w:val="auto"/>
        </w:rPr>
      </w:pPr>
      <w:r>
        <w:rPr>
          <w:rFonts w:ascii="Arial" w:cs="Arial" w:eastAsia="Arial" w:hAnsi="Arial"/>
          <w:sz w:val="16"/>
          <w:szCs w:val="16"/>
          <w:color w:val="auto"/>
        </w:rPr>
        <w:t>Embedded Processing revenue decreased 10 percent from the year-ago period due to decreased shipments of products sold into communications infrastructure applications and, to a lesser extent, a lower proportion of shipments of higher-priced catalog products. This was partially offset by products sold into automotive applications. Compared with the year-ago period, operating profit decreased 58 percent primarily due to lower gross profit.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YTD</w:t>
            </w:r>
          </w:p>
        </w:tc>
      </w:tr>
      <w:tr>
        <w:trPr>
          <w:trHeight w:val="216"/>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16"/>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vs.</w:t>
            </w:r>
          </w:p>
        </w:tc>
      </w:tr>
      <w:tr>
        <w:trPr>
          <w:trHeight w:val="216"/>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YTD</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YTD</w:t>
            </w:r>
          </w:p>
        </w:tc>
      </w:tr>
      <w:tr>
        <w:trPr>
          <w:trHeight w:val="234"/>
        </w:trPr>
        <w:tc>
          <w:tcPr>
            <w:tcW w:w="6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0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2011</w:t>
            </w:r>
          </w:p>
        </w:tc>
      </w:tr>
      <w:tr>
        <w:trPr>
          <w:trHeight w:val="27"/>
        </w:trPr>
        <w:tc>
          <w:tcPr>
            <w:tcW w:w="6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1,040</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44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(129)</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n/a</w:t>
            </w:r>
          </w:p>
        </w:tc>
      </w:tr>
      <w:tr>
        <w:trPr>
          <w:trHeight w:val="27"/>
        </w:trPr>
        <w:tc>
          <w:tcPr>
            <w:tcW w:w="6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(loss)% of revenue</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 %</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6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Wireless revenue decreased 42 percent from the year-ago period primarily due to baseband products, and to a lesser extent, connectivity products. Baseband revenue was $231 million, a decrease of 72 percent from the year-ago period. Partially offsetting these decreases was increased revenue from a higher proportion of shipments of higher-priced OMAP applications processors. Compared with the year-ago period, operating profit decreased due to lower revenue and associated gross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38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YTD 2012</w:t>
            </w:r>
          </w:p>
        </w:tc>
      </w:tr>
      <w:tr>
        <w:trPr>
          <w:trHeight w:val="216"/>
        </w:trPr>
        <w:tc>
          <w:tcPr>
            <w:tcW w:w="6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YTD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vs.</w:t>
            </w:r>
          </w:p>
        </w:tc>
      </w:tr>
      <w:tr>
        <w:trPr>
          <w:trHeight w:val="234"/>
        </w:trPr>
        <w:tc>
          <w:tcPr>
            <w:tcW w:w="6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YTD 2011</w:t>
            </w:r>
          </w:p>
        </w:tc>
      </w:tr>
      <w:tr>
        <w:trPr>
          <w:trHeight w:val="27"/>
        </w:trPr>
        <w:tc>
          <w:tcPr>
            <w:tcW w:w="6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1,975</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581</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692</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6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Restructuring charges and other*</w:t>
            </w: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 pension program change*</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4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363</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acquisition-related charges — in COR*</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6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revenue decreased 9 percent from the year-ago period due to a lower proportion of shipments of higher-priced DLP products and, to a lesser extent, lower revenue from transitional supply agreements. These decreases were partially offset by business interruption insurance proceeds resulting from the Japan earthquake and increased revenue from custom ASIC products. Operating profit decreased from the year-ago period primarily due to higher acquisition charges partially offset by the Japan pension program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end of the third quarter of 2012, total cash (cash and cash equivalents plus short-term investments) was $3.66 billion. This was $726 million higher than at the end of 2011.</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Accounts receivable were $1.62 billion at the end of the third quarter, an increase of $78 million from the end of 2011. This increase was primarily due to higher receivables from calculators, the result of seasonally higher revenue. Days sales outstanding were 43 at the end of the quarter compared with 41 at the end of 2011.</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Inventory was $1.85 billion at the end of the third quarter. This was an increase of $60 million from the end of 2011. Days of inventory at the end of the third quarter were 101 compared with 86 at the end of 2011. The inventory increase was due to building inventory to support future demand.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 from operations for the first nine months of 2012 was $2.33 billion, an increase of $41 million from the year-ago period due to lower working capital requirements.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had $1.21 billion of cash and cash equivalents and $2.45 billion of short-term investments as of September 30, 2012. We have a variable-rate revolving credit facility that allows us to borrow up to $2 billion until March 2017. This credit facility also serves as support for the issuance of commercial paper. As of September 30, 2012, we had no commercial paper outstanding.</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August 2012, we received proceeds of $1.49 billion from the issuance of fixed-rate long-term debt (net of original issuance discount). The proceeds will be used for general corporate purposes, which could include, among other things, repurchases of common stock. See Note 9 for details of the new debt.</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first nine months of 2012, investing activities used cash of $850 million, compared with $5.18 billion used in the year-ago period primarily for the acquisition of National. Capital expenditures in the first nine months of 2012 totaled $399 million compared with $663 million in the year-ago period. This decrease was primarily due to decreased expenditures for assembly/test equipment and wafer manufacturing equipment. We used cash of $502 million to make net purchases of short-term investments in the first nine months of 2012 compared with receiving $791 million of cash from net sales and maturities of short-term investments in the year-ago period.</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Financing activities used net cash of $1.26 billion for the first nine months of 2012 and provided $3.15 billion in the year-ago period. For the first nine months of 2012, we received proceeds of $1.49 billion from the August debt issuance. This compares with proceeds in 2011 of $3.50 billion we received from the issuance of fixed- and variable-rate long-term debt (net of the original issuance discount) and $1.20 billion from the issuance of commercial paper. In 2012, we used cash to repay $1.0 billion of commercial paper borrowings and maturing debt assumed in the National acquisition. See Note 9 to the financial statements for additional information. We also used $1.20 billion of cash in the first nine months of 2012 to repurchase 39 million shares of our common stock and paid dividends of $584 million. In the same period last year we used $1.67 billion of cash to repurchase 49 million shares of common stock and paid $451 million in dividends. Employee exercises of TI stock options provided cash proceeds of $390 million compared with $563 million for the year-ago period.</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September 2012, we announced a 24 percent increase in our quarterly cash dividend rate. The new quarterly dividend increased from $0.17 to $0.21 per share. The new dividend will be payable November 19, 2012, to stockholders of record on October 31, 2012.</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debt obligations, dividend payments and other business requirements for at least the next 12 months.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2012, we expect approximately: an annual effective tax rate of 22 percent; R&amp;D expense of $1.9 billion; capital expenditures of $0.5 billion; and depreciation of $1.0 billion. The tax rate is based on current law and does not assume reinstatement of the federal research tax credit, which expired at the end of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the long-term debt obligations described in the long-term contractual obligations chart on page 49 of Exhibit 13 to our Form 10-K for the year ended December 31, 2011, in August 2012 we issued $750 million of 0.45% notes maturing in 2015 and $750 million of 1.65% notes maturing in 2019. See Note 9 to the financial statements for additional information.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risk factors is contained on pages 25-28 of our Form 10-Q for the quarter ended March 31, 2012, and is incorporated by reference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right"/>
        <w:ind w:right="3680"/>
        <w:spacing w:after="0" w:line="449" w:lineRule="auto"/>
        <w:rPr>
          <w:sz w:val="20"/>
          <w:szCs w:val="20"/>
          <w:color w:val="auto"/>
        </w:rPr>
      </w:pPr>
      <w:r>
        <w:rPr>
          <w:rFonts w:ascii="Arial" w:cs="Arial" w:eastAsia="Arial" w:hAnsi="Arial"/>
          <w:sz w:val="18"/>
          <w:szCs w:val="18"/>
          <w:color w:val="auto"/>
        </w:rPr>
        <w:t xml:space="preserve">The following table contains information regarding our purchases of our common stock during the quarter. </w:t>
      </w: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Number</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5"/>
              </w:rPr>
              <w:t>of Shares</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Purchased as</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3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Part of</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Publicly</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Announced</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Price Paid</w:t>
            </w:r>
          </w:p>
        </w:tc>
        <w:tc>
          <w:tcPr>
            <w:tcW w:w="16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Plans or</w:t>
            </w:r>
          </w:p>
        </w:tc>
        <w:tc>
          <w:tcPr>
            <w:tcW w:w="180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Plans or</w:t>
            </w:r>
          </w:p>
        </w:tc>
      </w:tr>
      <w:tr>
        <w:trPr>
          <w:trHeight w:val="26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660" w:type="dxa"/>
            <w:vAlign w:val="bottom"/>
            <w:tcBorders>
              <w:bottom w:val="single" w:sz="8" w:color="auto"/>
            </w:tcBorders>
          </w:tcPr>
          <w:p>
            <w:pPr>
              <w:jc w:val="center"/>
              <w:ind w:right="27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800" w:type="dxa"/>
            <w:vAlign w:val="bottom"/>
            <w:tcBorders>
              <w:bottom w:val="single" w:sz="8" w:color="auto"/>
            </w:tcBorders>
          </w:tcPr>
          <w:p>
            <w:pPr>
              <w:jc w:val="center"/>
              <w:ind w:right="25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4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through July 31, 2012</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$5.07 billion</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August 1 through August 31, 2012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19,520,400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29.20</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19,520,400</w:t>
            </w:r>
          </w:p>
        </w:tc>
        <w:tc>
          <w:tcPr>
            <w:tcW w:w="1800" w:type="dxa"/>
            <w:vAlign w:val="bottom"/>
          </w:tcPr>
          <w:p>
            <w:pPr>
              <w:ind w:left="580"/>
              <w:spacing w:after="0"/>
              <w:rPr>
                <w:sz w:val="20"/>
                <w:szCs w:val="20"/>
                <w:color w:val="auto"/>
              </w:rPr>
            </w:pPr>
            <w:r>
              <w:rPr>
                <w:rFonts w:ascii="Arial" w:cs="Arial" w:eastAsia="Arial" w:hAnsi="Arial"/>
                <w:sz w:val="18"/>
                <w:szCs w:val="18"/>
                <w:color w:val="auto"/>
              </w:rPr>
              <w:t>$4.50 billion</w:t>
            </w:r>
          </w:p>
        </w:tc>
      </w:tr>
      <w:tr>
        <w:trPr>
          <w:trHeight w:val="27"/>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September 1 through September 30, 2012</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1,044,400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1,044,400</w:t>
            </w:r>
          </w:p>
        </w:tc>
        <w:tc>
          <w:tcPr>
            <w:tcW w:w="1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$4.47 billion</w:t>
            </w:r>
          </w:p>
        </w:tc>
      </w:tr>
      <w:tr>
        <w:trPr>
          <w:trHeight w:val="335"/>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20,564,800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29.18</w:t>
            </w:r>
          </w:p>
        </w:tc>
        <w:tc>
          <w:tcPr>
            <w:tcW w:w="1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 xml:space="preserve">20,564,800 </w:t>
            </w:r>
            <w:r>
              <w:rPr>
                <w:rFonts w:ascii="Arial" w:cs="Arial" w:eastAsia="Arial" w:hAnsi="Arial"/>
                <w:sz w:val="25"/>
                <w:szCs w:val="25"/>
                <w:color w:val="auto"/>
                <w:vertAlign w:val="superscript"/>
              </w:rPr>
              <w:t>(2)</w:t>
            </w:r>
          </w:p>
        </w:tc>
        <w:tc>
          <w:tcPr>
            <w:tcW w:w="18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8"/>
              </w:rPr>
              <w:t xml:space="preserve">$4.47 billion </w:t>
            </w:r>
            <w:r>
              <w:rPr>
                <w:rFonts w:ascii="Arial" w:cs="Arial" w:eastAsia="Arial" w:hAnsi="Arial"/>
                <w:sz w:val="25"/>
                <w:szCs w:val="25"/>
                <w:color w:val="auto"/>
                <w:w w:val="98"/>
                <w:vertAlign w:val="superscript"/>
              </w:rPr>
              <w:t>(3)</w:t>
            </w:r>
          </w:p>
        </w:tc>
      </w:tr>
    </w:tbl>
    <w:p>
      <w:pPr>
        <w:spacing w:after="0" w:line="130" w:lineRule="exact"/>
        <w:rPr>
          <w:sz w:val="20"/>
          <w:szCs w:val="20"/>
          <w:color w:val="auto"/>
        </w:rPr>
      </w:pPr>
    </w:p>
    <w:p>
      <w:pPr>
        <w:ind w:left="340" w:right="140" w:hanging="318"/>
        <w:spacing w:after="0" w:line="21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w:t>
      </w:r>
    </w:p>
    <w:p>
      <w:pPr>
        <w:spacing w:after="0" w:line="1" w:lineRule="exact"/>
        <w:rPr>
          <w:rFonts w:ascii="Arial" w:cs="Arial" w:eastAsia="Arial" w:hAnsi="Arial"/>
          <w:sz w:val="25"/>
          <w:szCs w:val="25"/>
          <w:color w:val="auto"/>
          <w:vertAlign w:val="superscript"/>
        </w:rPr>
      </w:pPr>
    </w:p>
    <w:p>
      <w:pPr>
        <w:ind w:left="340" w:hanging="318"/>
        <w:spacing w:after="0" w:line="180"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 w:lineRule="exact"/>
        <w:rPr>
          <w:rFonts w:ascii="Arial" w:cs="Arial" w:eastAsia="Arial" w:hAnsi="Arial"/>
          <w:sz w:val="25"/>
          <w:szCs w:val="25"/>
          <w:color w:val="auto"/>
          <w:vertAlign w:val="superscript"/>
        </w:rPr>
      </w:pPr>
    </w:p>
    <w:p>
      <w:pPr>
        <w:ind w:left="340" w:right="360" w:hanging="318"/>
        <w:spacing w:after="0" w:line="208"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As of September 30, 2012, this amount consisted of the remaining portion of the $7.5 billion authorization. No expiration date was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364"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ITEM 6. Exhibits.</w:t>
            </w:r>
          </w:p>
        </w:tc>
        <w:tc>
          <w:tcPr>
            <w:tcW w:w="9880" w:type="dxa"/>
            <w:vAlign w:val="bottom"/>
          </w:tcPr>
          <w:p>
            <w:pPr>
              <w:spacing w:after="0"/>
              <w:rPr>
                <w:sz w:val="20"/>
                <w:szCs w:val="20"/>
                <w:color w:val="auto"/>
              </w:rPr>
            </w:pPr>
          </w:p>
        </w:tc>
      </w:tr>
      <w:tr>
        <w:trPr>
          <w:trHeight w:val="36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9880" w:type="dxa"/>
            <w:vAlign w:val="bottom"/>
          </w:tcPr>
          <w:p>
            <w:pPr>
              <w:spacing w:after="0"/>
              <w:rPr>
                <w:sz w:val="24"/>
                <w:szCs w:val="24"/>
                <w:color w:val="auto"/>
              </w:rPr>
            </w:pP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9880" w:type="dxa"/>
            <w:vAlign w:val="bottom"/>
          </w:tcPr>
          <w:p>
            <w:pPr>
              <w:spacing w:after="0"/>
              <w:rPr>
                <w:sz w:val="18"/>
                <w:szCs w:val="18"/>
                <w:color w:val="auto"/>
              </w:rPr>
            </w:pPr>
          </w:p>
        </w:tc>
      </w:tr>
      <w:tr>
        <w:trPr>
          <w:trHeight w:val="234"/>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29"/>
        </w:trPr>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9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Indenture between Texas Instruments Incorporated and U.S. Bank National Association, as Trustee (dated as of May 23, 2011)</w:t>
            </w:r>
          </w:p>
        </w:tc>
      </w:tr>
      <w:tr>
        <w:trPr>
          <w:trHeight w:val="237"/>
        </w:trPr>
        <w:tc>
          <w:tcPr>
            <w:tcW w:w="1540" w:type="dxa"/>
            <w:vAlign w:val="bottom"/>
            <w:tcBorders>
              <w:bottom w:val="single" w:sz="8" w:color="CCEEFF"/>
            </w:tcBorders>
            <w:shd w:val="clear" w:color="auto" w:fill="CCEEFF"/>
          </w:tcPr>
          <w:p>
            <w:pPr>
              <w:spacing w:after="0"/>
              <w:rPr>
                <w:sz w:val="20"/>
                <w:szCs w:val="20"/>
                <w:color w:val="auto"/>
              </w:rPr>
            </w:pP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(incorporated by reference to Exhibit 4.2 to the Registrant's Report on Form 8-K dated May 16, 2011).</w:t>
            </w:r>
          </w:p>
        </w:tc>
      </w:tr>
      <w:tr>
        <w:trPr>
          <w:trHeight w:val="229"/>
        </w:trPr>
        <w:tc>
          <w:tcPr>
            <w:tcW w:w="15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880" w:type="dxa"/>
            <w:vAlign w:val="bottom"/>
          </w:tcPr>
          <w:p>
            <w:pPr>
              <w:ind w:left="100"/>
              <w:spacing w:after="0"/>
              <w:rPr>
                <w:sz w:val="20"/>
                <w:szCs w:val="20"/>
                <w:color w:val="auto"/>
              </w:rPr>
            </w:pPr>
            <w:r>
              <w:rPr>
                <w:rFonts w:ascii="Arial" w:cs="Arial" w:eastAsia="Arial" w:hAnsi="Arial"/>
                <w:sz w:val="18"/>
                <w:szCs w:val="18"/>
                <w:color w:val="auto"/>
                <w:w w:val="99"/>
              </w:rPr>
              <w:t>Officer's Certificate setting forth the terms of the Notes (dated May 23, 2011) (incorporated by reference to Exhibit 4.3 to the</w:t>
            </w:r>
          </w:p>
        </w:tc>
      </w:tr>
      <w:tr>
        <w:trPr>
          <w:trHeight w:val="230"/>
        </w:trPr>
        <w:tc>
          <w:tcPr>
            <w:tcW w:w="1540" w:type="dxa"/>
            <w:vAlign w:val="bottom"/>
          </w:tcPr>
          <w:p>
            <w:pPr>
              <w:spacing w:after="0"/>
              <w:rPr>
                <w:sz w:val="20"/>
                <w:szCs w:val="20"/>
                <w:color w:val="auto"/>
              </w:rPr>
            </w:pPr>
          </w:p>
        </w:tc>
        <w:tc>
          <w:tcPr>
            <w:tcW w:w="9880" w:type="dxa"/>
            <w:vAlign w:val="bottom"/>
          </w:tcPr>
          <w:p>
            <w:pPr>
              <w:ind w:left="100"/>
              <w:spacing w:after="0"/>
              <w:rPr>
                <w:sz w:val="20"/>
                <w:szCs w:val="20"/>
                <w:color w:val="auto"/>
              </w:rPr>
            </w:pPr>
            <w:r>
              <w:rPr>
                <w:rFonts w:ascii="Arial" w:cs="Arial" w:eastAsia="Arial" w:hAnsi="Arial"/>
                <w:sz w:val="18"/>
                <w:szCs w:val="18"/>
                <w:color w:val="auto"/>
              </w:rPr>
              <w:t>Registrant's Report on Form 8-K dated May 16, 2011).</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10.1</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Amendment No. 2 to the TI Deferred Compensation Plan (filed herewith).</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31.2</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32.2</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98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101.def</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101.sch</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101.cal</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1"/>
              </w:rPr>
              <w:t>101.lab</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54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66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128" w:lineRule="exact"/>
        <w:rPr>
          <w:rFonts w:ascii="Arial" w:cs="Arial" w:eastAsia="Arial" w:hAnsi="Arial"/>
          <w:sz w:val="17"/>
          <w:szCs w:val="17"/>
          <w:color w:val="auto"/>
        </w:rPr>
      </w:pPr>
    </w:p>
    <w:p>
      <w:pPr>
        <w:ind w:left="660" w:right="44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660" w:right="6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2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660" w:right="40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report on Form 10-Q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240" w:top="368" w:right="559" w:bottom="1440" w:gutter="0" w:footer="0" w:header="0"/>
        </w:sectPr>
      </w:pPr>
    </w:p>
    <w:bookmarkStart w:id="33" w:name="page34"/>
    <w:bookmarkEnd w:id="33"/>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November 2,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36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DEFERRED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2009)</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TEXAS INSTRUMENTS INCORPORATED, a Delaware corporation, pursuant to the authority granted in Section 6-1 of the TI Deferred Compensation Plan (Effective January 1, 2009) (the "Plan"), does hereby amend the Plan, effective as of August 1, 2012, as follows:</w:t>
      </w:r>
    </w:p>
    <w:p>
      <w:pPr>
        <w:spacing w:after="0" w:line="186" w:lineRule="exact"/>
        <w:rPr>
          <w:sz w:val="20"/>
          <w:szCs w:val="20"/>
          <w:color w:val="auto"/>
        </w:rPr>
      </w:pPr>
    </w:p>
    <w:p>
      <w:pPr>
        <w:ind w:firstLine="656"/>
        <w:spacing w:after="0" w:line="276" w:lineRule="auto"/>
        <w:tabs>
          <w:tab w:leader="none" w:pos="1031"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Section 3-6(v) of the Plan is amended by striking the first sentence of said Section and substituting in lieu thereof the following new sentence:</w:t>
      </w:r>
    </w:p>
    <w:p>
      <w:pPr>
        <w:spacing w:after="0" w:line="161"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Any Scheduled Distribution Date and/or form of distribution from Accounts, whether previously elected or otherwise specified, may be revoked by a Participant and a new election substituted therefore as permitted by the Administration Committee, but in no event may a new election with respect to a specific amount subject to a Scheduled Distribution Date provided for in Section 3-6(i)(a) and/or form of distribution provided for in Section 3-6(ii) be made more often than once in any twelve (12)-month period.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undersigned hereby adopts this AMENDMENT NO. 2 TO THE TI DEFERRED COMPENSATION PLAN on this 30th day of July, 2012, effective as of the date set forth above, reflecting an amendment adopted pursuant to authority delegated by the Board of Directors of 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DARLA WHITAKER</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Darla Whitaker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333333"/>
        </w:rPr>
        <w:t>Senior Vice President - Human Resources</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80"/>
        <w:spacing w:after="0" w:line="27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2, 2012</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20" w:firstLine="8"/>
        <w:spacing w:after="0" w:line="277" w:lineRule="auto"/>
        <w:tabs>
          <w:tab w:leader="none" w:pos="1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2, 2012</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200"/>
        <w:spacing w:after="0" w:line="26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2012,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00" w:hanging="260"/>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2, 2012</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200"/>
        <w:spacing w:after="0" w:line="26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2012,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00" w:hanging="260"/>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November 2, 2012</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5"/>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lowerLetter"/>
      <w:start w:val="1"/>
    </w:lvl>
    <w:lvl w:ilvl="1">
      <w:lvlJc w:val="left"/>
      <w:lvlText w:val="%2)"/>
      <w:numFmt w:val="lowerLetter"/>
      <w:start w:val="1"/>
    </w:lvl>
  </w:abstractNum>
  <w:abstractNum w:abstractNumId="25">
    <w:nsid w:val="54E49EB4"/>
    <w:multiLevelType w:val="hybridMultilevel"/>
    <w:lvl w:ilvl="0">
      <w:lvlJc w:val="left"/>
      <w:lvlText w:val="%1)"/>
      <w:numFmt w:val="lowerLetter"/>
      <w:start w:val="2"/>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2019-12-09T07:35:39Z</dcterms:created>
  <dcterms:modified xsi:type="dcterms:W3CDTF">2019-12-09T07:35:39Z</dcterms:modified>
</cp:coreProperties>
</file>