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2"/>
        <w:spacing w:after="0"/>
        <w:rPr>
          <w:sz w:val="20"/>
          <w:szCs w:val="20"/>
          <w:color w:val="auto"/>
        </w:rPr>
      </w:pPr>
      <w:r>
        <w:rPr>
          <w:rFonts w:ascii="Arial" w:cs="Arial" w:eastAsia="Arial" w:hAnsi="Arial"/>
          <w:sz w:val="16"/>
          <w:szCs w:val="16"/>
          <w:color w:val="auto"/>
        </w:rPr>
        <w:t>SCHEDULE 14A</w:t>
      </w:r>
    </w:p>
    <w:p>
      <w:pPr>
        <w:spacing w:after="0" w:line="228" w:lineRule="exact"/>
        <w:rPr>
          <w:sz w:val="24"/>
          <w:szCs w:val="24"/>
          <w:color w:val="auto"/>
        </w:rPr>
      </w:pPr>
    </w:p>
    <w:p>
      <w:pPr>
        <w:jc w:val="center"/>
        <w:ind w:right="-262"/>
        <w:spacing w:after="0"/>
        <w:rPr>
          <w:sz w:val="20"/>
          <w:szCs w:val="20"/>
          <w:color w:val="auto"/>
        </w:rPr>
      </w:pPr>
      <w:r>
        <w:rPr>
          <w:rFonts w:ascii="Arial" w:cs="Arial" w:eastAsia="Arial" w:hAnsi="Arial"/>
          <w:sz w:val="16"/>
          <w:szCs w:val="16"/>
          <w:color w:val="auto"/>
        </w:rPr>
        <w:t>(Rule 14a-101)</w:t>
      </w:r>
    </w:p>
    <w:p>
      <w:pPr>
        <w:spacing w:after="0" w:line="228" w:lineRule="exact"/>
        <w:rPr>
          <w:sz w:val="24"/>
          <w:szCs w:val="24"/>
          <w:color w:val="auto"/>
        </w:rPr>
      </w:pPr>
    </w:p>
    <w:p>
      <w:pPr>
        <w:jc w:val="center"/>
        <w:ind w:right="-262"/>
        <w:spacing w:after="0"/>
        <w:rPr>
          <w:sz w:val="20"/>
          <w:szCs w:val="20"/>
          <w:color w:val="auto"/>
        </w:rPr>
      </w:pPr>
      <w:r>
        <w:rPr>
          <w:rFonts w:ascii="Arial" w:cs="Arial" w:eastAsia="Arial" w:hAnsi="Arial"/>
          <w:sz w:val="15"/>
          <w:szCs w:val="15"/>
          <w:color w:val="auto"/>
        </w:rPr>
        <w:t>INFORMATION REQUIRED IN PROXY STATEMENT</w:t>
      </w:r>
    </w:p>
    <w:p>
      <w:pPr>
        <w:spacing w:after="0" w:line="240" w:lineRule="exact"/>
        <w:rPr>
          <w:sz w:val="24"/>
          <w:szCs w:val="24"/>
          <w:color w:val="auto"/>
        </w:rPr>
      </w:pPr>
    </w:p>
    <w:p>
      <w:pPr>
        <w:jc w:val="center"/>
        <w:ind w:right="-242"/>
        <w:spacing w:after="0"/>
        <w:rPr>
          <w:sz w:val="20"/>
          <w:szCs w:val="20"/>
          <w:color w:val="auto"/>
        </w:rPr>
      </w:pPr>
      <w:r>
        <w:rPr>
          <w:rFonts w:ascii="Arial" w:cs="Arial" w:eastAsia="Arial" w:hAnsi="Arial"/>
          <w:sz w:val="16"/>
          <w:szCs w:val="16"/>
          <w:color w:val="auto"/>
        </w:rPr>
        <w:t>SCHEDULE 14A INFORMATION</w:t>
      </w:r>
    </w:p>
    <w:p>
      <w:pPr>
        <w:spacing w:after="0" w:line="228" w:lineRule="exact"/>
        <w:rPr>
          <w:sz w:val="24"/>
          <w:szCs w:val="24"/>
          <w:color w:val="auto"/>
        </w:rPr>
      </w:pPr>
    </w:p>
    <w:p>
      <w:pPr>
        <w:jc w:val="center"/>
        <w:ind w:right="-262"/>
        <w:spacing w:after="0"/>
        <w:rPr>
          <w:sz w:val="20"/>
          <w:szCs w:val="20"/>
          <w:color w:val="auto"/>
        </w:rPr>
      </w:pPr>
      <w:r>
        <w:rPr>
          <w:rFonts w:ascii="Arial" w:cs="Arial" w:eastAsia="Arial" w:hAnsi="Arial"/>
          <w:sz w:val="16"/>
          <w:szCs w:val="16"/>
          <w:color w:val="auto"/>
        </w:rPr>
        <w:t>Proxy Statement Pursuant to Section 14(a) of the</w:t>
      </w:r>
    </w:p>
    <w:p>
      <w:pPr>
        <w:spacing w:after="0" w:line="16" w:lineRule="exact"/>
        <w:rPr>
          <w:sz w:val="24"/>
          <w:szCs w:val="24"/>
          <w:color w:val="auto"/>
        </w:rPr>
      </w:pPr>
    </w:p>
    <w:p>
      <w:pPr>
        <w:jc w:val="center"/>
        <w:ind w:right="-242"/>
        <w:spacing w:after="0"/>
        <w:rPr>
          <w:sz w:val="20"/>
          <w:szCs w:val="20"/>
          <w:color w:val="auto"/>
        </w:rPr>
      </w:pPr>
      <w:r>
        <w:rPr>
          <w:rFonts w:ascii="Arial" w:cs="Arial" w:eastAsia="Arial" w:hAnsi="Arial"/>
          <w:sz w:val="15"/>
          <w:szCs w:val="15"/>
          <w:color w:val="auto"/>
        </w:rPr>
        <w:t>Securities Exchange Act of 1934 (Amendment No. )</w:t>
      </w:r>
    </w:p>
    <w:p>
      <w:pPr>
        <w:spacing w:after="0" w:line="245" w:lineRule="exact"/>
        <w:rPr>
          <w:sz w:val="24"/>
          <w:szCs w:val="24"/>
          <w:color w:val="auto"/>
        </w:rPr>
      </w:pPr>
    </w:p>
    <w:p>
      <w:pPr>
        <w:ind w:left="3"/>
        <w:spacing w:after="0"/>
        <w:rPr>
          <w:sz w:val="20"/>
          <w:szCs w:val="20"/>
          <w:color w:val="auto"/>
        </w:rPr>
      </w:pPr>
      <w:r>
        <w:rPr>
          <w:rFonts w:ascii="Arial" w:cs="Arial" w:eastAsia="Arial" w:hAnsi="Arial"/>
          <w:sz w:val="16"/>
          <w:szCs w:val="16"/>
          <w:color w:val="auto"/>
        </w:rPr>
        <w:t>Filed by the Registrant [X]</w:t>
      </w:r>
    </w:p>
    <w:p>
      <w:pPr>
        <w:spacing w:after="0" w:line="34" w:lineRule="exact"/>
        <w:rPr>
          <w:sz w:val="24"/>
          <w:szCs w:val="24"/>
          <w:color w:val="auto"/>
        </w:rPr>
      </w:pPr>
    </w:p>
    <w:p>
      <w:pPr>
        <w:ind w:left="3"/>
        <w:spacing w:after="0"/>
        <w:rPr>
          <w:sz w:val="20"/>
          <w:szCs w:val="20"/>
          <w:color w:val="auto"/>
        </w:rPr>
      </w:pPr>
      <w:r>
        <w:rPr>
          <w:rFonts w:ascii="Arial" w:cs="Arial" w:eastAsia="Arial" w:hAnsi="Arial"/>
          <w:sz w:val="16"/>
          <w:szCs w:val="16"/>
          <w:color w:val="auto"/>
        </w:rPr>
        <w:t>Filed by a Party other than the Registrant [  ]</w:t>
      </w:r>
    </w:p>
    <w:p>
      <w:pPr>
        <w:sectPr>
          <w:pgSz w:w="11900" w:h="16838" w:orient="portrait"/>
          <w:cols w:equalWidth="0" w:num="1">
            <w:col w:w="11183"/>
          </w:cols>
          <w:pgMar w:left="237" w:top="446" w:right="479" w:bottom="1440" w:gutter="0" w:footer="0" w:header="0"/>
        </w:sectPr>
      </w:pPr>
    </w:p>
    <w:p>
      <w:pPr>
        <w:spacing w:after="0" w:line="253" w:lineRule="exact"/>
        <w:rPr>
          <w:sz w:val="24"/>
          <w:szCs w:val="24"/>
          <w:color w:val="auto"/>
        </w:rPr>
      </w:pPr>
    </w:p>
    <w:p>
      <w:pPr>
        <w:ind w:left="3"/>
        <w:spacing w:after="0"/>
        <w:rPr>
          <w:sz w:val="20"/>
          <w:szCs w:val="20"/>
          <w:color w:val="auto"/>
        </w:rPr>
      </w:pPr>
      <w:r>
        <w:rPr>
          <w:rFonts w:ascii="Arial" w:cs="Arial" w:eastAsia="Arial" w:hAnsi="Arial"/>
          <w:sz w:val="16"/>
          <w:szCs w:val="16"/>
          <w:color w:val="auto"/>
        </w:rPr>
        <w:t>Check the appropriate box:</w:t>
      </w:r>
    </w:p>
    <w:p>
      <w:pPr>
        <w:spacing w:after="0" w:line="34" w:lineRule="exact"/>
        <w:rPr>
          <w:sz w:val="24"/>
          <w:szCs w:val="24"/>
          <w:color w:val="auto"/>
        </w:rPr>
      </w:pPr>
    </w:p>
    <w:p>
      <w:pPr>
        <w:ind w:left="3"/>
        <w:spacing w:after="0"/>
        <w:tabs>
          <w:tab w:leader="none" w:pos="463"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4"/>
          <w:szCs w:val="14"/>
          <w:color w:val="auto"/>
        </w:rPr>
        <w:t>Preliminary Proxy Statement</w:t>
      </w:r>
    </w:p>
    <w:p>
      <w:pPr>
        <w:spacing w:after="0" w:line="22" w:lineRule="exact"/>
        <w:rPr>
          <w:sz w:val="24"/>
          <w:szCs w:val="24"/>
          <w:color w:val="auto"/>
        </w:rPr>
      </w:pPr>
    </w:p>
    <w:p>
      <w:pPr>
        <w:ind w:left="3"/>
        <w:spacing w:after="0"/>
        <w:tabs>
          <w:tab w:leader="none" w:pos="463"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4"/>
          <w:szCs w:val="14"/>
          <w:color w:val="auto"/>
        </w:rPr>
        <w:t>Confidential, For Use of the</w:t>
      </w:r>
    </w:p>
    <w:p>
      <w:pPr>
        <w:spacing w:after="0" w:line="16" w:lineRule="exact"/>
        <w:rPr>
          <w:sz w:val="24"/>
          <w:szCs w:val="24"/>
          <w:color w:val="auto"/>
        </w:rPr>
      </w:pPr>
    </w:p>
    <w:p>
      <w:pPr>
        <w:ind w:left="483"/>
        <w:spacing w:after="0"/>
        <w:rPr>
          <w:sz w:val="20"/>
          <w:szCs w:val="20"/>
          <w:color w:val="auto"/>
        </w:rPr>
      </w:pPr>
      <w:r>
        <w:rPr>
          <w:rFonts w:ascii="Arial" w:cs="Arial" w:eastAsia="Arial" w:hAnsi="Arial"/>
          <w:sz w:val="14"/>
          <w:szCs w:val="14"/>
          <w:color w:val="auto"/>
        </w:rPr>
        <w:t>Commission Only (as permitted</w:t>
      </w:r>
    </w:p>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auto"/>
        </w:rPr>
        <w:t>by Rule 14a-6(e)(2))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5"/>
          <w:szCs w:val="15"/>
          <w:color w:val="auto"/>
        </w:rPr>
        <w:t>[  ] Soliciting Material Under Rule 14a-12</w:t>
      </w:r>
    </w:p>
    <w:p>
      <w:pPr>
        <w:spacing w:after="0" w:line="628" w:lineRule="exact"/>
        <w:rPr>
          <w:sz w:val="24"/>
          <w:szCs w:val="24"/>
          <w:color w:val="auto"/>
        </w:rPr>
      </w:pPr>
    </w:p>
    <w:p>
      <w:pPr>
        <w:sectPr>
          <w:pgSz w:w="11900" w:h="16838" w:orient="portrait"/>
          <w:cols w:equalWidth="0" w:num="2">
            <w:col w:w="2503" w:space="400"/>
            <w:col w:w="8280"/>
          </w:cols>
          <w:pgMar w:left="237" w:top="446" w:right="479" w:bottom="1440" w:gutter="0" w:footer="0" w:header="0"/>
          <w:type w:val="continuous"/>
        </w:sectPr>
      </w:pPr>
    </w:p>
    <w:p>
      <w:pPr>
        <w:ind w:left="483" w:hanging="483"/>
        <w:spacing w:after="0"/>
        <w:tabs>
          <w:tab w:leader="none" w:pos="483"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34" w:lineRule="exact"/>
        <w:rPr>
          <w:sz w:val="24"/>
          <w:szCs w:val="24"/>
          <w:color w:val="auto"/>
        </w:rPr>
      </w:pPr>
    </w:p>
    <w:p>
      <w:pPr>
        <w:ind w:left="3"/>
        <w:spacing w:after="0"/>
        <w:tabs>
          <w:tab w:leader="none" w:pos="463"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5"/>
          <w:szCs w:val="15"/>
          <w:color w:val="auto"/>
        </w:rPr>
        <w:t>Definitive Additional Materials</w:t>
      </w:r>
    </w:p>
    <w:p>
      <w:pPr>
        <w:spacing w:after="0" w:line="253" w:lineRule="exact"/>
        <w:rPr>
          <w:sz w:val="24"/>
          <w:szCs w:val="24"/>
          <w:color w:val="auto"/>
        </w:rPr>
      </w:pPr>
    </w:p>
    <w:p>
      <w:pPr>
        <w:jc w:val="center"/>
        <w:ind w:right="-262"/>
        <w:spacing w:after="0"/>
        <w:rPr>
          <w:sz w:val="20"/>
          <w:szCs w:val="20"/>
          <w:color w:val="auto"/>
        </w:rPr>
      </w:pPr>
      <w:r>
        <w:rPr>
          <w:rFonts w:ascii="Arial" w:cs="Arial" w:eastAsia="Arial" w:hAnsi="Arial"/>
          <w:sz w:val="16"/>
          <w:szCs w:val="16"/>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223520</wp:posOffset>
            </wp:positionH>
            <wp:positionV relativeFrom="paragraph">
              <wp:posOffset>19685</wp:posOffset>
            </wp:positionV>
            <wp:extent cx="68218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1805" cy="7620"/>
                    </a:xfrm>
                    <a:prstGeom prst="rect">
                      <a:avLst/>
                    </a:prstGeom>
                    <a:noFill/>
                  </pic:spPr>
                </pic:pic>
              </a:graphicData>
            </a:graphic>
          </wp:anchor>
        </w:drawing>
      </w:r>
    </w:p>
    <w:p>
      <w:pPr>
        <w:spacing w:after="0" w:line="26" w:lineRule="exact"/>
        <w:rPr>
          <w:sz w:val="24"/>
          <w:szCs w:val="24"/>
          <w:color w:val="auto"/>
        </w:rPr>
      </w:pPr>
    </w:p>
    <w:p>
      <w:pPr>
        <w:jc w:val="center"/>
        <w:ind w:right="-262"/>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223520</wp:posOffset>
            </wp:positionH>
            <wp:positionV relativeFrom="paragraph">
              <wp:posOffset>297180</wp:posOffset>
            </wp:positionV>
            <wp:extent cx="68218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1805" cy="762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262"/>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53" w:lineRule="exact"/>
        <w:rPr>
          <w:sz w:val="24"/>
          <w:szCs w:val="24"/>
          <w:color w:val="auto"/>
        </w:rPr>
      </w:pPr>
    </w:p>
    <w:p>
      <w:pPr>
        <w:ind w:left="3"/>
        <w:spacing w:after="0"/>
        <w:rPr>
          <w:sz w:val="20"/>
          <w:szCs w:val="20"/>
          <w:color w:val="auto"/>
        </w:rPr>
      </w:pPr>
      <w:r>
        <w:rPr>
          <w:rFonts w:ascii="Arial" w:cs="Arial" w:eastAsia="Arial" w:hAnsi="Arial"/>
          <w:sz w:val="16"/>
          <w:szCs w:val="16"/>
          <w:color w:val="auto"/>
        </w:rPr>
        <w:t>Payment of Filing Fee (Check the appropriate box):</w:t>
      </w:r>
    </w:p>
    <w:p>
      <w:pPr>
        <w:spacing w:after="0" w:line="34" w:lineRule="exact"/>
        <w:rPr>
          <w:sz w:val="24"/>
          <w:szCs w:val="24"/>
          <w:color w:val="auto"/>
        </w:rPr>
      </w:pPr>
    </w:p>
    <w:p>
      <w:pPr>
        <w:ind w:left="463" w:hanging="451"/>
        <w:spacing w:after="0"/>
        <w:tabs>
          <w:tab w:leader="none" w:pos="463"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34" w:lineRule="exact"/>
        <w:rPr>
          <w:sz w:val="24"/>
          <w:szCs w:val="24"/>
          <w:color w:val="auto"/>
        </w:rPr>
      </w:pPr>
    </w:p>
    <w:p>
      <w:pPr>
        <w:ind w:left="183" w:hanging="176"/>
        <w:spacing w:after="0"/>
        <w:tabs>
          <w:tab w:leader="none" w:pos="183" w:val="left"/>
        </w:tabs>
        <w:numPr>
          <w:ilvl w:val="0"/>
          <w:numId w:val="3"/>
        </w:numPr>
        <w:rPr>
          <w:rFonts w:ascii="Arial" w:cs="Arial" w:eastAsia="Arial" w:hAnsi="Arial"/>
          <w:sz w:val="16"/>
          <w:szCs w:val="16"/>
          <w:color w:val="auto"/>
        </w:rPr>
      </w:pPr>
      <w:r>
        <w:rPr>
          <w:rFonts w:ascii="Arial" w:cs="Arial" w:eastAsia="Arial" w:hAnsi="Arial"/>
          <w:sz w:val="16"/>
          <w:szCs w:val="16"/>
          <w:color w:val="auto"/>
        </w:rPr>
        <w:t>]   Fee computed on table below per Exchange Act Rules 14a-6(i)(4) and 0-11.</w:t>
      </w:r>
    </w:p>
    <w:p>
      <w:pPr>
        <w:spacing w:after="0" w:line="34" w:lineRule="exact"/>
        <w:rPr>
          <w:rFonts w:ascii="Arial" w:cs="Arial" w:eastAsia="Arial" w:hAnsi="Arial"/>
          <w:sz w:val="16"/>
          <w:szCs w:val="16"/>
          <w:color w:val="auto"/>
        </w:rPr>
      </w:pPr>
    </w:p>
    <w:p>
      <w:pPr>
        <w:ind w:left="903" w:hanging="428"/>
        <w:spacing w:after="0"/>
        <w:tabs>
          <w:tab w:leader="none" w:pos="903"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88" w:lineRule="exact"/>
        <w:rPr>
          <w:rFonts w:ascii="Arial" w:cs="Arial" w:eastAsia="Arial" w:hAnsi="Arial"/>
          <w:sz w:val="16"/>
          <w:szCs w:val="16"/>
          <w:color w:val="auto"/>
        </w:rPr>
      </w:pPr>
    </w:p>
    <w:p>
      <w:pPr>
        <w:ind w:left="903" w:hanging="428"/>
        <w:spacing w:after="0"/>
        <w:tabs>
          <w:tab w:leader="none" w:pos="903"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64" w:lineRule="exact"/>
        <w:rPr>
          <w:rFonts w:ascii="Arial" w:cs="Arial" w:eastAsia="Arial" w:hAnsi="Arial"/>
          <w:sz w:val="16"/>
          <w:szCs w:val="16"/>
          <w:color w:val="auto"/>
        </w:rPr>
      </w:pPr>
    </w:p>
    <w:p>
      <w:pPr>
        <w:ind w:left="903" w:hanging="428"/>
        <w:spacing w:after="0" w:line="306" w:lineRule="auto"/>
        <w:tabs>
          <w:tab w:leader="none" w:pos="903"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6"/>
          <w:szCs w:val="16"/>
          <w:color w:val="auto"/>
        </w:rPr>
      </w:pPr>
    </w:p>
    <w:p>
      <w:pPr>
        <w:ind w:left="903" w:hanging="428"/>
        <w:spacing w:after="0"/>
        <w:tabs>
          <w:tab w:leader="none" w:pos="903"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64" w:lineRule="exact"/>
        <w:rPr>
          <w:rFonts w:ascii="Arial" w:cs="Arial" w:eastAsia="Arial" w:hAnsi="Arial"/>
          <w:sz w:val="16"/>
          <w:szCs w:val="16"/>
          <w:color w:val="auto"/>
        </w:rPr>
      </w:pPr>
    </w:p>
    <w:p>
      <w:pPr>
        <w:ind w:left="903" w:hanging="428"/>
        <w:spacing w:after="0"/>
        <w:tabs>
          <w:tab w:leader="none" w:pos="903"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569595</wp:posOffset>
            </wp:positionH>
            <wp:positionV relativeFrom="paragraph">
              <wp:posOffset>158115</wp:posOffset>
            </wp:positionV>
            <wp:extent cx="66909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90995" cy="7620"/>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-125730</wp:posOffset>
            </wp:positionV>
            <wp:extent cx="66909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0995" cy="7620"/>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-410845</wp:posOffset>
            </wp:positionV>
            <wp:extent cx="66909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0995" cy="7620"/>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-834390</wp:posOffset>
            </wp:positionV>
            <wp:extent cx="66909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90995" cy="7620"/>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-1118870</wp:posOffset>
            </wp:positionV>
            <wp:extent cx="66909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90995" cy="7620"/>
                    </a:xfrm>
                    <a:prstGeom prst="rect">
                      <a:avLst/>
                    </a:prstGeom>
                    <a:noFill/>
                  </pic:spPr>
                </pic:pic>
              </a:graphicData>
            </a:graphic>
          </wp:anchor>
        </w:drawing>
      </w:r>
    </w:p>
    <w:p>
      <w:pPr>
        <w:spacing w:after="0" w:line="233" w:lineRule="exact"/>
        <w:rPr>
          <w:sz w:val="24"/>
          <w:szCs w:val="24"/>
          <w:color w:val="auto"/>
        </w:rPr>
      </w:pPr>
    </w:p>
    <w:p>
      <w:pPr>
        <w:ind w:left="3"/>
        <w:spacing w:after="0"/>
        <w:tabs>
          <w:tab w:leader="none" w:pos="443"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4"/>
          <w:szCs w:val="14"/>
          <w:color w:val="auto"/>
        </w:rPr>
        <w:t>Fee paid previously with preliminary materials:</w:t>
      </w:r>
    </w:p>
    <w:p>
      <w:pPr>
        <w:spacing w:after="0" w:line="22" w:lineRule="exact"/>
        <w:rPr>
          <w:sz w:val="24"/>
          <w:szCs w:val="24"/>
          <w:color w:val="auto"/>
        </w:rPr>
      </w:pPr>
    </w:p>
    <w:p>
      <w:pPr>
        <w:ind w:left="463" w:hanging="456"/>
        <w:spacing w:after="0" w:line="260" w:lineRule="auto"/>
        <w:tabs>
          <w:tab w:leader="none" w:pos="168" w:val="left"/>
        </w:tabs>
        <w:numPr>
          <w:ilvl w:val="0"/>
          <w:numId w:val="4"/>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903" w:hanging="430"/>
        <w:spacing w:after="0"/>
        <w:tabs>
          <w:tab w:leader="none" w:pos="903" w:val="left"/>
        </w:tabs>
        <w:numPr>
          <w:ilvl w:val="1"/>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37" w:lineRule="exact"/>
        <w:rPr>
          <w:rFonts w:ascii="Arial" w:cs="Arial" w:eastAsia="Arial" w:hAnsi="Arial"/>
          <w:sz w:val="16"/>
          <w:szCs w:val="16"/>
          <w:color w:val="auto"/>
        </w:rPr>
      </w:pPr>
    </w:p>
    <w:p>
      <w:pPr>
        <w:ind w:left="903" w:hanging="430"/>
        <w:spacing w:after="0"/>
        <w:tabs>
          <w:tab w:leader="none" w:pos="903"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76" w:lineRule="exact"/>
        <w:rPr>
          <w:rFonts w:ascii="Arial" w:cs="Arial" w:eastAsia="Arial" w:hAnsi="Arial"/>
          <w:sz w:val="16"/>
          <w:szCs w:val="16"/>
          <w:color w:val="auto"/>
        </w:rPr>
      </w:pPr>
    </w:p>
    <w:p>
      <w:pPr>
        <w:ind w:left="903" w:hanging="430"/>
        <w:spacing w:after="0"/>
        <w:tabs>
          <w:tab w:leader="none" w:pos="903" w:val="left"/>
        </w:tabs>
        <w:numPr>
          <w:ilvl w:val="1"/>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76" w:lineRule="exact"/>
        <w:rPr>
          <w:rFonts w:ascii="Arial" w:cs="Arial" w:eastAsia="Arial" w:hAnsi="Arial"/>
          <w:sz w:val="16"/>
          <w:szCs w:val="16"/>
          <w:color w:val="auto"/>
        </w:rPr>
      </w:pPr>
    </w:p>
    <w:p>
      <w:pPr>
        <w:ind w:left="903" w:hanging="430"/>
        <w:spacing w:after="0"/>
        <w:tabs>
          <w:tab w:leader="none" w:pos="903" w:val="left"/>
        </w:tabs>
        <w:numPr>
          <w:ilvl w:val="1"/>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569595</wp:posOffset>
            </wp:positionH>
            <wp:positionV relativeFrom="paragraph">
              <wp:posOffset>158115</wp:posOffset>
            </wp:positionV>
            <wp:extent cx="66909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90995" cy="7620"/>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-125730</wp:posOffset>
            </wp:positionV>
            <wp:extent cx="66909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90995" cy="7620"/>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-418465</wp:posOffset>
            </wp:positionV>
            <wp:extent cx="66909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0995" cy="7620"/>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-711200</wp:posOffset>
            </wp:positionV>
            <wp:extent cx="66909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09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363855</wp:posOffset>
            </wp:positionV>
            <wp:extent cx="728091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183"/>
          </w:cols>
          <w:pgMar w:left="237" w:top="446"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April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127000</wp:posOffset>
            </wp:positionV>
            <wp:extent cx="7260590" cy="662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0590"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192" w:lineRule="exact"/>
        <w:rPr>
          <w:sz w:val="20"/>
          <w:szCs w:val="20"/>
          <w:color w:val="auto"/>
        </w:rPr>
      </w:pPr>
    </w:p>
    <w:p>
      <w:pPr>
        <w:ind w:right="400"/>
        <w:spacing w:after="0" w:line="243" w:lineRule="auto"/>
        <w:rPr>
          <w:sz w:val="20"/>
          <w:szCs w:val="20"/>
          <w:color w:val="auto"/>
        </w:rPr>
      </w:pPr>
      <w:r>
        <w:rPr>
          <w:rFonts w:ascii="Arial" w:cs="Arial" w:eastAsia="Arial" w:hAnsi="Arial"/>
          <w:sz w:val="16"/>
          <w:szCs w:val="16"/>
          <w:color w:val="auto"/>
        </w:rPr>
        <w:t>You are cordially invited to attend the 2012 annual meeting of stockholders on Thursday, April 19, 2012, at the cafeteria on our property at 12500 TI Boulevard, Dallas, Texas, at 10:00 a.m. (Dallas time). At the meeting we will consider and act upon the following matters: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election of directors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advisory approval of the company’s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1880"/>
        <w:spacing w:after="0" w:line="259" w:lineRule="auto"/>
        <w:rPr>
          <w:sz w:val="20"/>
          <w:szCs w:val="20"/>
          <w:color w:val="auto"/>
        </w:rPr>
      </w:pPr>
      <w:r>
        <w:rPr>
          <w:rFonts w:ascii="Arial" w:cs="Arial" w:eastAsia="Arial" w:hAnsi="Arial"/>
          <w:sz w:val="16"/>
          <w:szCs w:val="16"/>
          <w:color w:val="auto"/>
        </w:rPr>
        <w:t>ratification of the appointment of Ernst &amp; Young LLP as the company’s independent registered public accounting firm for 2012, and such other matters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-219710</wp:posOffset>
            </wp:positionV>
            <wp:extent cx="56515" cy="56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177800</wp:posOffset>
            </wp:positionH>
            <wp:positionV relativeFrom="paragraph">
              <wp:posOffset>-96520</wp:posOffset>
            </wp:positionV>
            <wp:extent cx="56515" cy="56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Stockholders of record at the close of business on February 21, 2012, are entitled to vote at the annual meeting.</w:t>
      </w:r>
    </w:p>
    <w:p>
      <w:pPr>
        <w:spacing w:after="0" w:line="17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We urge you to vote your shares as promptly as possible by: (1) accessing the Internet website, (2) calling the toll-free number or (3) signing, dating and mailing the enclosed proxy.</w:t>
      </w:r>
    </w:p>
    <w:p>
      <w:pPr>
        <w:spacing w:after="0" w:line="165"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5087620</wp:posOffset>
            </wp:positionH>
            <wp:positionV relativeFrom="paragraph">
              <wp:posOffset>12065</wp:posOffset>
            </wp:positionV>
            <wp:extent cx="1878965" cy="539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78965"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Joseph F. Hubach</w:t>
      </w:r>
    </w:p>
    <w:p>
      <w:pPr>
        <w:spacing w:after="0" w:line="34"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Senior Vice President,</w:t>
      </w:r>
    </w:p>
    <w:p>
      <w:pPr>
        <w:spacing w:after="0" w:line="34"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Secretary and</w:t>
      </w:r>
    </w:p>
    <w:p>
      <w:pPr>
        <w:spacing w:after="0" w:line="34"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General Counsel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rPr>
          <w:sz w:val="20"/>
          <w:szCs w:val="20"/>
          <w:color w:val="auto"/>
        </w:rPr>
      </w:pPr>
      <w:r>
        <w:rPr>
          <w:rFonts w:ascii="Arial" w:cs="Arial" w:eastAsia="Arial" w:hAnsi="Arial"/>
          <w:sz w:val="16"/>
          <w:szCs w:val="16"/>
          <w:color w:val="auto"/>
        </w:rPr>
        <w:t>March 6, 2012</w:t>
      </w:r>
    </w:p>
    <w:p>
      <w:pPr>
        <w:spacing w:after="0" w:line="235" w:lineRule="exact"/>
        <w:rPr>
          <w:sz w:val="20"/>
          <w:szCs w:val="20"/>
          <w:color w:val="auto"/>
        </w:rPr>
      </w:pPr>
    </w:p>
    <w:p>
      <w:pPr>
        <w:spacing w:after="0"/>
        <w:tabs>
          <w:tab w:leader="none" w:pos="9640"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22" w:right="21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00" w:type="dxa"/>
            <w:vAlign w:val="bottom"/>
            <w:shd w:val="clear" w:color="auto" w:fill="E9E9E9"/>
          </w:tcPr>
          <w:p>
            <w:pPr>
              <w:spacing w:after="0"/>
              <w:rPr>
                <w:sz w:val="20"/>
                <w:szCs w:val="20"/>
                <w:color w:val="auto"/>
              </w:rPr>
            </w:pPr>
            <w:r>
              <w:rPr>
                <w:rFonts w:ascii="Arial" w:cs="Arial" w:eastAsia="Arial" w:hAnsi="Arial"/>
                <w:sz w:val="16"/>
                <w:szCs w:val="16"/>
                <w:color w:val="auto"/>
              </w:rPr>
              <w:t>Voting procedures and quorum</w:t>
            </w:r>
          </w:p>
        </w:tc>
        <w:tc>
          <w:tcPr>
            <w:tcW w:w="1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Outstanding equity awards at fiscal year-end 2011</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82</w:t>
            </w:r>
          </w:p>
        </w:tc>
      </w:tr>
      <w:tr>
        <w:trPr>
          <w:trHeight w:val="211"/>
        </w:trPr>
        <w:tc>
          <w:tcPr>
            <w:tcW w:w="4300" w:type="dxa"/>
            <w:vAlign w:val="bottom"/>
          </w:tcPr>
          <w:p>
            <w:pPr>
              <w:spacing w:after="0"/>
              <w:rPr>
                <w:sz w:val="20"/>
                <w:szCs w:val="20"/>
                <w:color w:val="auto"/>
              </w:rPr>
            </w:pPr>
            <w:r>
              <w:rPr>
                <w:rFonts w:ascii="Arial" w:cs="Arial" w:eastAsia="Arial" w:hAnsi="Arial"/>
                <w:sz w:val="16"/>
                <w:szCs w:val="16"/>
                <w:color w:val="auto"/>
              </w:rPr>
              <w:t>Election of directors</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2011 option exercises and stock vested</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85</w:t>
            </w:r>
          </w:p>
        </w:tc>
      </w:tr>
      <w:tr>
        <w:trPr>
          <w:trHeight w:val="226"/>
        </w:trPr>
        <w:tc>
          <w:tcPr>
            <w:tcW w:w="43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Nominees for directorship</w:t>
            </w:r>
          </w:p>
        </w:tc>
        <w:tc>
          <w:tcPr>
            <w:tcW w:w="1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2011 pension benefits</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85</w:t>
            </w:r>
          </w:p>
        </w:tc>
      </w:tr>
      <w:tr>
        <w:trPr>
          <w:trHeight w:val="211"/>
        </w:trPr>
        <w:tc>
          <w:tcPr>
            <w:tcW w:w="4300" w:type="dxa"/>
            <w:vAlign w:val="bottom"/>
          </w:tcPr>
          <w:p>
            <w:pPr>
              <w:ind w:left="220"/>
              <w:spacing w:after="0"/>
              <w:rPr>
                <w:sz w:val="20"/>
                <w:szCs w:val="20"/>
                <w:color w:val="auto"/>
              </w:rPr>
            </w:pPr>
            <w:r>
              <w:rPr>
                <w:rFonts w:ascii="Arial" w:cs="Arial" w:eastAsia="Arial" w:hAnsi="Arial"/>
                <w:sz w:val="16"/>
                <w:szCs w:val="16"/>
                <w:color w:val="auto"/>
              </w:rPr>
              <w:t>Director nomination process</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2011 non-qualified deferred compensation</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87</w:t>
            </w:r>
          </w:p>
        </w:tc>
      </w:tr>
      <w:tr>
        <w:trPr>
          <w:trHeight w:val="226"/>
        </w:trPr>
        <w:tc>
          <w:tcPr>
            <w:tcW w:w="43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Board diversity and nominee qualifications</w:t>
            </w:r>
          </w:p>
        </w:tc>
        <w:tc>
          <w:tcPr>
            <w:tcW w:w="1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Potential payments upon termination or</w:t>
            </w:r>
          </w:p>
        </w:tc>
        <w:tc>
          <w:tcPr>
            <w:tcW w:w="200" w:type="dxa"/>
            <w:vAlign w:val="bottom"/>
            <w:shd w:val="clear" w:color="auto" w:fill="E9E9E9"/>
          </w:tcPr>
          <w:p>
            <w:pPr>
              <w:spacing w:after="0"/>
              <w:rPr>
                <w:sz w:val="19"/>
                <w:szCs w:val="19"/>
                <w:color w:val="auto"/>
              </w:rPr>
            </w:pPr>
          </w:p>
        </w:tc>
      </w:tr>
      <w:tr>
        <w:trPr>
          <w:trHeight w:val="218"/>
        </w:trPr>
        <w:tc>
          <w:tcPr>
            <w:tcW w:w="4300" w:type="dxa"/>
            <w:vAlign w:val="bottom"/>
          </w:tcPr>
          <w:p>
            <w:pPr>
              <w:ind w:left="220"/>
              <w:spacing w:after="0"/>
              <w:rPr>
                <w:sz w:val="20"/>
                <w:szCs w:val="20"/>
                <w:color w:val="auto"/>
              </w:rPr>
            </w:pPr>
            <w:r>
              <w:rPr>
                <w:rFonts w:ascii="Arial" w:cs="Arial" w:eastAsia="Arial" w:hAnsi="Arial"/>
                <w:sz w:val="16"/>
                <w:szCs w:val="16"/>
                <w:color w:val="auto"/>
              </w:rPr>
              <w:t>Communications with the board</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53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change in control</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shd w:val="clear" w:color="auto" w:fill="E9E9E9"/>
              </w:rPr>
              <w:t>88</w:t>
            </w:r>
          </w:p>
        </w:tc>
      </w:tr>
      <w:tr>
        <w:trPr>
          <w:trHeight w:val="218"/>
        </w:trPr>
        <w:tc>
          <w:tcPr>
            <w:tcW w:w="43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Corporate governance</w:t>
            </w:r>
          </w:p>
        </w:tc>
        <w:tc>
          <w:tcPr>
            <w:tcW w:w="1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Arial" w:cs="Arial" w:eastAsia="Arial" w:hAnsi="Arial"/>
                <w:sz w:val="16"/>
                <w:szCs w:val="16"/>
                <w:color w:val="auto"/>
              </w:rPr>
              <w:t>Audit Committee report</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93</w:t>
            </w:r>
          </w:p>
        </w:tc>
      </w:tr>
      <w:tr>
        <w:trPr>
          <w:trHeight w:val="211"/>
        </w:trPr>
        <w:tc>
          <w:tcPr>
            <w:tcW w:w="4300" w:type="dxa"/>
            <w:vAlign w:val="bottom"/>
          </w:tcPr>
          <w:p>
            <w:pPr>
              <w:ind w:left="220"/>
              <w:spacing w:after="0"/>
              <w:rPr>
                <w:sz w:val="20"/>
                <w:szCs w:val="20"/>
                <w:color w:val="auto"/>
              </w:rPr>
            </w:pPr>
            <w:r>
              <w:rPr>
                <w:rFonts w:ascii="Arial" w:cs="Arial" w:eastAsia="Arial" w:hAnsi="Arial"/>
                <w:sz w:val="16"/>
                <w:szCs w:val="16"/>
                <w:color w:val="auto"/>
              </w:rPr>
              <w:t>Annual meeting attendance</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5380" w:type="dxa"/>
            <w:vAlign w:val="bottom"/>
            <w:shd w:val="clear" w:color="auto" w:fill="E9E9E9"/>
          </w:tcPr>
          <w:p>
            <w:pPr>
              <w:spacing w:after="0"/>
              <w:rPr>
                <w:sz w:val="20"/>
                <w:szCs w:val="20"/>
                <w:color w:val="auto"/>
              </w:rPr>
            </w:pPr>
            <w:r>
              <w:rPr>
                <w:rFonts w:ascii="Arial" w:cs="Arial" w:eastAsia="Arial" w:hAnsi="Arial"/>
                <w:sz w:val="16"/>
                <w:szCs w:val="16"/>
                <w:color w:val="auto"/>
              </w:rPr>
              <w:t>Proposal to ratify appointment of independent</w:t>
            </w:r>
          </w:p>
        </w:tc>
        <w:tc>
          <w:tcPr>
            <w:tcW w:w="200" w:type="dxa"/>
            <w:vAlign w:val="bottom"/>
            <w:shd w:val="clear" w:color="auto" w:fill="E9E9E9"/>
          </w:tcPr>
          <w:p>
            <w:pPr>
              <w:spacing w:after="0"/>
              <w:rPr>
                <w:sz w:val="18"/>
                <w:szCs w:val="18"/>
                <w:color w:val="auto"/>
              </w:rPr>
            </w:pPr>
          </w:p>
        </w:tc>
      </w:tr>
      <w:tr>
        <w:trPr>
          <w:trHeight w:val="226"/>
        </w:trPr>
        <w:tc>
          <w:tcPr>
            <w:tcW w:w="43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Director independence</w:t>
            </w:r>
          </w:p>
        </w:tc>
        <w:tc>
          <w:tcPr>
            <w:tcW w:w="1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registered public accounting firm</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shd w:val="clear" w:color="auto" w:fill="E9E9E9"/>
              </w:rPr>
              <w:t>94</w:t>
            </w:r>
          </w:p>
        </w:tc>
      </w:tr>
      <w:tr>
        <w:trPr>
          <w:trHeight w:val="211"/>
        </w:trPr>
        <w:tc>
          <w:tcPr>
            <w:tcW w:w="4300" w:type="dxa"/>
            <w:vAlign w:val="bottom"/>
          </w:tcPr>
          <w:p>
            <w:pPr>
              <w:spacing w:after="0"/>
              <w:rPr>
                <w:sz w:val="20"/>
                <w:szCs w:val="20"/>
                <w:color w:val="auto"/>
              </w:rPr>
            </w:pPr>
            <w:r>
              <w:rPr>
                <w:rFonts w:ascii="Arial" w:cs="Arial" w:eastAsia="Arial" w:hAnsi="Arial"/>
                <w:sz w:val="16"/>
                <w:szCs w:val="16"/>
                <w:color w:val="auto"/>
              </w:rPr>
              <w:t>Board organization</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61</w:t>
            </w:r>
          </w:p>
        </w:tc>
        <w:tc>
          <w:tcPr>
            <w:tcW w:w="5500" w:type="dxa"/>
            <w:vAlign w:val="bottom"/>
            <w:gridSpan w:val="2"/>
          </w:tcPr>
          <w:p>
            <w:pPr>
              <w:ind w:left="120"/>
              <w:spacing w:after="0"/>
              <w:rPr>
                <w:sz w:val="20"/>
                <w:szCs w:val="20"/>
                <w:color w:val="auto"/>
              </w:rPr>
            </w:pPr>
            <w:r>
              <w:rPr>
                <w:rFonts w:ascii="Arial" w:cs="Arial" w:eastAsia="Arial" w:hAnsi="Arial"/>
                <w:sz w:val="16"/>
                <w:szCs w:val="16"/>
                <w:color w:val="auto"/>
              </w:rPr>
              <w:t>Additional information</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95</w:t>
            </w:r>
          </w:p>
        </w:tc>
      </w:tr>
      <w:tr>
        <w:trPr>
          <w:trHeight w:val="226"/>
        </w:trPr>
        <w:tc>
          <w:tcPr>
            <w:tcW w:w="43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Board and committee meetings</w:t>
            </w:r>
          </w:p>
        </w:tc>
        <w:tc>
          <w:tcPr>
            <w:tcW w:w="1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Voting securities</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95</w:t>
            </w:r>
          </w:p>
        </w:tc>
      </w:tr>
      <w:tr>
        <w:trPr>
          <w:trHeight w:val="211"/>
        </w:trPr>
        <w:tc>
          <w:tcPr>
            <w:tcW w:w="4300" w:type="dxa"/>
            <w:vAlign w:val="bottom"/>
          </w:tcPr>
          <w:p>
            <w:pPr>
              <w:ind w:left="220"/>
              <w:spacing w:after="0"/>
              <w:rPr>
                <w:sz w:val="20"/>
                <w:szCs w:val="20"/>
                <w:color w:val="auto"/>
              </w:rPr>
            </w:pPr>
            <w:r>
              <w:rPr>
                <w:rFonts w:ascii="Arial" w:cs="Arial" w:eastAsia="Arial" w:hAnsi="Arial"/>
                <w:sz w:val="16"/>
                <w:szCs w:val="16"/>
                <w:color w:val="auto"/>
              </w:rPr>
              <w:t>Committees of the board</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Security ownership of certain beneficial owners</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95</w:t>
            </w:r>
          </w:p>
        </w:tc>
      </w:tr>
      <w:tr>
        <w:trPr>
          <w:trHeight w:val="226"/>
        </w:trPr>
        <w:tc>
          <w:tcPr>
            <w:tcW w:w="43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Board leadership structure</w:t>
            </w:r>
          </w:p>
        </w:tc>
        <w:tc>
          <w:tcPr>
            <w:tcW w:w="1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Security ownership of directors and management</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96</w:t>
            </w:r>
          </w:p>
        </w:tc>
      </w:tr>
      <w:tr>
        <w:trPr>
          <w:trHeight w:val="211"/>
        </w:trPr>
        <w:tc>
          <w:tcPr>
            <w:tcW w:w="4300" w:type="dxa"/>
            <w:vAlign w:val="bottom"/>
          </w:tcPr>
          <w:p>
            <w:pPr>
              <w:ind w:left="220"/>
              <w:spacing w:after="0"/>
              <w:rPr>
                <w:sz w:val="20"/>
                <w:szCs w:val="20"/>
                <w:color w:val="auto"/>
              </w:rPr>
            </w:pPr>
            <w:r>
              <w:rPr>
                <w:rFonts w:ascii="Arial" w:cs="Arial" w:eastAsia="Arial" w:hAnsi="Arial"/>
                <w:sz w:val="16"/>
                <w:szCs w:val="16"/>
                <w:color w:val="auto"/>
              </w:rPr>
              <w:t>Risk oversight by the board</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Related person transactions</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97</w:t>
            </w:r>
          </w:p>
        </w:tc>
      </w:tr>
      <w:tr>
        <w:trPr>
          <w:trHeight w:val="226"/>
        </w:trPr>
        <w:tc>
          <w:tcPr>
            <w:tcW w:w="4300" w:type="dxa"/>
            <w:vAlign w:val="bottom"/>
            <w:shd w:val="clear" w:color="auto" w:fill="E9E9E9"/>
          </w:tcPr>
          <w:p>
            <w:pPr>
              <w:spacing w:after="0"/>
              <w:rPr>
                <w:sz w:val="20"/>
                <w:szCs w:val="20"/>
                <w:color w:val="auto"/>
              </w:rPr>
            </w:pPr>
            <w:r>
              <w:rPr>
                <w:rFonts w:ascii="Arial" w:cs="Arial" w:eastAsia="Arial" w:hAnsi="Arial"/>
                <w:sz w:val="16"/>
                <w:szCs w:val="16"/>
                <w:color w:val="auto"/>
              </w:rPr>
              <w:t>Director compensation</w:t>
            </w:r>
          </w:p>
        </w:tc>
        <w:tc>
          <w:tcPr>
            <w:tcW w:w="1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Compensation committee interlocks and</w:t>
            </w:r>
          </w:p>
        </w:tc>
        <w:tc>
          <w:tcPr>
            <w:tcW w:w="200" w:type="dxa"/>
            <w:vAlign w:val="bottom"/>
            <w:shd w:val="clear" w:color="auto" w:fill="E9E9E9"/>
          </w:tcPr>
          <w:p>
            <w:pPr>
              <w:spacing w:after="0"/>
              <w:rPr>
                <w:sz w:val="19"/>
                <w:szCs w:val="19"/>
                <w:color w:val="auto"/>
              </w:rPr>
            </w:pPr>
          </w:p>
        </w:tc>
      </w:tr>
      <w:tr>
        <w:trPr>
          <w:trHeight w:val="218"/>
        </w:trPr>
        <w:tc>
          <w:tcPr>
            <w:tcW w:w="4300" w:type="dxa"/>
            <w:vAlign w:val="bottom"/>
          </w:tcPr>
          <w:p>
            <w:pPr>
              <w:ind w:left="220"/>
              <w:spacing w:after="0"/>
              <w:rPr>
                <w:sz w:val="20"/>
                <w:szCs w:val="20"/>
                <w:color w:val="auto"/>
              </w:rPr>
            </w:pPr>
            <w:r>
              <w:rPr>
                <w:rFonts w:ascii="Arial" w:cs="Arial" w:eastAsia="Arial" w:hAnsi="Arial"/>
                <w:sz w:val="16"/>
                <w:szCs w:val="16"/>
                <w:color w:val="auto"/>
              </w:rPr>
              <w:t>2011 director compensation</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53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insider participation</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shd w:val="clear" w:color="auto" w:fill="E9E9E9"/>
              </w:rPr>
              <w:t>98</w:t>
            </w:r>
          </w:p>
        </w:tc>
      </w:tr>
      <w:tr>
        <w:trPr>
          <w:trHeight w:val="218"/>
        </w:trPr>
        <w:tc>
          <w:tcPr>
            <w:tcW w:w="4300" w:type="dxa"/>
            <w:vAlign w:val="bottom"/>
            <w:shd w:val="clear" w:color="auto" w:fill="E9E9E9"/>
          </w:tcPr>
          <w:p>
            <w:pPr>
              <w:spacing w:after="0"/>
              <w:rPr>
                <w:sz w:val="20"/>
                <w:szCs w:val="20"/>
                <w:color w:val="auto"/>
              </w:rPr>
            </w:pPr>
            <w:r>
              <w:rPr>
                <w:rFonts w:ascii="Arial" w:cs="Arial" w:eastAsia="Arial" w:hAnsi="Arial"/>
                <w:sz w:val="16"/>
                <w:szCs w:val="16"/>
                <w:color w:val="auto"/>
              </w:rPr>
              <w:t>Executive compensation</w:t>
            </w:r>
          </w:p>
        </w:tc>
        <w:tc>
          <w:tcPr>
            <w:tcW w:w="1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Cost of solicitation</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98</w:t>
            </w:r>
          </w:p>
        </w:tc>
      </w:tr>
      <w:tr>
        <w:trPr>
          <w:trHeight w:val="218"/>
        </w:trPr>
        <w:tc>
          <w:tcPr>
            <w:tcW w:w="4300" w:type="dxa"/>
            <w:vAlign w:val="bottom"/>
          </w:tcPr>
          <w:p>
            <w:pPr>
              <w:ind w:left="220"/>
              <w:spacing w:after="0"/>
              <w:rPr>
                <w:sz w:val="20"/>
                <w:szCs w:val="20"/>
                <w:color w:val="auto"/>
              </w:rPr>
            </w:pPr>
            <w:r>
              <w:rPr>
                <w:rFonts w:ascii="Arial" w:cs="Arial" w:eastAsia="Arial" w:hAnsi="Arial"/>
                <w:sz w:val="16"/>
                <w:szCs w:val="16"/>
                <w:color w:val="auto"/>
              </w:rPr>
              <w:t>Proposal regarding advisory approval of</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Stockholder proposals for 2013</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98</w:t>
            </w:r>
          </w:p>
        </w:tc>
      </w:tr>
      <w:tr>
        <w:trPr>
          <w:trHeight w:val="211"/>
        </w:trPr>
        <w:tc>
          <w:tcPr>
            <w:tcW w:w="4300" w:type="dxa"/>
            <w:vAlign w:val="bottom"/>
          </w:tcPr>
          <w:p>
            <w:pPr>
              <w:ind w:left="440"/>
              <w:spacing w:after="0"/>
              <w:rPr>
                <w:sz w:val="20"/>
                <w:szCs w:val="20"/>
                <w:color w:val="auto"/>
              </w:rPr>
            </w:pPr>
            <w:r>
              <w:rPr>
                <w:rFonts w:ascii="Arial" w:cs="Arial" w:eastAsia="Arial" w:hAnsi="Arial"/>
                <w:sz w:val="16"/>
                <w:szCs w:val="16"/>
                <w:color w:val="auto"/>
              </w:rPr>
              <w:t>the company’s executive compensation</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Benefit plan voting</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98</w:t>
            </w:r>
          </w:p>
        </w:tc>
      </w:tr>
      <w:tr>
        <w:trPr>
          <w:trHeight w:val="226"/>
        </w:trPr>
        <w:tc>
          <w:tcPr>
            <w:tcW w:w="4300" w:type="dxa"/>
            <w:vAlign w:val="bottom"/>
            <w:shd w:val="clear" w:color="auto" w:fill="E9E9E9"/>
          </w:tcPr>
          <w:p>
            <w:pPr>
              <w:spacing w:after="0"/>
              <w:rPr>
                <w:sz w:val="20"/>
                <w:szCs w:val="20"/>
                <w:color w:val="auto"/>
              </w:rPr>
            </w:pPr>
            <w:r>
              <w:rPr>
                <w:rFonts w:ascii="Arial" w:cs="Arial" w:eastAsia="Arial" w:hAnsi="Arial"/>
                <w:sz w:val="16"/>
                <w:szCs w:val="16"/>
                <w:color w:val="auto"/>
              </w:rPr>
              <w:t>Compensation discussion and analysis</w:t>
            </w:r>
          </w:p>
        </w:tc>
        <w:tc>
          <w:tcPr>
            <w:tcW w:w="1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Section 16(a) beneficial ownership reporting</w:t>
            </w:r>
          </w:p>
        </w:tc>
        <w:tc>
          <w:tcPr>
            <w:tcW w:w="200" w:type="dxa"/>
            <w:vAlign w:val="bottom"/>
            <w:shd w:val="clear" w:color="auto" w:fill="E9E9E9"/>
          </w:tcPr>
          <w:p>
            <w:pPr>
              <w:spacing w:after="0"/>
              <w:rPr>
                <w:sz w:val="19"/>
                <w:szCs w:val="19"/>
                <w:color w:val="auto"/>
              </w:rPr>
            </w:pPr>
          </w:p>
        </w:tc>
      </w:tr>
      <w:tr>
        <w:trPr>
          <w:trHeight w:val="218"/>
        </w:trPr>
        <w:tc>
          <w:tcPr>
            <w:tcW w:w="4300" w:type="dxa"/>
            <w:vAlign w:val="bottom"/>
          </w:tcPr>
          <w:p>
            <w:pPr>
              <w:spacing w:after="0"/>
              <w:rPr>
                <w:sz w:val="20"/>
                <w:szCs w:val="20"/>
                <w:color w:val="auto"/>
              </w:rPr>
            </w:pPr>
            <w:r>
              <w:rPr>
                <w:rFonts w:ascii="Arial" w:cs="Arial" w:eastAsia="Arial" w:hAnsi="Arial"/>
                <w:sz w:val="16"/>
                <w:szCs w:val="16"/>
                <w:color w:val="auto"/>
              </w:rPr>
              <w:t>Compensation Committee report</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5380" w:type="dxa"/>
            <w:vAlign w:val="bottom"/>
            <w:shd w:val="clear" w:color="auto" w:fill="E9E9E9"/>
          </w:tcPr>
          <w:p>
            <w:pPr>
              <w:ind w:left="440"/>
              <w:spacing w:after="0"/>
              <w:rPr>
                <w:sz w:val="20"/>
                <w:szCs w:val="20"/>
                <w:color w:val="auto"/>
              </w:rPr>
            </w:pPr>
            <w:r>
              <w:rPr>
                <w:rFonts w:ascii="Arial" w:cs="Arial" w:eastAsia="Arial" w:hAnsi="Arial"/>
                <w:sz w:val="16"/>
                <w:szCs w:val="16"/>
                <w:color w:val="auto"/>
              </w:rPr>
              <w:t>compliance</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99</w:t>
            </w:r>
          </w:p>
        </w:tc>
      </w:tr>
      <w:tr>
        <w:trPr>
          <w:trHeight w:val="218"/>
        </w:trPr>
        <w:tc>
          <w:tcPr>
            <w:tcW w:w="4300" w:type="dxa"/>
            <w:vAlign w:val="bottom"/>
            <w:shd w:val="clear" w:color="auto" w:fill="E9E9E9"/>
          </w:tcPr>
          <w:p>
            <w:pPr>
              <w:spacing w:after="0"/>
              <w:rPr>
                <w:sz w:val="20"/>
                <w:szCs w:val="20"/>
                <w:color w:val="auto"/>
              </w:rPr>
            </w:pPr>
            <w:r>
              <w:rPr>
                <w:rFonts w:ascii="Arial" w:cs="Arial" w:eastAsia="Arial" w:hAnsi="Arial"/>
                <w:sz w:val="16"/>
                <w:szCs w:val="16"/>
                <w:color w:val="auto"/>
              </w:rPr>
              <w:t>2011 summary compensation table</w:t>
            </w:r>
          </w:p>
        </w:tc>
        <w:tc>
          <w:tcPr>
            <w:tcW w:w="1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Telephone and Internet voting</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99</w:t>
            </w:r>
          </w:p>
        </w:tc>
      </w:tr>
      <w:tr>
        <w:trPr>
          <w:trHeight w:val="218"/>
        </w:trPr>
        <w:tc>
          <w:tcPr>
            <w:tcW w:w="4300" w:type="dxa"/>
            <w:vAlign w:val="bottom"/>
          </w:tcPr>
          <w:p>
            <w:pPr>
              <w:ind w:left="220"/>
              <w:spacing w:after="0"/>
              <w:rPr>
                <w:sz w:val="20"/>
                <w:szCs w:val="20"/>
                <w:color w:val="auto"/>
              </w:rPr>
            </w:pPr>
            <w:r>
              <w:rPr>
                <w:rFonts w:ascii="Arial" w:cs="Arial" w:eastAsia="Arial" w:hAnsi="Arial"/>
                <w:sz w:val="16"/>
                <w:szCs w:val="16"/>
                <w:color w:val="auto"/>
              </w:rPr>
              <w:t>Grants of plan-based awards in 2011</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5380" w:type="dxa"/>
            <w:vAlign w:val="bottom"/>
            <w:shd w:val="clear" w:color="auto" w:fill="E9E9E9"/>
          </w:tcPr>
          <w:p>
            <w:pPr>
              <w:ind w:left="220"/>
              <w:spacing w:after="0"/>
              <w:rPr>
                <w:sz w:val="20"/>
                <w:szCs w:val="20"/>
                <w:color w:val="auto"/>
              </w:rPr>
            </w:pPr>
            <w:r>
              <w:rPr>
                <w:rFonts w:ascii="Arial" w:cs="Arial" w:eastAsia="Arial" w:hAnsi="Arial"/>
                <w:sz w:val="16"/>
                <w:szCs w:val="16"/>
                <w:color w:val="auto"/>
              </w:rPr>
              <w:t>Stockholders sharing the same address</w:t>
            </w:r>
          </w:p>
        </w:tc>
        <w:tc>
          <w:tcPr>
            <w:tcW w:w="2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99</w:t>
            </w:r>
          </w:p>
        </w:tc>
      </w:tr>
      <w:tr>
        <w:trPr>
          <w:trHeight w:val="204"/>
        </w:trPr>
        <w:tc>
          <w:tcPr>
            <w:tcW w:w="4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Electronic delivery of proxy materials</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163195</wp:posOffset>
            </wp:positionV>
            <wp:extent cx="7260590" cy="53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0590" cy="5397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statement – March 6, 2012</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offices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12500 TI BOULEVARD, DALLAS, TEXAS 75243</w:t>
      </w:r>
    </w:p>
    <w:p>
      <w:pPr>
        <w:spacing w:after="0"/>
        <w:rPr>
          <w:sz w:val="20"/>
          <w:szCs w:val="20"/>
          <w:color w:val="auto"/>
        </w:rPr>
      </w:pPr>
      <w:r>
        <w:rPr>
          <w:rFonts w:ascii="Arial" w:cs="Arial" w:eastAsia="Arial" w:hAnsi="Arial"/>
          <w:sz w:val="16"/>
          <w:szCs w:val="16"/>
          <w:color w:val="auto"/>
        </w:rPr>
        <w:t>MAILING ADDRESS: P.O. BOX 660199, DALLAS, TEXAS 75266-0199</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procedures and quorum</w:t>
      </w:r>
    </w:p>
    <w:p>
      <w:pPr>
        <w:spacing w:after="0" w:line="32"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TI’s board of directors requests your proxy for the annual meeting of stockholders on April 19, 2012.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6, 2012. If you come to the meeting, you can vote in person. If you don’t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21" w:lineRule="exact"/>
        <w:rPr>
          <w:sz w:val="20"/>
          <w:szCs w:val="20"/>
          <w:color w:val="auto"/>
        </w:rPr>
      </w:pPr>
    </w:p>
    <w:p>
      <w:pPr>
        <w:ind w:right="160" w:firstLine="243"/>
        <w:spacing w:after="0" w:line="244" w:lineRule="auto"/>
        <w:rPr>
          <w:sz w:val="20"/>
          <w:szCs w:val="20"/>
          <w:color w:val="auto"/>
        </w:rPr>
      </w:pPr>
      <w:r>
        <w:rPr>
          <w:rFonts w:ascii="Arial" w:cs="Arial" w:eastAsia="Arial" w:hAnsi="Arial"/>
          <w:sz w:val="16"/>
          <w:szCs w:val="16"/>
          <w:color w:val="auto"/>
        </w:rPr>
        <w:t>A quorum of stockholders is necessary to hold a valid meeting. If at least a majority of the shares of TI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16" w:lineRule="exact"/>
        <w:rPr>
          <w:sz w:val="20"/>
          <w:szCs w:val="20"/>
          <w:color w:val="auto"/>
        </w:rPr>
      </w:pPr>
    </w:p>
    <w:p>
      <w:pPr>
        <w:ind w:right="340" w:firstLine="243"/>
        <w:spacing w:after="0" w:line="278" w:lineRule="auto"/>
        <w:rPr>
          <w:sz w:val="20"/>
          <w:szCs w:val="20"/>
          <w:color w:val="auto"/>
        </w:rPr>
      </w:pPr>
      <w:r>
        <w:rPr>
          <w:rFonts w:ascii="Arial" w:cs="Arial" w:eastAsia="Arial" w:hAnsi="Arial"/>
          <w:sz w:val="15"/>
          <w:szCs w:val="15"/>
          <w:color w:val="auto"/>
        </w:rPr>
        <w:t>Scheduled to be considered at the meeting are the election of directors, an advisory vote regarding approval of the company’s executive compensation, and ratification of the appointment of our independent registered public accounting firm. Each of these matters is discussed elsewhere in this proxy statement.</w:t>
      </w:r>
    </w:p>
    <w:p>
      <w:pPr>
        <w:spacing w:after="0" w:line="1" w:lineRule="exact"/>
        <w:rPr>
          <w:sz w:val="20"/>
          <w:szCs w:val="20"/>
          <w:color w:val="auto"/>
        </w:rPr>
      </w:pPr>
    </w:p>
    <w:p>
      <w:pPr>
        <w:ind w:right="340" w:firstLine="243"/>
        <w:spacing w:after="0" w:line="259" w:lineRule="auto"/>
        <w:rPr>
          <w:sz w:val="20"/>
          <w:szCs w:val="20"/>
          <w:color w:val="auto"/>
        </w:rPr>
      </w:pPr>
      <w:r>
        <w:rPr>
          <w:rFonts w:ascii="Arial" w:cs="Arial" w:eastAsia="Arial" w:hAnsi="Arial"/>
          <w:sz w:val="16"/>
          <w:szCs w:val="16"/>
          <w:color w:val="auto"/>
        </w:rPr>
        <w:t>Any other matter that may properly be submitted at the meeting is approved if a majority of the votes present at the meeting vote “for” the proposal. On such matters you may vote “for,” “against” or “abstain”; abstentions and broker non-votes have the same effect as votes “against.”</w:t>
      </w:r>
    </w:p>
    <w:p>
      <w:pPr>
        <w:spacing w:after="0" w:line="192" w:lineRule="exact"/>
        <w:rPr>
          <w:sz w:val="20"/>
          <w:szCs w:val="20"/>
          <w:color w:val="auto"/>
        </w:rPr>
      </w:pPr>
    </w:p>
    <w:p>
      <w:pPr>
        <w:spacing w:after="0"/>
        <w:tabs>
          <w:tab w:leader="none" w:pos="10100" w:val="left"/>
        </w:tabs>
        <w:rPr>
          <w:sz w:val="20"/>
          <w:szCs w:val="20"/>
          <w:color w:val="auto"/>
        </w:rPr>
      </w:pPr>
      <w:r>
        <w:rPr>
          <w:rFonts w:ascii="Arial" w:cs="Arial" w:eastAsia="Arial" w:hAnsi="Arial"/>
          <w:sz w:val="12"/>
          <w:szCs w:val="12"/>
          <w:b w:val="1"/>
          <w:bCs w:val="1"/>
          <w:color w:val="auto"/>
        </w:rPr>
        <w:t xml:space="preserve">56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22" w:right="219" w:bottom="1440" w:gutter="0" w:footer="0" w:header="0"/>
        </w:sectPr>
      </w:pPr>
    </w:p>
    <w:bookmarkStart w:id="3" w:name="page4"/>
    <w:bookmarkEnd w:id="3"/>
    <w:p>
      <w:pPr>
        <w:spacing w:after="0"/>
        <w:rPr>
          <w:sz w:val="20"/>
          <w:szCs w:val="20"/>
          <w:color w:val="auto"/>
        </w:rPr>
      </w:pPr>
      <w:r>
        <w:rPr>
          <w:rFonts w:ascii="Arial" w:cs="Arial" w:eastAsia="Arial" w:hAnsi="Arial"/>
          <w:sz w:val="19"/>
          <w:szCs w:val="19"/>
          <w:b w:val="1"/>
          <w:bCs w:val="1"/>
          <w:color w:val="auto"/>
        </w:rPr>
        <w:t>Election of directors</w:t>
      </w:r>
    </w:p>
    <w:p>
      <w:pPr>
        <w:spacing w:after="0" w:line="32"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color w:val="auto"/>
        </w:rPr>
        <w:t>Directors are elected at the annual meeting to hold office until the next annual meeting and until their successors are elected and qualified. The board of directors has designated the following persons as nominees: RALPH W. BABB, JR., DANIEL A. CARP, CARRIE S. COX, PAMELA H. PATSLEY, ROBERT E. SANCHEZ, WAYNE R. SANDERS, RUTH J. SIMMONS, RICHARD K. TEMPLETON and CHRISTINE TODD WHITMAN. Stephen P. MacMillan, a highly valued director since 2008, resigned from the board in February 2012.</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you return a proxy that is not otherwise marked, your shares will be voted FOR each of the nominees.</w:t>
      </w:r>
    </w:p>
    <w:p>
      <w:pPr>
        <w:spacing w:after="0" w:line="34" w:lineRule="exact"/>
        <w:rPr>
          <w:sz w:val="20"/>
          <w:szCs w:val="20"/>
          <w:color w:val="auto"/>
        </w:rPr>
      </w:pPr>
    </w:p>
    <w:p>
      <w:pPr>
        <w:ind w:right="440" w:firstLine="243"/>
        <w:spacing w:after="0" w:line="259" w:lineRule="auto"/>
        <w:rPr>
          <w:sz w:val="20"/>
          <w:szCs w:val="20"/>
          <w:color w:val="auto"/>
        </w:rPr>
      </w:pPr>
      <w:r>
        <w:rPr>
          <w:rFonts w:ascii="Arial" w:cs="Arial" w:eastAsia="Arial" w:hAnsi="Arial"/>
          <w:sz w:val="16"/>
          <w:szCs w:val="16"/>
          <w:color w:val="auto"/>
        </w:rPr>
        <w:t>Directors must be elected by a majority of the votes present at the meeting and entitled to be cast in the election. You may vote “for,” “against,” or “abstain.” Abstentions have the same effect as votes “against.” Broker non-votes are not counted as votes “for” or “against.”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directorship</w:t>
      </w:r>
    </w:p>
    <w:p>
      <w:pPr>
        <w:spacing w:after="0" w:line="212" w:lineRule="exact"/>
        <w:rPr>
          <w:sz w:val="20"/>
          <w:szCs w:val="20"/>
          <w:color w:val="auto"/>
        </w:rPr>
      </w:pPr>
    </w:p>
    <w:p>
      <w:pPr>
        <w:jc w:val="both"/>
        <w:ind w:right="280"/>
        <w:spacing w:after="0"/>
        <w:rPr>
          <w:sz w:val="20"/>
          <w:szCs w:val="20"/>
          <w:color w:val="auto"/>
        </w:rPr>
      </w:pPr>
      <w:r>
        <w:rPr>
          <w:rFonts w:ascii="Arial" w:cs="Arial" w:eastAsia="Arial" w:hAnsi="Arial"/>
          <w:sz w:val="16"/>
          <w:szCs w:val="16"/>
          <w:color w:val="auto"/>
        </w:rPr>
        <w:t>All of the nominees for directorship are directors of the company. For a discussion of each nominee’s qualifications to serve as a director of the company, please see pages 58-59. If any nominee becomes unable to serve before the meeting, the people named as proxies may vote for a substitute or the number of directors will be reduced accordingly.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60590" cy="53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0590" cy="53975"/>
                    </a:xfrm>
                    <a:prstGeom prst="rect">
                      <a:avLst/>
                    </a:prstGeom>
                    <a:noFill/>
                  </pic:spPr>
                </pic:pic>
              </a:graphicData>
            </a:graphic>
          </wp:anchor>
        </w:drawing>
      </w:r>
    </w:p>
    <w:p>
      <w:pPr>
        <w:sectPr>
          <w:pgSz w:w="11900" w:h="16838" w:orient="portrait"/>
          <w:cols w:equalWidth="0" w:num="1">
            <w:col w:w="11460"/>
          </w:cols>
          <w:pgMar w:left="240" w:top="522" w:right="19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RALPH W. BABB,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739140" cy="901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9140" cy="90106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6"/>
          <w:szCs w:val="16"/>
          <w:color w:val="auto"/>
        </w:rPr>
        <w:t>Age 63</w:t>
      </w:r>
    </w:p>
    <w:p>
      <w:pPr>
        <w:ind w:left="1160"/>
        <w:spacing w:after="0" w:line="237" w:lineRule="auto"/>
        <w:rPr>
          <w:sz w:val="20"/>
          <w:szCs w:val="20"/>
          <w:color w:val="auto"/>
        </w:rPr>
      </w:pPr>
      <w:r>
        <w:rPr>
          <w:rFonts w:ascii="Arial" w:cs="Arial" w:eastAsia="Arial" w:hAnsi="Arial"/>
          <w:sz w:val="16"/>
          <w:szCs w:val="16"/>
          <w:color w:val="auto"/>
        </w:rPr>
        <w:t>Director since 2010</w:t>
      </w:r>
    </w:p>
    <w:p>
      <w:pPr>
        <w:ind w:left="1160"/>
        <w:spacing w:after="0"/>
        <w:rPr>
          <w:sz w:val="20"/>
          <w:szCs w:val="20"/>
          <w:color w:val="auto"/>
        </w:rPr>
      </w:pPr>
      <w:r>
        <w:rPr>
          <w:rFonts w:ascii="Arial" w:cs="Arial" w:eastAsia="Arial" w:hAnsi="Arial"/>
          <w:sz w:val="15"/>
          <w:szCs w:val="15"/>
          <w:i w:val="1"/>
          <w:iCs w:val="1"/>
          <w:color w:val="auto"/>
        </w:rPr>
        <w:t>Member,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WAYNE 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-105410</wp:posOffset>
            </wp:positionV>
            <wp:extent cx="746760" cy="901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6760" cy="9010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Age 64</w:t>
      </w:r>
    </w:p>
    <w:p>
      <w:pPr>
        <w:spacing w:after="0" w:line="237" w:lineRule="auto"/>
        <w:rPr>
          <w:sz w:val="20"/>
          <w:szCs w:val="20"/>
          <w:color w:val="auto"/>
        </w:rPr>
      </w:pPr>
      <w:r>
        <w:rPr>
          <w:rFonts w:ascii="Arial" w:cs="Arial" w:eastAsia="Arial" w:hAnsi="Arial"/>
          <w:sz w:val="16"/>
          <w:szCs w:val="16"/>
          <w:color w:val="auto"/>
        </w:rPr>
        <w:t>Director since 1997</w:t>
      </w:r>
    </w:p>
    <w:p>
      <w:pPr>
        <w:spacing w:after="0"/>
        <w:rPr>
          <w:sz w:val="20"/>
          <w:szCs w:val="20"/>
          <w:color w:val="auto"/>
        </w:rPr>
      </w:pPr>
      <w:r>
        <w:rPr>
          <w:rFonts w:ascii="Arial" w:cs="Arial" w:eastAsia="Arial" w:hAnsi="Arial"/>
          <w:sz w:val="15"/>
          <w:szCs w:val="15"/>
          <w:i w:val="1"/>
          <w:iCs w:val="1"/>
          <w:color w:val="auto"/>
        </w:rPr>
        <w:t>Member, Governance and Stockholder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Relations Committee</w:t>
      </w:r>
    </w:p>
    <w:p>
      <w:pPr>
        <w:spacing w:after="0" w:line="200" w:lineRule="exact"/>
        <w:rPr>
          <w:sz w:val="20"/>
          <w:szCs w:val="20"/>
          <w:color w:val="auto"/>
        </w:rPr>
      </w:pPr>
    </w:p>
    <w:p>
      <w:pPr>
        <w:sectPr>
          <w:pgSz w:w="11900" w:h="16838" w:orient="portrait"/>
          <w:cols w:equalWidth="0" w:num="2">
            <w:col w:w="6280" w:space="720"/>
            <w:col w:w="4460"/>
          </w:cols>
          <w:pgMar w:left="240" w:top="522" w:right="19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DANIEL A. 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739140" cy="908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9140" cy="90868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6"/>
          <w:szCs w:val="16"/>
          <w:color w:val="auto"/>
        </w:rPr>
        <w:t>Age 63</w:t>
      </w:r>
    </w:p>
    <w:p>
      <w:pPr>
        <w:ind w:left="1160"/>
        <w:spacing w:after="0" w:line="237" w:lineRule="auto"/>
        <w:rPr>
          <w:sz w:val="20"/>
          <w:szCs w:val="20"/>
          <w:color w:val="auto"/>
        </w:rPr>
      </w:pPr>
      <w:r>
        <w:rPr>
          <w:rFonts w:ascii="Arial" w:cs="Arial" w:eastAsia="Arial" w:hAnsi="Arial"/>
          <w:sz w:val="16"/>
          <w:szCs w:val="16"/>
          <w:color w:val="auto"/>
        </w:rPr>
        <w:t>Director since 1997</w:t>
      </w:r>
    </w:p>
    <w:p>
      <w:pPr>
        <w:ind w:left="1160"/>
        <w:spacing w:after="0"/>
        <w:rPr>
          <w:sz w:val="20"/>
          <w:szCs w:val="20"/>
          <w:color w:val="auto"/>
        </w:rPr>
      </w:pPr>
      <w:r>
        <w:rPr>
          <w:rFonts w:ascii="Arial" w:cs="Arial" w:eastAsia="Arial" w:hAnsi="Arial"/>
          <w:sz w:val="15"/>
          <w:szCs w:val="15"/>
          <w:i w:val="1"/>
          <w:iCs w:val="1"/>
          <w:color w:val="auto"/>
        </w:rPr>
        <w:t>Member, Governance and Stockholder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6"/>
          <w:szCs w:val="16"/>
          <w:i w:val="1"/>
          <w:iCs w:val="1"/>
          <w:color w:val="auto"/>
        </w:rPr>
        <w:t>Relations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RUTH J.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-105410</wp:posOffset>
            </wp:positionV>
            <wp:extent cx="746760" cy="901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6760" cy="9010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Age 66</w:t>
      </w:r>
    </w:p>
    <w:p>
      <w:pPr>
        <w:spacing w:after="0" w:line="237" w:lineRule="auto"/>
        <w:rPr>
          <w:sz w:val="20"/>
          <w:szCs w:val="20"/>
          <w:color w:val="auto"/>
        </w:rPr>
      </w:pPr>
      <w:r>
        <w:rPr>
          <w:rFonts w:ascii="Arial" w:cs="Arial" w:eastAsia="Arial" w:hAnsi="Arial"/>
          <w:sz w:val="16"/>
          <w:szCs w:val="16"/>
          <w:color w:val="auto"/>
        </w:rPr>
        <w:t>Director since 1999</w:t>
      </w:r>
    </w:p>
    <w:p>
      <w:pPr>
        <w:spacing w:after="0"/>
        <w:rPr>
          <w:sz w:val="20"/>
          <w:szCs w:val="20"/>
          <w:color w:val="auto"/>
        </w:rPr>
      </w:pPr>
      <w:r>
        <w:rPr>
          <w:rFonts w:ascii="Arial" w:cs="Arial" w:eastAsia="Arial" w:hAnsi="Arial"/>
          <w:sz w:val="15"/>
          <w:szCs w:val="15"/>
          <w:i w:val="1"/>
          <w:iCs w:val="1"/>
          <w:color w:val="auto"/>
        </w:rPr>
        <w:t>Member, Compensation Committee</w:t>
      </w:r>
    </w:p>
    <w:p>
      <w:pPr>
        <w:spacing w:after="0" w:line="393" w:lineRule="exact"/>
        <w:rPr>
          <w:sz w:val="20"/>
          <w:szCs w:val="20"/>
          <w:color w:val="auto"/>
        </w:rPr>
      </w:pPr>
    </w:p>
    <w:p>
      <w:pPr>
        <w:sectPr>
          <w:pgSz w:w="11900" w:h="16838" w:orient="portrait"/>
          <w:cols w:equalWidth="0" w:num="2">
            <w:col w:w="6280" w:space="720"/>
            <w:col w:w="4460"/>
          </w:cols>
          <w:pgMar w:left="240" w:top="522" w:right="19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739140" cy="901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9140" cy="90106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6"/>
          <w:szCs w:val="16"/>
          <w:color w:val="auto"/>
        </w:rPr>
        <w:t>Age 54</w:t>
      </w:r>
    </w:p>
    <w:p>
      <w:pPr>
        <w:ind w:left="1160"/>
        <w:spacing w:after="0" w:line="237" w:lineRule="auto"/>
        <w:rPr>
          <w:sz w:val="20"/>
          <w:szCs w:val="20"/>
          <w:color w:val="auto"/>
        </w:rPr>
      </w:pPr>
      <w:r>
        <w:rPr>
          <w:rFonts w:ascii="Arial" w:cs="Arial" w:eastAsia="Arial" w:hAnsi="Arial"/>
          <w:sz w:val="16"/>
          <w:szCs w:val="16"/>
          <w:color w:val="auto"/>
        </w:rPr>
        <w:t>Director since 2004</w:t>
      </w:r>
    </w:p>
    <w:p>
      <w:pPr>
        <w:ind w:left="1160"/>
        <w:spacing w:after="0"/>
        <w:rPr>
          <w:sz w:val="20"/>
          <w:szCs w:val="20"/>
          <w:color w:val="auto"/>
        </w:rPr>
      </w:pPr>
      <w:r>
        <w:rPr>
          <w:rFonts w:ascii="Arial" w:cs="Arial" w:eastAsia="Arial" w:hAnsi="Arial"/>
          <w:sz w:val="15"/>
          <w:szCs w:val="15"/>
          <w:i w:val="1"/>
          <w:iCs w:val="1"/>
          <w:color w:val="auto"/>
        </w:rPr>
        <w:t>Chair,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-97790</wp:posOffset>
            </wp:positionV>
            <wp:extent cx="746760" cy="901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6760" cy="90106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Age 53</w:t>
      </w:r>
    </w:p>
    <w:p>
      <w:pPr>
        <w:spacing w:after="0" w:line="237" w:lineRule="auto"/>
        <w:rPr>
          <w:sz w:val="20"/>
          <w:szCs w:val="20"/>
          <w:color w:val="auto"/>
        </w:rPr>
      </w:pPr>
      <w:r>
        <w:rPr>
          <w:rFonts w:ascii="Arial" w:cs="Arial" w:eastAsia="Arial" w:hAnsi="Arial"/>
          <w:sz w:val="16"/>
          <w:szCs w:val="16"/>
          <w:i w:val="1"/>
          <w:iCs w:val="1"/>
          <w:color w:val="auto"/>
        </w:rPr>
        <w:t>Chairman since 2008 and</w:t>
      </w:r>
    </w:p>
    <w:p>
      <w:pPr>
        <w:spacing w:after="0"/>
        <w:rPr>
          <w:sz w:val="20"/>
          <w:szCs w:val="20"/>
          <w:color w:val="auto"/>
        </w:rPr>
      </w:pPr>
      <w:r>
        <w:rPr>
          <w:rFonts w:ascii="Arial" w:cs="Arial" w:eastAsia="Arial" w:hAnsi="Arial"/>
          <w:sz w:val="16"/>
          <w:szCs w:val="16"/>
          <w:i w:val="1"/>
          <w:iCs w:val="1"/>
          <w:color w:val="auto"/>
        </w:rPr>
        <w:t>director since 2003</w:t>
      </w:r>
    </w:p>
    <w:p>
      <w:pPr>
        <w:spacing w:after="0" w:line="200" w:lineRule="exact"/>
        <w:rPr>
          <w:sz w:val="20"/>
          <w:szCs w:val="20"/>
          <w:color w:val="auto"/>
        </w:rPr>
      </w:pPr>
    </w:p>
    <w:p>
      <w:pPr>
        <w:sectPr>
          <w:pgSz w:w="11900" w:h="16838" w:orient="portrait"/>
          <w:cols w:equalWidth="0" w:num="2">
            <w:col w:w="6280" w:space="720"/>
            <w:col w:w="4460"/>
          </w:cols>
          <w:pgMar w:left="240" w:top="522"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20" w:type="dxa"/>
            <w:vAlign w:val="bottom"/>
          </w:tcPr>
          <w:p>
            <w:pPr>
              <w:ind w:left="1200"/>
              <w:spacing w:after="0"/>
              <w:rPr>
                <w:sz w:val="20"/>
                <w:szCs w:val="20"/>
                <w:color w:val="auto"/>
              </w:rPr>
            </w:pPr>
            <w:r>
              <w:rPr>
                <w:rFonts w:ascii="Arial" w:cs="Arial" w:eastAsia="Arial" w:hAnsi="Arial"/>
                <w:sz w:val="16"/>
                <w:szCs w:val="16"/>
                <w:b w:val="1"/>
                <w:bCs w:val="1"/>
                <w:color w:val="auto"/>
              </w:rPr>
              <w:t>PAMELA H. PATSLEY</w:t>
            </w:r>
          </w:p>
        </w:tc>
        <w:tc>
          <w:tcPr>
            <w:tcW w:w="6040" w:type="dxa"/>
            <w:vAlign w:val="bottom"/>
          </w:tcPr>
          <w:p>
            <w:pPr>
              <w:ind w:left="1580"/>
              <w:spacing w:after="0"/>
              <w:rPr>
                <w:sz w:val="20"/>
                <w:szCs w:val="20"/>
                <w:color w:val="auto"/>
              </w:rPr>
            </w:pPr>
            <w:r>
              <w:rPr>
                <w:rFonts w:ascii="Arial" w:cs="Arial" w:eastAsia="Arial" w:hAnsi="Arial"/>
                <w:sz w:val="16"/>
                <w:szCs w:val="16"/>
                <w:b w:val="1"/>
                <w:bCs w:val="1"/>
                <w:color w:val="auto"/>
              </w:rPr>
              <w:t>CHRISTINE TODD WHITMAN</w:t>
            </w:r>
          </w:p>
        </w:tc>
      </w:tr>
      <w:tr>
        <w:trPr>
          <w:trHeight w:val="182"/>
        </w:trPr>
        <w:tc>
          <w:tcPr>
            <w:tcW w:w="5420" w:type="dxa"/>
            <w:vAlign w:val="bottom"/>
          </w:tcPr>
          <w:p>
            <w:pPr>
              <w:ind w:left="1160"/>
              <w:spacing w:after="0" w:line="182" w:lineRule="exact"/>
              <w:rPr>
                <w:sz w:val="20"/>
                <w:szCs w:val="20"/>
                <w:color w:val="auto"/>
              </w:rPr>
            </w:pPr>
            <w:r>
              <w:rPr>
                <w:rFonts w:ascii="Arial" w:cs="Arial" w:eastAsia="Arial" w:hAnsi="Arial"/>
                <w:sz w:val="16"/>
                <w:szCs w:val="16"/>
                <w:color w:val="auto"/>
              </w:rPr>
              <w:t>Age 55</w:t>
            </w:r>
          </w:p>
        </w:tc>
        <w:tc>
          <w:tcPr>
            <w:tcW w:w="6040" w:type="dxa"/>
            <w:vAlign w:val="bottom"/>
          </w:tcPr>
          <w:p>
            <w:pPr>
              <w:ind w:left="1580"/>
              <w:spacing w:after="0" w:line="182" w:lineRule="exact"/>
              <w:rPr>
                <w:sz w:val="20"/>
                <w:szCs w:val="20"/>
                <w:color w:val="auto"/>
              </w:rPr>
            </w:pPr>
            <w:r>
              <w:rPr>
                <w:rFonts w:ascii="Arial" w:cs="Arial" w:eastAsia="Arial" w:hAnsi="Arial"/>
                <w:sz w:val="16"/>
                <w:szCs w:val="16"/>
                <w:color w:val="auto"/>
              </w:rPr>
              <w:t>Age 65</w:t>
            </w:r>
          </w:p>
        </w:tc>
      </w:tr>
      <w:tr>
        <w:trPr>
          <w:trHeight w:val="179"/>
        </w:trPr>
        <w:tc>
          <w:tcPr>
            <w:tcW w:w="5420" w:type="dxa"/>
            <w:vAlign w:val="bottom"/>
          </w:tcPr>
          <w:p>
            <w:pPr>
              <w:ind w:left="1160"/>
              <w:spacing w:after="0" w:line="179" w:lineRule="exact"/>
              <w:rPr>
                <w:sz w:val="20"/>
                <w:szCs w:val="20"/>
                <w:color w:val="auto"/>
              </w:rPr>
            </w:pPr>
            <w:r>
              <w:rPr>
                <w:rFonts w:ascii="Arial" w:cs="Arial" w:eastAsia="Arial" w:hAnsi="Arial"/>
                <w:sz w:val="16"/>
                <w:szCs w:val="16"/>
                <w:color w:val="auto"/>
              </w:rPr>
              <w:t>Director since 2004</w:t>
            </w:r>
          </w:p>
        </w:tc>
        <w:tc>
          <w:tcPr>
            <w:tcW w:w="6040" w:type="dxa"/>
            <w:vAlign w:val="bottom"/>
          </w:tcPr>
          <w:p>
            <w:pPr>
              <w:ind w:left="1580"/>
              <w:spacing w:after="0" w:line="179" w:lineRule="exact"/>
              <w:rPr>
                <w:sz w:val="20"/>
                <w:szCs w:val="20"/>
                <w:color w:val="auto"/>
              </w:rPr>
            </w:pPr>
            <w:r>
              <w:rPr>
                <w:rFonts w:ascii="Arial" w:cs="Arial" w:eastAsia="Arial" w:hAnsi="Arial"/>
                <w:sz w:val="16"/>
                <w:szCs w:val="16"/>
                <w:color w:val="auto"/>
              </w:rPr>
              <w:t>Director since 2003</w:t>
            </w:r>
          </w:p>
        </w:tc>
      </w:tr>
      <w:tr>
        <w:trPr>
          <w:trHeight w:val="182"/>
        </w:trPr>
        <w:tc>
          <w:tcPr>
            <w:tcW w:w="5420" w:type="dxa"/>
            <w:vAlign w:val="bottom"/>
          </w:tcPr>
          <w:p>
            <w:pPr>
              <w:ind w:left="1160"/>
              <w:spacing w:after="0" w:line="182" w:lineRule="exact"/>
              <w:rPr>
                <w:sz w:val="20"/>
                <w:szCs w:val="20"/>
                <w:color w:val="auto"/>
              </w:rPr>
            </w:pPr>
            <w:r>
              <w:rPr>
                <w:rFonts w:ascii="Arial" w:cs="Arial" w:eastAsia="Arial" w:hAnsi="Arial"/>
                <w:sz w:val="16"/>
                <w:szCs w:val="16"/>
                <w:i w:val="1"/>
                <w:iCs w:val="1"/>
                <w:color w:val="auto"/>
              </w:rPr>
              <w:t>Lead Director; Chair, Audit Committee</w:t>
            </w:r>
          </w:p>
        </w:tc>
        <w:tc>
          <w:tcPr>
            <w:tcW w:w="6040" w:type="dxa"/>
            <w:vAlign w:val="bottom"/>
          </w:tcPr>
          <w:p>
            <w:pPr>
              <w:ind w:left="1580"/>
              <w:spacing w:after="0" w:line="182" w:lineRule="exact"/>
              <w:rPr>
                <w:sz w:val="20"/>
                <w:szCs w:val="20"/>
                <w:color w:val="auto"/>
              </w:rPr>
            </w:pPr>
            <w:r>
              <w:rPr>
                <w:rFonts w:ascii="Arial" w:cs="Arial" w:eastAsia="Arial" w:hAnsi="Arial"/>
                <w:sz w:val="16"/>
                <w:szCs w:val="16"/>
                <w:i w:val="1"/>
                <w:iCs w:val="1"/>
                <w:color w:val="auto"/>
              </w:rPr>
              <w:t>Chair, Governance and Stockholder</w:t>
            </w:r>
          </w:p>
        </w:tc>
      </w:tr>
      <w:tr>
        <w:trPr>
          <w:trHeight w:val="205"/>
        </w:trPr>
        <w:tc>
          <w:tcPr>
            <w:tcW w:w="5420" w:type="dxa"/>
            <w:vAlign w:val="bottom"/>
          </w:tcPr>
          <w:p>
            <w:pPr>
              <w:spacing w:after="0"/>
              <w:rPr>
                <w:sz w:val="17"/>
                <w:szCs w:val="17"/>
                <w:color w:val="auto"/>
              </w:rPr>
            </w:pPr>
          </w:p>
        </w:tc>
        <w:tc>
          <w:tcPr>
            <w:tcW w:w="6040" w:type="dxa"/>
            <w:vAlign w:val="bottom"/>
          </w:tcPr>
          <w:p>
            <w:pPr>
              <w:ind w:left="1580"/>
              <w:spacing w:after="0"/>
              <w:rPr>
                <w:sz w:val="20"/>
                <w:szCs w:val="20"/>
                <w:color w:val="auto"/>
              </w:rPr>
            </w:pPr>
            <w:r>
              <w:rPr>
                <w:rFonts w:ascii="Arial" w:cs="Arial" w:eastAsia="Arial" w:hAnsi="Arial"/>
                <w:sz w:val="16"/>
                <w:szCs w:val="16"/>
                <w:i w:val="1"/>
                <w:iCs w:val="1"/>
                <w:color w:val="auto"/>
              </w:rPr>
              <w:t>Relations Committee</w:t>
            </w:r>
          </w:p>
        </w:tc>
      </w:tr>
      <w:tr>
        <w:trPr>
          <w:trHeight w:val="902"/>
        </w:trPr>
        <w:tc>
          <w:tcPr>
            <w:tcW w:w="5420" w:type="dxa"/>
            <w:vAlign w:val="bottom"/>
          </w:tcPr>
          <w:p>
            <w:pPr>
              <w:ind w:left="1160"/>
              <w:spacing w:after="0"/>
              <w:rPr>
                <w:sz w:val="20"/>
                <w:szCs w:val="20"/>
                <w:color w:val="auto"/>
              </w:rPr>
            </w:pPr>
            <w:r>
              <w:rPr>
                <w:rFonts w:ascii="Arial" w:cs="Arial" w:eastAsia="Arial" w:hAnsi="Arial"/>
                <w:sz w:val="16"/>
                <w:szCs w:val="16"/>
                <w:b w:val="1"/>
                <w:bCs w:val="1"/>
                <w:color w:val="auto"/>
              </w:rPr>
              <w:t>ROBERT E. SANCHEZ</w:t>
            </w:r>
          </w:p>
        </w:tc>
        <w:tc>
          <w:tcPr>
            <w:tcW w:w="6040" w:type="dxa"/>
            <w:vAlign w:val="bottom"/>
          </w:tcPr>
          <w:p>
            <w:pPr>
              <w:spacing w:after="0"/>
              <w:rPr>
                <w:sz w:val="24"/>
                <w:szCs w:val="24"/>
                <w:color w:val="auto"/>
              </w:rPr>
            </w:pPr>
          </w:p>
        </w:tc>
      </w:tr>
      <w:tr>
        <w:trPr>
          <w:trHeight w:val="182"/>
        </w:trPr>
        <w:tc>
          <w:tcPr>
            <w:tcW w:w="5420" w:type="dxa"/>
            <w:vAlign w:val="bottom"/>
          </w:tcPr>
          <w:p>
            <w:pPr>
              <w:ind w:left="1160"/>
              <w:spacing w:after="0" w:line="182" w:lineRule="exact"/>
              <w:rPr>
                <w:sz w:val="20"/>
                <w:szCs w:val="20"/>
                <w:color w:val="auto"/>
              </w:rPr>
            </w:pPr>
            <w:r>
              <w:rPr>
                <w:rFonts w:ascii="Arial" w:cs="Arial" w:eastAsia="Arial" w:hAnsi="Arial"/>
                <w:sz w:val="16"/>
                <w:szCs w:val="16"/>
                <w:color w:val="auto"/>
              </w:rPr>
              <w:t>Age 46</w:t>
            </w:r>
          </w:p>
        </w:tc>
        <w:tc>
          <w:tcPr>
            <w:tcW w:w="6040" w:type="dxa"/>
            <w:vAlign w:val="bottom"/>
          </w:tcPr>
          <w:p>
            <w:pPr>
              <w:spacing w:after="0"/>
              <w:rPr>
                <w:sz w:val="15"/>
                <w:szCs w:val="15"/>
                <w:color w:val="auto"/>
              </w:rPr>
            </w:pPr>
          </w:p>
        </w:tc>
      </w:tr>
      <w:tr>
        <w:trPr>
          <w:trHeight w:val="166"/>
        </w:trPr>
        <w:tc>
          <w:tcPr>
            <w:tcW w:w="5420" w:type="dxa"/>
            <w:vAlign w:val="bottom"/>
          </w:tcPr>
          <w:p>
            <w:pPr>
              <w:ind w:left="1160"/>
              <w:spacing w:after="0" w:line="166" w:lineRule="exact"/>
              <w:rPr>
                <w:sz w:val="20"/>
                <w:szCs w:val="20"/>
                <w:color w:val="auto"/>
              </w:rPr>
            </w:pPr>
            <w:r>
              <w:rPr>
                <w:rFonts w:ascii="Arial" w:cs="Arial" w:eastAsia="Arial" w:hAnsi="Arial"/>
                <w:sz w:val="16"/>
                <w:szCs w:val="16"/>
                <w:color w:val="auto"/>
              </w:rPr>
              <w:t>Director since 2011</w:t>
            </w:r>
          </w:p>
        </w:tc>
        <w:tc>
          <w:tcPr>
            <w:tcW w:w="6040" w:type="dxa"/>
            <w:vAlign w:val="bottom"/>
          </w:tcPr>
          <w:p>
            <w:pPr>
              <w:spacing w:after="0"/>
              <w:rPr>
                <w:sz w:val="14"/>
                <w:szCs w:val="14"/>
                <w:color w:val="auto"/>
              </w:rPr>
            </w:pPr>
          </w:p>
        </w:tc>
      </w:tr>
      <w:tr>
        <w:trPr>
          <w:trHeight w:val="205"/>
        </w:trPr>
        <w:tc>
          <w:tcPr>
            <w:tcW w:w="5420" w:type="dxa"/>
            <w:vAlign w:val="bottom"/>
          </w:tcPr>
          <w:p>
            <w:pPr>
              <w:ind w:left="1160"/>
              <w:spacing w:after="0"/>
              <w:rPr>
                <w:sz w:val="20"/>
                <w:szCs w:val="20"/>
                <w:color w:val="auto"/>
              </w:rPr>
            </w:pPr>
            <w:r>
              <w:rPr>
                <w:rFonts w:ascii="Arial" w:cs="Arial" w:eastAsia="Arial" w:hAnsi="Arial"/>
                <w:sz w:val="16"/>
                <w:szCs w:val="16"/>
                <w:i w:val="1"/>
                <w:iCs w:val="1"/>
                <w:color w:val="auto"/>
              </w:rPr>
              <w:t>Member, Audit Committee</w:t>
            </w:r>
          </w:p>
        </w:tc>
        <w:tc>
          <w:tcPr>
            <w:tcW w:w="6040" w:type="dxa"/>
            <w:vAlign w:val="bottom"/>
          </w:tcPr>
          <w:p>
            <w:pPr>
              <w:spacing w:after="0"/>
              <w:rPr>
                <w:sz w:val="17"/>
                <w:szCs w:val="17"/>
                <w:color w:val="auto"/>
              </w:rPr>
            </w:pPr>
          </w:p>
        </w:tc>
      </w:tr>
      <w:tr>
        <w:trPr>
          <w:trHeight w:val="1106"/>
        </w:trPr>
        <w:tc>
          <w:tcPr>
            <w:tcW w:w="5420" w:type="dxa"/>
            <w:vAlign w:val="bottom"/>
          </w:tcPr>
          <w:p>
            <w:pPr>
              <w:spacing w:after="0"/>
              <w:rPr>
                <w:sz w:val="20"/>
                <w:szCs w:val="20"/>
                <w:color w:val="auto"/>
              </w:rPr>
            </w:pPr>
            <w:r>
              <w:rPr>
                <w:rFonts w:ascii="Arial" w:cs="Arial" w:eastAsia="Arial" w:hAnsi="Arial"/>
                <w:sz w:val="12"/>
                <w:szCs w:val="12"/>
                <w:b w:val="1"/>
                <w:bCs w:val="1"/>
                <w:color w:val="808285"/>
              </w:rPr>
              <w:t>TEXAS INSTRUMENTS</w:t>
            </w:r>
          </w:p>
        </w:tc>
        <w:tc>
          <w:tcPr>
            <w:tcW w:w="6040" w:type="dxa"/>
            <w:vAlign w:val="bottom"/>
          </w:tcPr>
          <w:p>
            <w:pPr>
              <w:ind w:left="4240"/>
              <w:spacing w:after="0"/>
              <w:rPr>
                <w:sz w:val="20"/>
                <w:szCs w:val="20"/>
                <w:color w:val="auto"/>
              </w:rPr>
            </w:pP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57</w:t>
            </w:r>
          </w:p>
        </w:tc>
      </w:tr>
      <w:tr>
        <w:trPr>
          <w:trHeight w:val="360"/>
        </w:trPr>
        <w:tc>
          <w:tcPr>
            <w:tcW w:w="542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-2458085</wp:posOffset>
            </wp:positionV>
            <wp:extent cx="4450080" cy="1948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50080" cy="1948180"/>
                    </a:xfrm>
                    <a:prstGeom prst="rect">
                      <a:avLst/>
                    </a:prstGeom>
                    <a:noFill/>
                  </pic:spPr>
                </pic:pic>
              </a:graphicData>
            </a:graphic>
          </wp:anchor>
        </w:drawing>
      </w:r>
    </w:p>
    <w:p>
      <w:pPr>
        <w:sectPr>
          <w:pgSz w:w="11900" w:h="16838" w:orient="portrait"/>
          <w:cols w:equalWidth="0" w:num="1">
            <w:col w:w="11460"/>
          </w:cols>
          <w:pgMar w:left="240" w:top="522" w:right="1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auto"/>
        </w:rPr>
        <w:t>Director nomination process</w:t>
      </w:r>
    </w:p>
    <w:p>
      <w:pPr>
        <w:spacing w:after="0" w:line="212"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The board is responsible for approving nominees for election as directors. To assist in this task, the board has designated a standing committee, the Governance and Stockholder Relations Committee (the G&amp;SR Committee), which is responsible for reviewing and recommending nominees to the board. The G&amp;SR Committee is comprised solely of independent directors as defined by the rules of The NASDAQ Stock Market (“NASDAQ”) and the board’s corporate governance guidelines. Our board of directors has adopted a written charter for the G&amp;SR Committee. It can be found on our website at www.ti.com/corporategovernance.</w:t>
      </w:r>
    </w:p>
    <w:p>
      <w:pPr>
        <w:spacing w:after="0" w:line="4" w:lineRule="exact"/>
        <w:rPr>
          <w:sz w:val="20"/>
          <w:szCs w:val="20"/>
          <w:color w:val="auto"/>
        </w:rPr>
      </w:pPr>
    </w:p>
    <w:p>
      <w:pPr>
        <w:ind w:right="80" w:firstLine="243"/>
        <w:spacing w:after="0" w:line="244" w:lineRule="auto"/>
        <w:rPr>
          <w:sz w:val="20"/>
          <w:szCs w:val="20"/>
          <w:color w:val="auto"/>
        </w:rPr>
      </w:pPr>
      <w:r>
        <w:rPr>
          <w:rFonts w:ascii="Arial" w:cs="Arial" w:eastAsia="Arial" w:hAnsi="Arial"/>
          <w:sz w:val="16"/>
          <w:szCs w:val="16"/>
          <w:color w:val="auto"/>
        </w:rPr>
        <w:t>It is a long-standing policy of the board to consider prospective board nominees recommended by stockholders. A stockholder who wishes to recommend a prospective board nominee for the G&amp;SR Committee’s consideration can write to the Secretary of the G&amp;SR Committee, Texas Instruments Incorporated, P.O. Box 655936, MS 8658, Dallas, Texas 75265-5936. The G&amp;SR Committee will evaluate the stockholder’s prospective board nominee in the same manner as it evaluates other nominees.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evaluating prospective nominees, the G&amp;SR Committee looks for the following minimum qualifications, qualities and skills:</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Outstanding achievement in the individual’s personal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Breadth of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Soundness of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Ability to make independent, analytical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Ability to contribute to a diversity of viewpoints among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60"/>
        <w:spacing w:after="0" w:line="253" w:lineRule="auto"/>
        <w:rPr>
          <w:sz w:val="20"/>
          <w:szCs w:val="20"/>
          <w:color w:val="auto"/>
        </w:rPr>
      </w:pPr>
      <w:r>
        <w:rPr>
          <w:rFonts w:ascii="Arial" w:cs="Arial" w:eastAsia="Arial" w:hAnsi="Arial"/>
          <w:sz w:val="16"/>
          <w:szCs w:val="16"/>
          <w:color w:val="auto"/>
        </w:rPr>
        <w:t>Willingness and ability to devote the time required to perform board activities adequately (in this regard, the G&amp;SR Committee will consider the number of other boards on which the individual serves as a director, and in particular the board’s policy that directors should not serve on the boards of more than three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-337185</wp:posOffset>
            </wp:positionV>
            <wp:extent cx="5651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0" w:right="560"/>
        <w:spacing w:after="0" w:line="259" w:lineRule="auto"/>
        <w:rPr>
          <w:sz w:val="20"/>
          <w:szCs w:val="20"/>
          <w:color w:val="auto"/>
        </w:rPr>
      </w:pPr>
      <w:r>
        <w:rPr>
          <w:rFonts w:ascii="Arial" w:cs="Arial" w:eastAsia="Arial" w:hAnsi="Arial"/>
          <w:sz w:val="16"/>
          <w:szCs w:val="16"/>
          <w:color w:val="auto"/>
        </w:rPr>
        <w:t>Ability to represent the total corporate interests of TI (a director will not be selected to, nor will he or she be expected to, represent the interests of any particular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-219710</wp:posOffset>
            </wp:positionV>
            <wp:extent cx="56515" cy="56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Stockholders, non-employee directors, management and others may submit recommendations to the G&amp;SR Committee.</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board believes its current size is within the desired range as stated in the board’s corporate governance guidelines.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diversity and nominee qualifications</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As indicated by the criteria above, 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effectiveness of this approach is evidenced by the directors’ participation in the insightful and robust yet collegial deliberation that occurs at board and committee meetings and in shaping the agendas for those meetings.</w:t>
      </w:r>
    </w:p>
    <w:p>
      <w:pPr>
        <w:spacing w:after="0" w:line="19" w:lineRule="exact"/>
        <w:rPr>
          <w:sz w:val="20"/>
          <w:szCs w:val="20"/>
          <w:color w:val="auto"/>
        </w:rPr>
      </w:pPr>
    </w:p>
    <w:p>
      <w:pPr>
        <w:ind w:right="40" w:firstLine="238"/>
        <w:spacing w:after="0" w:line="242" w:lineRule="auto"/>
        <w:rPr>
          <w:sz w:val="20"/>
          <w:szCs w:val="20"/>
          <w:color w:val="auto"/>
        </w:rPr>
      </w:pPr>
      <w:r>
        <w:rPr>
          <w:rFonts w:ascii="Arial" w:cs="Arial" w:eastAsia="Arial" w:hAnsi="Arial"/>
          <w:sz w:val="16"/>
          <w:szCs w:val="16"/>
          <w:color w:val="auto"/>
        </w:rPr>
        <w:t>As it considered director nominees for the 2012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capital investment and research and development (R&amp;D) decisions. These issues arise in the context of the company’s operations, which primarily involve the manufacture and sale of semiconductors all over the world into communications, computing, industrial and consumer electronics end markets.</w:t>
      </w:r>
    </w:p>
    <w:p>
      <w:pPr>
        <w:spacing w:after="0" w:line="18" w:lineRule="exact"/>
        <w:rPr>
          <w:sz w:val="20"/>
          <w:szCs w:val="20"/>
          <w:color w:val="auto"/>
        </w:rPr>
      </w:pPr>
    </w:p>
    <w:p>
      <w:pPr>
        <w:ind w:right="100" w:firstLine="238"/>
        <w:spacing w:after="0" w:line="241" w:lineRule="auto"/>
        <w:rPr>
          <w:sz w:val="20"/>
          <w:szCs w:val="20"/>
          <w:color w:val="auto"/>
        </w:rPr>
      </w:pPr>
      <w:r>
        <w:rPr>
          <w:rFonts w:ascii="Arial" w:cs="Arial" w:eastAsia="Arial" w:hAnsi="Arial"/>
          <w:sz w:val="16"/>
          <w:szCs w:val="16"/>
          <w:color w:val="auto"/>
        </w:rPr>
        <w:t>As described below, each of our director nominees has achieved an extremely high level of success in his or her career, whether at multi-billion dollar multinational corporate enterprises, major U.S. universities or large governmental organizations. In these positions, each has been directly involved in the challenges relating to setting the strategic direction and managing the financial performance, personnel and processes of large, complex organizations. Each has had exposure to effective leaders and has developed the ability to judge leadership qualities. Seven of them have experience in serving on the board of directors of at least one other major corporation, and one has served in high political office, all of which provides additional relevant experience on which each nominee can draw.</w:t>
      </w:r>
    </w:p>
    <w:p>
      <w:pPr>
        <w:spacing w:after="0" w:line="19" w:lineRule="exact"/>
        <w:rPr>
          <w:sz w:val="20"/>
          <w:szCs w:val="20"/>
          <w:color w:val="auto"/>
        </w:rPr>
      </w:pPr>
    </w:p>
    <w:p>
      <w:pPr>
        <w:ind w:right="240" w:firstLine="238"/>
        <w:spacing w:after="0" w:line="259" w:lineRule="auto"/>
        <w:rPr>
          <w:sz w:val="20"/>
          <w:szCs w:val="20"/>
          <w:color w:val="auto"/>
        </w:rPr>
      </w:pPr>
      <w:r>
        <w:rPr>
          <w:rFonts w:ascii="Arial" w:cs="Arial" w:eastAsia="Arial" w:hAnsi="Arial"/>
          <w:sz w:val="16"/>
          <w:szCs w:val="16"/>
          <w:color w:val="auto"/>
        </w:rPr>
        <w:t>In concluding that each nominee should serve as a director, the board relied on the specific experiences and attributes listed below and on the direct personal knowledge, born of previous service on the board, that each of the nominees brings insight and collegiality to board deliberations.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Mr. Babb</w:t>
      </w:r>
    </w:p>
    <w:p>
      <w:pPr>
        <w:ind w:left="480" w:right="80"/>
        <w:spacing w:after="0" w:line="253" w:lineRule="auto"/>
        <w:rPr>
          <w:sz w:val="20"/>
          <w:szCs w:val="20"/>
          <w:color w:val="auto"/>
        </w:rPr>
      </w:pPr>
      <w:r>
        <w:rPr>
          <w:rFonts w:ascii="Arial" w:cs="Arial" w:eastAsia="Arial" w:hAnsi="Arial"/>
          <w:sz w:val="16"/>
          <w:szCs w:val="16"/>
          <w:color w:val="auto"/>
        </w:rPr>
        <w:t>As chairman and CEO of Comerica Incorporated and Comerica Bank (2002-present) and through a long career in banking, has gained first-hand experience in managing large, complex institutions, as well as insight into financial markets, which experience is particularly relevant to the company due to its global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-337185</wp:posOffset>
            </wp:positionV>
            <wp:extent cx="56515" cy="56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120"/>
        <w:spacing w:after="0" w:line="256" w:lineRule="auto"/>
        <w:rPr>
          <w:sz w:val="20"/>
          <w:szCs w:val="20"/>
          <w:color w:val="auto"/>
        </w:rPr>
      </w:pPr>
      <w:r>
        <w:rPr>
          <w:rFonts w:ascii="Arial" w:cs="Arial" w:eastAsia="Arial" w:hAnsi="Arial"/>
          <w:sz w:val="16"/>
          <w:szCs w:val="16"/>
          <w:color w:val="auto"/>
        </w:rPr>
        <w:t>As chief financial officer of Comerica Incorporated and Comerica Bank (1995-2002), controller and later chief financial officer of Mercantile Bancorporation (1978-1995), and auditor and later audit manager at the accounting firm of Peat Marwick Mitchell &amp; Co. (1971-1978), gained extensive audit knowledge and experience in audit- and financial control-related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-341630</wp:posOffset>
            </wp:positionV>
            <wp:extent cx="56515" cy="56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10" w:lineRule="exact"/>
        <w:rPr>
          <w:sz w:val="20"/>
          <w:szCs w:val="20"/>
          <w:color w:val="auto"/>
        </w:rPr>
      </w:pPr>
    </w:p>
    <w:p>
      <w:pPr>
        <w:spacing w:after="0"/>
        <w:tabs>
          <w:tab w:leader="none" w:pos="10100" w:val="left"/>
        </w:tabs>
        <w:rPr>
          <w:sz w:val="20"/>
          <w:szCs w:val="20"/>
          <w:color w:val="auto"/>
        </w:rPr>
      </w:pPr>
      <w:r>
        <w:rPr>
          <w:rFonts w:ascii="Arial" w:cs="Arial" w:eastAsia="Arial" w:hAnsi="Arial"/>
          <w:sz w:val="12"/>
          <w:szCs w:val="12"/>
          <w:b w:val="1"/>
          <w:bCs w:val="1"/>
          <w:color w:val="auto"/>
        </w:rPr>
        <w:t xml:space="preserve">58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auto"/>
        </w:rPr>
        <w:t>Mr. Carp</w:t>
      </w:r>
    </w:p>
    <w:p>
      <w:pPr>
        <w:ind w:left="480" w:right="160"/>
        <w:spacing w:after="0" w:line="253" w:lineRule="auto"/>
        <w:rPr>
          <w:sz w:val="20"/>
          <w:szCs w:val="20"/>
          <w:color w:val="auto"/>
        </w:rPr>
      </w:pPr>
      <w:r>
        <w:rPr>
          <w:rFonts w:ascii="Arial" w:cs="Arial" w:eastAsia="Arial" w:hAnsi="Arial"/>
          <w:sz w:val="16"/>
          <w:szCs w:val="16"/>
          <w:color w:val="auto"/>
        </w:rPr>
        <w:t>As chairman and CEO (2000-2005) and president (1997-2001, 2002-2003) of Eastman Kodak Company, gained first-hand experience in managing a large, multinational corporation focused on worldwide electronic consumer markets (which are of relevance to the company), with ultimate management responsibility for the corporation’s financial performance and its significant investments in capital and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-337185</wp:posOffset>
            </wp:positionV>
            <wp:extent cx="56515" cy="56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480" w:right="20"/>
        <w:spacing w:after="0" w:line="253" w:lineRule="auto"/>
        <w:rPr>
          <w:sz w:val="20"/>
          <w:szCs w:val="20"/>
          <w:color w:val="auto"/>
        </w:rPr>
      </w:pPr>
      <w:r>
        <w:rPr>
          <w:rFonts w:ascii="Arial" w:cs="Arial" w:eastAsia="Arial" w:hAnsi="Arial"/>
          <w:sz w:val="16"/>
          <w:szCs w:val="16"/>
          <w:color w:val="auto"/>
        </w:rPr>
        <w:t>As chairman of the board of directors of Delta Air Lines (2007-present), a director of Norfolk Southern Corporation (2006-present) and a former director of Liz Claiborne, Inc. (2006-2009), has helped oversee the strategy and operations of major multinational corporations in various industries, including some that are capital-intensive.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-337185</wp:posOffset>
            </wp:positionV>
            <wp:extent cx="5651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6"/>
          <w:szCs w:val="16"/>
          <w:u w:val="single" w:color="auto"/>
          <w:color w:val="auto"/>
        </w:rPr>
        <w:t>Ms. Cox</w:t>
      </w:r>
    </w:p>
    <w:p>
      <w:pPr>
        <w:ind w:left="480" w:right="140"/>
        <w:spacing w:after="0" w:line="253" w:lineRule="auto"/>
        <w:rPr>
          <w:sz w:val="20"/>
          <w:szCs w:val="20"/>
          <w:color w:val="auto"/>
        </w:rPr>
      </w:pPr>
      <w:r>
        <w:rPr>
          <w:rFonts w:ascii="Arial" w:cs="Arial" w:eastAsia="Arial" w:hAnsi="Arial"/>
          <w:sz w:val="16"/>
          <w:szCs w:val="16"/>
          <w:color w:val="auto"/>
        </w:rPr>
        <w:t>As CEO and a director of Humacyte, Inc. (2010-present), executive vice president and president of Global Pharmaceuticals at Schering-Plough Corporation (2003-2009) and executive vice president and president of Global Prescription Business at Pharmacia Corporation (1997-2003), has gained first-hand experience in managing large, multinational organizations focused on medical-related markets (which are of relevance to the company), with responsibility for those organizations’ financial performance and significant capital and R&amp;D investments. Is also a director of Cardinal Health, Inc. (2009-present) and Celgene Corporation (2009-present).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-583565</wp:posOffset>
            </wp:positionV>
            <wp:extent cx="5651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6"/>
          <w:szCs w:val="16"/>
          <w:u w:val="single" w:color="auto"/>
          <w:color w:val="auto"/>
        </w:rPr>
        <w:t>Ms. Patsley</w:t>
      </w:r>
    </w:p>
    <w:p>
      <w:pPr>
        <w:ind w:left="480" w:right="20"/>
        <w:spacing w:after="0" w:line="269" w:lineRule="auto"/>
        <w:rPr>
          <w:sz w:val="20"/>
          <w:szCs w:val="20"/>
          <w:color w:val="auto"/>
        </w:rPr>
      </w:pPr>
      <w:r>
        <w:rPr>
          <w:rFonts w:ascii="Arial" w:cs="Arial" w:eastAsia="Arial" w:hAnsi="Arial"/>
          <w:sz w:val="15"/>
          <w:szCs w:val="15"/>
          <w:color w:val="auto"/>
        </w:rPr>
        <w:t>As chairman and CEO (2009-present) of MoneyGram International, Inc., senior executive vice president of First Data Corporation (2000-2007), and president and CEO of Paymentech, Inc. (1991-2000), has gained first-hand experience managing large, multinational organizations, including the application of technology in the financial services sector, with ultimate management responsibility for their financial performance and significant capital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-335915</wp:posOffset>
            </wp:positionV>
            <wp:extent cx="5651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0" w:right="60"/>
        <w:spacing w:after="0" w:line="253" w:lineRule="auto"/>
        <w:rPr>
          <w:sz w:val="20"/>
          <w:szCs w:val="20"/>
          <w:color w:val="auto"/>
        </w:rPr>
      </w:pPr>
      <w:r>
        <w:rPr>
          <w:rFonts w:ascii="Arial" w:cs="Arial" w:eastAsia="Arial" w:hAnsi="Arial"/>
          <w:sz w:val="16"/>
          <w:szCs w:val="16"/>
          <w:color w:val="auto"/>
        </w:rPr>
        <w:t>As Audit Committee chair at the company, a member of the audit committee at Dr Pepper Snapple Group, Inc., chief financial officer of First USA, Inc. (1987-1994), and a former auditor at KPMG Peat Marwick for almost six years before joining First USA, has developed a keen appreciation for audit- and financial control-related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-337185</wp:posOffset>
            </wp:positionV>
            <wp:extent cx="56515" cy="56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220"/>
        <w:spacing w:after="0" w:line="253" w:lineRule="auto"/>
        <w:rPr>
          <w:sz w:val="20"/>
          <w:szCs w:val="20"/>
          <w:color w:val="auto"/>
        </w:rPr>
      </w:pPr>
      <w:r>
        <w:rPr>
          <w:rFonts w:ascii="Arial" w:cs="Arial" w:eastAsia="Arial" w:hAnsi="Arial"/>
          <w:sz w:val="16"/>
          <w:szCs w:val="16"/>
          <w:color w:val="auto"/>
        </w:rPr>
        <w:t>As a director of Dr Pepper Snapple Group, Inc. (2008-present) and a former director of Molson Coors Brewing Company (2005-2009), has helped oversee the strategy and operations of other major multinational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-213995</wp:posOffset>
            </wp:positionV>
            <wp:extent cx="5651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6"/>
          <w:szCs w:val="16"/>
          <w:u w:val="single" w:color="auto"/>
          <w:color w:val="auto"/>
        </w:rPr>
        <w:t>Mr. Sanchez</w:t>
      </w:r>
    </w:p>
    <w:p>
      <w:pPr>
        <w:jc w:val="both"/>
        <w:ind w:left="480" w:right="400"/>
        <w:spacing w:after="0" w:line="253" w:lineRule="auto"/>
        <w:rPr>
          <w:sz w:val="20"/>
          <w:szCs w:val="20"/>
          <w:color w:val="auto"/>
        </w:rPr>
      </w:pPr>
      <w:r>
        <w:rPr>
          <w:rFonts w:ascii="Arial" w:cs="Arial" w:eastAsia="Arial" w:hAnsi="Arial"/>
          <w:sz w:val="16"/>
          <w:szCs w:val="16"/>
          <w:color w:val="auto"/>
        </w:rPr>
        <w:t>As president and chief operating officer (February 2012-present) and president, Global Fleet Management Solutions, of Ryder System, Inc. (September 2010-February 2012), has gained first-hand experience in managing a large, multinational, transportation-related organization, with responsibility for the organization’s financial performance and significant capital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-337185</wp:posOffset>
            </wp:positionV>
            <wp:extent cx="56515" cy="56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300"/>
        <w:spacing w:after="0" w:line="253" w:lineRule="auto"/>
        <w:rPr>
          <w:sz w:val="20"/>
          <w:szCs w:val="20"/>
          <w:color w:val="auto"/>
        </w:rPr>
      </w:pPr>
      <w:r>
        <w:rPr>
          <w:rFonts w:ascii="Arial" w:cs="Arial" w:eastAsia="Arial" w:hAnsi="Arial"/>
          <w:sz w:val="16"/>
          <w:szCs w:val="16"/>
          <w:color w:val="auto"/>
        </w:rPr>
        <w:t>As executive vice president and chief financial officer (October 2007 to September 2010) and as senior vice president and chief information officer (2003-2005) of Ryder System, Inc., developed a keen appreciation for audit- and financial control-related issues and gained first-hand experience with all technology-related functions of a large multinational corporation focused on transportation and 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-337185</wp:posOffset>
            </wp:positionV>
            <wp:extent cx="5651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6"/>
          <w:szCs w:val="16"/>
          <w:u w:val="single" w:color="auto"/>
          <w:color w:val="auto"/>
        </w:rPr>
        <w:t>Mr. Sanders</w:t>
      </w:r>
    </w:p>
    <w:p>
      <w:pPr>
        <w:ind w:left="480" w:right="260"/>
        <w:spacing w:after="0" w:line="253" w:lineRule="auto"/>
        <w:rPr>
          <w:sz w:val="20"/>
          <w:szCs w:val="20"/>
          <w:color w:val="auto"/>
        </w:rPr>
      </w:pPr>
      <w:r>
        <w:rPr>
          <w:rFonts w:ascii="Arial" w:cs="Arial" w:eastAsia="Arial" w:hAnsi="Arial"/>
          <w:sz w:val="16"/>
          <w:szCs w:val="16"/>
          <w:color w:val="auto"/>
        </w:rPr>
        <w:t>As chairman (1992-2003) and CEO (1991-2002) of Kimberly-Clark Corporation, gained first-hand experience in managing a large, multinational consumer goods corporation, with ultimate management responsibility for its financial performance and its significant capital and R&amp;D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-213995</wp:posOffset>
            </wp:positionV>
            <wp:extent cx="5651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0" w:right="640"/>
        <w:spacing w:after="0" w:line="253" w:lineRule="auto"/>
        <w:rPr>
          <w:sz w:val="20"/>
          <w:szCs w:val="20"/>
          <w:color w:val="auto"/>
        </w:rPr>
      </w:pPr>
      <w:r>
        <w:rPr>
          <w:rFonts w:ascii="Arial" w:cs="Arial" w:eastAsia="Arial" w:hAnsi="Arial"/>
          <w:sz w:val="16"/>
          <w:szCs w:val="16"/>
          <w:color w:val="auto"/>
        </w:rPr>
        <w:t>As chairman of Dr Pepper Snapple Group, Inc. (2008-present) and director of Belo Corporation (2003-present), has helped oversee the strategy and operations of other large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-213995</wp:posOffset>
            </wp:positionV>
            <wp:extent cx="56515" cy="56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6"/>
          <w:szCs w:val="16"/>
          <w:u w:val="single" w:color="auto"/>
          <w:color w:val="auto"/>
        </w:rPr>
        <w:t>Ms. Simmons</w:t>
      </w:r>
    </w:p>
    <w:p>
      <w:pPr>
        <w:jc w:val="both"/>
        <w:ind w:left="480" w:right="160"/>
        <w:spacing w:after="0" w:line="253" w:lineRule="auto"/>
        <w:rPr>
          <w:sz w:val="20"/>
          <w:szCs w:val="20"/>
          <w:color w:val="auto"/>
        </w:rPr>
      </w:pPr>
      <w:r>
        <w:rPr>
          <w:rFonts w:ascii="Arial" w:cs="Arial" w:eastAsia="Arial" w:hAnsi="Arial"/>
          <w:sz w:val="16"/>
          <w:szCs w:val="16"/>
          <w:color w:val="auto"/>
        </w:rPr>
        <w:t>As president of Brown University (2001-present) and president of Smith College (1995-2001), has gained first-hand experience in managing large, complex institutions, and has developed deep insight into the development and training of professionals, including engineers, scientists and technologists, on whom the company relies for its next generation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-337185</wp:posOffset>
            </wp:positionV>
            <wp:extent cx="56515" cy="56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120"/>
        <w:spacing w:after="0" w:line="253" w:lineRule="auto"/>
        <w:rPr>
          <w:sz w:val="20"/>
          <w:szCs w:val="20"/>
          <w:color w:val="auto"/>
        </w:rPr>
      </w:pPr>
      <w:r>
        <w:rPr>
          <w:rFonts w:ascii="Arial" w:cs="Arial" w:eastAsia="Arial" w:hAnsi="Arial"/>
          <w:sz w:val="16"/>
          <w:szCs w:val="16"/>
          <w:color w:val="auto"/>
        </w:rPr>
        <w:t>As a former director of The Goldman Sachs Group, Inc. (2000-2010) and Pfizer, Inc. (1997-2007), helped oversee the strategy and operations of other large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-213995</wp:posOffset>
            </wp:positionV>
            <wp:extent cx="56515" cy="56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6"/>
          <w:szCs w:val="16"/>
          <w:u w:val="single" w:color="auto"/>
          <w:color w:val="auto"/>
        </w:rPr>
        <w:t>Mr. Templeton</w:t>
      </w:r>
    </w:p>
    <w:p>
      <w:pPr>
        <w:ind w:left="480" w:right="140"/>
        <w:spacing w:after="0" w:line="253" w:lineRule="auto"/>
        <w:rPr>
          <w:sz w:val="20"/>
          <w:szCs w:val="20"/>
          <w:color w:val="auto"/>
        </w:rPr>
      </w:pPr>
      <w:r>
        <w:rPr>
          <w:rFonts w:ascii="Arial" w:cs="Arial" w:eastAsia="Arial" w:hAnsi="Arial"/>
          <w:sz w:val="16"/>
          <w:szCs w:val="16"/>
          <w:color w:val="auto"/>
        </w:rPr>
        <w:t>As a 31-year veteran of the semiconductor industry, serving the last 16 years at a senior level at the company, including as chairman since April 2008, CEO since 2004 and director since 2003, has developed a deep knowledge of all aspects of the company and of the semiconductor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-213995</wp:posOffset>
            </wp:positionV>
            <wp:extent cx="56515" cy="56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6"/>
          <w:szCs w:val="16"/>
          <w:u w:val="single" w:color="auto"/>
          <w:color w:val="auto"/>
        </w:rPr>
        <w:t>Ms. Whitman</w:t>
      </w:r>
    </w:p>
    <w:p>
      <w:pPr>
        <w:ind w:left="480" w:right="240"/>
        <w:spacing w:after="0" w:line="253" w:lineRule="auto"/>
        <w:rPr>
          <w:sz w:val="20"/>
          <w:szCs w:val="20"/>
          <w:color w:val="auto"/>
        </w:rPr>
      </w:pPr>
      <w:r>
        <w:rPr>
          <w:rFonts w:ascii="Arial" w:cs="Arial" w:eastAsia="Arial" w:hAnsi="Arial"/>
          <w:sz w:val="16"/>
          <w:szCs w:val="16"/>
          <w:color w:val="auto"/>
        </w:rPr>
        <w:t>As Administrator of the Environmental Protection Agency (2001-2003) and Governor of the state of New Jersey (1994-2000), gained first-hand experience managing a large, complex organization and developed keen insight into the workings of government on the federal and state level and how they might impact company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-337185</wp:posOffset>
            </wp:positionV>
            <wp:extent cx="56515" cy="56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140"/>
        <w:spacing w:after="0" w:line="259" w:lineRule="auto"/>
        <w:rPr>
          <w:sz w:val="20"/>
          <w:szCs w:val="20"/>
          <w:color w:val="auto"/>
        </w:rPr>
      </w:pPr>
      <w:r>
        <w:rPr>
          <w:rFonts w:ascii="Arial" w:cs="Arial" w:eastAsia="Arial" w:hAnsi="Arial"/>
          <w:sz w:val="16"/>
          <w:szCs w:val="16"/>
          <w:color w:val="auto"/>
        </w:rPr>
        <w:t>As a director of S.C. Johnson &amp; Son, Inc. (2003-present) and United Technologies Corp. (2003-present), has helped oversee the strategy and operations of other large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-219710</wp:posOffset>
            </wp:positionV>
            <wp:extent cx="56515" cy="56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32" w:lineRule="exact"/>
        <w:rPr>
          <w:sz w:val="20"/>
          <w:szCs w:val="20"/>
          <w:color w:val="auto"/>
        </w:rPr>
      </w:pPr>
    </w:p>
    <w:p>
      <w:pPr>
        <w:spacing w:after="0"/>
        <w:tabs>
          <w:tab w:leader="none" w:pos="9640"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358" w:right="219" w:bottom="1440" w:gutter="0" w:footer="0" w:header="0"/>
        </w:sectPr>
      </w:pPr>
    </w:p>
    <w:bookmarkStart w:id="6" w:name="page7"/>
    <w:bookmarkEnd w:id="6"/>
    <w:p>
      <w:pPr>
        <w:ind w:left="3"/>
        <w:spacing w:after="0"/>
        <w:rPr>
          <w:sz w:val="20"/>
          <w:szCs w:val="20"/>
          <w:color w:val="auto"/>
        </w:rPr>
      </w:pPr>
      <w:r>
        <w:rPr>
          <w:rFonts w:ascii="Arial" w:cs="Arial" w:eastAsia="Arial" w:hAnsi="Arial"/>
          <w:sz w:val="16"/>
          <w:szCs w:val="16"/>
          <w:b w:val="1"/>
          <w:bCs w:val="1"/>
          <w:color w:val="auto"/>
        </w:rPr>
        <w:t>Communications with the board</w:t>
      </w:r>
    </w:p>
    <w:p>
      <w:pPr>
        <w:spacing w:after="0" w:line="212" w:lineRule="exact"/>
        <w:rPr>
          <w:sz w:val="20"/>
          <w:szCs w:val="20"/>
          <w:color w:val="auto"/>
        </w:rPr>
      </w:pPr>
    </w:p>
    <w:p>
      <w:pPr>
        <w:ind w:left="3" w:right="240"/>
        <w:spacing w:after="0" w:line="243" w:lineRule="auto"/>
        <w:rPr>
          <w:sz w:val="20"/>
          <w:szCs w:val="20"/>
          <w:color w:val="auto"/>
        </w:rPr>
      </w:pPr>
      <w:r>
        <w:rPr>
          <w:rFonts w:ascii="Arial" w:cs="Arial" w:eastAsia="Arial" w:hAnsi="Arial"/>
          <w:sz w:val="16"/>
          <w:szCs w:val="16"/>
          <w:color w:val="auto"/>
        </w:rPr>
        <w:t>Stockholders and others who wish to communicate with the board as a whole, or to individual directors, may write to them at: P.O. Box 655936, MS 8658, Dallas, Texas 75265-5936. All communications sent to this address will be shared with the board or the individual director, if so addressed.</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Corporate governance</w:t>
      </w:r>
    </w:p>
    <w:p>
      <w:pPr>
        <w:spacing w:after="0" w:line="212" w:lineRule="exact"/>
        <w:rPr>
          <w:sz w:val="20"/>
          <w:szCs w:val="20"/>
          <w:color w:val="auto"/>
        </w:rPr>
      </w:pPr>
    </w:p>
    <w:p>
      <w:pPr>
        <w:ind w:left="3" w:right="200"/>
        <w:spacing w:after="0" w:line="239" w:lineRule="auto"/>
        <w:rPr>
          <w:sz w:val="20"/>
          <w:szCs w:val="20"/>
          <w:color w:val="auto"/>
        </w:rPr>
      </w:pPr>
      <w:r>
        <w:rPr>
          <w:rFonts w:ascii="Arial" w:cs="Arial" w:eastAsia="Arial" w:hAnsi="Arial"/>
          <w:sz w:val="16"/>
          <w:szCs w:val="16"/>
          <w:color w:val="auto"/>
        </w:rPr>
        <w:t>The board has a long-standing commitment to responsible and effective corporate governance. The board’s corporate governance guidelines (which include the director independence standards), the charters of each of the board’s committees, TI’s code of business conduct and our code of ethics for our chief executive officer and senior financial officers are available on our website at www.ti.com/corporategovernance. Stockholders may request copies of these documents free of charge by writing to Texas Instruments Incorporated, P.O. Box 660199, MS 8657, Dallas, Texas, 75266-0199, Attn: Investor Relations.</w:t>
      </w:r>
    </w:p>
    <w:p>
      <w:pPr>
        <w:spacing w:after="0" w:line="16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Annual meeting attendance</w:t>
      </w:r>
    </w:p>
    <w:p>
      <w:pPr>
        <w:spacing w:after="0" w:line="212" w:lineRule="exact"/>
        <w:rPr>
          <w:sz w:val="20"/>
          <w:szCs w:val="20"/>
          <w:color w:val="auto"/>
        </w:rPr>
      </w:pPr>
    </w:p>
    <w:p>
      <w:pPr>
        <w:ind w:left="3" w:right="100"/>
        <w:spacing w:after="0" w:line="243" w:lineRule="auto"/>
        <w:rPr>
          <w:sz w:val="20"/>
          <w:szCs w:val="20"/>
          <w:color w:val="auto"/>
        </w:rPr>
      </w:pPr>
      <w:r>
        <w:rPr>
          <w:rFonts w:ascii="Arial" w:cs="Arial" w:eastAsia="Arial" w:hAnsi="Arial"/>
          <w:sz w:val="16"/>
          <w:szCs w:val="16"/>
          <w:color w:val="auto"/>
        </w:rPr>
        <w:t>It is a policy of the board to encourage directors to attend each annual meeting of stockholders. Such attendance allows for direct interaction between stockholders and board members. In 2011, all directors attended TI’s annual meeting of stockholders.</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Director independence</w:t>
      </w:r>
    </w:p>
    <w:p>
      <w:pPr>
        <w:spacing w:after="0" w:line="212" w:lineRule="exact"/>
        <w:rPr>
          <w:sz w:val="20"/>
          <w:szCs w:val="20"/>
          <w:color w:val="auto"/>
        </w:rPr>
      </w:pPr>
    </w:p>
    <w:p>
      <w:pPr>
        <w:ind w:left="3" w:right="460"/>
        <w:spacing w:after="0"/>
        <w:rPr>
          <w:sz w:val="20"/>
          <w:szCs w:val="20"/>
          <w:color w:val="auto"/>
        </w:rPr>
      </w:pPr>
      <w:r>
        <w:rPr>
          <w:rFonts w:ascii="Arial" w:cs="Arial" w:eastAsia="Arial" w:hAnsi="Arial"/>
          <w:sz w:val="16"/>
          <w:szCs w:val="16"/>
          <w:color w:val="auto"/>
        </w:rPr>
        <w:t>The board has determined that each of our directors is independent except for Mr. Templeton. In connection with this determination, information was reviewed regarding directors’ business and charitable affiliations, immediate family members and their employers, and any transactions or arrangements between the company and such persons or entities. The board has adopted the following standards for determining independence.</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color w:val="auto"/>
        </w:rPr>
        <w:t>A. In no event will a director be considered independent if:</w:t>
      </w:r>
    </w:p>
    <w:p>
      <w:pPr>
        <w:ind w:left="383" w:hanging="189"/>
        <w:spacing w:after="0" w:line="237" w:lineRule="auto"/>
        <w:tabs>
          <w:tab w:leader="none" w:pos="383" w:val="left"/>
        </w:tabs>
        <w:numPr>
          <w:ilvl w:val="1"/>
          <w:numId w:val="5"/>
        </w:numPr>
        <w:rPr>
          <w:rFonts w:ascii="Arial" w:cs="Arial" w:eastAsia="Arial" w:hAnsi="Arial"/>
          <w:sz w:val="16"/>
          <w:szCs w:val="16"/>
          <w:color w:val="auto"/>
        </w:rPr>
      </w:pPr>
      <w:r>
        <w:rPr>
          <w:rFonts w:ascii="Arial" w:cs="Arial" w:eastAsia="Arial" w:hAnsi="Arial"/>
          <w:sz w:val="16"/>
          <w:szCs w:val="16"/>
          <w:color w:val="auto"/>
        </w:rPr>
        <w:t>He or she is a current partner of or is employed by the company’s independent auditors; or</w:t>
      </w:r>
    </w:p>
    <w:p>
      <w:pPr>
        <w:ind w:left="383" w:right="600" w:hanging="189"/>
        <w:spacing w:after="0" w:line="237" w:lineRule="auto"/>
        <w:tabs>
          <w:tab w:leader="none" w:pos="383" w:val="left"/>
        </w:tabs>
        <w:numPr>
          <w:ilvl w:val="1"/>
          <w:numId w:val="5"/>
        </w:numPr>
        <w:rPr>
          <w:rFonts w:ascii="Arial" w:cs="Arial" w:eastAsia="Arial" w:hAnsi="Arial"/>
          <w:sz w:val="16"/>
          <w:szCs w:val="16"/>
          <w:color w:val="auto"/>
        </w:rPr>
      </w:pPr>
      <w:r>
        <w:rPr>
          <w:rFonts w:ascii="Arial" w:cs="Arial" w:eastAsia="Arial" w:hAnsi="Arial"/>
          <w:sz w:val="16"/>
          <w:szCs w:val="16"/>
          <w:color w:val="auto"/>
        </w:rPr>
        <w:t>An immediate family member of the director is (a) a current partner of the company’s independent auditors or (b) currently employed by the company’s independent auditors and personally works on the company’s audit.</w:t>
      </w:r>
    </w:p>
    <w:p>
      <w:pPr>
        <w:ind w:left="383" w:right="180" w:hanging="189"/>
        <w:spacing w:after="0" w:line="237" w:lineRule="auto"/>
        <w:tabs>
          <w:tab w:leader="none" w:pos="383" w:val="left"/>
        </w:tabs>
        <w:numPr>
          <w:ilvl w:val="1"/>
          <w:numId w:val="5"/>
        </w:numPr>
        <w:rPr>
          <w:rFonts w:ascii="Arial" w:cs="Arial" w:eastAsia="Arial" w:hAnsi="Arial"/>
          <w:sz w:val="16"/>
          <w:szCs w:val="16"/>
          <w:color w:val="auto"/>
        </w:rPr>
      </w:pPr>
      <w:r>
        <w:rPr>
          <w:rFonts w:ascii="Arial" w:cs="Arial" w:eastAsia="Arial" w:hAnsi="Arial"/>
          <w:sz w:val="16"/>
          <w:szCs w:val="16"/>
          <w:color w:val="auto"/>
        </w:rPr>
        <w:t>Within the current or preceding three fiscal years he or she was, and remains at the time of the determination, an executive officer or employee of an organization that (a) made payments to, or received payments from, TI for property or services, (b) extended loans to or received loans from, TI, or (c) received charitable contributions from TI, in an amount or amounts which, in the aggregate in any single fiscal year, exceeded the greater of $200,000 or 2 percent of the recipient’s consolidated gross revenues for its last completed fiscal year (for purposes of this standard, “payments” excludes payments arising solely from investments in the company’s securities and payments under non-discretionary charitable contribution matching programs); or</w:t>
      </w:r>
    </w:p>
    <w:p>
      <w:pPr>
        <w:ind w:left="383" w:right="40" w:hanging="189"/>
        <w:spacing w:after="0" w:line="253" w:lineRule="auto"/>
        <w:tabs>
          <w:tab w:leader="none" w:pos="383" w:val="left"/>
        </w:tabs>
        <w:numPr>
          <w:ilvl w:val="1"/>
          <w:numId w:val="5"/>
        </w:numPr>
        <w:rPr>
          <w:rFonts w:ascii="Arial" w:cs="Arial" w:eastAsia="Arial" w:hAnsi="Arial"/>
          <w:sz w:val="15"/>
          <w:szCs w:val="15"/>
          <w:color w:val="auto"/>
        </w:rPr>
      </w:pPr>
      <w:r>
        <w:rPr>
          <w:rFonts w:ascii="Arial" w:cs="Arial" w:eastAsia="Arial" w:hAnsi="Arial"/>
          <w:sz w:val="15"/>
          <w:szCs w:val="15"/>
          <w:color w:val="auto"/>
        </w:rPr>
        <w:t>Within the current or preceding three fiscal years an immediate family member of the director was, and remains at the time of the determination, an executive officer of an organization that (a) made payments to, or received payments from, TI for property or services, (b) extended loans to or received loans from TI, or</w:t>
      </w:r>
    </w:p>
    <w:p>
      <w:pPr>
        <w:ind w:left="383" w:right="100"/>
        <w:spacing w:after="0" w:line="237" w:lineRule="auto"/>
        <w:rPr>
          <w:rFonts w:ascii="Arial" w:cs="Arial" w:eastAsia="Arial" w:hAnsi="Arial"/>
          <w:sz w:val="15"/>
          <w:szCs w:val="15"/>
          <w:color w:val="auto"/>
        </w:rPr>
      </w:pPr>
      <w:r>
        <w:rPr>
          <w:rFonts w:ascii="Arial" w:cs="Arial" w:eastAsia="Arial" w:hAnsi="Arial"/>
          <w:sz w:val="16"/>
          <w:szCs w:val="16"/>
          <w:color w:val="auto"/>
        </w:rPr>
        <w:t>(c) received charitable contributions from TI, in an amount or amounts which, in the aggregate in any single fiscal year, exceeded the greater of $200,000 or 2 percent of the recipient’s consolidated gross revenues for its last completed fiscal year (for purposes of this standard, “payments” excludes payments arising solely from investments in the company’s securities and payments under non-discretionary charitable contribution matching programs).</w:t>
      </w:r>
    </w:p>
    <w:p>
      <w:pPr>
        <w:ind w:left="203" w:hanging="203"/>
        <w:spacing w:after="0" w:line="237" w:lineRule="auto"/>
        <w:tabs>
          <w:tab w:leader="none" w:pos="203"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no event will a director be considered independent if, within the preceding three years:</w:t>
      </w:r>
    </w:p>
    <w:p>
      <w:pPr>
        <w:ind w:left="383" w:right="240" w:hanging="189"/>
        <w:spacing w:after="0" w:line="237" w:lineRule="auto"/>
        <w:tabs>
          <w:tab w:leader="none" w:pos="383" w:val="left"/>
        </w:tabs>
        <w:numPr>
          <w:ilvl w:val="1"/>
          <w:numId w:val="6"/>
        </w:numPr>
        <w:rPr>
          <w:rFonts w:ascii="Arial" w:cs="Arial" w:eastAsia="Arial" w:hAnsi="Arial"/>
          <w:sz w:val="16"/>
          <w:szCs w:val="16"/>
          <w:color w:val="auto"/>
        </w:rPr>
      </w:pPr>
      <w:r>
        <w:rPr>
          <w:rFonts w:ascii="Arial" w:cs="Arial" w:eastAsia="Arial" w:hAnsi="Arial"/>
          <w:sz w:val="16"/>
          <w:szCs w:val="16"/>
          <w:color w:val="auto"/>
        </w:rPr>
        <w:t>He or she was employed by the company (except in the capacity of interim chairman of the board, chief executive officer or other executive officer, provided the interim employment did not last longer than one year) or any of its subsidiaries;</w:t>
      </w:r>
    </w:p>
    <w:p>
      <w:pPr>
        <w:ind w:left="383" w:right="160" w:hanging="189"/>
        <w:spacing w:after="0" w:line="237" w:lineRule="auto"/>
        <w:tabs>
          <w:tab w:leader="none" w:pos="383" w:val="left"/>
        </w:tabs>
        <w:numPr>
          <w:ilvl w:val="1"/>
          <w:numId w:val="6"/>
        </w:numPr>
        <w:rPr>
          <w:rFonts w:ascii="Arial" w:cs="Arial" w:eastAsia="Arial" w:hAnsi="Arial"/>
          <w:sz w:val="16"/>
          <w:szCs w:val="16"/>
          <w:color w:val="auto"/>
        </w:rPr>
      </w:pPr>
      <w:r>
        <w:rPr>
          <w:rFonts w:ascii="Arial" w:cs="Arial" w:eastAsia="Arial" w:hAnsi="Arial"/>
          <w:sz w:val="16"/>
          <w:szCs w:val="16"/>
          <w:color w:val="auto"/>
        </w:rPr>
        <w:t>He or she received more than $120,000 during any twelve-month period in direct compensation from TI (other than (a) compensation for board or board committee service, (b) compensation received for former service as an interim chairman of the board, chief executive officer or other executive officer and (c) benefits under a tax-qualified retirement plan, or non-discretionary compensation);</w:t>
      </w:r>
    </w:p>
    <w:p>
      <w:pPr>
        <w:ind w:left="383" w:hanging="189"/>
        <w:spacing w:after="0" w:line="237" w:lineRule="auto"/>
        <w:tabs>
          <w:tab w:leader="none" w:pos="383" w:val="left"/>
        </w:tabs>
        <w:numPr>
          <w:ilvl w:val="1"/>
          <w:numId w:val="6"/>
        </w:numPr>
        <w:rPr>
          <w:rFonts w:ascii="Arial" w:cs="Arial" w:eastAsia="Arial" w:hAnsi="Arial"/>
          <w:sz w:val="16"/>
          <w:szCs w:val="16"/>
          <w:color w:val="auto"/>
        </w:rPr>
      </w:pPr>
      <w:r>
        <w:rPr>
          <w:rFonts w:ascii="Arial" w:cs="Arial" w:eastAsia="Arial" w:hAnsi="Arial"/>
          <w:sz w:val="16"/>
          <w:szCs w:val="16"/>
          <w:color w:val="auto"/>
        </w:rPr>
        <w:t>An immediate family member of the director was employed as an executive officer by the company or any of its subsidiaries;</w:t>
      </w:r>
    </w:p>
    <w:p>
      <w:pPr>
        <w:ind w:left="383" w:right="760" w:hanging="189"/>
        <w:spacing w:after="0" w:line="237" w:lineRule="auto"/>
        <w:tabs>
          <w:tab w:leader="none" w:pos="383" w:val="left"/>
        </w:tabs>
        <w:numPr>
          <w:ilvl w:val="1"/>
          <w:numId w:val="6"/>
        </w:numPr>
        <w:rPr>
          <w:rFonts w:ascii="Arial" w:cs="Arial" w:eastAsia="Arial" w:hAnsi="Arial"/>
          <w:sz w:val="16"/>
          <w:szCs w:val="16"/>
          <w:color w:val="auto"/>
        </w:rPr>
      </w:pPr>
      <w:r>
        <w:rPr>
          <w:rFonts w:ascii="Arial" w:cs="Arial" w:eastAsia="Arial" w:hAnsi="Arial"/>
          <w:sz w:val="16"/>
          <w:szCs w:val="16"/>
          <w:color w:val="auto"/>
        </w:rPr>
        <w:t>An immediate family member of the director received more than $120,000 during any twelve-month period in direct compensation from TI (excluding compensation as a non-executive officer employee of the company);</w:t>
      </w:r>
    </w:p>
    <w:p>
      <w:pPr>
        <w:ind w:left="383" w:hanging="189"/>
        <w:spacing w:after="0"/>
        <w:tabs>
          <w:tab w:leader="none" w:pos="383" w:val="left"/>
        </w:tabs>
        <w:numPr>
          <w:ilvl w:val="1"/>
          <w:numId w:val="6"/>
        </w:numPr>
        <w:rPr>
          <w:rFonts w:ascii="Arial" w:cs="Arial" w:eastAsia="Arial" w:hAnsi="Arial"/>
          <w:sz w:val="15"/>
          <w:szCs w:val="15"/>
          <w:color w:val="auto"/>
        </w:rPr>
      </w:pPr>
      <w:r>
        <w:rPr>
          <w:rFonts w:ascii="Arial" w:cs="Arial" w:eastAsia="Arial" w:hAnsi="Arial"/>
          <w:sz w:val="15"/>
          <w:szCs w:val="15"/>
          <w:color w:val="auto"/>
        </w:rPr>
        <w:t>He or she was (but is no longer) a partner or employee of the company’s independent auditors and personally worked on the company’s audit within that time;</w:t>
      </w:r>
    </w:p>
    <w:p>
      <w:pPr>
        <w:spacing w:after="0" w:line="9" w:lineRule="exact"/>
        <w:rPr>
          <w:rFonts w:ascii="Arial" w:cs="Arial" w:eastAsia="Arial" w:hAnsi="Arial"/>
          <w:sz w:val="15"/>
          <w:szCs w:val="15"/>
          <w:color w:val="auto"/>
        </w:rPr>
      </w:pPr>
    </w:p>
    <w:p>
      <w:pPr>
        <w:ind w:left="383" w:right="40" w:hanging="189"/>
        <w:spacing w:after="0" w:line="243" w:lineRule="auto"/>
        <w:tabs>
          <w:tab w:leader="none" w:pos="383" w:val="left"/>
        </w:tabs>
        <w:numPr>
          <w:ilvl w:val="1"/>
          <w:numId w:val="6"/>
        </w:numPr>
        <w:rPr>
          <w:rFonts w:ascii="Arial" w:cs="Arial" w:eastAsia="Arial" w:hAnsi="Arial"/>
          <w:sz w:val="16"/>
          <w:szCs w:val="16"/>
          <w:color w:val="auto"/>
        </w:rPr>
      </w:pPr>
      <w:r>
        <w:rPr>
          <w:rFonts w:ascii="Arial" w:cs="Arial" w:eastAsia="Arial" w:hAnsi="Arial"/>
          <w:sz w:val="16"/>
          <w:szCs w:val="16"/>
          <w:color w:val="auto"/>
        </w:rPr>
        <w:t>An immediate family member of the director was (but is no longer) a partner or employee of the company’s independent auditors and personally worked on the company’s audit within that time;</w:t>
      </w:r>
    </w:p>
    <w:p>
      <w:pPr>
        <w:spacing w:after="0" w:line="228" w:lineRule="exact"/>
        <w:rPr>
          <w:sz w:val="20"/>
          <w:szCs w:val="20"/>
          <w:color w:val="auto"/>
        </w:rPr>
      </w:pPr>
    </w:p>
    <w:p>
      <w:pPr>
        <w:ind w:left="3"/>
        <w:spacing w:after="0"/>
        <w:tabs>
          <w:tab w:leader="none" w:pos="10103" w:val="left"/>
        </w:tabs>
        <w:rPr>
          <w:sz w:val="20"/>
          <w:szCs w:val="20"/>
          <w:color w:val="auto"/>
        </w:rPr>
      </w:pPr>
      <w:r>
        <w:rPr>
          <w:rFonts w:ascii="Arial" w:cs="Arial" w:eastAsia="Arial" w:hAnsi="Arial"/>
          <w:sz w:val="12"/>
          <w:szCs w:val="12"/>
          <w:b w:val="1"/>
          <w:bCs w:val="1"/>
          <w:color w:val="auto"/>
        </w:rPr>
        <w:t xml:space="preserve">60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35" w:right="219" w:bottom="1440" w:gutter="0" w:footer="0" w:header="0"/>
        </w:sectPr>
      </w:pPr>
    </w:p>
    <w:bookmarkStart w:id="7" w:name="page8"/>
    <w:bookmarkEnd w:id="7"/>
    <w:p>
      <w:pPr>
        <w:ind w:left="383" w:right="980" w:hanging="177"/>
        <w:spacing w:after="0" w:line="237" w:lineRule="auto"/>
        <w:tabs>
          <w:tab w:leader="none" w:pos="383" w:val="left"/>
        </w:tabs>
        <w:numPr>
          <w:ilvl w:val="1"/>
          <w:numId w:val="7"/>
        </w:numPr>
        <w:rPr>
          <w:rFonts w:ascii="Arial" w:cs="Arial" w:eastAsia="Arial" w:hAnsi="Arial"/>
          <w:sz w:val="16"/>
          <w:szCs w:val="16"/>
          <w:color w:val="auto"/>
        </w:rPr>
      </w:pPr>
      <w:r>
        <w:rPr>
          <w:rFonts w:ascii="Arial" w:cs="Arial" w:eastAsia="Arial" w:hAnsi="Arial"/>
          <w:sz w:val="16"/>
          <w:szCs w:val="16"/>
          <w:color w:val="auto"/>
        </w:rPr>
        <w:t>He or she was an executive officer of another company at which any of TI’s current executive officers at the same time served on that company’s compensation committee; or</w:t>
      </w:r>
    </w:p>
    <w:p>
      <w:pPr>
        <w:ind w:left="383" w:right="460" w:hanging="177"/>
        <w:spacing w:after="0" w:line="237" w:lineRule="auto"/>
        <w:tabs>
          <w:tab w:leader="none" w:pos="383" w:val="left"/>
        </w:tabs>
        <w:numPr>
          <w:ilvl w:val="1"/>
          <w:numId w:val="7"/>
        </w:numPr>
        <w:rPr>
          <w:rFonts w:ascii="Arial" w:cs="Arial" w:eastAsia="Arial" w:hAnsi="Arial"/>
          <w:sz w:val="16"/>
          <w:szCs w:val="16"/>
          <w:color w:val="auto"/>
        </w:rPr>
      </w:pPr>
      <w:r>
        <w:rPr>
          <w:rFonts w:ascii="Arial" w:cs="Arial" w:eastAsia="Arial" w:hAnsi="Arial"/>
          <w:sz w:val="16"/>
          <w:szCs w:val="16"/>
          <w:color w:val="auto"/>
        </w:rPr>
        <w:t>An immediate family member of the director was an executive officer of another company at which any of TI’s current executive officers at the same time served on that company’s compensation committee.</w:t>
      </w:r>
    </w:p>
    <w:p>
      <w:pPr>
        <w:ind w:left="203" w:right="180" w:hanging="203"/>
        <w:spacing w:after="0"/>
        <w:tabs>
          <w:tab w:leader="none" w:pos="203" w:val="left"/>
        </w:tabs>
        <w:numPr>
          <w:ilvl w:val="0"/>
          <w:numId w:val="8"/>
        </w:numPr>
        <w:rPr>
          <w:rFonts w:ascii="Arial" w:cs="Arial" w:eastAsia="Arial" w:hAnsi="Arial"/>
          <w:sz w:val="16"/>
          <w:szCs w:val="16"/>
          <w:color w:val="auto"/>
        </w:rPr>
      </w:pPr>
      <w:r>
        <w:rPr>
          <w:rFonts w:ascii="Arial" w:cs="Arial" w:eastAsia="Arial" w:hAnsi="Arial"/>
          <w:sz w:val="16"/>
          <w:szCs w:val="16"/>
          <w:color w:val="auto"/>
        </w:rPr>
        <w:t>Audit Committee members may not accept any consulting, advisory or other compensatory fee from TI, other than in their capacity as members of the board or any board committee. Compensatory fees do not include the receipt of fixed amounts of compensation under a retirement plan (including deferred compensation) for prior service with TI (provided that such compensation is not contingent in any way on continued service).</w:t>
      </w:r>
    </w:p>
    <w:p>
      <w:pPr>
        <w:spacing w:after="0" w:line="17" w:lineRule="exact"/>
        <w:rPr>
          <w:rFonts w:ascii="Arial" w:cs="Arial" w:eastAsia="Arial" w:hAnsi="Arial"/>
          <w:sz w:val="16"/>
          <w:szCs w:val="16"/>
          <w:color w:val="auto"/>
        </w:rPr>
      </w:pPr>
    </w:p>
    <w:p>
      <w:pPr>
        <w:ind w:left="243"/>
        <w:spacing w:after="0"/>
        <w:rPr>
          <w:rFonts w:ascii="Arial" w:cs="Arial" w:eastAsia="Arial" w:hAnsi="Arial"/>
          <w:sz w:val="16"/>
          <w:szCs w:val="16"/>
          <w:color w:val="auto"/>
        </w:rPr>
      </w:pPr>
      <w:r>
        <w:rPr>
          <w:rFonts w:ascii="Arial" w:cs="Arial" w:eastAsia="Arial" w:hAnsi="Arial"/>
          <w:sz w:val="16"/>
          <w:szCs w:val="16"/>
          <w:color w:val="auto"/>
        </w:rPr>
        <w:t>For any other relationship, the determination of whether it would interfere with the director’s exercise of independent judgment in carrying out his or her</w:t>
      </w:r>
    </w:p>
    <w:p>
      <w:pPr>
        <w:spacing w:after="0" w:line="10" w:lineRule="exact"/>
        <w:rPr>
          <w:sz w:val="20"/>
          <w:szCs w:val="20"/>
          <w:color w:val="auto"/>
        </w:rPr>
      </w:pPr>
    </w:p>
    <w:p>
      <w:pPr>
        <w:ind w:left="3" w:right="440"/>
        <w:spacing w:after="0" w:line="243" w:lineRule="auto"/>
        <w:rPr>
          <w:sz w:val="20"/>
          <w:szCs w:val="20"/>
          <w:color w:val="auto"/>
        </w:rPr>
      </w:pPr>
      <w:r>
        <w:rPr>
          <w:rFonts w:ascii="Arial" w:cs="Arial" w:eastAsia="Arial" w:hAnsi="Arial"/>
          <w:sz w:val="16"/>
          <w:szCs w:val="16"/>
          <w:color w:val="auto"/>
        </w:rPr>
        <w:t>responsibilities, and consequently whether the director involved is independent, will be made by directors who satisfy the independence criteria set forth in this section.</w:t>
      </w:r>
    </w:p>
    <w:p>
      <w:pPr>
        <w:spacing w:after="0" w:line="15" w:lineRule="exact"/>
        <w:rPr>
          <w:sz w:val="20"/>
          <w:szCs w:val="20"/>
          <w:color w:val="auto"/>
        </w:rPr>
      </w:pPr>
    </w:p>
    <w:p>
      <w:pPr>
        <w:ind w:left="243"/>
        <w:spacing w:after="0"/>
        <w:rPr>
          <w:sz w:val="20"/>
          <w:szCs w:val="20"/>
          <w:color w:val="auto"/>
        </w:rPr>
      </w:pPr>
      <w:r>
        <w:rPr>
          <w:rFonts w:ascii="Arial" w:cs="Arial" w:eastAsia="Arial" w:hAnsi="Arial"/>
          <w:sz w:val="16"/>
          <w:szCs w:val="16"/>
          <w:color w:val="auto"/>
        </w:rPr>
        <w:t>For purposes of these independence determinations, “immediate family member” will have the same meaning as under NASDAQ rules.</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Board organization</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Board and committee meetings</w:t>
      </w:r>
    </w:p>
    <w:p>
      <w:pPr>
        <w:spacing w:after="0" w:line="212" w:lineRule="exact"/>
        <w:rPr>
          <w:sz w:val="20"/>
          <w:szCs w:val="20"/>
          <w:color w:val="auto"/>
        </w:rPr>
      </w:pPr>
    </w:p>
    <w:p>
      <w:pPr>
        <w:ind w:left="3" w:right="60"/>
        <w:spacing w:after="0"/>
        <w:rPr>
          <w:sz w:val="20"/>
          <w:szCs w:val="20"/>
          <w:color w:val="auto"/>
        </w:rPr>
      </w:pPr>
      <w:r>
        <w:rPr>
          <w:rFonts w:ascii="Arial" w:cs="Arial" w:eastAsia="Arial" w:hAnsi="Arial"/>
          <w:sz w:val="16"/>
          <w:szCs w:val="16"/>
          <w:color w:val="auto"/>
        </w:rPr>
        <w:t>During 2011, the board held ten meetings. The board has three standing committees described below. The committees of the board collectively held 21 meetings in 2011. Each director attended at least 82 percent of board and relevant committee meetings combined. Overall attendance at board and committee meetings was approximately 93 percent.</w:t>
      </w:r>
    </w:p>
    <w:p>
      <w:pPr>
        <w:spacing w:after="0" w:line="16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Committees of the board</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16"/>
          <w:szCs w:val="16"/>
          <w:u w:val="single" w:color="auto"/>
          <w:color w:val="auto"/>
        </w:rPr>
        <w:t>Audit Committee</w:t>
      </w:r>
    </w:p>
    <w:p>
      <w:pPr>
        <w:ind w:left="3" w:right="80"/>
        <w:spacing w:after="0" w:line="237" w:lineRule="auto"/>
        <w:rPr>
          <w:sz w:val="20"/>
          <w:szCs w:val="20"/>
          <w:color w:val="auto"/>
        </w:rPr>
      </w:pPr>
      <w:r>
        <w:rPr>
          <w:rFonts w:ascii="Arial" w:cs="Arial" w:eastAsia="Arial" w:hAnsi="Arial"/>
          <w:sz w:val="16"/>
          <w:szCs w:val="16"/>
          <w:color w:val="auto"/>
        </w:rPr>
        <w:t>The Audit Committee is a separately designated standing committee established in accordance with Section 3(a)(58)(A) of the Securities Exchange Act of 1934, as amended. All members of the Audit Committee are independent under NASDAQ rules and the board’s corporate governance guidelines. From January 1 to April 22, 2011, the committee members were Ms. Patsley (Chair), Mr. Babb, Mr. David L. Boren (who retired from the board in April 2011) and Mr. Carp. Mr. Sanchez joined the committee effective March 15, 2011. Since April 22, the committee members have been Ms. Patsley (Chair), Mr. Babb and Mr. Sanchez. The Audit Committee is generally responsible for:</w:t>
      </w:r>
    </w:p>
    <w:p>
      <w:pPr>
        <w:spacing w:after="0" w:line="1" w:lineRule="exact"/>
        <w:rPr>
          <w:sz w:val="20"/>
          <w:szCs w:val="20"/>
          <w:color w:val="auto"/>
        </w:rPr>
      </w:pPr>
    </w:p>
    <w:p>
      <w:pPr>
        <w:ind w:left="483"/>
        <w:spacing w:after="0"/>
        <w:rPr>
          <w:sz w:val="20"/>
          <w:szCs w:val="20"/>
          <w:color w:val="auto"/>
        </w:rPr>
      </w:pPr>
      <w:r>
        <w:rPr>
          <w:rFonts w:ascii="Arial" w:cs="Arial" w:eastAsia="Arial" w:hAnsi="Arial"/>
          <w:sz w:val="16"/>
          <w:szCs w:val="16"/>
          <w:color w:val="auto"/>
        </w:rPr>
        <w:t>Appointing, compensating, retaining and overseeing TI’s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3"/>
        <w:spacing w:after="0"/>
        <w:rPr>
          <w:sz w:val="20"/>
          <w:szCs w:val="20"/>
          <w:color w:val="auto"/>
        </w:rPr>
      </w:pPr>
      <w:r>
        <w:rPr>
          <w:rFonts w:ascii="Arial" w:cs="Arial" w:eastAsia="Arial" w:hAnsi="Arial"/>
          <w:sz w:val="16"/>
          <w:szCs w:val="16"/>
          <w:color w:val="auto"/>
        </w:rPr>
        <w:t>Reviewing the annual report of TI’s independent registered public accounting firm related to quality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6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3"/>
        <w:spacing w:after="0"/>
        <w:rPr>
          <w:sz w:val="20"/>
          <w:szCs w:val="20"/>
          <w:color w:val="auto"/>
        </w:rPr>
      </w:pPr>
      <w:r>
        <w:rPr>
          <w:rFonts w:ascii="Arial" w:cs="Arial" w:eastAsia="Arial" w:hAnsi="Arial"/>
          <w:sz w:val="15"/>
          <w:szCs w:val="15"/>
          <w:color w:val="auto"/>
        </w:rPr>
        <w:t>Reviewing TI’s annual reports to the SEC, including the financial statements and the “Management’s Discussion and Analysis” portion of those reports,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-77470</wp:posOffset>
            </wp:positionV>
            <wp:extent cx="5651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spacing w:after="0" w:line="2" w:lineRule="exact"/>
        <w:rPr>
          <w:sz w:val="20"/>
          <w:szCs w:val="20"/>
          <w:color w:val="auto"/>
        </w:rPr>
      </w:pPr>
    </w:p>
    <w:p>
      <w:pPr>
        <w:ind w:left="483"/>
        <w:spacing w:after="0"/>
        <w:rPr>
          <w:sz w:val="20"/>
          <w:szCs w:val="20"/>
          <w:color w:val="auto"/>
        </w:rPr>
      </w:pPr>
      <w:r>
        <w:rPr>
          <w:rFonts w:ascii="Arial" w:cs="Arial" w:eastAsia="Arial" w:hAnsi="Arial"/>
          <w:sz w:val="16"/>
          <w:szCs w:val="16"/>
          <w:color w:val="auto"/>
        </w:rPr>
        <w:t>recommending appropriate action to the board.</w:t>
      </w:r>
    </w:p>
    <w:p>
      <w:pPr>
        <w:spacing w:after="0" w:line="10" w:lineRule="exact"/>
        <w:rPr>
          <w:sz w:val="20"/>
          <w:szCs w:val="20"/>
          <w:color w:val="auto"/>
        </w:rPr>
      </w:pPr>
    </w:p>
    <w:p>
      <w:pPr>
        <w:ind w:left="483"/>
        <w:spacing w:after="0"/>
        <w:rPr>
          <w:sz w:val="20"/>
          <w:szCs w:val="20"/>
          <w:color w:val="auto"/>
        </w:rPr>
      </w:pPr>
      <w:r>
        <w:rPr>
          <w:rFonts w:ascii="Arial" w:cs="Arial" w:eastAsia="Arial" w:hAnsi="Arial"/>
          <w:sz w:val="16"/>
          <w:szCs w:val="16"/>
          <w:color w:val="auto"/>
        </w:rPr>
        <w:t>Reviewing TI’s audit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3" w:right="20"/>
        <w:spacing w:after="0" w:line="253" w:lineRule="auto"/>
        <w:rPr>
          <w:sz w:val="20"/>
          <w:szCs w:val="20"/>
          <w:color w:val="auto"/>
        </w:rPr>
      </w:pPr>
      <w:r>
        <w:rPr>
          <w:rFonts w:ascii="Arial" w:cs="Arial" w:eastAsia="Arial" w:hAnsi="Arial"/>
          <w:sz w:val="16"/>
          <w:szCs w:val="16"/>
          <w:color w:val="auto"/>
        </w:rPr>
        <w:t>Reviewing before issuance TI’s news releases regarding annual and interim financial results and discussing with management any related earnings guidance that may be provided to analysts and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-213995</wp:posOffset>
            </wp:positionV>
            <wp:extent cx="56515" cy="56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3" w:right="320"/>
        <w:spacing w:after="0" w:line="253" w:lineRule="auto"/>
        <w:rPr>
          <w:sz w:val="20"/>
          <w:szCs w:val="20"/>
          <w:color w:val="auto"/>
        </w:rPr>
      </w:pPr>
      <w:r>
        <w:rPr>
          <w:rFonts w:ascii="Arial" w:cs="Arial" w:eastAsia="Arial" w:hAnsi="Arial"/>
          <w:sz w:val="16"/>
          <w:szCs w:val="16"/>
          <w:color w:val="auto"/>
        </w:rPr>
        <w:t>Discussing TI’s audited financial statements with management and the independent registered public accounting firm, including a discussion with the firm regarding the matters required to be reviewed under applicable legal or regulatory requirements. Reviewing relationships between the independent registered public accounting firm and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-337185</wp:posOffset>
            </wp:positionV>
            <wp:extent cx="56515" cy="56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-90805</wp:posOffset>
            </wp:positionV>
            <wp:extent cx="56515" cy="56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3"/>
        <w:spacing w:after="0"/>
        <w:rPr>
          <w:sz w:val="20"/>
          <w:szCs w:val="20"/>
          <w:color w:val="auto"/>
        </w:rPr>
      </w:pPr>
      <w:r>
        <w:rPr>
          <w:rFonts w:ascii="Arial" w:cs="Arial" w:eastAsia="Arial" w:hAnsi="Arial"/>
          <w:sz w:val="15"/>
          <w:szCs w:val="15"/>
          <w:color w:val="auto"/>
        </w:rPr>
        <w:t>Reviewing and discussing the adequacy of TI’s internal accounting controls and other factors affecting the integrity of TI’s financial reports with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-77470</wp:posOffset>
            </wp:positionV>
            <wp:extent cx="56515" cy="56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 w:lineRule="exact"/>
        <w:rPr>
          <w:sz w:val="20"/>
          <w:szCs w:val="20"/>
          <w:color w:val="auto"/>
        </w:rPr>
      </w:pPr>
    </w:p>
    <w:p>
      <w:pPr>
        <w:ind w:left="483"/>
        <w:spacing w:after="0"/>
        <w:rPr>
          <w:sz w:val="20"/>
          <w:szCs w:val="20"/>
          <w:color w:val="auto"/>
        </w:rPr>
      </w:pPr>
      <w:r>
        <w:rPr>
          <w:rFonts w:ascii="Arial" w:cs="Arial" w:eastAsia="Arial" w:hAnsi="Arial"/>
          <w:sz w:val="16"/>
          <w:szCs w:val="16"/>
          <w:color w:val="auto"/>
        </w:rPr>
        <w:t>and with the independent registered public accounting firm.</w:t>
      </w:r>
    </w:p>
    <w:p>
      <w:pPr>
        <w:spacing w:after="0" w:line="10" w:lineRule="exact"/>
        <w:rPr>
          <w:sz w:val="20"/>
          <w:szCs w:val="20"/>
          <w:color w:val="auto"/>
        </w:rPr>
      </w:pPr>
    </w:p>
    <w:p>
      <w:pPr>
        <w:ind w:left="483"/>
        <w:spacing w:after="0"/>
        <w:rPr>
          <w:sz w:val="20"/>
          <w:szCs w:val="20"/>
          <w:color w:val="auto"/>
        </w:rPr>
      </w:pPr>
      <w:r>
        <w:rPr>
          <w:rFonts w:ascii="Arial" w:cs="Arial" w:eastAsia="Arial" w:hAnsi="Arial"/>
          <w:sz w:val="16"/>
          <w:szCs w:val="16"/>
          <w:color w:val="auto"/>
        </w:rPr>
        <w:t>Creating and periodically reviewing TI’s whistleblower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6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3"/>
        <w:spacing w:after="0"/>
        <w:rPr>
          <w:sz w:val="20"/>
          <w:szCs w:val="20"/>
          <w:color w:val="auto"/>
        </w:rPr>
      </w:pPr>
      <w:r>
        <w:rPr>
          <w:rFonts w:ascii="Arial" w:cs="Arial" w:eastAsia="Arial" w:hAnsi="Arial"/>
          <w:sz w:val="16"/>
          <w:szCs w:val="16"/>
          <w:color w:val="auto"/>
        </w:rPr>
        <w:t>Reviewing TI’s risk assessment and risk management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6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3"/>
        <w:spacing w:after="0"/>
        <w:rPr>
          <w:sz w:val="20"/>
          <w:szCs w:val="20"/>
          <w:color w:val="auto"/>
        </w:rPr>
      </w:pPr>
      <w:r>
        <w:rPr>
          <w:rFonts w:ascii="Arial" w:cs="Arial" w:eastAsia="Arial" w:hAnsi="Arial"/>
          <w:sz w:val="16"/>
          <w:szCs w:val="16"/>
          <w:color w:val="auto"/>
        </w:rPr>
        <w:t>Reviewing TI’s compliance and ethics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6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3"/>
        <w:spacing w:after="0"/>
        <w:rPr>
          <w:sz w:val="20"/>
          <w:szCs w:val="20"/>
          <w:color w:val="auto"/>
        </w:rPr>
      </w:pPr>
      <w:r>
        <w:rPr>
          <w:rFonts w:ascii="Arial" w:cs="Arial" w:eastAsia="Arial" w:hAnsi="Arial"/>
          <w:sz w:val="16"/>
          <w:szCs w:val="16"/>
          <w:color w:val="auto"/>
        </w:rPr>
        <w:t>Reviewing a report of compliance of management and operating personnel with TI’s code of business conduct, including TI’s conflict of interest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6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3"/>
        <w:spacing w:after="0"/>
        <w:rPr>
          <w:sz w:val="20"/>
          <w:szCs w:val="20"/>
          <w:color w:val="auto"/>
        </w:rPr>
      </w:pPr>
      <w:r>
        <w:rPr>
          <w:rFonts w:ascii="Arial" w:cs="Arial" w:eastAsia="Arial" w:hAnsi="Arial"/>
          <w:sz w:val="16"/>
          <w:szCs w:val="16"/>
          <w:color w:val="auto"/>
        </w:rPr>
        <w:t>Reviewing TI’s non-employee-related insurance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6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3"/>
        <w:spacing w:after="0"/>
        <w:rPr>
          <w:sz w:val="20"/>
          <w:szCs w:val="20"/>
          <w:color w:val="auto"/>
        </w:rPr>
      </w:pPr>
      <w:r>
        <w:rPr>
          <w:rFonts w:ascii="Arial" w:cs="Arial" w:eastAsia="Arial" w:hAnsi="Arial"/>
          <w:sz w:val="16"/>
          <w:szCs w:val="16"/>
          <w:color w:val="auto"/>
        </w:rPr>
        <w:t>Reviewing changes, if any, in major accounting policies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6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3"/>
        <w:spacing w:after="0"/>
        <w:rPr>
          <w:sz w:val="20"/>
          <w:szCs w:val="20"/>
          <w:color w:val="auto"/>
        </w:rPr>
      </w:pPr>
      <w:r>
        <w:rPr>
          <w:rFonts w:ascii="Arial" w:cs="Arial" w:eastAsia="Arial" w:hAnsi="Arial"/>
          <w:sz w:val="16"/>
          <w:szCs w:val="16"/>
          <w:color w:val="auto"/>
        </w:rPr>
        <w:t>Reviewing trends in accounting policy changes that are relevant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6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3"/>
        <w:spacing w:after="0"/>
        <w:rPr>
          <w:sz w:val="20"/>
          <w:szCs w:val="20"/>
          <w:color w:val="auto"/>
        </w:rPr>
      </w:pPr>
      <w:r>
        <w:rPr>
          <w:rFonts w:ascii="Arial" w:cs="Arial" w:eastAsia="Arial" w:hAnsi="Arial"/>
          <w:sz w:val="16"/>
          <w:szCs w:val="16"/>
          <w:color w:val="auto"/>
        </w:rPr>
        <w:t>Reviewing the company’s policy regarding investments and financial derivative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6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4" w:lineRule="exact"/>
        <w:rPr>
          <w:sz w:val="20"/>
          <w:szCs w:val="20"/>
          <w:color w:val="auto"/>
        </w:rPr>
      </w:pPr>
    </w:p>
    <w:p>
      <w:pPr>
        <w:ind w:left="3" w:right="100" w:firstLine="243"/>
        <w:spacing w:after="0" w:line="248" w:lineRule="auto"/>
        <w:rPr>
          <w:sz w:val="20"/>
          <w:szCs w:val="20"/>
          <w:color w:val="auto"/>
        </w:rPr>
      </w:pPr>
      <w:r>
        <w:rPr>
          <w:rFonts w:ascii="Arial" w:cs="Arial" w:eastAsia="Arial" w:hAnsi="Arial"/>
          <w:sz w:val="16"/>
          <w:szCs w:val="16"/>
          <w:color w:val="auto"/>
        </w:rPr>
        <w:t>The board has determined that all members of the Audit Committee are financially sophisticated, as the board has interpreted such qualifications in its business judgment. In addition, the board has designated Ms. Patsley as the audit committee financial expert as defined in the Securities Exchange Act of 1934, as amended.</w:t>
      </w:r>
    </w:p>
    <w:p>
      <w:pPr>
        <w:spacing w:after="0" w:line="249" w:lineRule="exact"/>
        <w:rPr>
          <w:sz w:val="20"/>
          <w:szCs w:val="20"/>
          <w:color w:val="auto"/>
        </w:rPr>
      </w:pPr>
    </w:p>
    <w:p>
      <w:pPr>
        <w:ind w:left="3"/>
        <w:spacing w:after="0"/>
        <w:tabs>
          <w:tab w:leader="none" w:pos="964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361" w:right="219" w:bottom="1440" w:gutter="0" w:footer="0" w:header="0"/>
        </w:sectPr>
      </w:pPr>
    </w:p>
    <w:bookmarkStart w:id="8" w:name="page9"/>
    <w:bookmarkEnd w:id="8"/>
    <w:p>
      <w:pPr>
        <w:ind w:right="240" w:firstLine="189"/>
        <w:spacing w:after="0" w:line="248" w:lineRule="auto"/>
        <w:rPr>
          <w:sz w:val="20"/>
          <w:szCs w:val="20"/>
          <w:color w:val="auto"/>
        </w:rPr>
      </w:pPr>
      <w:r>
        <w:rPr>
          <w:rFonts w:ascii="Arial" w:cs="Arial" w:eastAsia="Arial" w:hAnsi="Arial"/>
          <w:sz w:val="16"/>
          <w:szCs w:val="16"/>
          <w:color w:val="auto"/>
        </w:rPr>
        <w:t>The Audit Committee met seven times in 2011.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 Please see page 93 for a report of the committee.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Compensation Committee</w:t>
      </w:r>
    </w:p>
    <w:p>
      <w:pPr>
        <w:ind w:right="80"/>
        <w:spacing w:after="0" w:line="253" w:lineRule="auto"/>
        <w:rPr>
          <w:sz w:val="20"/>
          <w:szCs w:val="20"/>
          <w:color w:val="auto"/>
        </w:rPr>
      </w:pPr>
      <w:r>
        <w:rPr>
          <w:rFonts w:ascii="Arial" w:cs="Arial" w:eastAsia="Arial" w:hAnsi="Arial"/>
          <w:sz w:val="15"/>
          <w:szCs w:val="15"/>
          <w:color w:val="auto"/>
        </w:rPr>
        <w:t>All members of the Compensation Committee are independent. From January 1 to April 22, 2011, the committee members were Ms. Cox (Chair), Mr. David R. Goode (who retired from the board in April 2011) and Mr. MacMillan. From April 22, 2011, to February 17, 2012, the committee members were Ms. Cox (Chair), Mr. MacMillan and Ms. Simmons. Since February 17, 2012, the committee members have been Ms. Cox (Chair) and Ms. Simmons. The committee is responsible for:</w:t>
      </w:r>
    </w:p>
    <w:p>
      <w:pPr>
        <w:ind w:left="480"/>
        <w:spacing w:after="0"/>
        <w:rPr>
          <w:sz w:val="20"/>
          <w:szCs w:val="20"/>
          <w:color w:val="auto"/>
        </w:rPr>
      </w:pPr>
      <w:r>
        <w:rPr>
          <w:rFonts w:ascii="Arial" w:cs="Arial" w:eastAsia="Arial" w:hAnsi="Arial"/>
          <w:sz w:val="16"/>
          <w:szCs w:val="16"/>
          <w:color w:val="auto"/>
        </w:rPr>
        <w:t>Reviewing the performance of the CEO and determining his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Setting the compensation of the company’s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Overseeing administration of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960" w:right="200"/>
        <w:spacing w:after="0" w:line="253" w:lineRule="auto"/>
        <w:rPr>
          <w:sz w:val="20"/>
          <w:szCs w:val="20"/>
          <w:color w:val="auto"/>
        </w:rPr>
      </w:pPr>
      <w:r>
        <w:rPr>
          <w:rFonts w:ascii="Arial" w:cs="Arial" w:eastAsia="Arial" w:hAnsi="Arial"/>
          <w:sz w:val="16"/>
          <w:szCs w:val="16"/>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-337185</wp:posOffset>
            </wp:positionV>
            <wp:extent cx="56515" cy="56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Reservation of company stock for use as awards of grants under plans or as contributions or sales to any trustee of any employee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0" w:right="300"/>
        <w:spacing w:after="0" w:line="259" w:lineRule="auto"/>
        <w:rPr>
          <w:sz w:val="20"/>
          <w:szCs w:val="20"/>
          <w:color w:val="auto"/>
        </w:rPr>
      </w:pPr>
      <w:r>
        <w:rPr>
          <w:rFonts w:ascii="Arial" w:cs="Arial" w:eastAsia="Arial" w:hAnsi="Arial"/>
          <w:sz w:val="16"/>
          <w:szCs w:val="16"/>
          <w:color w:val="auto"/>
        </w:rPr>
        <w:t>Taking action as appropriate regarding the institution and termination of, revisions in and actions under employee benefit plans that are not required to be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-219710</wp:posOffset>
            </wp:positionV>
            <wp:extent cx="56515" cy="56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right="720" w:firstLine="243"/>
        <w:spacing w:after="0" w:line="259" w:lineRule="auto"/>
        <w:rPr>
          <w:sz w:val="20"/>
          <w:szCs w:val="20"/>
          <w:color w:val="auto"/>
        </w:rPr>
      </w:pPr>
      <w:r>
        <w:rPr>
          <w:rFonts w:ascii="Arial" w:cs="Arial" w:eastAsia="Arial" w:hAnsi="Arial"/>
          <w:sz w:val="16"/>
          <w:szCs w:val="16"/>
          <w:color w:val="auto"/>
        </w:rPr>
        <w:t>The Compensation Committee holds regularly scheduled meetings, reports its activities to the board, and consults with the board before setting annual executive compensation. During 2011, the committee met six times. Please see page 79 for a report of the committee.</w:t>
      </w:r>
    </w:p>
    <w:p>
      <w:pPr>
        <w:spacing w:after="0" w:line="3" w:lineRule="exact"/>
        <w:rPr>
          <w:sz w:val="20"/>
          <w:szCs w:val="20"/>
          <w:color w:val="auto"/>
        </w:rPr>
      </w:pPr>
    </w:p>
    <w:p>
      <w:pPr>
        <w:ind w:right="20" w:firstLine="243"/>
        <w:spacing w:after="0" w:line="241" w:lineRule="auto"/>
        <w:rPr>
          <w:sz w:val="20"/>
          <w:szCs w:val="20"/>
          <w:color w:val="auto"/>
        </w:rPr>
      </w:pPr>
      <w:r>
        <w:rPr>
          <w:rFonts w:ascii="Arial" w:cs="Arial" w:eastAsia="Arial" w:hAnsi="Arial"/>
          <w:sz w:val="16"/>
          <w:szCs w:val="16"/>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2011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19" w:lineRule="exact"/>
        <w:rPr>
          <w:sz w:val="20"/>
          <w:szCs w:val="20"/>
          <w:color w:val="auto"/>
        </w:rPr>
      </w:pPr>
    </w:p>
    <w:p>
      <w:pPr>
        <w:ind w:right="40" w:firstLine="243"/>
        <w:spacing w:after="0" w:line="244" w:lineRule="auto"/>
        <w:rPr>
          <w:sz w:val="20"/>
          <w:szCs w:val="20"/>
          <w:color w:val="auto"/>
        </w:rPr>
      </w:pPr>
      <w:r>
        <w:rPr>
          <w:rFonts w:ascii="Arial" w:cs="Arial" w:eastAsia="Arial" w:hAnsi="Arial"/>
          <w:sz w:val="16"/>
          <w:szCs w:val="16"/>
          <w:color w:val="auto"/>
        </w:rPr>
        <w:t>The Compensation Committee considers it important that its compensation consultant’s objectivity not be compromised by other business engagements with the company or its management. In support of this belief, the committee has a policy on compensation consultants, a copy of which may be found on www.ti.com/corporategovernance. During 2011, neither the consultant nor any of its affiliates performed services for TI other than pursuant to the engagement by the committee.</w:t>
      </w:r>
    </w:p>
    <w:p>
      <w:pPr>
        <w:spacing w:after="0" w:line="16" w:lineRule="exact"/>
        <w:rPr>
          <w:sz w:val="20"/>
          <w:szCs w:val="20"/>
          <w:color w:val="auto"/>
        </w:rPr>
      </w:pPr>
    </w:p>
    <w:p>
      <w:pPr>
        <w:ind w:right="20" w:firstLine="243"/>
        <w:spacing w:after="0" w:line="244" w:lineRule="auto"/>
        <w:rPr>
          <w:sz w:val="20"/>
          <w:szCs w:val="20"/>
          <w:color w:val="auto"/>
        </w:rPr>
      </w:pPr>
      <w:r>
        <w:rPr>
          <w:rFonts w:ascii="Arial" w:cs="Arial" w:eastAsia="Arial" w:hAnsi="Arial"/>
          <w:sz w:val="16"/>
          <w:szCs w:val="16"/>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16" w:lineRule="exact"/>
        <w:rPr>
          <w:sz w:val="20"/>
          <w:szCs w:val="20"/>
          <w:color w:val="auto"/>
        </w:rPr>
      </w:pPr>
    </w:p>
    <w:p>
      <w:pPr>
        <w:ind w:right="80" w:firstLine="243"/>
        <w:spacing w:after="0"/>
        <w:rPr>
          <w:sz w:val="20"/>
          <w:szCs w:val="20"/>
          <w:color w:val="auto"/>
        </w:rPr>
      </w:pPr>
      <w:r>
        <w:rPr>
          <w:rFonts w:ascii="Arial" w:cs="Arial" w:eastAsia="Arial" w:hAnsi="Arial"/>
          <w:sz w:val="16"/>
          <w:szCs w:val="16"/>
          <w:color w:val="auto"/>
        </w:rPr>
        <w:t>The CEO and the senior vice president responsible for Human Resources, who is an executive officer, are regularly invited to 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During the committee’s deliberations on executive compensation,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22" w:lineRule="exact"/>
        <w:rPr>
          <w:sz w:val="20"/>
          <w:szCs w:val="20"/>
          <w:color w:val="auto"/>
        </w:rPr>
      </w:pPr>
    </w:p>
    <w:p>
      <w:pPr>
        <w:ind w:right="80" w:firstLine="243"/>
        <w:spacing w:after="0" w:line="248" w:lineRule="auto"/>
        <w:rPr>
          <w:sz w:val="20"/>
          <w:szCs w:val="20"/>
          <w:color w:val="auto"/>
        </w:rPr>
      </w:pPr>
      <w:r>
        <w:rPr>
          <w:rFonts w:ascii="Arial" w:cs="Arial" w:eastAsia="Arial" w:hAnsi="Arial"/>
          <w:sz w:val="16"/>
          <w:szCs w:val="16"/>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12" w:lineRule="exact"/>
        <w:rPr>
          <w:sz w:val="20"/>
          <w:szCs w:val="20"/>
          <w:color w:val="auto"/>
        </w:rPr>
      </w:pPr>
    </w:p>
    <w:p>
      <w:pPr>
        <w:ind w:right="120" w:firstLine="243"/>
        <w:spacing w:after="0" w:line="244" w:lineRule="auto"/>
        <w:rPr>
          <w:sz w:val="20"/>
          <w:szCs w:val="20"/>
          <w:color w:val="auto"/>
        </w:rPr>
      </w:pPr>
      <w:r>
        <w:rPr>
          <w:rFonts w:ascii="Arial" w:cs="Arial" w:eastAsia="Arial" w:hAnsi="Arial"/>
          <w:sz w:val="16"/>
          <w:szCs w:val="16"/>
          <w:color w:val="auto"/>
        </w:rPr>
        <w:t>Pursuant to that authority, the Compensation Committee has delegated to a special committee established by the board the authority to grant a limited number of stock options and restricted stock units under the company’s long-term incentive plans. The sole member of the special committee is Mr. Templeton. The special committee has no authority to grant, amend or terminate any form of compensation to TI’s executive officers. The Compensation Committee reviews the grant activity of the special committee.</w:t>
      </w:r>
    </w:p>
    <w:p>
      <w:pPr>
        <w:spacing w:after="0" w:line="229" w:lineRule="exact"/>
        <w:rPr>
          <w:sz w:val="20"/>
          <w:szCs w:val="20"/>
          <w:color w:val="auto"/>
        </w:rPr>
      </w:pPr>
    </w:p>
    <w:p>
      <w:pPr>
        <w:spacing w:after="0"/>
        <w:tabs>
          <w:tab w:leader="none" w:pos="10100" w:val="left"/>
        </w:tabs>
        <w:rPr>
          <w:sz w:val="20"/>
          <w:szCs w:val="20"/>
          <w:color w:val="auto"/>
        </w:rPr>
      </w:pPr>
      <w:r>
        <w:rPr>
          <w:rFonts w:ascii="Arial" w:cs="Arial" w:eastAsia="Arial" w:hAnsi="Arial"/>
          <w:sz w:val="12"/>
          <w:szCs w:val="12"/>
          <w:b w:val="1"/>
          <w:bCs w:val="1"/>
          <w:color w:val="auto"/>
        </w:rPr>
        <w:t xml:space="preserve">62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79" w:right="21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auto"/>
        </w:rPr>
        <w:t>Governance and Stockholder Relations Committee</w:t>
      </w:r>
    </w:p>
    <w:p>
      <w:pPr>
        <w:spacing w:after="0"/>
        <w:rPr>
          <w:sz w:val="20"/>
          <w:szCs w:val="20"/>
          <w:color w:val="auto"/>
        </w:rPr>
      </w:pPr>
      <w:r>
        <w:rPr>
          <w:rFonts w:ascii="Arial" w:cs="Arial" w:eastAsia="Arial" w:hAnsi="Arial"/>
          <w:sz w:val="15"/>
          <w:szCs w:val="15"/>
          <w:color w:val="auto"/>
        </w:rPr>
        <w:t>All members of the G&amp;SR Committee are independent. From January 1 to April 22, 2011, the committee members were Ms. Simmons (Chair), Mr. Sanders and Ms.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Whitman. Since April 22, the committee members have been Ms. Whitman (Chair), Mr. Carp and Mr. Sanders. The G&amp;SR Committee is generally responsible for:</w:t>
      </w:r>
    </w:p>
    <w:p>
      <w:pPr>
        <w:ind w:left="480"/>
        <w:spacing w:after="0"/>
        <w:rPr>
          <w:sz w:val="20"/>
          <w:szCs w:val="20"/>
          <w:color w:val="auto"/>
        </w:rPr>
      </w:pPr>
      <w:r>
        <w:rPr>
          <w:rFonts w:ascii="Arial" w:cs="Arial" w:eastAsia="Arial" w:hAnsi="Arial"/>
          <w:sz w:val="16"/>
          <w:szCs w:val="16"/>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The development and revision of our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6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The size, composition and functioning of the board and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6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Candidates to fill board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6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Nominees to be designated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6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Compensation of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6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Organization and responsibilities of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6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Succession planning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6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Issues of potential conflicts of interest involving a board member raised under TI’s conflict of interest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Election of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6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Topics affecting the relationship between the company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Public issues likely to affect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6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Responses to proposals submitted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Reviewing: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Contribution policies of the company and of the TI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Revisions to TI’s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6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Electing officers of the company other than the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5651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6"/>
          <w:szCs w:val="16"/>
          <w:color w:val="auto"/>
        </w:rPr>
        <w:t>Overseeing an annual evaluation of the board and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-81915</wp:posOffset>
            </wp:positionV>
            <wp:extent cx="56515" cy="56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8" w:lineRule="exact"/>
        <w:rPr>
          <w:sz w:val="20"/>
          <w:szCs w:val="20"/>
          <w:color w:val="auto"/>
        </w:rPr>
      </w:pPr>
    </w:p>
    <w:p>
      <w:pPr>
        <w:ind w:right="340" w:firstLine="243"/>
        <w:spacing w:after="0" w:line="259" w:lineRule="auto"/>
        <w:rPr>
          <w:sz w:val="20"/>
          <w:szCs w:val="20"/>
          <w:color w:val="auto"/>
        </w:rPr>
      </w:pPr>
      <w:r>
        <w:rPr>
          <w:rFonts w:ascii="Arial" w:cs="Arial" w:eastAsia="Arial" w:hAnsi="Arial"/>
          <w:sz w:val="16"/>
          <w:szCs w:val="16"/>
          <w:color w:val="auto"/>
        </w:rPr>
        <w:t>The G&amp;SR Committee met eight times in 2011. The G&amp;SR Committee holds regularly scheduled meetings and reports its activities to the board. Please see page 58 for a discussion of stockholder nominations and page 60 for a discussion of communications with the board.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12"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color w:val="auto"/>
        </w:rPr>
        <w:t>The board’s current leadership structure combines the positions of chairman and CEO, and includes a lead director who presides at executive sessions and performs the duties listed below. The board believes that this structure, combined with its other practices (such as (a) including on each board agenda an opportunity for the independent directors to comment on and influence the proposed strategic agenda for future meetings and (b) holding an executive session at each board meeting), allows it to maintain the active engagement of independent directors and appropriate oversight of management.</w:t>
      </w:r>
    </w:p>
    <w:p>
      <w:pPr>
        <w:spacing w:after="0" w:line="19" w:lineRule="exact"/>
        <w:rPr>
          <w:sz w:val="20"/>
          <w:szCs w:val="20"/>
          <w:color w:val="auto"/>
        </w:rPr>
      </w:pPr>
    </w:p>
    <w:p>
      <w:pPr>
        <w:ind w:right="80" w:firstLine="243"/>
        <w:spacing w:after="0" w:line="245" w:lineRule="auto"/>
        <w:rPr>
          <w:sz w:val="20"/>
          <w:szCs w:val="20"/>
          <w:color w:val="auto"/>
        </w:rPr>
      </w:pPr>
      <w:r>
        <w:rPr>
          <w:rFonts w:ascii="Arial" w:cs="Arial" w:eastAsia="Arial" w:hAnsi="Arial"/>
          <w:sz w:val="16"/>
          <w:szCs w:val="16"/>
          <w:color w:val="auto"/>
        </w:rPr>
        <w:t>The independent directors have elected Ms. Patsley to serve as lead director through April 2013. Thereafter, the lead director will be elected by the independent directors annually. The duties of the lead director are to:</w:t>
      </w:r>
    </w:p>
    <w:p>
      <w:pPr>
        <w:ind w:left="480"/>
        <w:spacing w:after="0"/>
        <w:rPr>
          <w:sz w:val="20"/>
          <w:szCs w:val="20"/>
          <w:color w:val="auto"/>
        </w:rPr>
      </w:pPr>
      <w:r>
        <w:rPr>
          <w:rFonts w:ascii="Arial" w:cs="Arial" w:eastAsia="Arial" w:hAnsi="Arial"/>
          <w:sz w:val="16"/>
          <w:szCs w:val="16"/>
          <w:color w:val="auto"/>
        </w:rPr>
        <w:t>Preside at all meetings of the board at which the chairman is not present, including executive sessions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Serve as liaison between the chairman and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Approve information sent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Approve meeting agendas for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Approve meeting schedules to assure that there is sufficient time for discussion of all agenda items;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If requested by major shareholders, ensure that he or she is available for consultation and direct communication.</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lead director has authority to call meetings of the independent directors.</w:t>
      </w:r>
    </w:p>
    <w:p>
      <w:pPr>
        <w:spacing w:after="0" w:line="22" w:lineRule="exact"/>
        <w:rPr>
          <w:sz w:val="20"/>
          <w:szCs w:val="20"/>
          <w:color w:val="auto"/>
        </w:rPr>
      </w:pPr>
    </w:p>
    <w:p>
      <w:pPr>
        <w:ind w:right="120" w:firstLine="243"/>
        <w:spacing w:after="0" w:line="242" w:lineRule="auto"/>
        <w:rPr>
          <w:sz w:val="20"/>
          <w:szCs w:val="20"/>
          <w:color w:val="auto"/>
        </w:rPr>
      </w:pPr>
      <w:r>
        <w:rPr>
          <w:rFonts w:ascii="Arial" w:cs="Arial" w:eastAsia="Arial" w:hAnsi="Arial"/>
          <w:sz w:val="16"/>
          <w:szCs w:val="16"/>
          <w:color w:val="auto"/>
        </w:rPr>
        <w:t>The board, led by its G&amp;SR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corporation and its stockholders.</w:t>
      </w:r>
    </w:p>
    <w:p>
      <w:pPr>
        <w:spacing w:after="0" w:line="18" w:lineRule="exact"/>
        <w:rPr>
          <w:sz w:val="20"/>
          <w:szCs w:val="20"/>
          <w:color w:val="auto"/>
        </w:rPr>
      </w:pPr>
    </w:p>
    <w:p>
      <w:pPr>
        <w:ind w:right="80" w:firstLine="243"/>
        <w:spacing w:after="0" w:line="259" w:lineRule="auto"/>
        <w:rPr>
          <w:sz w:val="20"/>
          <w:szCs w:val="20"/>
          <w:color w:val="auto"/>
        </w:rPr>
      </w:pPr>
      <w:r>
        <w:rPr>
          <w:rFonts w:ascii="Arial" w:cs="Arial" w:eastAsia="Arial" w:hAnsi="Arial"/>
          <w:sz w:val="16"/>
          <w:szCs w:val="16"/>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now utilizing a lead director.</w:t>
      </w:r>
    </w:p>
    <w:p>
      <w:pPr>
        <w:spacing w:after="0" w:line="240" w:lineRule="exact"/>
        <w:rPr>
          <w:sz w:val="20"/>
          <w:szCs w:val="20"/>
          <w:color w:val="auto"/>
        </w:rPr>
      </w:pPr>
    </w:p>
    <w:p>
      <w:pPr>
        <w:spacing w:after="0"/>
        <w:tabs>
          <w:tab w:leader="none" w:pos="9640"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358" w:right="2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Risk oversight by the board</w:t>
      </w:r>
    </w:p>
    <w:p>
      <w:pPr>
        <w:spacing w:after="0" w:line="212"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15" w:lineRule="exact"/>
        <w:rPr>
          <w:sz w:val="20"/>
          <w:szCs w:val="20"/>
          <w:color w:val="auto"/>
        </w:rPr>
      </w:pPr>
    </w:p>
    <w:p>
      <w:pPr>
        <w:ind w:right="300" w:firstLine="243"/>
        <w:spacing w:after="0" w:line="244" w:lineRule="auto"/>
        <w:rPr>
          <w:sz w:val="20"/>
          <w:szCs w:val="20"/>
          <w:color w:val="auto"/>
        </w:rPr>
      </w:pPr>
      <w:r>
        <w:rPr>
          <w:rFonts w:ascii="Arial" w:cs="Arial" w:eastAsia="Arial" w:hAnsi="Arial"/>
          <w:sz w:val="16"/>
          <w:szCs w:val="16"/>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and research and development). Throughout the year the CEO discusses these risks with the board during strategy reviews that focus on a particular business or function. In addition, at the end of the year, the CEO provides a formal report on the top strategic and operational risks.</w:t>
      </w:r>
    </w:p>
    <w:p>
      <w:pPr>
        <w:spacing w:after="0" w:line="16" w:lineRule="exact"/>
        <w:rPr>
          <w:sz w:val="20"/>
          <w:szCs w:val="20"/>
          <w:color w:val="auto"/>
        </w:rPr>
      </w:pPr>
    </w:p>
    <w:p>
      <w:pPr>
        <w:ind w:right="140" w:firstLine="243"/>
        <w:spacing w:after="0" w:line="242" w:lineRule="auto"/>
        <w:rPr>
          <w:sz w:val="20"/>
          <w:szCs w:val="20"/>
          <w:color w:val="auto"/>
        </w:rPr>
      </w:pPr>
      <w:r>
        <w:rPr>
          <w:rFonts w:ascii="Arial" w:cs="Arial" w:eastAsia="Arial" w:hAnsi="Arial"/>
          <w:sz w:val="16"/>
          <w:szCs w:val="16"/>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G&amp;SR Committee oversees compliance with governance-related laws and policies, including the company’s corporate governance guidelines.</w:t>
      </w:r>
    </w:p>
    <w:p>
      <w:pPr>
        <w:spacing w:after="0" w:line="18" w:lineRule="exact"/>
        <w:rPr>
          <w:sz w:val="20"/>
          <w:szCs w:val="20"/>
          <w:color w:val="auto"/>
        </w:rPr>
      </w:pPr>
    </w:p>
    <w:p>
      <w:pPr>
        <w:ind w:firstLine="243"/>
        <w:spacing w:after="0" w:line="259" w:lineRule="auto"/>
        <w:rPr>
          <w:sz w:val="20"/>
          <w:szCs w:val="20"/>
          <w:color w:val="auto"/>
        </w:rPr>
      </w:pPr>
      <w:r>
        <w:rPr>
          <w:rFonts w:ascii="Arial" w:cs="Arial" w:eastAsia="Arial" w:hAnsi="Arial"/>
          <w:sz w:val="16"/>
          <w:szCs w:val="16"/>
          <w:color w:val="auto"/>
        </w:rPr>
        <w:t>The Audit Committee oversees the company’s approach to risk management as a whole. It reviews the company’s risk management process at least annually by means of a presentation by the CFO.</w:t>
      </w:r>
    </w:p>
    <w:p>
      <w:pPr>
        <w:spacing w:after="0" w:line="3" w:lineRule="exact"/>
        <w:rPr>
          <w:sz w:val="20"/>
          <w:szCs w:val="20"/>
          <w:color w:val="auto"/>
        </w:rPr>
      </w:pPr>
    </w:p>
    <w:p>
      <w:pPr>
        <w:ind w:right="240" w:firstLine="243"/>
        <w:spacing w:after="0" w:line="242" w:lineRule="auto"/>
        <w:rPr>
          <w:sz w:val="20"/>
          <w:szCs w:val="20"/>
          <w:color w:val="auto"/>
        </w:rPr>
      </w:pPr>
      <w:r>
        <w:rPr>
          <w:rFonts w:ascii="Arial" w:cs="Arial" w:eastAsia="Arial" w:hAnsi="Arial"/>
          <w:sz w:val="16"/>
          <w:szCs w:val="16"/>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compensation</w:t>
      </w:r>
    </w:p>
    <w:p>
      <w:pPr>
        <w:spacing w:after="0" w:line="32"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The G&amp;SR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compensation arrangements in 2011 for the non-employee directors were:</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Annual retainer of $80,000 for board and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5"/>
          <w:szCs w:val="15"/>
          <w:color w:val="auto"/>
        </w:rPr>
        <w:t>Additional annual retainer of $30,000 for service as chair of the Audit Committee; $20,000 for service as chair of the Compensation Committee; and $15,000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-77470</wp:posOffset>
            </wp:positionV>
            <wp:extent cx="5651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 service as chair of the Governance and Stockholder Relations Committee.</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Additional annual retainer of $25,000 for service as the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0" w:right="140"/>
        <w:spacing w:after="0" w:line="253" w:lineRule="auto"/>
        <w:rPr>
          <w:sz w:val="20"/>
          <w:szCs w:val="20"/>
          <w:color w:val="auto"/>
        </w:rPr>
      </w:pPr>
      <w:r>
        <w:rPr>
          <w:rFonts w:ascii="Arial" w:cs="Arial" w:eastAsia="Arial" w:hAnsi="Arial"/>
          <w:sz w:val="16"/>
          <w:szCs w:val="16"/>
          <w:color w:val="auto"/>
        </w:rPr>
        <w:t>Annual grant of a 10-year option to purchase TI common stock pursuant to the terms of the Texas Instruments 2009 Director Compensation Plan (Director Plan), which was approved by stockholders in April 2009. The grant-date value is approximately $100,000, determined using a Black-Scholes option-pricing model (subject to the board’s ability to adjust the grant downward). These non-qualified (NQ) options become exercisable in four equal annual installments beginning on the first anniversary of the grant and also will become fully exercisable in the event of termination of service following a change in control (as defined in the Director Plan) of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-583565</wp:posOffset>
            </wp:positionV>
            <wp:extent cx="56515" cy="56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80"/>
        <w:spacing w:after="0" w:line="253" w:lineRule="auto"/>
        <w:rPr>
          <w:sz w:val="20"/>
          <w:szCs w:val="20"/>
          <w:color w:val="auto"/>
        </w:rPr>
      </w:pPr>
      <w:r>
        <w:rPr>
          <w:rFonts w:ascii="Arial" w:cs="Arial" w:eastAsia="Arial" w:hAnsi="Arial"/>
          <w:sz w:val="16"/>
          <w:szCs w:val="16"/>
          <w:color w:val="auto"/>
        </w:rPr>
        <w:t>Annual grant of restricted stock units pursuant to the Director Plan with a grant date value of approximately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-829945</wp:posOffset>
            </wp:positionV>
            <wp:extent cx="56515" cy="56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$1,000 per day compensation for other activities designated by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84" w:lineRule="exact"/>
        <w:rPr>
          <w:sz w:val="20"/>
          <w:szCs w:val="20"/>
          <w:color w:val="auto"/>
        </w:rPr>
      </w:pPr>
    </w:p>
    <w:p>
      <w:pPr>
        <w:jc w:val="both"/>
        <w:ind w:right="340"/>
        <w:spacing w:after="0"/>
        <w:rPr>
          <w:sz w:val="20"/>
          <w:szCs w:val="20"/>
          <w:color w:val="auto"/>
        </w:rPr>
      </w:pPr>
      <w:r>
        <w:rPr>
          <w:rFonts w:ascii="Arial" w:cs="Arial" w:eastAsia="Arial" w:hAnsi="Arial"/>
          <w:sz w:val="16"/>
          <w:szCs w:val="16"/>
          <w:color w:val="auto"/>
        </w:rPr>
        <w:t>The board has determined that grants of equity compensation to non-employee directors will be timed to occur when grants are made to our U.S. employees in connection with the annual compensation review process. Accordingly, equity grants to non-employee directors are made in January. Please see the discussion regarding the timing of equity compensation grants in the Compensation Discussion and Analysis on page 76.</w:t>
      </w:r>
    </w:p>
    <w:p>
      <w:pPr>
        <w:spacing w:after="0" w:line="207" w:lineRule="exact"/>
        <w:rPr>
          <w:sz w:val="20"/>
          <w:szCs w:val="20"/>
          <w:color w:val="auto"/>
        </w:rPr>
      </w:pPr>
    </w:p>
    <w:p>
      <w:pPr>
        <w:spacing w:after="0"/>
        <w:tabs>
          <w:tab w:leader="none" w:pos="10100" w:val="left"/>
        </w:tabs>
        <w:rPr>
          <w:sz w:val="20"/>
          <w:szCs w:val="20"/>
          <w:color w:val="auto"/>
        </w:rPr>
      </w:pPr>
      <w:r>
        <w:rPr>
          <w:rFonts w:ascii="Arial" w:cs="Arial" w:eastAsia="Arial" w:hAnsi="Arial"/>
          <w:sz w:val="12"/>
          <w:szCs w:val="12"/>
          <w:b w:val="1"/>
          <w:bCs w:val="1"/>
          <w:color w:val="auto"/>
        </w:rPr>
        <w:t xml:space="preserve">64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11" w:name="page12"/>
    <w:bookmarkEnd w:id="11"/>
    <w:p>
      <w:pPr>
        <w:ind w:left="3" w:right="40" w:firstLine="243"/>
        <w:spacing w:after="0" w:line="244" w:lineRule="auto"/>
        <w:rPr>
          <w:sz w:val="20"/>
          <w:szCs w:val="20"/>
          <w:color w:val="auto"/>
        </w:rPr>
      </w:pPr>
      <w:r>
        <w:rPr>
          <w:rFonts w:ascii="Arial" w:cs="Arial" w:eastAsia="Arial" w:hAnsi="Arial"/>
          <w:sz w:val="16"/>
          <w:szCs w:val="16"/>
          <w:color w:val="auto"/>
        </w:rPr>
        <w:t>Directors are not paid a fee for meeting attendance, but we reimburse non-employee directors for their travel, lodging and related expenses incurred in connection with attending board, committee and stockholders meetings and other designated TI events. In addition, non-employee directors may travel on company aircraft to and from these meetings and other designated events. On occasion, directors’ spouses are invited to attend board events; the spouses’ expenses incurred in connection with attendance at those events are also reimbursed.</w:t>
      </w:r>
    </w:p>
    <w:p>
      <w:pPr>
        <w:spacing w:after="0" w:line="16" w:lineRule="exact"/>
        <w:rPr>
          <w:sz w:val="20"/>
          <w:szCs w:val="20"/>
          <w:color w:val="auto"/>
        </w:rPr>
      </w:pPr>
    </w:p>
    <w:p>
      <w:pPr>
        <w:ind w:left="3" w:right="80" w:firstLine="243"/>
        <w:spacing w:after="0" w:line="242" w:lineRule="auto"/>
        <w:rPr>
          <w:sz w:val="20"/>
          <w:szCs w:val="20"/>
          <w:color w:val="auto"/>
        </w:rPr>
      </w:pPr>
      <w:r>
        <w:rPr>
          <w:rFonts w:ascii="Arial" w:cs="Arial" w:eastAsia="Arial" w:hAnsi="Arial"/>
          <w:sz w:val="16"/>
          <w:szCs w:val="16"/>
          <w:color w:val="auto"/>
        </w:rPr>
        <w:t>Under the Director Plan, some directors have chosen to defer all or part of their cash compensation until they leave the board (or certain other specified times). These deferred amounts were credited to either a cash account or stock unit account. Cash accounts earn interest from TI at a rate currently based on Moody’s Seasoned Aaa Corporate Bonds. For 2011, that rate was 4.54 percent.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18" w:lineRule="exact"/>
        <w:rPr>
          <w:sz w:val="20"/>
          <w:szCs w:val="20"/>
          <w:color w:val="auto"/>
        </w:rPr>
      </w:pPr>
    </w:p>
    <w:p>
      <w:pPr>
        <w:ind w:left="3" w:right="260" w:firstLine="243"/>
        <w:spacing w:after="0" w:line="248" w:lineRule="auto"/>
        <w:rPr>
          <w:sz w:val="20"/>
          <w:szCs w:val="20"/>
          <w:color w:val="auto"/>
        </w:rPr>
      </w:pPr>
      <w:r>
        <w:rPr>
          <w:rFonts w:ascii="Arial" w:cs="Arial" w:eastAsia="Arial" w:hAnsi="Arial"/>
          <w:sz w:val="16"/>
          <w:szCs w:val="16"/>
          <w:color w:val="auto"/>
        </w:rPr>
        <w:t>We have arrangements with certain customers whereby our employees may purchase consumer products containing TI components at discounted pricing. In addition, the TI Foundation has an educational and cultural matching gift program. In both cases, directors are entitled to participate on the same terms and conditions available to employees.</w:t>
      </w:r>
    </w:p>
    <w:p>
      <w:pPr>
        <w:spacing w:after="0" w:line="12" w:lineRule="exact"/>
        <w:rPr>
          <w:sz w:val="20"/>
          <w:szCs w:val="20"/>
          <w:color w:val="auto"/>
        </w:rPr>
      </w:pPr>
    </w:p>
    <w:p>
      <w:pPr>
        <w:ind w:left="243"/>
        <w:spacing w:after="0"/>
        <w:rPr>
          <w:sz w:val="20"/>
          <w:szCs w:val="20"/>
          <w:color w:val="auto"/>
        </w:rPr>
      </w:pPr>
      <w:r>
        <w:rPr>
          <w:rFonts w:ascii="Arial" w:cs="Arial" w:eastAsia="Arial" w:hAnsi="Arial"/>
          <w:sz w:val="16"/>
          <w:szCs w:val="16"/>
          <w:color w:val="auto"/>
        </w:rPr>
        <w:t>Non-employee directors are not eligible to participate in any TI-sponsored pension plan.</w:t>
      </w:r>
    </w:p>
    <w:p>
      <w:pPr>
        <w:spacing w:after="0" w:line="18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2011 director compensation</w:t>
      </w:r>
    </w:p>
    <w:p>
      <w:pPr>
        <w:spacing w:after="0" w:line="21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shows the compensation of all persons who were non-employee members of the board during 2011 for services in all capacities to TI in 2011.</w:t>
      </w:r>
    </w:p>
    <w:p>
      <w:pPr>
        <w:spacing w:after="0" w:line="211"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27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center"/>
              <w:ind w:right="28"/>
              <w:spacing w:after="0"/>
              <w:rPr>
                <w:sz w:val="20"/>
                <w:szCs w:val="20"/>
                <w:color w:val="auto"/>
              </w:rPr>
            </w:pPr>
            <w:r>
              <w:rPr>
                <w:rFonts w:ascii="Arial" w:cs="Arial" w:eastAsia="Arial" w:hAnsi="Arial"/>
                <w:sz w:val="12"/>
                <w:szCs w:val="12"/>
                <w:b w:val="1"/>
                <w:bCs w:val="1"/>
                <w:color w:val="auto"/>
              </w:rPr>
              <w:t>Change in</w:t>
            </w: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8"/>
        </w:trPr>
        <w:tc>
          <w:tcPr>
            <w:tcW w:w="2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jc w:val="center"/>
              <w:ind w:right="28"/>
              <w:spacing w:after="0"/>
              <w:rPr>
                <w:sz w:val="20"/>
                <w:szCs w:val="20"/>
                <w:color w:val="auto"/>
              </w:rPr>
            </w:pPr>
            <w:r>
              <w:rPr>
                <w:rFonts w:ascii="Arial" w:cs="Arial" w:eastAsia="Arial" w:hAnsi="Arial"/>
                <w:sz w:val="12"/>
                <w:szCs w:val="12"/>
                <w:b w:val="1"/>
                <w:bCs w:val="1"/>
                <w:color w:val="auto"/>
              </w:rPr>
              <w:t>Pension</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2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jc w:val="center"/>
              <w:ind w:right="28"/>
              <w:spacing w:after="0"/>
              <w:rPr>
                <w:sz w:val="20"/>
                <w:szCs w:val="20"/>
                <w:color w:val="auto"/>
              </w:rPr>
            </w:pPr>
            <w:r>
              <w:rPr>
                <w:rFonts w:ascii="Arial" w:cs="Arial" w:eastAsia="Arial" w:hAnsi="Arial"/>
                <w:sz w:val="12"/>
                <w:szCs w:val="12"/>
                <w:b w:val="1"/>
                <w:bCs w:val="1"/>
                <w:color w:val="auto"/>
                <w:w w:val="98"/>
              </w:rPr>
              <w:t>Value and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2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Non-Equity</w:t>
            </w:r>
          </w:p>
        </w:tc>
        <w:tc>
          <w:tcPr>
            <w:tcW w:w="1180" w:type="dxa"/>
            <w:vAlign w:val="bottom"/>
          </w:tcPr>
          <w:p>
            <w:pPr>
              <w:jc w:val="center"/>
              <w:ind w:right="28"/>
              <w:spacing w:after="0"/>
              <w:rPr>
                <w:sz w:val="20"/>
                <w:szCs w:val="20"/>
                <w:color w:val="auto"/>
              </w:rPr>
            </w:pPr>
            <w:r>
              <w:rPr>
                <w:rFonts w:ascii="Arial" w:cs="Arial" w:eastAsia="Arial" w:hAnsi="Arial"/>
                <w:sz w:val="12"/>
                <w:szCs w:val="12"/>
                <w:b w:val="1"/>
                <w:bCs w:val="1"/>
                <w:color w:val="auto"/>
                <w:w w:val="99"/>
              </w:rPr>
              <w:t>Non-qualified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2720" w:type="dxa"/>
            <w:vAlign w:val="bottom"/>
          </w:tcPr>
          <w:p>
            <w:pPr>
              <w:spacing w:after="0"/>
              <w:rPr>
                <w:sz w:val="18"/>
                <w:szCs w:val="18"/>
                <w:color w:val="auto"/>
              </w:rPr>
            </w:pPr>
          </w:p>
        </w:tc>
        <w:tc>
          <w:tcPr>
            <w:tcW w:w="2700" w:type="dxa"/>
            <w:vAlign w:val="bottom"/>
          </w:tcPr>
          <w:p>
            <w:pPr>
              <w:ind w:left="1660"/>
              <w:spacing w:after="0"/>
              <w:rPr>
                <w:sz w:val="20"/>
                <w:szCs w:val="20"/>
                <w:color w:val="auto"/>
              </w:rPr>
            </w:pPr>
            <w:r>
              <w:rPr>
                <w:rFonts w:ascii="Arial" w:cs="Arial" w:eastAsia="Arial" w:hAnsi="Arial"/>
                <w:sz w:val="12"/>
                <w:szCs w:val="12"/>
                <w:b w:val="1"/>
                <w:bCs w:val="1"/>
                <w:color w:val="auto"/>
              </w:rPr>
              <w:t>Fees Earned or</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7"/>
              </w:rPr>
              <w:t>Stock</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Option</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Incentive Plan</w:t>
            </w:r>
          </w:p>
        </w:tc>
        <w:tc>
          <w:tcPr>
            <w:tcW w:w="1180" w:type="dxa"/>
            <w:vAlign w:val="bottom"/>
          </w:tcPr>
          <w:p>
            <w:pPr>
              <w:jc w:val="center"/>
              <w:ind w:right="8"/>
              <w:spacing w:after="0"/>
              <w:rPr>
                <w:sz w:val="20"/>
                <w:szCs w:val="20"/>
                <w:color w:val="auto"/>
              </w:rPr>
            </w:pPr>
            <w:r>
              <w:rPr>
                <w:rFonts w:ascii="Arial" w:cs="Arial" w:eastAsia="Arial" w:hAnsi="Arial"/>
                <w:sz w:val="12"/>
                <w:szCs w:val="12"/>
                <w:b w:val="1"/>
                <w:bCs w:val="1"/>
                <w:color w:val="auto"/>
              </w:rPr>
              <w:t>Deferred</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All Other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3"/>
        </w:trPr>
        <w:tc>
          <w:tcPr>
            <w:tcW w:w="2720" w:type="dxa"/>
            <w:vAlign w:val="bottom"/>
          </w:tcPr>
          <w:p>
            <w:pPr>
              <w:spacing w:after="0"/>
              <w:rPr>
                <w:sz w:val="21"/>
                <w:szCs w:val="21"/>
                <w:color w:val="auto"/>
              </w:rPr>
            </w:pPr>
          </w:p>
        </w:tc>
        <w:tc>
          <w:tcPr>
            <w:tcW w:w="2700" w:type="dxa"/>
            <w:vAlign w:val="bottom"/>
          </w:tcPr>
          <w:p>
            <w:pPr>
              <w:ind w:left="1900"/>
              <w:spacing w:after="0"/>
              <w:rPr>
                <w:sz w:val="20"/>
                <w:szCs w:val="20"/>
                <w:color w:val="auto"/>
              </w:rPr>
            </w:pPr>
            <w:r>
              <w:rPr>
                <w:rFonts w:ascii="Arial" w:cs="Arial" w:eastAsia="Arial" w:hAnsi="Arial"/>
                <w:sz w:val="12"/>
                <w:szCs w:val="12"/>
                <w:b w:val="1"/>
                <w:bCs w:val="1"/>
                <w:color w:val="auto"/>
              </w:rPr>
              <w:t>Paid in</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1180" w:type="dxa"/>
            <w:vAlign w:val="bottom"/>
          </w:tcPr>
          <w:p>
            <w:pPr>
              <w:jc w:val="right"/>
              <w:ind w:right="88"/>
              <w:spacing w:after="0"/>
              <w:rPr>
                <w:sz w:val="20"/>
                <w:szCs w:val="20"/>
                <w:color w:val="auto"/>
              </w:rPr>
            </w:pPr>
            <w:r>
              <w:rPr>
                <w:rFonts w:ascii="Arial" w:cs="Arial" w:eastAsia="Arial" w:hAnsi="Arial"/>
                <w:sz w:val="12"/>
                <w:szCs w:val="12"/>
                <w:b w:val="1"/>
                <w:bCs w:val="1"/>
                <w:color w:val="auto"/>
              </w:rPr>
              <w:t>Compensation</w:t>
            </w:r>
          </w:p>
        </w:tc>
        <w:tc>
          <w:tcPr>
            <w:tcW w:w="1160" w:type="dxa"/>
            <w:vAlign w:val="bottom"/>
            <w:gridSpan w:val="2"/>
          </w:tcPr>
          <w:p>
            <w:pPr>
              <w:jc w:val="right"/>
              <w:ind w:right="61"/>
              <w:spacing w:after="0"/>
              <w:rPr>
                <w:sz w:val="20"/>
                <w:szCs w:val="20"/>
                <w:color w:val="auto"/>
              </w:rPr>
            </w:pPr>
            <w:r>
              <w:rPr>
                <w:rFonts w:ascii="Arial" w:cs="Arial" w:eastAsia="Arial" w:hAnsi="Arial"/>
                <w:sz w:val="12"/>
                <w:szCs w:val="12"/>
                <w:b w:val="1"/>
                <w:bCs w:val="1"/>
                <w:color w:val="auto"/>
              </w:rPr>
              <w:t>Compensation</w:t>
            </w:r>
          </w:p>
        </w:tc>
        <w:tc>
          <w:tcPr>
            <w:tcW w:w="800" w:type="dxa"/>
            <w:vAlign w:val="bottom"/>
          </w:tcPr>
          <w:p>
            <w:pPr>
              <w:spacing w:after="0"/>
              <w:rPr>
                <w:sz w:val="21"/>
                <w:szCs w:val="21"/>
                <w:color w:val="auto"/>
              </w:rPr>
            </w:pPr>
          </w:p>
        </w:tc>
      </w:tr>
      <w:tr>
        <w:trPr>
          <w:trHeight w:val="218"/>
        </w:trPr>
        <w:tc>
          <w:tcPr>
            <w:tcW w:w="2720" w:type="dxa"/>
            <w:vAlign w:val="bottom"/>
          </w:tcPr>
          <w:p>
            <w:pPr>
              <w:spacing w:after="0"/>
              <w:rPr>
                <w:sz w:val="20"/>
                <w:szCs w:val="20"/>
                <w:color w:val="auto"/>
              </w:rPr>
            </w:pPr>
            <w:r>
              <w:rPr>
                <w:rFonts w:ascii="Arial" w:cs="Arial" w:eastAsia="Arial" w:hAnsi="Arial"/>
                <w:sz w:val="12"/>
                <w:szCs w:val="12"/>
                <w:b w:val="1"/>
                <w:bCs w:val="1"/>
                <w:color w:val="auto"/>
              </w:rPr>
              <w:t>Name (1)</w:t>
            </w:r>
          </w:p>
        </w:tc>
        <w:tc>
          <w:tcPr>
            <w:tcW w:w="2700" w:type="dxa"/>
            <w:vAlign w:val="bottom"/>
          </w:tcPr>
          <w:p>
            <w:pPr>
              <w:ind w:left="1800"/>
              <w:spacing w:after="0"/>
              <w:rPr>
                <w:sz w:val="20"/>
                <w:szCs w:val="20"/>
                <w:color w:val="auto"/>
              </w:rPr>
            </w:pPr>
            <w:r>
              <w:rPr>
                <w:rFonts w:ascii="Arial" w:cs="Arial" w:eastAsia="Arial" w:hAnsi="Arial"/>
                <w:sz w:val="12"/>
                <w:szCs w:val="12"/>
                <w:b w:val="1"/>
                <w:bCs w:val="1"/>
                <w:color w:val="auto"/>
              </w:rPr>
              <w:t>Cash($)(2)</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($)(3)</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($)(4)</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180" w:type="dxa"/>
            <w:vAlign w:val="bottom"/>
          </w:tcPr>
          <w:p>
            <w:pPr>
              <w:jc w:val="center"/>
              <w:ind w:right="8"/>
              <w:spacing w:after="0"/>
              <w:rPr>
                <w:sz w:val="20"/>
                <w:szCs w:val="20"/>
                <w:color w:val="auto"/>
              </w:rPr>
            </w:pPr>
            <w:r>
              <w:rPr>
                <w:rFonts w:ascii="Arial" w:cs="Arial" w:eastAsia="Arial" w:hAnsi="Arial"/>
                <w:sz w:val="12"/>
                <w:szCs w:val="12"/>
                <w:b w:val="1"/>
                <w:bCs w:val="1"/>
                <w:color w:val="auto"/>
              </w:rPr>
              <w:t>Earnings (5)</w:t>
            </w:r>
          </w:p>
        </w:tc>
        <w:tc>
          <w:tcPr>
            <w:tcW w:w="840" w:type="dxa"/>
            <w:vAlign w:val="bottom"/>
          </w:tcPr>
          <w:p>
            <w:pPr>
              <w:jc w:val="right"/>
              <w:ind w:right="65"/>
              <w:spacing w:after="0"/>
              <w:rPr>
                <w:sz w:val="20"/>
                <w:szCs w:val="20"/>
                <w:color w:val="auto"/>
              </w:rPr>
            </w:pPr>
            <w:r>
              <w:rPr>
                <w:rFonts w:ascii="Arial" w:cs="Arial" w:eastAsia="Arial" w:hAnsi="Arial"/>
                <w:sz w:val="12"/>
                <w:szCs w:val="12"/>
                <w:b w:val="1"/>
                <w:bCs w:val="1"/>
                <w:color w:val="auto"/>
              </w:rPr>
              <w:t>($)(6)</w:t>
            </w:r>
          </w:p>
        </w:tc>
        <w:tc>
          <w:tcPr>
            <w:tcW w:w="320" w:type="dxa"/>
            <w:vAlign w:val="bottom"/>
          </w:tcPr>
          <w:p>
            <w:pPr>
              <w:spacing w:after="0"/>
              <w:rPr>
                <w:sz w:val="18"/>
                <w:szCs w:val="18"/>
                <w:color w:val="auto"/>
              </w:rPr>
            </w:pPr>
          </w:p>
        </w:tc>
        <w:tc>
          <w:tcPr>
            <w:tcW w:w="800" w:type="dxa"/>
            <w:vAlign w:val="bottom"/>
          </w:tcPr>
          <w:p>
            <w:pPr>
              <w:jc w:val="center"/>
              <w:ind w:left="23"/>
              <w:spacing w:after="0"/>
              <w:rPr>
                <w:sz w:val="20"/>
                <w:szCs w:val="20"/>
                <w:color w:val="auto"/>
              </w:rPr>
            </w:pPr>
            <w:r>
              <w:rPr>
                <w:rFonts w:ascii="Arial" w:cs="Arial" w:eastAsia="Arial" w:hAnsi="Arial"/>
                <w:sz w:val="12"/>
                <w:szCs w:val="12"/>
                <w:b w:val="1"/>
                <w:bCs w:val="1"/>
                <w:color w:val="auto"/>
                <w:w w:val="98"/>
              </w:rPr>
              <w:t>Total ($)</w:t>
            </w:r>
          </w:p>
        </w:tc>
      </w:tr>
      <w:tr>
        <w:trPr>
          <w:trHeight w:val="37"/>
        </w:trPr>
        <w:tc>
          <w:tcPr>
            <w:tcW w:w="2720" w:type="dxa"/>
            <w:vAlign w:val="bottom"/>
            <w:tcBorders>
              <w:bottom w:val="single" w:sz="8" w:color="808285"/>
            </w:tcBorders>
          </w:tcPr>
          <w:p>
            <w:pPr>
              <w:spacing w:after="0"/>
              <w:rPr>
                <w:sz w:val="3"/>
                <w:szCs w:val="3"/>
                <w:color w:val="auto"/>
              </w:rPr>
            </w:pPr>
          </w:p>
        </w:tc>
        <w:tc>
          <w:tcPr>
            <w:tcW w:w="270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900" w:type="dxa"/>
            <w:vAlign w:val="bottom"/>
            <w:tcBorders>
              <w:bottom w:val="single" w:sz="8" w:color="808285"/>
            </w:tcBorders>
          </w:tcPr>
          <w:p>
            <w:pPr>
              <w:spacing w:after="0"/>
              <w:rPr>
                <w:sz w:val="3"/>
                <w:szCs w:val="3"/>
                <w:color w:val="auto"/>
              </w:rPr>
            </w:pPr>
          </w:p>
        </w:tc>
        <w:tc>
          <w:tcPr>
            <w:tcW w:w="1140" w:type="dxa"/>
            <w:vAlign w:val="bottom"/>
            <w:tcBorders>
              <w:bottom w:val="single" w:sz="8" w:color="808285"/>
            </w:tcBorders>
          </w:tcPr>
          <w:p>
            <w:pPr>
              <w:spacing w:after="0"/>
              <w:rPr>
                <w:sz w:val="3"/>
                <w:szCs w:val="3"/>
                <w:color w:val="auto"/>
              </w:rPr>
            </w:pPr>
          </w:p>
        </w:tc>
        <w:tc>
          <w:tcPr>
            <w:tcW w:w="118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32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r>
      <w:tr>
        <w:trPr>
          <w:trHeight w:val="210"/>
        </w:trPr>
        <w:tc>
          <w:tcPr>
            <w:tcW w:w="2720" w:type="dxa"/>
            <w:vAlign w:val="bottom"/>
            <w:shd w:val="clear" w:color="auto" w:fill="E9E9E9"/>
          </w:tcPr>
          <w:p>
            <w:pPr>
              <w:spacing w:after="0"/>
              <w:rPr>
                <w:sz w:val="20"/>
                <w:szCs w:val="20"/>
                <w:color w:val="auto"/>
              </w:rPr>
            </w:pPr>
            <w:r>
              <w:rPr>
                <w:rFonts w:ascii="Arial" w:cs="Arial" w:eastAsia="Arial" w:hAnsi="Arial"/>
                <w:sz w:val="16"/>
                <w:szCs w:val="16"/>
                <w:color w:val="auto"/>
              </w:rPr>
              <w:t>R. W. Babb, Jr.</w:t>
            </w:r>
          </w:p>
        </w:tc>
        <w:tc>
          <w:tcPr>
            <w:tcW w:w="2700" w:type="dxa"/>
            <w:vAlign w:val="bottom"/>
            <w:shd w:val="clear" w:color="auto" w:fill="E9E9E9"/>
          </w:tcPr>
          <w:p>
            <w:pPr>
              <w:ind w:left="1900"/>
              <w:spacing w:after="0"/>
              <w:rPr>
                <w:sz w:val="20"/>
                <w:szCs w:val="20"/>
                <w:color w:val="auto"/>
              </w:rPr>
            </w:pPr>
            <w:r>
              <w:rPr>
                <w:rFonts w:ascii="Arial" w:cs="Arial" w:eastAsia="Arial" w:hAnsi="Arial"/>
                <w:sz w:val="16"/>
                <w:szCs w:val="16"/>
                <w:color w:val="auto"/>
              </w:rPr>
              <w:t>$ 80,000</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$99,977</w:t>
            </w:r>
          </w:p>
        </w:tc>
        <w:tc>
          <w:tcPr>
            <w:tcW w:w="900" w:type="dxa"/>
            <w:vAlign w:val="bottom"/>
            <w:shd w:val="clear" w:color="auto" w:fill="E9E9E9"/>
          </w:tcPr>
          <w:p>
            <w:pPr>
              <w:jc w:val="right"/>
              <w:ind w:right="45"/>
              <w:spacing w:after="0"/>
              <w:rPr>
                <w:sz w:val="20"/>
                <w:szCs w:val="20"/>
                <w:color w:val="auto"/>
              </w:rPr>
            </w:pPr>
            <w:r>
              <w:rPr>
                <w:rFonts w:ascii="Arial" w:cs="Arial" w:eastAsia="Arial" w:hAnsi="Arial"/>
                <w:sz w:val="16"/>
                <w:szCs w:val="16"/>
                <w:color w:val="auto"/>
              </w:rPr>
              <w:t>$104,223</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E9E9E9"/>
          </w:tcPr>
          <w:p>
            <w:pPr>
              <w:jc w:val="right"/>
              <w:ind w:right="368"/>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225"/>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w w:val="89"/>
              </w:rPr>
              <w:t>20</w:t>
            </w:r>
          </w:p>
        </w:tc>
        <w:tc>
          <w:tcPr>
            <w:tcW w:w="800" w:type="dxa"/>
            <w:vAlign w:val="bottom"/>
            <w:shd w:val="clear" w:color="auto" w:fill="E9E9E9"/>
          </w:tcPr>
          <w:p>
            <w:pPr>
              <w:jc w:val="center"/>
              <w:ind w:left="63"/>
              <w:spacing w:after="0"/>
              <w:rPr>
                <w:sz w:val="20"/>
                <w:szCs w:val="20"/>
                <w:color w:val="auto"/>
              </w:rPr>
            </w:pPr>
            <w:r>
              <w:rPr>
                <w:rFonts w:ascii="Arial" w:cs="Arial" w:eastAsia="Arial" w:hAnsi="Arial"/>
                <w:sz w:val="16"/>
                <w:szCs w:val="16"/>
                <w:color w:val="auto"/>
                <w:w w:val="98"/>
              </w:rPr>
              <w:t>$284,220</w:t>
            </w:r>
          </w:p>
        </w:tc>
      </w:tr>
      <w:tr>
        <w:trPr>
          <w:trHeight w:val="211"/>
        </w:trPr>
        <w:tc>
          <w:tcPr>
            <w:tcW w:w="2720" w:type="dxa"/>
            <w:vAlign w:val="bottom"/>
          </w:tcPr>
          <w:p>
            <w:pPr>
              <w:spacing w:after="0"/>
              <w:rPr>
                <w:sz w:val="20"/>
                <w:szCs w:val="20"/>
                <w:color w:val="auto"/>
              </w:rPr>
            </w:pPr>
            <w:r>
              <w:rPr>
                <w:rFonts w:ascii="Arial" w:cs="Arial" w:eastAsia="Arial" w:hAnsi="Arial"/>
                <w:sz w:val="16"/>
                <w:szCs w:val="16"/>
                <w:color w:val="auto"/>
              </w:rPr>
              <w:t>D. L. Boren</w:t>
            </w:r>
          </w:p>
        </w:tc>
        <w:tc>
          <w:tcPr>
            <w:tcW w:w="2700" w:type="dxa"/>
            <w:vAlign w:val="bottom"/>
          </w:tcPr>
          <w:p>
            <w:pPr>
              <w:ind w:left="1900"/>
              <w:spacing w:after="0"/>
              <w:rPr>
                <w:sz w:val="20"/>
                <w:szCs w:val="20"/>
                <w:color w:val="auto"/>
              </w:rPr>
            </w:pPr>
            <w:r>
              <w:rPr>
                <w:rFonts w:ascii="Arial" w:cs="Arial" w:eastAsia="Arial" w:hAnsi="Arial"/>
                <w:sz w:val="16"/>
                <w:szCs w:val="16"/>
                <w:color w:val="auto"/>
              </w:rPr>
              <w:t>$ 26,668</w:t>
            </w:r>
          </w:p>
        </w:tc>
        <w:tc>
          <w:tcPr>
            <w:tcW w:w="840" w:type="dxa"/>
            <w:vAlign w:val="bottom"/>
          </w:tcPr>
          <w:p>
            <w:pPr>
              <w:jc w:val="center"/>
              <w:spacing w:after="0"/>
              <w:rPr>
                <w:sz w:val="20"/>
                <w:szCs w:val="20"/>
                <w:color w:val="auto"/>
              </w:rPr>
            </w:pPr>
            <w:r>
              <w:rPr>
                <w:rFonts w:ascii="Arial" w:cs="Arial" w:eastAsia="Arial" w:hAnsi="Arial"/>
                <w:sz w:val="16"/>
                <w:szCs w:val="16"/>
                <w:color w:val="auto"/>
              </w:rPr>
              <w:t>$99,977</w:t>
            </w: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$104,223</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right"/>
              <w:ind w:right="368"/>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$21,761</w:t>
            </w:r>
          </w:p>
        </w:tc>
        <w:tc>
          <w:tcPr>
            <w:tcW w:w="800" w:type="dxa"/>
            <w:vAlign w:val="bottom"/>
          </w:tcPr>
          <w:p>
            <w:pPr>
              <w:jc w:val="center"/>
              <w:ind w:left="63"/>
              <w:spacing w:after="0"/>
              <w:rPr>
                <w:sz w:val="20"/>
                <w:szCs w:val="20"/>
                <w:color w:val="auto"/>
              </w:rPr>
            </w:pPr>
            <w:r>
              <w:rPr>
                <w:rFonts w:ascii="Arial" w:cs="Arial" w:eastAsia="Arial" w:hAnsi="Arial"/>
                <w:sz w:val="16"/>
                <w:szCs w:val="16"/>
                <w:color w:val="auto"/>
                <w:w w:val="98"/>
              </w:rPr>
              <w:t>$252,629</w:t>
            </w:r>
          </w:p>
        </w:tc>
      </w:tr>
      <w:tr>
        <w:trPr>
          <w:trHeight w:val="226"/>
        </w:trPr>
        <w:tc>
          <w:tcPr>
            <w:tcW w:w="2720" w:type="dxa"/>
            <w:vAlign w:val="bottom"/>
            <w:shd w:val="clear" w:color="auto" w:fill="E9E9E9"/>
          </w:tcPr>
          <w:p>
            <w:pPr>
              <w:spacing w:after="0"/>
              <w:rPr>
                <w:sz w:val="20"/>
                <w:szCs w:val="20"/>
                <w:color w:val="auto"/>
              </w:rPr>
            </w:pPr>
            <w:r>
              <w:rPr>
                <w:rFonts w:ascii="Arial" w:cs="Arial" w:eastAsia="Arial" w:hAnsi="Arial"/>
                <w:sz w:val="16"/>
                <w:szCs w:val="16"/>
                <w:color w:val="auto"/>
              </w:rPr>
              <w:t>D. A. Carp</w:t>
            </w:r>
          </w:p>
        </w:tc>
        <w:tc>
          <w:tcPr>
            <w:tcW w:w="2700" w:type="dxa"/>
            <w:vAlign w:val="bottom"/>
            <w:shd w:val="clear" w:color="auto" w:fill="E9E9E9"/>
          </w:tcPr>
          <w:p>
            <w:pPr>
              <w:ind w:left="1900"/>
              <w:spacing w:after="0"/>
              <w:rPr>
                <w:sz w:val="20"/>
                <w:szCs w:val="20"/>
                <w:color w:val="auto"/>
              </w:rPr>
            </w:pPr>
            <w:r>
              <w:rPr>
                <w:rFonts w:ascii="Arial" w:cs="Arial" w:eastAsia="Arial" w:hAnsi="Arial"/>
                <w:sz w:val="16"/>
                <w:szCs w:val="16"/>
                <w:color w:val="auto"/>
              </w:rPr>
              <w:t>$ 80,000</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$99,977</w:t>
            </w:r>
          </w:p>
        </w:tc>
        <w:tc>
          <w:tcPr>
            <w:tcW w:w="900" w:type="dxa"/>
            <w:vAlign w:val="bottom"/>
            <w:shd w:val="clear" w:color="auto" w:fill="E9E9E9"/>
          </w:tcPr>
          <w:p>
            <w:pPr>
              <w:jc w:val="right"/>
              <w:ind w:right="45"/>
              <w:spacing w:after="0"/>
              <w:rPr>
                <w:sz w:val="20"/>
                <w:szCs w:val="20"/>
                <w:color w:val="auto"/>
              </w:rPr>
            </w:pPr>
            <w:r>
              <w:rPr>
                <w:rFonts w:ascii="Arial" w:cs="Arial" w:eastAsia="Arial" w:hAnsi="Arial"/>
                <w:sz w:val="16"/>
                <w:szCs w:val="16"/>
                <w:color w:val="auto"/>
              </w:rPr>
              <w:t>$104,223</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E9E9E9"/>
          </w:tcPr>
          <w:p>
            <w:pPr>
              <w:jc w:val="right"/>
              <w:ind w:right="368"/>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9E9E9"/>
          </w:tcPr>
          <w:p>
            <w:pPr>
              <w:jc w:val="right"/>
              <w:ind w:right="61"/>
              <w:spacing w:after="0"/>
              <w:rPr>
                <w:sz w:val="20"/>
                <w:szCs w:val="20"/>
                <w:color w:val="auto"/>
              </w:rPr>
            </w:pPr>
            <w:r>
              <w:rPr>
                <w:rFonts w:ascii="Arial" w:cs="Arial" w:eastAsia="Arial" w:hAnsi="Arial"/>
                <w:sz w:val="16"/>
                <w:szCs w:val="16"/>
                <w:color w:val="auto"/>
              </w:rPr>
              <w:t>$ 8,531</w:t>
            </w:r>
          </w:p>
        </w:tc>
        <w:tc>
          <w:tcPr>
            <w:tcW w:w="800" w:type="dxa"/>
            <w:vAlign w:val="bottom"/>
            <w:shd w:val="clear" w:color="auto" w:fill="E9E9E9"/>
          </w:tcPr>
          <w:p>
            <w:pPr>
              <w:jc w:val="center"/>
              <w:ind w:left="63"/>
              <w:spacing w:after="0"/>
              <w:rPr>
                <w:sz w:val="20"/>
                <w:szCs w:val="20"/>
                <w:color w:val="auto"/>
              </w:rPr>
            </w:pPr>
            <w:r>
              <w:rPr>
                <w:rFonts w:ascii="Arial" w:cs="Arial" w:eastAsia="Arial" w:hAnsi="Arial"/>
                <w:sz w:val="16"/>
                <w:szCs w:val="16"/>
                <w:color w:val="auto"/>
                <w:w w:val="98"/>
              </w:rPr>
              <w:t>$292,731</w:t>
            </w:r>
          </w:p>
        </w:tc>
      </w:tr>
      <w:tr>
        <w:trPr>
          <w:trHeight w:val="211"/>
        </w:trPr>
        <w:tc>
          <w:tcPr>
            <w:tcW w:w="2720" w:type="dxa"/>
            <w:vAlign w:val="bottom"/>
          </w:tcPr>
          <w:p>
            <w:pPr>
              <w:spacing w:after="0"/>
              <w:rPr>
                <w:sz w:val="20"/>
                <w:szCs w:val="20"/>
                <w:color w:val="auto"/>
              </w:rPr>
            </w:pPr>
            <w:r>
              <w:rPr>
                <w:rFonts w:ascii="Arial" w:cs="Arial" w:eastAsia="Arial" w:hAnsi="Arial"/>
                <w:sz w:val="16"/>
                <w:szCs w:val="16"/>
                <w:color w:val="auto"/>
              </w:rPr>
              <w:t>C. S. Cox</w:t>
            </w:r>
          </w:p>
        </w:tc>
        <w:tc>
          <w:tcPr>
            <w:tcW w:w="2700" w:type="dxa"/>
            <w:vAlign w:val="bottom"/>
          </w:tcPr>
          <w:p>
            <w:pPr>
              <w:ind w:left="1900"/>
              <w:spacing w:after="0"/>
              <w:rPr>
                <w:sz w:val="20"/>
                <w:szCs w:val="20"/>
                <w:color w:val="auto"/>
              </w:rPr>
            </w:pPr>
            <w:r>
              <w:rPr>
                <w:rFonts w:ascii="Arial" w:cs="Arial" w:eastAsia="Arial" w:hAnsi="Arial"/>
                <w:sz w:val="16"/>
                <w:szCs w:val="16"/>
                <w:color w:val="auto"/>
              </w:rPr>
              <w:t>$100,000</w:t>
            </w:r>
          </w:p>
        </w:tc>
        <w:tc>
          <w:tcPr>
            <w:tcW w:w="840" w:type="dxa"/>
            <w:vAlign w:val="bottom"/>
          </w:tcPr>
          <w:p>
            <w:pPr>
              <w:jc w:val="center"/>
              <w:spacing w:after="0"/>
              <w:rPr>
                <w:sz w:val="20"/>
                <w:szCs w:val="20"/>
                <w:color w:val="auto"/>
              </w:rPr>
            </w:pPr>
            <w:r>
              <w:rPr>
                <w:rFonts w:ascii="Arial" w:cs="Arial" w:eastAsia="Arial" w:hAnsi="Arial"/>
                <w:sz w:val="16"/>
                <w:szCs w:val="16"/>
                <w:color w:val="auto"/>
              </w:rPr>
              <w:t>$99,977</w:t>
            </w: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$104,223</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right"/>
              <w:ind w:right="368"/>
              <w:spacing w:after="0"/>
              <w:rPr>
                <w:sz w:val="20"/>
                <w:szCs w:val="20"/>
                <w:color w:val="auto"/>
              </w:rPr>
            </w:pPr>
            <w:r>
              <w:rPr>
                <w:rFonts w:ascii="Arial" w:cs="Arial" w:eastAsia="Arial" w:hAnsi="Arial"/>
                <w:sz w:val="16"/>
                <w:szCs w:val="16"/>
                <w:color w:val="auto"/>
              </w:rPr>
              <w:t>$519</w:t>
            </w:r>
          </w:p>
        </w:tc>
        <w:tc>
          <w:tcPr>
            <w:tcW w:w="840" w:type="dxa"/>
            <w:vAlign w:val="bottom"/>
          </w:tcPr>
          <w:p>
            <w:pPr>
              <w:jc w:val="right"/>
              <w:ind w:right="225"/>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61"/>
              <w:spacing w:after="0"/>
              <w:rPr>
                <w:sz w:val="20"/>
                <w:szCs w:val="20"/>
                <w:color w:val="auto"/>
              </w:rPr>
            </w:pPr>
            <w:r>
              <w:rPr>
                <w:rFonts w:ascii="Arial" w:cs="Arial" w:eastAsia="Arial" w:hAnsi="Arial"/>
                <w:sz w:val="16"/>
                <w:szCs w:val="16"/>
                <w:color w:val="auto"/>
                <w:w w:val="89"/>
              </w:rPr>
              <w:t>20</w:t>
            </w:r>
          </w:p>
        </w:tc>
        <w:tc>
          <w:tcPr>
            <w:tcW w:w="800" w:type="dxa"/>
            <w:vAlign w:val="bottom"/>
          </w:tcPr>
          <w:p>
            <w:pPr>
              <w:jc w:val="center"/>
              <w:ind w:left="63"/>
              <w:spacing w:after="0"/>
              <w:rPr>
                <w:sz w:val="20"/>
                <w:szCs w:val="20"/>
                <w:color w:val="auto"/>
              </w:rPr>
            </w:pPr>
            <w:r>
              <w:rPr>
                <w:rFonts w:ascii="Arial" w:cs="Arial" w:eastAsia="Arial" w:hAnsi="Arial"/>
                <w:sz w:val="16"/>
                <w:szCs w:val="16"/>
                <w:color w:val="auto"/>
                <w:w w:val="98"/>
              </w:rPr>
              <w:t>$304,739</w:t>
            </w:r>
          </w:p>
        </w:tc>
      </w:tr>
      <w:tr>
        <w:trPr>
          <w:trHeight w:val="226"/>
        </w:trPr>
        <w:tc>
          <w:tcPr>
            <w:tcW w:w="2720" w:type="dxa"/>
            <w:vAlign w:val="bottom"/>
            <w:shd w:val="clear" w:color="auto" w:fill="E9E9E9"/>
          </w:tcPr>
          <w:p>
            <w:pPr>
              <w:spacing w:after="0"/>
              <w:rPr>
                <w:sz w:val="20"/>
                <w:szCs w:val="20"/>
                <w:color w:val="auto"/>
              </w:rPr>
            </w:pPr>
            <w:r>
              <w:rPr>
                <w:rFonts w:ascii="Arial" w:cs="Arial" w:eastAsia="Arial" w:hAnsi="Arial"/>
                <w:sz w:val="16"/>
                <w:szCs w:val="16"/>
                <w:color w:val="auto"/>
              </w:rPr>
              <w:t>D. R. Goode</w:t>
            </w:r>
          </w:p>
        </w:tc>
        <w:tc>
          <w:tcPr>
            <w:tcW w:w="2700" w:type="dxa"/>
            <w:vAlign w:val="bottom"/>
            <w:shd w:val="clear" w:color="auto" w:fill="E9E9E9"/>
          </w:tcPr>
          <w:p>
            <w:pPr>
              <w:ind w:left="1900"/>
              <w:spacing w:after="0"/>
              <w:rPr>
                <w:sz w:val="20"/>
                <w:szCs w:val="20"/>
                <w:color w:val="auto"/>
              </w:rPr>
            </w:pPr>
            <w:r>
              <w:rPr>
                <w:rFonts w:ascii="Arial" w:cs="Arial" w:eastAsia="Arial" w:hAnsi="Arial"/>
                <w:sz w:val="16"/>
                <w:szCs w:val="16"/>
                <w:color w:val="auto"/>
              </w:rPr>
              <w:t>$ 26,668</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$99,977</w:t>
            </w:r>
          </w:p>
        </w:tc>
        <w:tc>
          <w:tcPr>
            <w:tcW w:w="900" w:type="dxa"/>
            <w:vAlign w:val="bottom"/>
            <w:shd w:val="clear" w:color="auto" w:fill="E9E9E9"/>
          </w:tcPr>
          <w:p>
            <w:pPr>
              <w:jc w:val="right"/>
              <w:ind w:right="45"/>
              <w:spacing w:after="0"/>
              <w:rPr>
                <w:sz w:val="20"/>
                <w:szCs w:val="20"/>
                <w:color w:val="auto"/>
              </w:rPr>
            </w:pPr>
            <w:r>
              <w:rPr>
                <w:rFonts w:ascii="Arial" w:cs="Arial" w:eastAsia="Arial" w:hAnsi="Arial"/>
                <w:sz w:val="16"/>
                <w:szCs w:val="16"/>
                <w:color w:val="auto"/>
              </w:rPr>
              <w:t>$104,223</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E9E9E9"/>
          </w:tcPr>
          <w:p>
            <w:pPr>
              <w:jc w:val="right"/>
              <w:ind w:right="368"/>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9E9E9"/>
          </w:tcPr>
          <w:p>
            <w:pPr>
              <w:jc w:val="right"/>
              <w:ind w:right="61"/>
              <w:spacing w:after="0"/>
              <w:rPr>
                <w:sz w:val="20"/>
                <w:szCs w:val="20"/>
                <w:color w:val="auto"/>
              </w:rPr>
            </w:pPr>
            <w:r>
              <w:rPr>
                <w:rFonts w:ascii="Arial" w:cs="Arial" w:eastAsia="Arial" w:hAnsi="Arial"/>
                <w:sz w:val="16"/>
                <w:szCs w:val="16"/>
                <w:color w:val="auto"/>
              </w:rPr>
              <w:t>$25,761</w:t>
            </w:r>
          </w:p>
        </w:tc>
        <w:tc>
          <w:tcPr>
            <w:tcW w:w="800" w:type="dxa"/>
            <w:vAlign w:val="bottom"/>
            <w:shd w:val="clear" w:color="auto" w:fill="E9E9E9"/>
          </w:tcPr>
          <w:p>
            <w:pPr>
              <w:jc w:val="center"/>
              <w:ind w:left="63"/>
              <w:spacing w:after="0"/>
              <w:rPr>
                <w:sz w:val="20"/>
                <w:szCs w:val="20"/>
                <w:color w:val="auto"/>
              </w:rPr>
            </w:pPr>
            <w:r>
              <w:rPr>
                <w:rFonts w:ascii="Arial" w:cs="Arial" w:eastAsia="Arial" w:hAnsi="Arial"/>
                <w:sz w:val="16"/>
                <w:szCs w:val="16"/>
                <w:color w:val="auto"/>
                <w:w w:val="98"/>
              </w:rPr>
              <w:t>$256,629</w:t>
            </w:r>
          </w:p>
        </w:tc>
      </w:tr>
      <w:tr>
        <w:trPr>
          <w:trHeight w:val="211"/>
        </w:trPr>
        <w:tc>
          <w:tcPr>
            <w:tcW w:w="2720" w:type="dxa"/>
            <w:vAlign w:val="bottom"/>
          </w:tcPr>
          <w:p>
            <w:pPr>
              <w:spacing w:after="0"/>
              <w:rPr>
                <w:sz w:val="20"/>
                <w:szCs w:val="20"/>
                <w:color w:val="auto"/>
              </w:rPr>
            </w:pPr>
            <w:r>
              <w:rPr>
                <w:rFonts w:ascii="Arial" w:cs="Arial" w:eastAsia="Arial" w:hAnsi="Arial"/>
                <w:sz w:val="16"/>
                <w:szCs w:val="16"/>
                <w:color w:val="auto"/>
              </w:rPr>
              <w:t>S. P. MacMillan</w:t>
            </w:r>
          </w:p>
        </w:tc>
        <w:tc>
          <w:tcPr>
            <w:tcW w:w="2700" w:type="dxa"/>
            <w:vAlign w:val="bottom"/>
          </w:tcPr>
          <w:p>
            <w:pPr>
              <w:ind w:left="1900"/>
              <w:spacing w:after="0"/>
              <w:rPr>
                <w:sz w:val="20"/>
                <w:szCs w:val="20"/>
                <w:color w:val="auto"/>
              </w:rPr>
            </w:pPr>
            <w:r>
              <w:rPr>
                <w:rFonts w:ascii="Arial" w:cs="Arial" w:eastAsia="Arial" w:hAnsi="Arial"/>
                <w:sz w:val="16"/>
                <w:szCs w:val="16"/>
                <w:color w:val="auto"/>
              </w:rPr>
              <w:t>$ 80,000</w:t>
            </w:r>
          </w:p>
        </w:tc>
        <w:tc>
          <w:tcPr>
            <w:tcW w:w="840" w:type="dxa"/>
            <w:vAlign w:val="bottom"/>
          </w:tcPr>
          <w:p>
            <w:pPr>
              <w:jc w:val="center"/>
              <w:spacing w:after="0"/>
              <w:rPr>
                <w:sz w:val="20"/>
                <w:szCs w:val="20"/>
                <w:color w:val="auto"/>
              </w:rPr>
            </w:pPr>
            <w:r>
              <w:rPr>
                <w:rFonts w:ascii="Arial" w:cs="Arial" w:eastAsia="Arial" w:hAnsi="Arial"/>
                <w:sz w:val="16"/>
                <w:szCs w:val="16"/>
                <w:color w:val="auto"/>
              </w:rPr>
              <w:t>$99,977</w:t>
            </w: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$104,223</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right"/>
              <w:ind w:right="368"/>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$10,020</w:t>
            </w:r>
          </w:p>
        </w:tc>
        <w:tc>
          <w:tcPr>
            <w:tcW w:w="800" w:type="dxa"/>
            <w:vAlign w:val="bottom"/>
          </w:tcPr>
          <w:p>
            <w:pPr>
              <w:jc w:val="center"/>
              <w:ind w:left="63"/>
              <w:spacing w:after="0"/>
              <w:rPr>
                <w:sz w:val="20"/>
                <w:szCs w:val="20"/>
                <w:color w:val="auto"/>
              </w:rPr>
            </w:pPr>
            <w:r>
              <w:rPr>
                <w:rFonts w:ascii="Arial" w:cs="Arial" w:eastAsia="Arial" w:hAnsi="Arial"/>
                <w:sz w:val="16"/>
                <w:szCs w:val="16"/>
                <w:color w:val="auto"/>
                <w:w w:val="98"/>
              </w:rPr>
              <w:t>$294,220</w:t>
            </w:r>
          </w:p>
        </w:tc>
      </w:tr>
      <w:tr>
        <w:trPr>
          <w:trHeight w:val="226"/>
        </w:trPr>
        <w:tc>
          <w:tcPr>
            <w:tcW w:w="2720" w:type="dxa"/>
            <w:vAlign w:val="bottom"/>
            <w:shd w:val="clear" w:color="auto" w:fill="E9E9E9"/>
          </w:tcPr>
          <w:p>
            <w:pPr>
              <w:spacing w:after="0"/>
              <w:rPr>
                <w:sz w:val="20"/>
                <w:szCs w:val="20"/>
                <w:color w:val="auto"/>
              </w:rPr>
            </w:pPr>
            <w:r>
              <w:rPr>
                <w:rFonts w:ascii="Arial" w:cs="Arial" w:eastAsia="Arial" w:hAnsi="Arial"/>
                <w:sz w:val="16"/>
                <w:szCs w:val="16"/>
                <w:color w:val="auto"/>
              </w:rPr>
              <w:t>P. H. Patsley</w:t>
            </w:r>
          </w:p>
        </w:tc>
        <w:tc>
          <w:tcPr>
            <w:tcW w:w="2700" w:type="dxa"/>
            <w:vAlign w:val="bottom"/>
            <w:shd w:val="clear" w:color="auto" w:fill="E9E9E9"/>
          </w:tcPr>
          <w:p>
            <w:pPr>
              <w:ind w:left="1900"/>
              <w:spacing w:after="0"/>
              <w:rPr>
                <w:sz w:val="20"/>
                <w:szCs w:val="20"/>
                <w:color w:val="auto"/>
              </w:rPr>
            </w:pPr>
            <w:r>
              <w:rPr>
                <w:rFonts w:ascii="Arial" w:cs="Arial" w:eastAsia="Arial" w:hAnsi="Arial"/>
                <w:sz w:val="16"/>
                <w:szCs w:val="16"/>
                <w:color w:val="auto"/>
              </w:rPr>
              <w:t>$117,292</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$99,977</w:t>
            </w:r>
          </w:p>
        </w:tc>
        <w:tc>
          <w:tcPr>
            <w:tcW w:w="900" w:type="dxa"/>
            <w:vAlign w:val="bottom"/>
            <w:shd w:val="clear" w:color="auto" w:fill="E9E9E9"/>
          </w:tcPr>
          <w:p>
            <w:pPr>
              <w:jc w:val="right"/>
              <w:ind w:right="45"/>
              <w:spacing w:after="0"/>
              <w:rPr>
                <w:sz w:val="20"/>
                <w:szCs w:val="20"/>
                <w:color w:val="auto"/>
              </w:rPr>
            </w:pPr>
            <w:r>
              <w:rPr>
                <w:rFonts w:ascii="Arial" w:cs="Arial" w:eastAsia="Arial" w:hAnsi="Arial"/>
                <w:sz w:val="16"/>
                <w:szCs w:val="16"/>
                <w:color w:val="auto"/>
              </w:rPr>
              <w:t>$104,223</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E9E9E9"/>
          </w:tcPr>
          <w:p>
            <w:pPr>
              <w:jc w:val="right"/>
              <w:ind w:right="368"/>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225"/>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w w:val="89"/>
              </w:rPr>
              <w:t>20</w:t>
            </w:r>
          </w:p>
        </w:tc>
        <w:tc>
          <w:tcPr>
            <w:tcW w:w="800" w:type="dxa"/>
            <w:vAlign w:val="bottom"/>
            <w:shd w:val="clear" w:color="auto" w:fill="E9E9E9"/>
          </w:tcPr>
          <w:p>
            <w:pPr>
              <w:jc w:val="center"/>
              <w:ind w:left="63"/>
              <w:spacing w:after="0"/>
              <w:rPr>
                <w:sz w:val="20"/>
                <w:szCs w:val="20"/>
                <w:color w:val="auto"/>
              </w:rPr>
            </w:pPr>
            <w:r>
              <w:rPr>
                <w:rFonts w:ascii="Arial" w:cs="Arial" w:eastAsia="Arial" w:hAnsi="Arial"/>
                <w:sz w:val="16"/>
                <w:szCs w:val="16"/>
                <w:color w:val="auto"/>
                <w:w w:val="98"/>
              </w:rPr>
              <w:t>$321,512</w:t>
            </w:r>
          </w:p>
        </w:tc>
      </w:tr>
      <w:tr>
        <w:trPr>
          <w:trHeight w:val="211"/>
        </w:trPr>
        <w:tc>
          <w:tcPr>
            <w:tcW w:w="2720" w:type="dxa"/>
            <w:vAlign w:val="bottom"/>
          </w:tcPr>
          <w:p>
            <w:pPr>
              <w:spacing w:after="0"/>
              <w:rPr>
                <w:sz w:val="20"/>
                <w:szCs w:val="20"/>
                <w:color w:val="auto"/>
              </w:rPr>
            </w:pPr>
            <w:r>
              <w:rPr>
                <w:rFonts w:ascii="Arial" w:cs="Arial" w:eastAsia="Arial" w:hAnsi="Arial"/>
                <w:sz w:val="16"/>
                <w:szCs w:val="16"/>
                <w:color w:val="auto"/>
              </w:rPr>
              <w:t>R. E. Sanchez</w:t>
            </w:r>
          </w:p>
        </w:tc>
        <w:tc>
          <w:tcPr>
            <w:tcW w:w="2700" w:type="dxa"/>
            <w:vAlign w:val="bottom"/>
          </w:tcPr>
          <w:p>
            <w:pPr>
              <w:ind w:left="1900"/>
              <w:spacing w:after="0"/>
              <w:rPr>
                <w:sz w:val="20"/>
                <w:szCs w:val="20"/>
                <w:color w:val="auto"/>
              </w:rPr>
            </w:pPr>
            <w:r>
              <w:rPr>
                <w:rFonts w:ascii="Arial" w:cs="Arial" w:eastAsia="Arial" w:hAnsi="Arial"/>
                <w:sz w:val="16"/>
                <w:szCs w:val="16"/>
                <w:color w:val="auto"/>
              </w:rPr>
              <w:t>$ 63,656</w:t>
            </w:r>
          </w:p>
        </w:tc>
        <w:tc>
          <w:tcPr>
            <w:tcW w:w="840" w:type="dxa"/>
            <w:vAlign w:val="bottom"/>
          </w:tcPr>
          <w:p>
            <w:pPr>
              <w:jc w:val="center"/>
              <w:spacing w:after="0"/>
              <w:rPr>
                <w:sz w:val="20"/>
                <w:szCs w:val="20"/>
                <w:color w:val="auto"/>
              </w:rPr>
            </w:pPr>
            <w:r>
              <w:rPr>
                <w:rFonts w:ascii="Arial" w:cs="Arial" w:eastAsia="Arial" w:hAnsi="Arial"/>
                <w:sz w:val="16"/>
                <w:szCs w:val="16"/>
                <w:color w:val="auto"/>
              </w:rPr>
              <w:t>$67,800</w:t>
            </w: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right"/>
              <w:ind w:right="368"/>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$10,020</w:t>
            </w:r>
          </w:p>
        </w:tc>
        <w:tc>
          <w:tcPr>
            <w:tcW w:w="800" w:type="dxa"/>
            <w:vAlign w:val="bottom"/>
          </w:tcPr>
          <w:p>
            <w:pPr>
              <w:jc w:val="center"/>
              <w:ind w:left="63"/>
              <w:spacing w:after="0"/>
              <w:rPr>
                <w:sz w:val="20"/>
                <w:szCs w:val="20"/>
                <w:color w:val="auto"/>
              </w:rPr>
            </w:pPr>
            <w:r>
              <w:rPr>
                <w:rFonts w:ascii="Arial" w:cs="Arial" w:eastAsia="Arial" w:hAnsi="Arial"/>
                <w:sz w:val="16"/>
                <w:szCs w:val="16"/>
                <w:color w:val="auto"/>
                <w:w w:val="98"/>
              </w:rPr>
              <w:t>$141,476</w:t>
            </w:r>
          </w:p>
        </w:tc>
      </w:tr>
      <w:tr>
        <w:trPr>
          <w:trHeight w:val="226"/>
        </w:trPr>
        <w:tc>
          <w:tcPr>
            <w:tcW w:w="2720" w:type="dxa"/>
            <w:vAlign w:val="bottom"/>
            <w:shd w:val="clear" w:color="auto" w:fill="E9E9E9"/>
          </w:tcPr>
          <w:p>
            <w:pPr>
              <w:spacing w:after="0"/>
              <w:rPr>
                <w:sz w:val="20"/>
                <w:szCs w:val="20"/>
                <w:color w:val="auto"/>
              </w:rPr>
            </w:pPr>
            <w:r>
              <w:rPr>
                <w:rFonts w:ascii="Arial" w:cs="Arial" w:eastAsia="Arial" w:hAnsi="Arial"/>
                <w:sz w:val="16"/>
                <w:szCs w:val="16"/>
                <w:color w:val="auto"/>
              </w:rPr>
              <w:t>W. R. Sanders</w:t>
            </w:r>
          </w:p>
        </w:tc>
        <w:tc>
          <w:tcPr>
            <w:tcW w:w="2700" w:type="dxa"/>
            <w:vAlign w:val="bottom"/>
            <w:shd w:val="clear" w:color="auto" w:fill="E9E9E9"/>
          </w:tcPr>
          <w:p>
            <w:pPr>
              <w:ind w:left="1900"/>
              <w:spacing w:after="0"/>
              <w:rPr>
                <w:sz w:val="20"/>
                <w:szCs w:val="20"/>
                <w:color w:val="auto"/>
              </w:rPr>
            </w:pPr>
            <w:r>
              <w:rPr>
                <w:rFonts w:ascii="Arial" w:cs="Arial" w:eastAsia="Arial" w:hAnsi="Arial"/>
                <w:sz w:val="16"/>
                <w:szCs w:val="16"/>
                <w:color w:val="auto"/>
              </w:rPr>
              <w:t>$ 80,000</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$99,977</w:t>
            </w:r>
          </w:p>
        </w:tc>
        <w:tc>
          <w:tcPr>
            <w:tcW w:w="900" w:type="dxa"/>
            <w:vAlign w:val="bottom"/>
            <w:shd w:val="clear" w:color="auto" w:fill="E9E9E9"/>
          </w:tcPr>
          <w:p>
            <w:pPr>
              <w:jc w:val="right"/>
              <w:ind w:right="45"/>
              <w:spacing w:after="0"/>
              <w:rPr>
                <w:sz w:val="20"/>
                <w:szCs w:val="20"/>
                <w:color w:val="auto"/>
              </w:rPr>
            </w:pPr>
            <w:r>
              <w:rPr>
                <w:rFonts w:ascii="Arial" w:cs="Arial" w:eastAsia="Arial" w:hAnsi="Arial"/>
                <w:sz w:val="16"/>
                <w:szCs w:val="16"/>
                <w:color w:val="auto"/>
              </w:rPr>
              <w:t>$104,223</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E9E9E9"/>
          </w:tcPr>
          <w:p>
            <w:pPr>
              <w:jc w:val="right"/>
              <w:ind w:right="368"/>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9E9E9"/>
          </w:tcPr>
          <w:p>
            <w:pPr>
              <w:jc w:val="right"/>
              <w:ind w:right="61"/>
              <w:spacing w:after="0"/>
              <w:rPr>
                <w:sz w:val="20"/>
                <w:szCs w:val="20"/>
                <w:color w:val="auto"/>
              </w:rPr>
            </w:pPr>
            <w:r>
              <w:rPr>
                <w:rFonts w:ascii="Arial" w:cs="Arial" w:eastAsia="Arial" w:hAnsi="Arial"/>
                <w:sz w:val="16"/>
                <w:szCs w:val="16"/>
                <w:color w:val="auto"/>
              </w:rPr>
              <w:t>$ 8,531</w:t>
            </w:r>
          </w:p>
        </w:tc>
        <w:tc>
          <w:tcPr>
            <w:tcW w:w="800" w:type="dxa"/>
            <w:vAlign w:val="bottom"/>
            <w:shd w:val="clear" w:color="auto" w:fill="E9E9E9"/>
          </w:tcPr>
          <w:p>
            <w:pPr>
              <w:jc w:val="center"/>
              <w:ind w:left="63"/>
              <w:spacing w:after="0"/>
              <w:rPr>
                <w:sz w:val="20"/>
                <w:szCs w:val="20"/>
                <w:color w:val="auto"/>
              </w:rPr>
            </w:pPr>
            <w:r>
              <w:rPr>
                <w:rFonts w:ascii="Arial" w:cs="Arial" w:eastAsia="Arial" w:hAnsi="Arial"/>
                <w:sz w:val="16"/>
                <w:szCs w:val="16"/>
                <w:color w:val="auto"/>
                <w:w w:val="98"/>
              </w:rPr>
              <w:t>$292,731</w:t>
            </w:r>
          </w:p>
        </w:tc>
      </w:tr>
      <w:tr>
        <w:trPr>
          <w:trHeight w:val="211"/>
        </w:trPr>
        <w:tc>
          <w:tcPr>
            <w:tcW w:w="2720" w:type="dxa"/>
            <w:vAlign w:val="bottom"/>
          </w:tcPr>
          <w:p>
            <w:pPr>
              <w:spacing w:after="0"/>
              <w:rPr>
                <w:sz w:val="20"/>
                <w:szCs w:val="20"/>
                <w:color w:val="auto"/>
              </w:rPr>
            </w:pPr>
            <w:r>
              <w:rPr>
                <w:rFonts w:ascii="Arial" w:cs="Arial" w:eastAsia="Arial" w:hAnsi="Arial"/>
                <w:sz w:val="16"/>
                <w:szCs w:val="16"/>
                <w:color w:val="auto"/>
              </w:rPr>
              <w:t>R. J. Simmons</w:t>
            </w:r>
          </w:p>
        </w:tc>
        <w:tc>
          <w:tcPr>
            <w:tcW w:w="2700" w:type="dxa"/>
            <w:vAlign w:val="bottom"/>
          </w:tcPr>
          <w:p>
            <w:pPr>
              <w:ind w:left="1900"/>
              <w:spacing w:after="0"/>
              <w:rPr>
                <w:sz w:val="20"/>
                <w:szCs w:val="20"/>
                <w:color w:val="auto"/>
              </w:rPr>
            </w:pPr>
            <w:r>
              <w:rPr>
                <w:rFonts w:ascii="Arial" w:cs="Arial" w:eastAsia="Arial" w:hAnsi="Arial"/>
                <w:sz w:val="16"/>
                <w:szCs w:val="16"/>
                <w:color w:val="auto"/>
              </w:rPr>
              <w:t>$ 85,000</w:t>
            </w:r>
          </w:p>
        </w:tc>
        <w:tc>
          <w:tcPr>
            <w:tcW w:w="840" w:type="dxa"/>
            <w:vAlign w:val="bottom"/>
          </w:tcPr>
          <w:p>
            <w:pPr>
              <w:jc w:val="center"/>
              <w:spacing w:after="0"/>
              <w:rPr>
                <w:sz w:val="20"/>
                <w:szCs w:val="20"/>
                <w:color w:val="auto"/>
              </w:rPr>
            </w:pPr>
            <w:r>
              <w:rPr>
                <w:rFonts w:ascii="Arial" w:cs="Arial" w:eastAsia="Arial" w:hAnsi="Arial"/>
                <w:sz w:val="16"/>
                <w:szCs w:val="16"/>
                <w:color w:val="auto"/>
              </w:rPr>
              <w:t>$99,977</w:t>
            </w: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$104,223</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right"/>
              <w:ind w:right="368"/>
              <w:spacing w:after="0"/>
              <w:rPr>
                <w:sz w:val="20"/>
                <w:szCs w:val="20"/>
                <w:color w:val="auto"/>
              </w:rPr>
            </w:pPr>
            <w:r>
              <w:rPr>
                <w:rFonts w:ascii="Arial" w:cs="Arial" w:eastAsia="Arial" w:hAnsi="Arial"/>
                <w:sz w:val="16"/>
                <w:szCs w:val="16"/>
                <w:color w:val="auto"/>
              </w:rPr>
              <w:t>$136</w:t>
            </w:r>
          </w:p>
        </w:tc>
        <w:tc>
          <w:tcPr>
            <w:tcW w:w="840" w:type="dxa"/>
            <w:vAlign w:val="bottom"/>
          </w:tcPr>
          <w:p>
            <w:pPr>
              <w:jc w:val="right"/>
              <w:ind w:right="225"/>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61"/>
              <w:spacing w:after="0"/>
              <w:rPr>
                <w:sz w:val="20"/>
                <w:szCs w:val="20"/>
                <w:color w:val="auto"/>
              </w:rPr>
            </w:pPr>
            <w:r>
              <w:rPr>
                <w:rFonts w:ascii="Arial" w:cs="Arial" w:eastAsia="Arial" w:hAnsi="Arial"/>
                <w:sz w:val="16"/>
                <w:szCs w:val="16"/>
                <w:color w:val="auto"/>
                <w:w w:val="89"/>
              </w:rPr>
              <w:t>20</w:t>
            </w:r>
          </w:p>
        </w:tc>
        <w:tc>
          <w:tcPr>
            <w:tcW w:w="800" w:type="dxa"/>
            <w:vAlign w:val="bottom"/>
          </w:tcPr>
          <w:p>
            <w:pPr>
              <w:jc w:val="center"/>
              <w:ind w:left="63"/>
              <w:spacing w:after="0"/>
              <w:rPr>
                <w:sz w:val="20"/>
                <w:szCs w:val="20"/>
                <w:color w:val="auto"/>
              </w:rPr>
            </w:pPr>
            <w:r>
              <w:rPr>
                <w:rFonts w:ascii="Arial" w:cs="Arial" w:eastAsia="Arial" w:hAnsi="Arial"/>
                <w:sz w:val="16"/>
                <w:szCs w:val="16"/>
                <w:color w:val="auto"/>
                <w:w w:val="98"/>
              </w:rPr>
              <w:t>$289,356</w:t>
            </w:r>
          </w:p>
        </w:tc>
      </w:tr>
      <w:tr>
        <w:trPr>
          <w:trHeight w:val="226"/>
        </w:trPr>
        <w:tc>
          <w:tcPr>
            <w:tcW w:w="2720" w:type="dxa"/>
            <w:vAlign w:val="bottom"/>
            <w:shd w:val="clear" w:color="auto" w:fill="E9E9E9"/>
          </w:tcPr>
          <w:p>
            <w:pPr>
              <w:spacing w:after="0"/>
              <w:rPr>
                <w:sz w:val="20"/>
                <w:szCs w:val="20"/>
                <w:color w:val="auto"/>
              </w:rPr>
            </w:pPr>
            <w:r>
              <w:rPr>
                <w:rFonts w:ascii="Arial" w:cs="Arial" w:eastAsia="Arial" w:hAnsi="Arial"/>
                <w:sz w:val="16"/>
                <w:szCs w:val="16"/>
                <w:color w:val="auto"/>
              </w:rPr>
              <w:t>C. T. Whitman</w:t>
            </w:r>
          </w:p>
        </w:tc>
        <w:tc>
          <w:tcPr>
            <w:tcW w:w="2700" w:type="dxa"/>
            <w:vAlign w:val="bottom"/>
            <w:shd w:val="clear" w:color="auto" w:fill="E9E9E9"/>
          </w:tcPr>
          <w:p>
            <w:pPr>
              <w:ind w:left="1900"/>
              <w:spacing w:after="0"/>
              <w:rPr>
                <w:sz w:val="20"/>
                <w:szCs w:val="20"/>
                <w:color w:val="auto"/>
              </w:rPr>
            </w:pPr>
            <w:r>
              <w:rPr>
                <w:rFonts w:ascii="Arial" w:cs="Arial" w:eastAsia="Arial" w:hAnsi="Arial"/>
                <w:sz w:val="16"/>
                <w:szCs w:val="16"/>
                <w:color w:val="auto"/>
              </w:rPr>
              <w:t>$ 90,000</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$99,977</w:t>
            </w:r>
          </w:p>
        </w:tc>
        <w:tc>
          <w:tcPr>
            <w:tcW w:w="900" w:type="dxa"/>
            <w:vAlign w:val="bottom"/>
            <w:shd w:val="clear" w:color="auto" w:fill="E9E9E9"/>
          </w:tcPr>
          <w:p>
            <w:pPr>
              <w:jc w:val="right"/>
              <w:ind w:right="45"/>
              <w:spacing w:after="0"/>
              <w:rPr>
                <w:sz w:val="20"/>
                <w:szCs w:val="20"/>
                <w:color w:val="auto"/>
              </w:rPr>
            </w:pPr>
            <w:r>
              <w:rPr>
                <w:rFonts w:ascii="Arial" w:cs="Arial" w:eastAsia="Arial" w:hAnsi="Arial"/>
                <w:sz w:val="16"/>
                <w:szCs w:val="16"/>
                <w:color w:val="auto"/>
              </w:rPr>
              <w:t>$104,223</w:t>
            </w:r>
          </w:p>
        </w:tc>
        <w:tc>
          <w:tcPr>
            <w:tcW w:w="11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E9E9E9"/>
          </w:tcPr>
          <w:p>
            <w:pPr>
              <w:jc w:val="right"/>
              <w:ind w:right="368"/>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225"/>
              <w:spacing w:after="0"/>
              <w:rPr>
                <w:sz w:val="20"/>
                <w:szCs w:val="20"/>
                <w:color w:val="auto"/>
              </w:rPr>
            </w:pPr>
            <w:r>
              <w:rPr>
                <w:rFonts w:ascii="Arial" w:cs="Arial" w:eastAsia="Arial" w:hAnsi="Arial"/>
                <w:sz w:val="16"/>
                <w:szCs w:val="16"/>
                <w:color w:val="auto"/>
              </w:rPr>
              <w:t>$</w:t>
            </w:r>
          </w:p>
        </w:tc>
        <w:tc>
          <w:tcPr>
            <w:tcW w:w="32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w w:val="89"/>
              </w:rPr>
              <w:t>20</w:t>
            </w:r>
          </w:p>
        </w:tc>
        <w:tc>
          <w:tcPr>
            <w:tcW w:w="800" w:type="dxa"/>
            <w:vAlign w:val="bottom"/>
            <w:shd w:val="clear" w:color="auto" w:fill="E9E9E9"/>
          </w:tcPr>
          <w:p>
            <w:pPr>
              <w:jc w:val="center"/>
              <w:ind w:left="63"/>
              <w:spacing w:after="0"/>
              <w:rPr>
                <w:sz w:val="20"/>
                <w:szCs w:val="20"/>
                <w:color w:val="auto"/>
              </w:rPr>
            </w:pPr>
            <w:r>
              <w:rPr>
                <w:rFonts w:ascii="Arial" w:cs="Arial" w:eastAsia="Arial" w:hAnsi="Arial"/>
                <w:sz w:val="16"/>
                <w:szCs w:val="16"/>
                <w:color w:val="auto"/>
                <w:w w:val="98"/>
              </w:rPr>
              <w:t>$294,220</w:t>
            </w:r>
          </w:p>
        </w:tc>
      </w:tr>
    </w:tbl>
    <w:p>
      <w:pPr>
        <w:spacing w:after="0" w:line="221" w:lineRule="exact"/>
        <w:rPr>
          <w:sz w:val="20"/>
          <w:szCs w:val="20"/>
          <w:color w:val="auto"/>
        </w:rPr>
      </w:pPr>
    </w:p>
    <w:p>
      <w:pPr>
        <w:jc w:val="both"/>
        <w:ind w:left="243" w:right="60" w:hanging="243"/>
        <w:spacing w:after="0"/>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Messrs. Boren and Goode reached the age of 70 by the date of the 2011 annual meeting and therefore were ineligible under the company’s by-laws to stand for re-election at the meeting. They ceased to be directors of the company on April 21, 2011. Mr. MacMillan resigned effective February 17, 2012. Mr. Sanchez was elected to the board effective March 15, 2011.</w:t>
      </w:r>
    </w:p>
    <w:p>
      <w:pPr>
        <w:spacing w:after="0" w:line="211" w:lineRule="exact"/>
        <w:rPr>
          <w:rFonts w:ascii="Arial" w:cs="Arial" w:eastAsia="Arial" w:hAnsi="Arial"/>
          <w:sz w:val="16"/>
          <w:szCs w:val="16"/>
          <w:color w:val="auto"/>
        </w:rPr>
      </w:pPr>
    </w:p>
    <w:p>
      <w:pPr>
        <w:ind w:left="243" w:hanging="243"/>
        <w:spacing w:after="0"/>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amounts deferred at the director’s election.</w:t>
      </w:r>
    </w:p>
    <w:p>
      <w:pPr>
        <w:spacing w:after="0" w:line="200" w:lineRule="exact"/>
        <w:rPr>
          <w:rFonts w:ascii="Arial" w:cs="Arial" w:eastAsia="Arial" w:hAnsi="Arial"/>
          <w:sz w:val="16"/>
          <w:szCs w:val="16"/>
          <w:color w:val="auto"/>
        </w:rPr>
      </w:pPr>
    </w:p>
    <w:p>
      <w:pPr>
        <w:ind w:left="243" w:right="280" w:hanging="243"/>
        <w:spacing w:after="0" w:line="217"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Shown is the aggregate grant date fair value of awards granted in 2011 calculated in accordance with Financial Accounting Standards Board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Standards Codification</w:t>
      </w:r>
      <w:r>
        <w:rPr>
          <w:rFonts w:ascii="Arial" w:cs="Arial" w:eastAsia="Arial" w:hAnsi="Arial"/>
          <w:sz w:val="26"/>
          <w:szCs w:val="26"/>
          <w:i w:val="1"/>
          <w:iCs w:val="1"/>
          <w:color w:val="auto"/>
          <w:vertAlign w:val="superscript"/>
        </w:rPr>
        <w:t>TM</w:t>
      </w:r>
      <w:r>
        <w:rPr>
          <w:rFonts w:ascii="Arial" w:cs="Arial" w:eastAsia="Arial" w:hAnsi="Arial"/>
          <w:sz w:val="16"/>
          <w:szCs w:val="16"/>
          <w:i w:val="1"/>
          <w:iCs w:val="1"/>
          <w:color w:val="auto"/>
        </w:rPr>
        <w:t xml:space="preserve"> Topic 718, Compensation-Stock Compensation </w:t>
      </w:r>
      <w:r>
        <w:rPr>
          <w:rFonts w:ascii="Arial" w:cs="Arial" w:eastAsia="Arial" w:hAnsi="Arial"/>
          <w:sz w:val="16"/>
          <w:szCs w:val="16"/>
          <w:color w:val="auto"/>
        </w:rPr>
        <w:t>(ASC 718). The discussion of the assumptions used for purposes of calculating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 date fair value appears in note 5 of Exhibit 13 to TI’s annual report on Form 10-K for the year ended December 31, 2011.</w:t>
      </w:r>
    </w:p>
    <w:p>
      <w:pPr>
        <w:spacing w:after="0" w:line="256" w:lineRule="exact"/>
        <w:rPr>
          <w:sz w:val="20"/>
          <w:szCs w:val="20"/>
          <w:color w:val="auto"/>
        </w:rPr>
      </w:pPr>
    </w:p>
    <w:p>
      <w:pPr>
        <w:ind w:left="3"/>
        <w:spacing w:after="0"/>
        <w:tabs>
          <w:tab w:leader="none" w:pos="964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79" w:right="219" w:bottom="1440" w:gutter="0" w:footer="0" w:header="0"/>
        </w:sectPr>
      </w:pPr>
    </w:p>
    <w:bookmarkStart w:id="12" w:name="page13"/>
    <w:bookmarkEnd w:id="12"/>
    <w:p>
      <w:pPr>
        <w:ind w:left="3"/>
        <w:spacing w:after="0"/>
        <w:rPr>
          <w:sz w:val="20"/>
          <w:szCs w:val="20"/>
          <w:color w:val="auto"/>
        </w:rPr>
      </w:pPr>
      <w:r>
        <w:rPr>
          <w:rFonts w:ascii="Arial" w:cs="Arial" w:eastAsia="Arial" w:hAnsi="Arial"/>
          <w:sz w:val="16"/>
          <w:szCs w:val="16"/>
          <w:color w:val="auto"/>
        </w:rPr>
        <w:t>The table below shows the aggregate number of shares underlying outstanding restricted stock units held by the named individuals as of December 31, 2011.</w:t>
      </w:r>
    </w:p>
    <w:p>
      <w:pPr>
        <w:spacing w:after="0" w:line="211" w:lineRule="exact"/>
        <w:rPr>
          <w:sz w:val="20"/>
          <w:szCs w:val="20"/>
          <w:color w:val="auto"/>
        </w:rPr>
      </w:pPr>
    </w:p>
    <w:tbl>
      <w:tblPr>
        <w:tblLayout w:type="fixed"/>
        <w:tblInd w:w="1143" w:type="dxa"/>
        <w:tblCellMar>
          <w:top w:w="0" w:type="dxa"/>
          <w:left w:w="0" w:type="dxa"/>
          <w:bottom w:w="0" w:type="dxa"/>
          <w:right w:w="0" w:type="dxa"/>
        </w:tblCellMar>
      </w:tblPr>
      <w:tr>
        <w:trPr>
          <w:trHeight w:val="160"/>
        </w:trPr>
        <w:tc>
          <w:tcPr>
            <w:tcW w:w="4700" w:type="dxa"/>
            <w:vAlign w:val="bottom"/>
          </w:tcPr>
          <w:p>
            <w:pPr>
              <w:spacing w:after="0"/>
              <w:rPr>
                <w:sz w:val="13"/>
                <w:szCs w:val="13"/>
                <w:color w:val="auto"/>
              </w:rPr>
            </w:pPr>
          </w:p>
        </w:tc>
        <w:tc>
          <w:tcPr>
            <w:tcW w:w="4460" w:type="dxa"/>
            <w:vAlign w:val="bottom"/>
          </w:tcPr>
          <w:p>
            <w:pPr>
              <w:jc w:val="center"/>
              <w:ind w:left="3385"/>
              <w:spacing w:after="0"/>
              <w:rPr>
                <w:sz w:val="20"/>
                <w:szCs w:val="20"/>
                <w:color w:val="auto"/>
              </w:rPr>
            </w:pPr>
            <w:r>
              <w:rPr>
                <w:rFonts w:ascii="Arial" w:cs="Arial" w:eastAsia="Arial" w:hAnsi="Arial"/>
                <w:sz w:val="12"/>
                <w:szCs w:val="12"/>
                <w:b w:val="1"/>
                <w:bCs w:val="1"/>
                <w:color w:val="auto"/>
              </w:rPr>
              <w:t>Restricted</w:t>
            </w:r>
          </w:p>
        </w:tc>
      </w:tr>
      <w:tr>
        <w:trPr>
          <w:trHeight w:val="218"/>
        </w:trPr>
        <w:tc>
          <w:tcPr>
            <w:tcW w:w="4700" w:type="dxa"/>
            <w:vAlign w:val="bottom"/>
          </w:tcPr>
          <w:p>
            <w:pPr>
              <w:spacing w:after="0"/>
              <w:rPr>
                <w:sz w:val="18"/>
                <w:szCs w:val="18"/>
                <w:color w:val="auto"/>
              </w:rPr>
            </w:pPr>
          </w:p>
        </w:tc>
        <w:tc>
          <w:tcPr>
            <w:tcW w:w="4460" w:type="dxa"/>
            <w:vAlign w:val="bottom"/>
          </w:tcPr>
          <w:p>
            <w:pPr>
              <w:jc w:val="center"/>
              <w:ind w:left="3385"/>
              <w:spacing w:after="0"/>
              <w:rPr>
                <w:sz w:val="20"/>
                <w:szCs w:val="20"/>
                <w:color w:val="auto"/>
              </w:rPr>
            </w:pPr>
            <w:r>
              <w:rPr>
                <w:rFonts w:ascii="Arial" w:cs="Arial" w:eastAsia="Arial" w:hAnsi="Arial"/>
                <w:sz w:val="12"/>
                <w:szCs w:val="12"/>
                <w:b w:val="1"/>
                <w:bCs w:val="1"/>
                <w:color w:val="auto"/>
              </w:rPr>
              <w:t>Stock Units</w:t>
            </w:r>
          </w:p>
        </w:tc>
      </w:tr>
      <w:tr>
        <w:trPr>
          <w:trHeight w:val="218"/>
        </w:trPr>
        <w:tc>
          <w:tcPr>
            <w:tcW w:w="470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4460" w:type="dxa"/>
            <w:vAlign w:val="bottom"/>
          </w:tcPr>
          <w:p>
            <w:pPr>
              <w:jc w:val="center"/>
              <w:ind w:left="3385"/>
              <w:spacing w:after="0"/>
              <w:rPr>
                <w:sz w:val="20"/>
                <w:szCs w:val="20"/>
                <w:color w:val="auto"/>
              </w:rPr>
            </w:pPr>
            <w:r>
              <w:rPr>
                <w:rFonts w:ascii="Arial" w:cs="Arial" w:eastAsia="Arial" w:hAnsi="Arial"/>
                <w:sz w:val="12"/>
                <w:szCs w:val="12"/>
                <w:b w:val="1"/>
                <w:bCs w:val="1"/>
                <w:color w:val="auto"/>
              </w:rPr>
              <w:t>(in Shares)</w:t>
            </w:r>
          </w:p>
        </w:tc>
      </w:tr>
      <w:tr>
        <w:trPr>
          <w:trHeight w:val="37"/>
        </w:trPr>
        <w:tc>
          <w:tcPr>
            <w:tcW w:w="4700" w:type="dxa"/>
            <w:vAlign w:val="bottom"/>
            <w:tcBorders>
              <w:bottom w:val="single" w:sz="8" w:color="808285"/>
            </w:tcBorders>
          </w:tcPr>
          <w:p>
            <w:pPr>
              <w:spacing w:after="0"/>
              <w:rPr>
                <w:sz w:val="3"/>
                <w:szCs w:val="3"/>
                <w:color w:val="auto"/>
              </w:rPr>
            </w:pPr>
          </w:p>
        </w:tc>
        <w:tc>
          <w:tcPr>
            <w:tcW w:w="4460" w:type="dxa"/>
            <w:vAlign w:val="bottom"/>
            <w:tcBorders>
              <w:bottom w:val="single" w:sz="8" w:color="808285"/>
            </w:tcBorders>
          </w:tcPr>
          <w:p>
            <w:pPr>
              <w:spacing w:after="0"/>
              <w:rPr>
                <w:sz w:val="3"/>
                <w:szCs w:val="3"/>
                <w:color w:val="auto"/>
              </w:rPr>
            </w:pPr>
          </w:p>
        </w:tc>
      </w:tr>
      <w:tr>
        <w:trPr>
          <w:trHeight w:val="210"/>
        </w:trPr>
        <w:tc>
          <w:tcPr>
            <w:tcW w:w="4700" w:type="dxa"/>
            <w:vAlign w:val="bottom"/>
            <w:shd w:val="clear" w:color="auto" w:fill="E9E9E9"/>
          </w:tcPr>
          <w:p>
            <w:pPr>
              <w:spacing w:after="0"/>
              <w:rPr>
                <w:sz w:val="20"/>
                <w:szCs w:val="20"/>
                <w:color w:val="auto"/>
              </w:rPr>
            </w:pPr>
            <w:r>
              <w:rPr>
                <w:rFonts w:ascii="Arial" w:cs="Arial" w:eastAsia="Arial" w:hAnsi="Arial"/>
                <w:sz w:val="16"/>
                <w:szCs w:val="16"/>
                <w:color w:val="auto"/>
              </w:rPr>
              <w:t>R. W. Babb, Jr.</w:t>
            </w:r>
          </w:p>
        </w:tc>
        <w:tc>
          <w:tcPr>
            <w:tcW w:w="4460" w:type="dxa"/>
            <w:vAlign w:val="bottom"/>
            <w:shd w:val="clear" w:color="auto" w:fill="E9E9E9"/>
          </w:tcPr>
          <w:p>
            <w:pPr>
              <w:jc w:val="right"/>
              <w:ind w:right="185"/>
              <w:spacing w:after="0"/>
              <w:rPr>
                <w:sz w:val="20"/>
                <w:szCs w:val="20"/>
                <w:color w:val="auto"/>
              </w:rPr>
            </w:pPr>
            <w:r>
              <w:rPr>
                <w:rFonts w:ascii="Arial" w:cs="Arial" w:eastAsia="Arial" w:hAnsi="Arial"/>
                <w:sz w:val="16"/>
                <w:szCs w:val="16"/>
                <w:color w:val="auto"/>
              </w:rPr>
              <w:t>4,887</w:t>
            </w:r>
          </w:p>
        </w:tc>
      </w:tr>
      <w:tr>
        <w:trPr>
          <w:trHeight w:val="211"/>
        </w:trPr>
        <w:tc>
          <w:tcPr>
            <w:tcW w:w="4700" w:type="dxa"/>
            <w:vAlign w:val="bottom"/>
          </w:tcPr>
          <w:p>
            <w:pPr>
              <w:spacing w:after="0"/>
              <w:rPr>
                <w:sz w:val="20"/>
                <w:szCs w:val="20"/>
                <w:color w:val="auto"/>
              </w:rPr>
            </w:pPr>
            <w:r>
              <w:rPr>
                <w:rFonts w:ascii="Arial" w:cs="Arial" w:eastAsia="Arial" w:hAnsi="Arial"/>
                <w:sz w:val="16"/>
                <w:szCs w:val="16"/>
                <w:color w:val="auto"/>
              </w:rPr>
              <w:t>D. L. Boren</w:t>
            </w:r>
          </w:p>
        </w:tc>
        <w:tc>
          <w:tcPr>
            <w:tcW w:w="4460" w:type="dxa"/>
            <w:vAlign w:val="bottom"/>
          </w:tcPr>
          <w:p>
            <w:pPr>
              <w:jc w:val="right"/>
              <w:ind w:right="185"/>
              <w:spacing w:after="0"/>
              <w:rPr>
                <w:sz w:val="20"/>
                <w:szCs w:val="20"/>
                <w:color w:val="auto"/>
              </w:rPr>
            </w:pPr>
            <w:r>
              <w:rPr>
                <w:rFonts w:ascii="Arial" w:cs="Arial" w:eastAsia="Arial" w:hAnsi="Arial"/>
                <w:sz w:val="16"/>
                <w:szCs w:val="16"/>
                <w:color w:val="auto"/>
              </w:rPr>
              <w:t>10,387</w:t>
            </w:r>
          </w:p>
        </w:tc>
      </w:tr>
      <w:tr>
        <w:trPr>
          <w:trHeight w:val="226"/>
        </w:trPr>
        <w:tc>
          <w:tcPr>
            <w:tcW w:w="4700" w:type="dxa"/>
            <w:vAlign w:val="bottom"/>
            <w:shd w:val="clear" w:color="auto" w:fill="E9E9E9"/>
          </w:tcPr>
          <w:p>
            <w:pPr>
              <w:spacing w:after="0"/>
              <w:rPr>
                <w:sz w:val="20"/>
                <w:szCs w:val="20"/>
                <w:color w:val="auto"/>
              </w:rPr>
            </w:pPr>
            <w:r>
              <w:rPr>
                <w:rFonts w:ascii="Arial" w:cs="Arial" w:eastAsia="Arial" w:hAnsi="Arial"/>
                <w:sz w:val="16"/>
                <w:szCs w:val="16"/>
                <w:color w:val="auto"/>
              </w:rPr>
              <w:t>D. A. Carp</w:t>
            </w:r>
          </w:p>
        </w:tc>
        <w:tc>
          <w:tcPr>
            <w:tcW w:w="4460" w:type="dxa"/>
            <w:vAlign w:val="bottom"/>
            <w:shd w:val="clear" w:color="auto" w:fill="E9E9E9"/>
          </w:tcPr>
          <w:p>
            <w:pPr>
              <w:jc w:val="right"/>
              <w:ind w:right="185"/>
              <w:spacing w:after="0"/>
              <w:rPr>
                <w:sz w:val="20"/>
                <w:szCs w:val="20"/>
                <w:color w:val="auto"/>
              </w:rPr>
            </w:pPr>
            <w:r>
              <w:rPr>
                <w:rFonts w:ascii="Arial" w:cs="Arial" w:eastAsia="Arial" w:hAnsi="Arial"/>
                <w:sz w:val="16"/>
                <w:szCs w:val="16"/>
                <w:color w:val="auto"/>
              </w:rPr>
              <w:t>21,551</w:t>
            </w:r>
          </w:p>
        </w:tc>
      </w:tr>
      <w:tr>
        <w:trPr>
          <w:trHeight w:val="211"/>
        </w:trPr>
        <w:tc>
          <w:tcPr>
            <w:tcW w:w="4700" w:type="dxa"/>
            <w:vAlign w:val="bottom"/>
          </w:tcPr>
          <w:p>
            <w:pPr>
              <w:spacing w:after="0"/>
              <w:rPr>
                <w:sz w:val="20"/>
                <w:szCs w:val="20"/>
                <w:color w:val="auto"/>
              </w:rPr>
            </w:pPr>
            <w:r>
              <w:rPr>
                <w:rFonts w:ascii="Arial" w:cs="Arial" w:eastAsia="Arial" w:hAnsi="Arial"/>
                <w:sz w:val="16"/>
                <w:szCs w:val="16"/>
                <w:color w:val="auto"/>
              </w:rPr>
              <w:t>C. S. Cox</w:t>
            </w:r>
          </w:p>
        </w:tc>
        <w:tc>
          <w:tcPr>
            <w:tcW w:w="4460" w:type="dxa"/>
            <w:vAlign w:val="bottom"/>
          </w:tcPr>
          <w:p>
            <w:pPr>
              <w:jc w:val="right"/>
              <w:ind w:right="185"/>
              <w:spacing w:after="0"/>
              <w:rPr>
                <w:sz w:val="20"/>
                <w:szCs w:val="20"/>
                <w:color w:val="auto"/>
              </w:rPr>
            </w:pPr>
            <w:r>
              <w:rPr>
                <w:rFonts w:ascii="Arial" w:cs="Arial" w:eastAsia="Arial" w:hAnsi="Arial"/>
                <w:sz w:val="16"/>
                <w:szCs w:val="16"/>
                <w:color w:val="auto"/>
              </w:rPr>
              <w:t>14,887</w:t>
            </w:r>
          </w:p>
        </w:tc>
      </w:tr>
      <w:tr>
        <w:trPr>
          <w:trHeight w:val="226"/>
        </w:trPr>
        <w:tc>
          <w:tcPr>
            <w:tcW w:w="4700" w:type="dxa"/>
            <w:vAlign w:val="bottom"/>
            <w:shd w:val="clear" w:color="auto" w:fill="E9E9E9"/>
          </w:tcPr>
          <w:p>
            <w:pPr>
              <w:spacing w:after="0"/>
              <w:rPr>
                <w:sz w:val="20"/>
                <w:szCs w:val="20"/>
                <w:color w:val="auto"/>
              </w:rPr>
            </w:pPr>
            <w:r>
              <w:rPr>
                <w:rFonts w:ascii="Arial" w:cs="Arial" w:eastAsia="Arial" w:hAnsi="Arial"/>
                <w:sz w:val="16"/>
                <w:szCs w:val="16"/>
                <w:color w:val="auto"/>
              </w:rPr>
              <w:t>D. R. Goode</w:t>
            </w:r>
          </w:p>
        </w:tc>
        <w:tc>
          <w:tcPr>
            <w:tcW w:w="4460" w:type="dxa"/>
            <w:vAlign w:val="bottom"/>
            <w:shd w:val="clear" w:color="auto" w:fill="E9E9E9"/>
          </w:tcPr>
          <w:p>
            <w:pPr>
              <w:jc w:val="right"/>
              <w:ind w:right="185"/>
              <w:spacing w:after="0"/>
              <w:rPr>
                <w:sz w:val="20"/>
                <w:szCs w:val="20"/>
                <w:color w:val="auto"/>
              </w:rPr>
            </w:pPr>
            <w:r>
              <w:rPr>
                <w:rFonts w:ascii="Arial" w:cs="Arial" w:eastAsia="Arial" w:hAnsi="Arial"/>
                <w:sz w:val="16"/>
                <w:szCs w:val="16"/>
                <w:color w:val="auto"/>
              </w:rPr>
              <w:t>12,554</w:t>
            </w:r>
          </w:p>
        </w:tc>
      </w:tr>
      <w:tr>
        <w:trPr>
          <w:trHeight w:val="211"/>
        </w:trPr>
        <w:tc>
          <w:tcPr>
            <w:tcW w:w="4700" w:type="dxa"/>
            <w:vAlign w:val="bottom"/>
          </w:tcPr>
          <w:p>
            <w:pPr>
              <w:spacing w:after="0"/>
              <w:rPr>
                <w:sz w:val="20"/>
                <w:szCs w:val="20"/>
                <w:color w:val="auto"/>
              </w:rPr>
            </w:pPr>
            <w:r>
              <w:rPr>
                <w:rFonts w:ascii="Arial" w:cs="Arial" w:eastAsia="Arial" w:hAnsi="Arial"/>
                <w:sz w:val="16"/>
                <w:szCs w:val="16"/>
                <w:color w:val="auto"/>
              </w:rPr>
              <w:t>S. P. MacMillan</w:t>
            </w:r>
          </w:p>
        </w:tc>
        <w:tc>
          <w:tcPr>
            <w:tcW w:w="4460" w:type="dxa"/>
            <w:vAlign w:val="bottom"/>
          </w:tcPr>
          <w:p>
            <w:pPr>
              <w:jc w:val="right"/>
              <w:ind w:right="185"/>
              <w:spacing w:after="0"/>
              <w:rPr>
                <w:sz w:val="20"/>
                <w:szCs w:val="20"/>
                <w:color w:val="auto"/>
              </w:rPr>
            </w:pPr>
            <w:r>
              <w:rPr>
                <w:rFonts w:ascii="Arial" w:cs="Arial" w:eastAsia="Arial" w:hAnsi="Arial"/>
                <w:sz w:val="16"/>
                <w:szCs w:val="16"/>
                <w:color w:val="auto"/>
              </w:rPr>
              <w:t>9,887</w:t>
            </w:r>
          </w:p>
        </w:tc>
      </w:tr>
      <w:tr>
        <w:trPr>
          <w:trHeight w:val="226"/>
        </w:trPr>
        <w:tc>
          <w:tcPr>
            <w:tcW w:w="4700" w:type="dxa"/>
            <w:vAlign w:val="bottom"/>
            <w:shd w:val="clear" w:color="auto" w:fill="E9E9E9"/>
          </w:tcPr>
          <w:p>
            <w:pPr>
              <w:spacing w:after="0"/>
              <w:rPr>
                <w:sz w:val="20"/>
                <w:szCs w:val="20"/>
                <w:color w:val="auto"/>
              </w:rPr>
            </w:pPr>
            <w:r>
              <w:rPr>
                <w:rFonts w:ascii="Arial" w:cs="Arial" w:eastAsia="Arial" w:hAnsi="Arial"/>
                <w:sz w:val="16"/>
                <w:szCs w:val="16"/>
                <w:color w:val="auto"/>
              </w:rPr>
              <w:t>P. H. Patsley</w:t>
            </w:r>
          </w:p>
        </w:tc>
        <w:tc>
          <w:tcPr>
            <w:tcW w:w="4460" w:type="dxa"/>
            <w:vAlign w:val="bottom"/>
            <w:shd w:val="clear" w:color="auto" w:fill="E9E9E9"/>
          </w:tcPr>
          <w:p>
            <w:pPr>
              <w:jc w:val="right"/>
              <w:ind w:right="185"/>
              <w:spacing w:after="0"/>
              <w:rPr>
                <w:sz w:val="20"/>
                <w:szCs w:val="20"/>
                <w:color w:val="auto"/>
              </w:rPr>
            </w:pPr>
            <w:r>
              <w:rPr>
                <w:rFonts w:ascii="Arial" w:cs="Arial" w:eastAsia="Arial" w:hAnsi="Arial"/>
                <w:sz w:val="16"/>
                <w:szCs w:val="16"/>
                <w:color w:val="auto"/>
              </w:rPr>
              <w:t>12,387</w:t>
            </w:r>
          </w:p>
        </w:tc>
      </w:tr>
      <w:tr>
        <w:trPr>
          <w:trHeight w:val="211"/>
        </w:trPr>
        <w:tc>
          <w:tcPr>
            <w:tcW w:w="4700" w:type="dxa"/>
            <w:vAlign w:val="bottom"/>
          </w:tcPr>
          <w:p>
            <w:pPr>
              <w:spacing w:after="0"/>
              <w:rPr>
                <w:sz w:val="20"/>
                <w:szCs w:val="20"/>
                <w:color w:val="auto"/>
              </w:rPr>
            </w:pPr>
            <w:r>
              <w:rPr>
                <w:rFonts w:ascii="Arial" w:cs="Arial" w:eastAsia="Arial" w:hAnsi="Arial"/>
                <w:sz w:val="16"/>
                <w:szCs w:val="16"/>
                <w:color w:val="auto"/>
              </w:rPr>
              <w:t>R. E. Sanchez</w:t>
            </w:r>
          </w:p>
        </w:tc>
        <w:tc>
          <w:tcPr>
            <w:tcW w:w="4460" w:type="dxa"/>
            <w:vAlign w:val="bottom"/>
          </w:tcPr>
          <w:p>
            <w:pPr>
              <w:jc w:val="right"/>
              <w:ind w:right="185"/>
              <w:spacing w:after="0"/>
              <w:rPr>
                <w:sz w:val="20"/>
                <w:szCs w:val="20"/>
                <w:color w:val="auto"/>
              </w:rPr>
            </w:pPr>
            <w:r>
              <w:rPr>
                <w:rFonts w:ascii="Arial" w:cs="Arial" w:eastAsia="Arial" w:hAnsi="Arial"/>
                <w:sz w:val="16"/>
                <w:szCs w:val="16"/>
                <w:color w:val="auto"/>
              </w:rPr>
              <w:t>2,000</w:t>
            </w:r>
          </w:p>
        </w:tc>
      </w:tr>
      <w:tr>
        <w:trPr>
          <w:trHeight w:val="226"/>
        </w:trPr>
        <w:tc>
          <w:tcPr>
            <w:tcW w:w="4700" w:type="dxa"/>
            <w:vAlign w:val="bottom"/>
            <w:shd w:val="clear" w:color="auto" w:fill="E9E9E9"/>
          </w:tcPr>
          <w:p>
            <w:pPr>
              <w:spacing w:after="0"/>
              <w:rPr>
                <w:sz w:val="20"/>
                <w:szCs w:val="20"/>
                <w:color w:val="auto"/>
              </w:rPr>
            </w:pPr>
            <w:r>
              <w:rPr>
                <w:rFonts w:ascii="Arial" w:cs="Arial" w:eastAsia="Arial" w:hAnsi="Arial"/>
                <w:sz w:val="16"/>
                <w:szCs w:val="16"/>
                <w:color w:val="auto"/>
              </w:rPr>
              <w:t>W. R. Sanders</w:t>
            </w:r>
          </w:p>
        </w:tc>
        <w:tc>
          <w:tcPr>
            <w:tcW w:w="4460" w:type="dxa"/>
            <w:vAlign w:val="bottom"/>
            <w:shd w:val="clear" w:color="auto" w:fill="E9E9E9"/>
          </w:tcPr>
          <w:p>
            <w:pPr>
              <w:jc w:val="right"/>
              <w:ind w:right="185"/>
              <w:spacing w:after="0"/>
              <w:rPr>
                <w:sz w:val="20"/>
                <w:szCs w:val="20"/>
                <w:color w:val="auto"/>
              </w:rPr>
            </w:pPr>
            <w:r>
              <w:rPr>
                <w:rFonts w:ascii="Arial" w:cs="Arial" w:eastAsia="Arial" w:hAnsi="Arial"/>
                <w:sz w:val="16"/>
                <w:szCs w:val="16"/>
                <w:color w:val="auto"/>
              </w:rPr>
              <w:t>19,987</w:t>
            </w:r>
          </w:p>
        </w:tc>
      </w:tr>
      <w:tr>
        <w:trPr>
          <w:trHeight w:val="211"/>
        </w:trPr>
        <w:tc>
          <w:tcPr>
            <w:tcW w:w="4700" w:type="dxa"/>
            <w:vAlign w:val="bottom"/>
          </w:tcPr>
          <w:p>
            <w:pPr>
              <w:spacing w:after="0"/>
              <w:rPr>
                <w:sz w:val="20"/>
                <w:szCs w:val="20"/>
                <w:color w:val="auto"/>
              </w:rPr>
            </w:pPr>
            <w:r>
              <w:rPr>
                <w:rFonts w:ascii="Arial" w:cs="Arial" w:eastAsia="Arial" w:hAnsi="Arial"/>
                <w:sz w:val="16"/>
                <w:szCs w:val="16"/>
                <w:color w:val="auto"/>
              </w:rPr>
              <w:t>R. J. Simmons</w:t>
            </w:r>
          </w:p>
        </w:tc>
        <w:tc>
          <w:tcPr>
            <w:tcW w:w="4460" w:type="dxa"/>
            <w:vAlign w:val="bottom"/>
          </w:tcPr>
          <w:p>
            <w:pPr>
              <w:jc w:val="right"/>
              <w:ind w:right="185"/>
              <w:spacing w:after="0"/>
              <w:rPr>
                <w:sz w:val="20"/>
                <w:szCs w:val="20"/>
                <w:color w:val="auto"/>
              </w:rPr>
            </w:pPr>
            <w:r>
              <w:rPr>
                <w:rFonts w:ascii="Arial" w:cs="Arial" w:eastAsia="Arial" w:hAnsi="Arial"/>
                <w:sz w:val="16"/>
                <w:szCs w:val="16"/>
                <w:color w:val="auto"/>
              </w:rPr>
              <w:t>20,887</w:t>
            </w:r>
          </w:p>
        </w:tc>
      </w:tr>
      <w:tr>
        <w:trPr>
          <w:trHeight w:val="226"/>
        </w:trPr>
        <w:tc>
          <w:tcPr>
            <w:tcW w:w="4700" w:type="dxa"/>
            <w:vAlign w:val="bottom"/>
            <w:shd w:val="clear" w:color="auto" w:fill="E9E9E9"/>
          </w:tcPr>
          <w:p>
            <w:pPr>
              <w:spacing w:after="0"/>
              <w:rPr>
                <w:sz w:val="20"/>
                <w:szCs w:val="20"/>
                <w:color w:val="auto"/>
              </w:rPr>
            </w:pPr>
            <w:r>
              <w:rPr>
                <w:rFonts w:ascii="Arial" w:cs="Arial" w:eastAsia="Arial" w:hAnsi="Arial"/>
                <w:sz w:val="16"/>
                <w:szCs w:val="16"/>
                <w:color w:val="auto"/>
              </w:rPr>
              <w:t>C. T. Whitman</w:t>
            </w:r>
          </w:p>
        </w:tc>
        <w:tc>
          <w:tcPr>
            <w:tcW w:w="4460" w:type="dxa"/>
            <w:vAlign w:val="bottom"/>
            <w:shd w:val="clear" w:color="auto" w:fill="E9E9E9"/>
          </w:tcPr>
          <w:p>
            <w:pPr>
              <w:jc w:val="right"/>
              <w:ind w:right="185"/>
              <w:spacing w:after="0"/>
              <w:rPr>
                <w:sz w:val="20"/>
                <w:szCs w:val="20"/>
                <w:color w:val="auto"/>
              </w:rPr>
            </w:pPr>
            <w:r>
              <w:rPr>
                <w:rFonts w:ascii="Arial" w:cs="Arial" w:eastAsia="Arial" w:hAnsi="Arial"/>
                <w:sz w:val="16"/>
                <w:szCs w:val="16"/>
                <w:color w:val="auto"/>
              </w:rPr>
              <w:t>12,887</w:t>
            </w:r>
          </w:p>
        </w:tc>
      </w:tr>
    </w:tbl>
    <w:p>
      <w:pPr>
        <w:spacing w:after="0" w:line="221" w:lineRule="exact"/>
        <w:rPr>
          <w:sz w:val="20"/>
          <w:szCs w:val="20"/>
          <w:color w:val="auto"/>
        </w:rPr>
      </w:pPr>
    </w:p>
    <w:p>
      <w:pPr>
        <w:ind w:left="443" w:right="40"/>
        <w:spacing w:after="0" w:line="264" w:lineRule="auto"/>
        <w:rPr>
          <w:sz w:val="20"/>
          <w:szCs w:val="20"/>
          <w:color w:val="auto"/>
        </w:rPr>
      </w:pPr>
      <w:r>
        <w:rPr>
          <w:rFonts w:ascii="Arial" w:cs="Arial" w:eastAsia="Arial" w:hAnsi="Arial"/>
          <w:sz w:val="15"/>
          <w:szCs w:val="15"/>
          <w:color w:val="auto"/>
        </w:rPr>
        <w:t>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please see the discussion on page 64.</w:t>
      </w:r>
    </w:p>
    <w:p>
      <w:pPr>
        <w:spacing w:after="0" w:line="195" w:lineRule="exact"/>
        <w:rPr>
          <w:sz w:val="20"/>
          <w:szCs w:val="20"/>
          <w:color w:val="auto"/>
        </w:rPr>
      </w:pPr>
    </w:p>
    <w:p>
      <w:pPr>
        <w:ind w:left="443" w:right="160" w:hanging="443"/>
        <w:spacing w:after="0" w:line="275" w:lineRule="auto"/>
        <w:tabs>
          <w:tab w:leader="none" w:pos="443" w:val="left"/>
        </w:tabs>
        <w:numPr>
          <w:ilvl w:val="0"/>
          <w:numId w:val="10"/>
        </w:numPr>
        <w:rPr>
          <w:rFonts w:ascii="Arial" w:cs="Arial" w:eastAsia="Arial" w:hAnsi="Arial"/>
          <w:sz w:val="15"/>
          <w:szCs w:val="15"/>
          <w:color w:val="auto"/>
        </w:rPr>
      </w:pPr>
      <w:r>
        <w:rPr>
          <w:rFonts w:ascii="Arial" w:cs="Arial" w:eastAsia="Arial" w:hAnsi="Arial"/>
          <w:sz w:val="15"/>
          <w:szCs w:val="15"/>
          <w:color w:val="auto"/>
        </w:rPr>
        <w:t>Shown is the aggregate grant date fair value of awards granted in 2011 calculated in accordance with ASC 718. The discussion of the assumptions used for purposes of calculating the grant date fair value appears in note 5 of Exhibit 13 to TI’s annual report on Form 10-K for the year ended December 31, 2011.</w:t>
      </w:r>
    </w:p>
    <w:p>
      <w:pPr>
        <w:spacing w:after="0" w:line="186" w:lineRule="exact"/>
        <w:rPr>
          <w:rFonts w:ascii="Arial" w:cs="Arial" w:eastAsia="Arial" w:hAnsi="Arial"/>
          <w:sz w:val="15"/>
          <w:szCs w:val="15"/>
          <w:color w:val="auto"/>
        </w:rPr>
      </w:pPr>
    </w:p>
    <w:p>
      <w:pPr>
        <w:ind w:left="443"/>
        <w:spacing w:after="0"/>
        <w:rPr>
          <w:rFonts w:ascii="Arial" w:cs="Arial" w:eastAsia="Arial" w:hAnsi="Arial"/>
          <w:sz w:val="15"/>
          <w:szCs w:val="15"/>
          <w:color w:val="auto"/>
        </w:rPr>
      </w:pPr>
      <w:r>
        <w:rPr>
          <w:rFonts w:ascii="Arial" w:cs="Arial" w:eastAsia="Arial" w:hAnsi="Arial"/>
          <w:sz w:val="16"/>
          <w:szCs w:val="16"/>
          <w:color w:val="auto"/>
        </w:rPr>
        <w:t>The table below shows the aggregate number of shares underlying outstanding stock options held by the named individuals as of December 31, 2011.</w:t>
      </w:r>
    </w:p>
    <w:p>
      <w:pPr>
        <w:spacing w:after="0" w:line="235" w:lineRule="exact"/>
        <w:rPr>
          <w:sz w:val="20"/>
          <w:szCs w:val="20"/>
          <w:color w:val="auto"/>
        </w:rPr>
      </w:pPr>
    </w:p>
    <w:tbl>
      <w:tblPr>
        <w:tblLayout w:type="fixed"/>
        <w:tblInd w:w="1143" w:type="dxa"/>
        <w:tblCellMar>
          <w:top w:w="0" w:type="dxa"/>
          <w:left w:w="0" w:type="dxa"/>
          <w:bottom w:w="0" w:type="dxa"/>
          <w:right w:w="0" w:type="dxa"/>
        </w:tblCellMar>
      </w:tblPr>
      <w:tr>
        <w:trPr>
          <w:trHeight w:val="160"/>
        </w:trPr>
        <w:tc>
          <w:tcPr>
            <w:tcW w:w="4720" w:type="dxa"/>
            <w:vAlign w:val="bottom"/>
          </w:tcPr>
          <w:p>
            <w:pPr>
              <w:spacing w:after="0"/>
              <w:rPr>
                <w:sz w:val="13"/>
                <w:szCs w:val="13"/>
                <w:color w:val="auto"/>
              </w:rPr>
            </w:pPr>
          </w:p>
        </w:tc>
        <w:tc>
          <w:tcPr>
            <w:tcW w:w="4440" w:type="dxa"/>
            <w:vAlign w:val="bottom"/>
          </w:tcPr>
          <w:p>
            <w:pPr>
              <w:jc w:val="right"/>
              <w:ind w:right="184"/>
              <w:spacing w:after="0"/>
              <w:rPr>
                <w:sz w:val="20"/>
                <w:szCs w:val="20"/>
                <w:color w:val="auto"/>
              </w:rPr>
            </w:pPr>
            <w:r>
              <w:rPr>
                <w:rFonts w:ascii="Arial" w:cs="Arial" w:eastAsia="Arial" w:hAnsi="Arial"/>
                <w:sz w:val="12"/>
                <w:szCs w:val="12"/>
                <w:b w:val="1"/>
                <w:bCs w:val="1"/>
                <w:color w:val="auto"/>
              </w:rPr>
              <w:t>Options</w:t>
            </w:r>
          </w:p>
        </w:tc>
      </w:tr>
      <w:tr>
        <w:trPr>
          <w:trHeight w:val="218"/>
        </w:trPr>
        <w:tc>
          <w:tcPr>
            <w:tcW w:w="47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4440" w:type="dxa"/>
            <w:vAlign w:val="bottom"/>
          </w:tcPr>
          <w:p>
            <w:pPr>
              <w:jc w:val="right"/>
              <w:ind w:right="84"/>
              <w:spacing w:after="0"/>
              <w:rPr>
                <w:sz w:val="20"/>
                <w:szCs w:val="20"/>
                <w:color w:val="auto"/>
              </w:rPr>
            </w:pPr>
            <w:r>
              <w:rPr>
                <w:rFonts w:ascii="Arial" w:cs="Arial" w:eastAsia="Arial" w:hAnsi="Arial"/>
                <w:sz w:val="12"/>
                <w:szCs w:val="12"/>
                <w:b w:val="1"/>
                <w:bCs w:val="1"/>
                <w:color w:val="auto"/>
              </w:rPr>
              <w:t>(in Shares)</w:t>
            </w:r>
          </w:p>
        </w:tc>
      </w:tr>
      <w:tr>
        <w:trPr>
          <w:trHeight w:val="37"/>
        </w:trPr>
        <w:tc>
          <w:tcPr>
            <w:tcW w:w="4720" w:type="dxa"/>
            <w:vAlign w:val="bottom"/>
            <w:tcBorders>
              <w:bottom w:val="single" w:sz="8" w:color="808285"/>
            </w:tcBorders>
          </w:tcPr>
          <w:p>
            <w:pPr>
              <w:spacing w:after="0"/>
              <w:rPr>
                <w:sz w:val="3"/>
                <w:szCs w:val="3"/>
                <w:color w:val="auto"/>
              </w:rPr>
            </w:pPr>
          </w:p>
        </w:tc>
        <w:tc>
          <w:tcPr>
            <w:tcW w:w="4440" w:type="dxa"/>
            <w:vAlign w:val="bottom"/>
            <w:tcBorders>
              <w:bottom w:val="single" w:sz="8" w:color="808285"/>
            </w:tcBorders>
          </w:tcPr>
          <w:p>
            <w:pPr>
              <w:spacing w:after="0"/>
              <w:rPr>
                <w:sz w:val="3"/>
                <w:szCs w:val="3"/>
                <w:color w:val="auto"/>
              </w:rPr>
            </w:pPr>
          </w:p>
        </w:tc>
      </w:tr>
      <w:tr>
        <w:trPr>
          <w:trHeight w:val="210"/>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R. W. Babb, Jr.</w:t>
            </w:r>
          </w:p>
        </w:tc>
        <w:tc>
          <w:tcPr>
            <w:tcW w:w="444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10,002</w:t>
            </w:r>
          </w:p>
        </w:tc>
      </w:tr>
      <w:tr>
        <w:trPr>
          <w:trHeight w:val="211"/>
        </w:trPr>
        <w:tc>
          <w:tcPr>
            <w:tcW w:w="4720" w:type="dxa"/>
            <w:vAlign w:val="bottom"/>
          </w:tcPr>
          <w:p>
            <w:pPr>
              <w:spacing w:after="0"/>
              <w:rPr>
                <w:sz w:val="20"/>
                <w:szCs w:val="20"/>
                <w:color w:val="auto"/>
              </w:rPr>
            </w:pPr>
            <w:r>
              <w:rPr>
                <w:rFonts w:ascii="Arial" w:cs="Arial" w:eastAsia="Arial" w:hAnsi="Arial"/>
                <w:sz w:val="16"/>
                <w:szCs w:val="16"/>
                <w:color w:val="auto"/>
              </w:rPr>
              <w:t>D. L. Boren</w:t>
            </w:r>
          </w:p>
        </w:tc>
        <w:tc>
          <w:tcPr>
            <w:tcW w:w="4440" w:type="dxa"/>
            <w:vAlign w:val="bottom"/>
          </w:tcPr>
          <w:p>
            <w:pPr>
              <w:jc w:val="right"/>
              <w:ind w:right="124"/>
              <w:spacing w:after="0"/>
              <w:rPr>
                <w:sz w:val="20"/>
                <w:szCs w:val="20"/>
                <w:color w:val="auto"/>
              </w:rPr>
            </w:pPr>
            <w:r>
              <w:rPr>
                <w:rFonts w:ascii="Arial" w:cs="Arial" w:eastAsia="Arial" w:hAnsi="Arial"/>
                <w:sz w:val="16"/>
                <w:szCs w:val="16"/>
                <w:color w:val="auto"/>
              </w:rPr>
              <w:t>61,002</w:t>
            </w:r>
          </w:p>
        </w:tc>
      </w:tr>
      <w:tr>
        <w:trPr>
          <w:trHeight w:val="226"/>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D. A. Carp</w:t>
            </w:r>
          </w:p>
        </w:tc>
        <w:tc>
          <w:tcPr>
            <w:tcW w:w="444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93,002</w:t>
            </w:r>
          </w:p>
        </w:tc>
      </w:tr>
      <w:tr>
        <w:trPr>
          <w:trHeight w:val="211"/>
        </w:trPr>
        <w:tc>
          <w:tcPr>
            <w:tcW w:w="4720" w:type="dxa"/>
            <w:vAlign w:val="bottom"/>
          </w:tcPr>
          <w:p>
            <w:pPr>
              <w:spacing w:after="0"/>
              <w:rPr>
                <w:sz w:val="20"/>
                <w:szCs w:val="20"/>
                <w:color w:val="auto"/>
              </w:rPr>
            </w:pPr>
            <w:r>
              <w:rPr>
                <w:rFonts w:ascii="Arial" w:cs="Arial" w:eastAsia="Arial" w:hAnsi="Arial"/>
                <w:sz w:val="16"/>
                <w:szCs w:val="16"/>
                <w:color w:val="auto"/>
              </w:rPr>
              <w:t>C. S. Cox</w:t>
            </w:r>
          </w:p>
        </w:tc>
        <w:tc>
          <w:tcPr>
            <w:tcW w:w="4440" w:type="dxa"/>
            <w:vAlign w:val="bottom"/>
          </w:tcPr>
          <w:p>
            <w:pPr>
              <w:jc w:val="right"/>
              <w:ind w:right="124"/>
              <w:spacing w:after="0"/>
              <w:rPr>
                <w:sz w:val="20"/>
                <w:szCs w:val="20"/>
                <w:color w:val="auto"/>
              </w:rPr>
            </w:pPr>
            <w:r>
              <w:rPr>
                <w:rFonts w:ascii="Arial" w:cs="Arial" w:eastAsia="Arial" w:hAnsi="Arial"/>
                <w:sz w:val="16"/>
                <w:szCs w:val="16"/>
                <w:color w:val="auto"/>
              </w:rPr>
              <w:t>68,002</w:t>
            </w:r>
          </w:p>
        </w:tc>
      </w:tr>
      <w:tr>
        <w:trPr>
          <w:trHeight w:val="226"/>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D. R. Goode</w:t>
            </w:r>
          </w:p>
        </w:tc>
        <w:tc>
          <w:tcPr>
            <w:tcW w:w="444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103,002</w:t>
            </w:r>
          </w:p>
        </w:tc>
      </w:tr>
      <w:tr>
        <w:trPr>
          <w:trHeight w:val="211"/>
        </w:trPr>
        <w:tc>
          <w:tcPr>
            <w:tcW w:w="4720" w:type="dxa"/>
            <w:vAlign w:val="bottom"/>
          </w:tcPr>
          <w:p>
            <w:pPr>
              <w:spacing w:after="0"/>
              <w:rPr>
                <w:sz w:val="20"/>
                <w:szCs w:val="20"/>
                <w:color w:val="auto"/>
              </w:rPr>
            </w:pPr>
            <w:r>
              <w:rPr>
                <w:rFonts w:ascii="Arial" w:cs="Arial" w:eastAsia="Arial" w:hAnsi="Arial"/>
                <w:sz w:val="16"/>
                <w:szCs w:val="16"/>
                <w:color w:val="auto"/>
              </w:rPr>
              <w:t>S. P. MacMillan</w:t>
            </w:r>
          </w:p>
        </w:tc>
        <w:tc>
          <w:tcPr>
            <w:tcW w:w="4440" w:type="dxa"/>
            <w:vAlign w:val="bottom"/>
          </w:tcPr>
          <w:p>
            <w:pPr>
              <w:jc w:val="right"/>
              <w:ind w:right="124"/>
              <w:spacing w:after="0"/>
              <w:rPr>
                <w:sz w:val="20"/>
                <w:szCs w:val="20"/>
                <w:color w:val="auto"/>
              </w:rPr>
            </w:pPr>
            <w:r>
              <w:rPr>
                <w:rFonts w:ascii="Arial" w:cs="Arial" w:eastAsia="Arial" w:hAnsi="Arial"/>
                <w:sz w:val="16"/>
                <w:szCs w:val="16"/>
                <w:color w:val="auto"/>
              </w:rPr>
              <w:t>24,002</w:t>
            </w:r>
          </w:p>
        </w:tc>
      </w:tr>
      <w:tr>
        <w:trPr>
          <w:trHeight w:val="226"/>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P. H. Patsley</w:t>
            </w:r>
          </w:p>
        </w:tc>
        <w:tc>
          <w:tcPr>
            <w:tcW w:w="444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68,002</w:t>
            </w:r>
          </w:p>
        </w:tc>
      </w:tr>
      <w:tr>
        <w:trPr>
          <w:trHeight w:val="211"/>
        </w:trPr>
        <w:tc>
          <w:tcPr>
            <w:tcW w:w="4720" w:type="dxa"/>
            <w:vAlign w:val="bottom"/>
          </w:tcPr>
          <w:p>
            <w:pPr>
              <w:spacing w:after="0"/>
              <w:rPr>
                <w:sz w:val="20"/>
                <w:szCs w:val="20"/>
                <w:color w:val="auto"/>
              </w:rPr>
            </w:pPr>
            <w:r>
              <w:rPr>
                <w:rFonts w:ascii="Arial" w:cs="Arial" w:eastAsia="Arial" w:hAnsi="Arial"/>
                <w:sz w:val="16"/>
                <w:szCs w:val="16"/>
                <w:color w:val="auto"/>
              </w:rPr>
              <w:t>R. E. Sanchez</w:t>
            </w:r>
          </w:p>
        </w:tc>
        <w:tc>
          <w:tcPr>
            <w:tcW w:w="4440" w:type="dxa"/>
            <w:vAlign w:val="bottom"/>
          </w:tcPr>
          <w:p>
            <w:pPr>
              <w:jc w:val="right"/>
              <w:ind w:right="124"/>
              <w:spacing w:after="0"/>
              <w:rPr>
                <w:sz w:val="20"/>
                <w:szCs w:val="20"/>
                <w:color w:val="auto"/>
              </w:rPr>
            </w:pPr>
            <w:r>
              <w:rPr>
                <w:rFonts w:ascii="Arial" w:cs="Arial" w:eastAsia="Arial" w:hAnsi="Arial"/>
                <w:sz w:val="16"/>
                <w:szCs w:val="16"/>
                <w:color w:val="auto"/>
              </w:rPr>
              <w:t>—</w:t>
            </w:r>
          </w:p>
        </w:tc>
      </w:tr>
      <w:tr>
        <w:trPr>
          <w:trHeight w:val="226"/>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W. R. Sanders</w:t>
            </w:r>
          </w:p>
        </w:tc>
        <w:tc>
          <w:tcPr>
            <w:tcW w:w="444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83,002</w:t>
            </w:r>
          </w:p>
        </w:tc>
      </w:tr>
      <w:tr>
        <w:trPr>
          <w:trHeight w:val="211"/>
        </w:trPr>
        <w:tc>
          <w:tcPr>
            <w:tcW w:w="4720" w:type="dxa"/>
            <w:vAlign w:val="bottom"/>
          </w:tcPr>
          <w:p>
            <w:pPr>
              <w:spacing w:after="0"/>
              <w:rPr>
                <w:sz w:val="20"/>
                <w:szCs w:val="20"/>
                <w:color w:val="auto"/>
              </w:rPr>
            </w:pPr>
            <w:r>
              <w:rPr>
                <w:rFonts w:ascii="Arial" w:cs="Arial" w:eastAsia="Arial" w:hAnsi="Arial"/>
                <w:sz w:val="16"/>
                <w:szCs w:val="16"/>
                <w:color w:val="auto"/>
              </w:rPr>
              <w:t>R. J. Simmons</w:t>
            </w:r>
          </w:p>
        </w:tc>
        <w:tc>
          <w:tcPr>
            <w:tcW w:w="4440" w:type="dxa"/>
            <w:vAlign w:val="bottom"/>
          </w:tcPr>
          <w:p>
            <w:pPr>
              <w:jc w:val="right"/>
              <w:ind w:right="124"/>
              <w:spacing w:after="0"/>
              <w:rPr>
                <w:sz w:val="20"/>
                <w:szCs w:val="20"/>
                <w:color w:val="auto"/>
              </w:rPr>
            </w:pPr>
            <w:r>
              <w:rPr>
                <w:rFonts w:ascii="Arial" w:cs="Arial" w:eastAsia="Arial" w:hAnsi="Arial"/>
                <w:sz w:val="16"/>
                <w:szCs w:val="16"/>
                <w:color w:val="auto"/>
              </w:rPr>
              <w:t>103,002</w:t>
            </w:r>
          </w:p>
        </w:tc>
      </w:tr>
      <w:tr>
        <w:trPr>
          <w:trHeight w:val="226"/>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C. T. Whitman</w:t>
            </w:r>
          </w:p>
        </w:tc>
        <w:tc>
          <w:tcPr>
            <w:tcW w:w="444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83,002</w:t>
            </w:r>
          </w:p>
        </w:tc>
      </w:tr>
    </w:tbl>
    <w:p>
      <w:pPr>
        <w:spacing w:after="0" w:line="221" w:lineRule="exact"/>
        <w:rPr>
          <w:sz w:val="20"/>
          <w:szCs w:val="20"/>
          <w:color w:val="auto"/>
        </w:rPr>
      </w:pPr>
    </w:p>
    <w:p>
      <w:pPr>
        <w:ind w:left="443" w:right="140"/>
        <w:spacing w:after="0"/>
        <w:rPr>
          <w:sz w:val="20"/>
          <w:szCs w:val="20"/>
          <w:color w:val="auto"/>
        </w:rPr>
      </w:pPr>
      <w:r>
        <w:rPr>
          <w:rFonts w:ascii="Arial" w:cs="Arial" w:eastAsia="Arial" w:hAnsi="Arial"/>
          <w:sz w:val="16"/>
          <w:szCs w:val="16"/>
          <w:color w:val="auto"/>
        </w:rPr>
        <w:t>The terms of these options are as set forth on page 64 except that for options granted before November 2006, the exercise price is the average of the high and low price of the company’s common stock on the date of grant, and for options granted before 2010, the grant becomes fully exercisable upon a change in control of TI.</w:t>
      </w:r>
    </w:p>
    <w:p>
      <w:pPr>
        <w:spacing w:after="0" w:line="212" w:lineRule="exact"/>
        <w:rPr>
          <w:sz w:val="20"/>
          <w:szCs w:val="20"/>
          <w:color w:val="auto"/>
        </w:rPr>
      </w:pPr>
    </w:p>
    <w:p>
      <w:pPr>
        <w:ind w:left="443" w:right="360" w:hanging="443"/>
        <w:spacing w:after="0" w:line="260" w:lineRule="auto"/>
        <w:tabs>
          <w:tab w:leader="none" w:pos="443"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SEC rules require the disclosure of earnings on deferred compensation accounts to the extent that the rate of interest exceeds a specified rate (Federal Rate), which is 120 percent of the applicable federal long-term rate with compounding. Under the terms of the Director Plan, deferred compensation cash accounts earn interest at a rate based on Moody’s Seasoned Aaa corporate bonds. For 2011, this interest rate exceeded the Federal Rate by 0.22 percentage points. Shown is the amount of interest earned on the directors’ deferred compensation accounts that was in excess of the Federal Rate.</w:t>
      </w:r>
    </w:p>
    <w:p>
      <w:pPr>
        <w:spacing w:after="0" w:line="242" w:lineRule="exact"/>
        <w:rPr>
          <w:sz w:val="20"/>
          <w:szCs w:val="20"/>
          <w:color w:val="auto"/>
        </w:rPr>
      </w:pPr>
    </w:p>
    <w:p>
      <w:pPr>
        <w:ind w:left="3"/>
        <w:spacing w:after="0"/>
        <w:tabs>
          <w:tab w:leader="none" w:pos="10103" w:val="left"/>
        </w:tabs>
        <w:rPr>
          <w:sz w:val="20"/>
          <w:szCs w:val="20"/>
          <w:color w:val="auto"/>
        </w:rPr>
      </w:pPr>
      <w:r>
        <w:rPr>
          <w:rFonts w:ascii="Arial" w:cs="Arial" w:eastAsia="Arial" w:hAnsi="Arial"/>
          <w:sz w:val="12"/>
          <w:szCs w:val="12"/>
          <w:b w:val="1"/>
          <w:bCs w:val="1"/>
          <w:color w:val="auto"/>
        </w:rPr>
        <w:t xml:space="preserve">66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55" w:right="219" w:bottom="1440" w:gutter="0" w:footer="0" w:header="0"/>
        </w:sectPr>
      </w:pPr>
    </w:p>
    <w:bookmarkStart w:id="13" w:name="page14"/>
    <w:bookmarkEnd w:id="13"/>
    <w:p>
      <w:pPr>
        <w:ind w:left="443" w:right="20" w:hanging="443"/>
        <w:spacing w:after="0" w:line="238" w:lineRule="auto"/>
        <w:tabs>
          <w:tab w:leader="none" w:pos="443"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Consists of (a) the annual cost ($20 per director) of premiums for travel and accident insurance policies, (b) contributions under the TI Foundation matching gift program of $10,000, $14,000, $10,000, and $10,000 for Messrs. Boren, Goode, MacMillan and Sanchez, respectively, and (c) for certain individuals, costs related to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 by us. The contributions are made following the director’s death. Directors receive no financial benefit from the program, and all charitable deductions belong to the company. In accordance with SEC rules, we have included the company’s annual costs under the program in All Other Compensation of the directors who participate. These costs include third-party administrator fees for the program and premiums on life insurance policies to fund the program. Messrs. Boren, Carp, Goode and Sanders participate in this program. The cost attributable to each of Messrs. Boren and Goode for their participation in the program was $11,741. The cost attributable to each of Messrs. Carp and Sanders was $8,511.</w:t>
      </w:r>
    </w:p>
    <w:p>
      <w:pPr>
        <w:spacing w:after="0" w:line="15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Executive compensation</w:t>
      </w:r>
    </w:p>
    <w:p>
      <w:pPr>
        <w:spacing w:after="0" w:line="32"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are providing the following advisory vote on named executive officer compensation as required by Section 14A of the Securities Exchange Act.</w:t>
      </w:r>
    </w:p>
    <w:p>
      <w:pPr>
        <w:spacing w:after="0" w:line="22" w:lineRule="exact"/>
        <w:rPr>
          <w:sz w:val="20"/>
          <w:szCs w:val="20"/>
          <w:color w:val="auto"/>
        </w:rPr>
      </w:pPr>
    </w:p>
    <w:p>
      <w:pPr>
        <w:ind w:left="3" w:right="100" w:firstLine="243"/>
        <w:spacing w:after="0" w:line="248" w:lineRule="auto"/>
        <w:rPr>
          <w:sz w:val="20"/>
          <w:szCs w:val="20"/>
          <w:color w:val="auto"/>
        </w:rPr>
      </w:pPr>
      <w:r>
        <w:rPr>
          <w:rFonts w:ascii="Arial" w:cs="Arial" w:eastAsia="Arial" w:hAnsi="Arial"/>
          <w:sz w:val="16"/>
          <w:szCs w:val="16"/>
          <w:color w:val="auto"/>
        </w:rPr>
        <w:t>At TI’s 2011 annual meeting, a non-binding advisory vote was taken on the frequency of future advisory votes regarding named executive officer compensation. A majority of the shares cast on the matter were in favor of holding such an advisory vote on an annual basis. As a result, TI’s board of directors decided to hold future advisory votes on named executive compensation on an annual basis.</w:t>
      </w:r>
    </w:p>
    <w:p>
      <w:pPr>
        <w:spacing w:after="0" w:line="16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Proposal regarding advisory approval of the company’s executive compensation</w:t>
      </w:r>
    </w:p>
    <w:p>
      <w:pPr>
        <w:spacing w:after="0" w:line="212" w:lineRule="exact"/>
        <w:rPr>
          <w:sz w:val="20"/>
          <w:szCs w:val="20"/>
          <w:color w:val="auto"/>
        </w:rPr>
      </w:pPr>
    </w:p>
    <w:p>
      <w:pPr>
        <w:ind w:left="3" w:right="640"/>
        <w:spacing w:after="0"/>
        <w:rPr>
          <w:sz w:val="20"/>
          <w:szCs w:val="20"/>
          <w:color w:val="auto"/>
        </w:rPr>
      </w:pPr>
      <w:r>
        <w:rPr>
          <w:rFonts w:ascii="Arial" w:cs="Arial" w:eastAsia="Arial" w:hAnsi="Arial"/>
          <w:sz w:val="16"/>
          <w:szCs w:val="16"/>
          <w:color w:val="auto"/>
        </w:rPr>
        <w:t>The board asks the shareowners to cast an advisory vote on the compensation of our named executive officers. The “named executive officers” are the five executive officers, consisting of the chief executive officer, chief financial officer and three other most highly compensated executive officers, named in the compensation tables on pages 79-93.</w:t>
      </w:r>
    </w:p>
    <w:p>
      <w:pPr>
        <w:ind w:left="243"/>
        <w:spacing w:after="0" w:line="228" w:lineRule="auto"/>
        <w:rPr>
          <w:sz w:val="20"/>
          <w:szCs w:val="20"/>
          <w:color w:val="auto"/>
        </w:rPr>
      </w:pPr>
      <w:r>
        <w:rPr>
          <w:rFonts w:ascii="Arial" w:cs="Arial" w:eastAsia="Arial" w:hAnsi="Arial"/>
          <w:sz w:val="16"/>
          <w:szCs w:val="16"/>
          <w:color w:val="auto"/>
        </w:rPr>
        <w:t>Specifically, we ask the shareowners to approve the following resolution:</w:t>
      </w:r>
    </w:p>
    <w:p>
      <w:pPr>
        <w:spacing w:after="0" w:line="1" w:lineRule="exact"/>
        <w:rPr>
          <w:sz w:val="20"/>
          <w:szCs w:val="20"/>
          <w:color w:val="auto"/>
        </w:rPr>
      </w:pPr>
    </w:p>
    <w:p>
      <w:pPr>
        <w:ind w:left="403" w:right="100"/>
        <w:spacing w:after="0" w:line="231"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68-93 of this proxy statement, is hereby approved.</w:t>
      </w:r>
    </w:p>
    <w:p>
      <w:pPr>
        <w:spacing w:after="0" w:line="2" w:lineRule="exact"/>
        <w:rPr>
          <w:sz w:val="20"/>
          <w:szCs w:val="20"/>
          <w:color w:val="auto"/>
        </w:rPr>
      </w:pPr>
    </w:p>
    <w:p>
      <w:pPr>
        <w:ind w:left="3" w:right="180" w:firstLine="243"/>
        <w:spacing w:after="0" w:line="244" w:lineRule="auto"/>
        <w:rPr>
          <w:sz w:val="20"/>
          <w:szCs w:val="20"/>
          <w:color w:val="auto"/>
        </w:rPr>
      </w:pPr>
      <w:r>
        <w:rPr>
          <w:rFonts w:ascii="Arial" w:cs="Arial" w:eastAsia="Arial" w:hAnsi="Arial"/>
          <w:sz w:val="16"/>
          <w:szCs w:val="16"/>
          <w:color w:val="auto"/>
        </w:rPr>
        <w:t>We encourage shareowners to review the Compensation Discussion and Analysis section of the proxy statement, which follows. It discusses our executive compensation policies and programs and explains the compensation decisions relating to the named executive officers for 2011. We believe that the policies and programs serve the interests of our shareowners and that the compensation received by the named executive officers is commensurate with the performance and strategic position of the company.</w:t>
      </w:r>
    </w:p>
    <w:p>
      <w:pPr>
        <w:spacing w:after="0" w:line="16" w:lineRule="exact"/>
        <w:rPr>
          <w:sz w:val="20"/>
          <w:szCs w:val="20"/>
          <w:color w:val="auto"/>
        </w:rPr>
      </w:pPr>
    </w:p>
    <w:p>
      <w:pPr>
        <w:ind w:left="3" w:right="380" w:firstLine="243"/>
        <w:spacing w:after="0" w:line="259" w:lineRule="auto"/>
        <w:rPr>
          <w:sz w:val="20"/>
          <w:szCs w:val="20"/>
          <w:color w:val="auto"/>
        </w:rPr>
      </w:pPr>
      <w:r>
        <w:rPr>
          <w:rFonts w:ascii="Arial" w:cs="Arial" w:eastAsia="Arial" w:hAnsi="Arial"/>
          <w:sz w:val="16"/>
          <w:szCs w:val="16"/>
          <w:color w:val="auto"/>
        </w:rPr>
        <w:t>Although the outcome of this vote is not binding on the company or the board, the Compensation Committee of the board will consider it when setting future compensation for the executive officers.</w:t>
      </w:r>
    </w:p>
    <w:p>
      <w:pPr>
        <w:spacing w:after="0" w:line="177" w:lineRule="exact"/>
        <w:rPr>
          <w:sz w:val="20"/>
          <w:szCs w:val="20"/>
          <w:color w:val="auto"/>
        </w:rPr>
      </w:pPr>
    </w:p>
    <w:p>
      <w:pPr>
        <w:ind w:left="3" w:right="320" w:firstLine="243"/>
        <w:spacing w:after="0" w:line="285" w:lineRule="auto"/>
        <w:rPr>
          <w:sz w:val="20"/>
          <w:szCs w:val="20"/>
          <w:color w:val="auto"/>
        </w:rPr>
      </w:pPr>
      <w:r>
        <w:rPr>
          <w:rFonts w:ascii="Arial" w:cs="Arial" w:eastAsia="Arial" w:hAnsi="Arial"/>
          <w:sz w:val="16"/>
          <w:szCs w:val="16"/>
          <w:b w:val="1"/>
          <w:bCs w:val="1"/>
          <w:color w:val="auto"/>
        </w:rPr>
        <w:t>The board of directors recommends a vote FOR the resolution approving the named executive officer compensation for 2011, as disclosed in this proxy statement.</w:t>
      </w:r>
    </w:p>
    <w:p>
      <w:pPr>
        <w:spacing w:after="0" w:line="196" w:lineRule="exact"/>
        <w:rPr>
          <w:sz w:val="20"/>
          <w:szCs w:val="20"/>
          <w:color w:val="auto"/>
        </w:rPr>
      </w:pPr>
    </w:p>
    <w:p>
      <w:pPr>
        <w:ind w:left="3"/>
        <w:spacing w:after="0"/>
        <w:tabs>
          <w:tab w:leader="none" w:pos="962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361" w:right="219" w:bottom="1440" w:gutter="0" w:footer="0" w:header="0"/>
        </w:sectPr>
      </w:pPr>
    </w:p>
    <w:bookmarkStart w:id="14" w:name="page15"/>
    <w:bookmarkEnd w:id="14"/>
    <w:p>
      <w:pPr>
        <w:ind w:left="3"/>
        <w:spacing w:after="0"/>
        <w:rPr>
          <w:sz w:val="20"/>
          <w:szCs w:val="20"/>
          <w:color w:val="auto"/>
        </w:rPr>
      </w:pPr>
      <w:r>
        <w:rPr>
          <w:rFonts w:ascii="Arial" w:cs="Arial" w:eastAsia="Arial" w:hAnsi="Arial"/>
          <w:sz w:val="19"/>
          <w:szCs w:val="19"/>
          <w:b w:val="1"/>
          <w:bCs w:val="1"/>
          <w:color w:val="auto"/>
        </w:rPr>
        <w:t>Compensation discussion and analysis</w:t>
      </w:r>
    </w:p>
    <w:p>
      <w:pPr>
        <w:ind w:left="3"/>
        <w:spacing w:after="0" w:line="216" w:lineRule="auto"/>
        <w:rPr>
          <w:sz w:val="20"/>
          <w:szCs w:val="20"/>
          <w:color w:val="auto"/>
        </w:rPr>
      </w:pPr>
      <w:r>
        <w:rPr>
          <w:rFonts w:ascii="Arial" w:cs="Arial" w:eastAsia="Arial" w:hAnsi="Arial"/>
          <w:sz w:val="16"/>
          <w:szCs w:val="16"/>
          <w:color w:val="auto"/>
        </w:rPr>
        <w:t>This section describes TI’s compensation program for executive officers. It will provide insight into the following:</w:t>
      </w:r>
    </w:p>
    <w:p>
      <w:pPr>
        <w:ind w:left="483" w:right="3040"/>
        <w:spacing w:after="0" w:line="213" w:lineRule="auto"/>
        <w:rPr>
          <w:sz w:val="20"/>
          <w:szCs w:val="20"/>
          <w:color w:val="auto"/>
        </w:rPr>
      </w:pPr>
      <w:r>
        <w:rPr>
          <w:rFonts w:ascii="Arial" w:cs="Arial" w:eastAsia="Arial" w:hAnsi="Arial"/>
          <w:sz w:val="16"/>
          <w:szCs w:val="16"/>
          <w:color w:val="auto"/>
        </w:rPr>
        <w:t>The elements of the 2011 compensation program, why we selected them and how they relate to one another; and How we determined the amount of compensation for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-175260</wp:posOffset>
            </wp:positionV>
            <wp:extent cx="5651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15" cy="5588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-52070</wp:posOffset>
            </wp:positionV>
            <wp:extent cx="56515" cy="56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3" w:right="240" w:firstLine="243"/>
        <w:spacing w:after="0" w:line="272" w:lineRule="auto"/>
        <w:rPr>
          <w:sz w:val="20"/>
          <w:szCs w:val="20"/>
          <w:color w:val="auto"/>
        </w:rPr>
      </w:pPr>
      <w:r>
        <w:rPr>
          <w:rFonts w:ascii="Arial" w:cs="Arial" w:eastAsia="Arial" w:hAnsi="Arial"/>
          <w:sz w:val="15"/>
          <w:szCs w:val="15"/>
          <w:color w:val="auto"/>
        </w:rPr>
        <w:t>Currently, TI has 15 executive officers. These executives have the broadest job responsibilities and policy-making authority in the company. We hold them accountable for the company’s performance and for maintaining a culture of strong ethics. Details of compensation for our CEO, CFO and the three other highest paid individuals who were executive officers in 2011 (collectively called the “named executive officers”) can be found in the tables beginning on page 79.</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Executive summary</w:t>
      </w:r>
    </w:p>
    <w:p>
      <w:pPr>
        <w:spacing w:after="0" w:line="192" w:lineRule="exact"/>
        <w:rPr>
          <w:sz w:val="20"/>
          <w:szCs w:val="20"/>
          <w:color w:val="auto"/>
        </w:rPr>
      </w:pPr>
    </w:p>
    <w:p>
      <w:pPr>
        <w:ind w:left="483" w:right="40"/>
        <w:spacing w:after="0" w:line="256" w:lineRule="auto"/>
        <w:rPr>
          <w:sz w:val="20"/>
          <w:szCs w:val="20"/>
          <w:color w:val="auto"/>
        </w:rPr>
      </w:pPr>
      <w:r>
        <w:rPr>
          <w:rFonts w:ascii="Arial" w:cs="Arial" w:eastAsia="Arial" w:hAnsi="Arial"/>
          <w:sz w:val="16"/>
          <w:szCs w:val="16"/>
          <w:b w:val="1"/>
          <w:bCs w:val="1"/>
          <w:color w:val="auto"/>
        </w:rPr>
        <w:t>TI’s compensation program is structured to pay for performance and deliver rewards that encourage executives to think and act in both the short-and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-577850</wp:posOffset>
            </wp:positionV>
            <wp:extent cx="5651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3"/>
        <w:spacing w:after="0"/>
        <w:rPr>
          <w:sz w:val="20"/>
          <w:szCs w:val="20"/>
          <w:color w:val="auto"/>
        </w:rPr>
      </w:pPr>
      <w:r>
        <w:rPr>
          <w:rFonts w:ascii="Arial" w:cs="Arial" w:eastAsia="Arial" w:hAnsi="Arial"/>
          <w:sz w:val="16"/>
          <w:szCs w:val="16"/>
          <w:b w:val="1"/>
          <w:bCs w:val="1"/>
          <w:color w:val="auto"/>
        </w:rPr>
        <w:t>2011 Compensation Decisions for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-81280</wp:posOffset>
            </wp:positionV>
            <wp:extent cx="56515" cy="56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3" w:right="280"/>
        <w:spacing w:after="0" w:line="255" w:lineRule="auto"/>
        <w:rPr>
          <w:sz w:val="20"/>
          <w:szCs w:val="20"/>
          <w:color w:val="auto"/>
        </w:rPr>
      </w:pPr>
      <w:r>
        <w:rPr>
          <w:rFonts w:ascii="Arial" w:cs="Arial" w:eastAsia="Arial" w:hAnsi="Arial"/>
          <w:sz w:val="16"/>
          <w:szCs w:val="16"/>
          <w:color w:val="auto"/>
        </w:rPr>
        <w:t>Base pay was unchanged, in order to maintain salary at a level slightly below the estimated median of the CEOs in our pay comparator group. Total equity shares granted in January 2011 were 17 percent lower than in January 2010. The resulting grant date fair value was 28 percent higher than 2010, reflective of a 50 percent higher stock price on the date of the 2011 grant compared to the 2010 grant. The bonus decision was based primarily on the following performance results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-464185</wp:posOffset>
            </wp:positionV>
            <wp:extent cx="5651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15" cy="5588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-340995</wp:posOffset>
            </wp:positionV>
            <wp:extent cx="56515" cy="56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-94615</wp:posOffset>
            </wp:positionV>
            <wp:extent cx="56515" cy="56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21" w:lineRule="exact"/>
        <w:rPr>
          <w:sz w:val="20"/>
          <w:szCs w:val="20"/>
          <w:color w:val="auto"/>
        </w:rPr>
      </w:pPr>
    </w:p>
    <w:tbl>
      <w:tblPr>
        <w:tblLayout w:type="fixed"/>
        <w:tblInd w:w="13" w:type="dxa"/>
        <w:tblCellMar>
          <w:top w:w="0" w:type="dxa"/>
          <w:left w:w="0" w:type="dxa"/>
          <w:bottom w:w="0" w:type="dxa"/>
          <w:right w:w="0" w:type="dxa"/>
        </w:tblCellMar>
      </w:tblPr>
      <w:tr>
        <w:trPr>
          <w:trHeight w:val="223"/>
        </w:trPr>
        <w:tc>
          <w:tcPr>
            <w:tcW w:w="28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2280" w:type="dxa"/>
            <w:vAlign w:val="bottom"/>
            <w:tcBorders>
              <w:top w:val="single" w:sz="8" w:color="auto"/>
              <w:bottom w:val="single" w:sz="8" w:color="auto"/>
              <w:right w:val="single" w:sz="8" w:color="auto"/>
            </w:tcBorders>
            <w:gridSpan w:val="2"/>
            <w:shd w:val="clear" w:color="auto" w:fill="E9E9E9"/>
          </w:tcPr>
          <w:p>
            <w:pPr>
              <w:ind w:left="140"/>
              <w:spacing w:after="0"/>
              <w:rPr>
                <w:sz w:val="20"/>
                <w:szCs w:val="20"/>
                <w:color w:val="auto"/>
              </w:rPr>
            </w:pPr>
            <w:r>
              <w:rPr>
                <w:rFonts w:ascii="Arial" w:cs="Arial" w:eastAsia="Arial" w:hAnsi="Arial"/>
                <w:sz w:val="16"/>
                <w:szCs w:val="16"/>
                <w:color w:val="auto"/>
              </w:rPr>
              <w:t>2011 Absolute Performance</w:t>
            </w:r>
          </w:p>
        </w:tc>
        <w:tc>
          <w:tcPr>
            <w:tcW w:w="2020" w:type="dxa"/>
            <w:vAlign w:val="bottom"/>
            <w:tcBorders>
              <w:top w:val="single" w:sz="8" w:color="auto"/>
              <w:bottom w:val="single" w:sz="8" w:color="auto"/>
              <w:right w:val="single" w:sz="8" w:color="auto"/>
            </w:tcBorders>
            <w:shd w:val="clear" w:color="auto" w:fill="E9E9E9"/>
          </w:tcPr>
          <w:p>
            <w:pPr>
              <w:spacing w:after="0"/>
              <w:rPr>
                <w:sz w:val="20"/>
                <w:szCs w:val="20"/>
                <w:color w:val="auto"/>
              </w:rPr>
            </w:pPr>
            <w:r>
              <w:rPr>
                <w:rFonts w:ascii="Arial" w:cs="Arial" w:eastAsia="Arial" w:hAnsi="Arial"/>
                <w:sz w:val="16"/>
                <w:szCs w:val="16"/>
                <w:color w:val="auto"/>
                <w:w w:val="95"/>
              </w:rPr>
              <w:t>2011 Relative Performance**</w:t>
            </w:r>
          </w:p>
        </w:tc>
        <w:tc>
          <w:tcPr>
            <w:tcW w:w="0" w:type="dxa"/>
            <w:vAlign w:val="bottom"/>
          </w:tcPr>
          <w:p>
            <w:pPr>
              <w:spacing w:after="0"/>
              <w:rPr>
                <w:sz w:val="1"/>
                <w:szCs w:val="1"/>
                <w:color w:val="auto"/>
              </w:rPr>
            </w:pPr>
          </w:p>
        </w:tc>
      </w:tr>
      <w:tr>
        <w:trPr>
          <w:trHeight w:val="203"/>
        </w:trPr>
        <w:tc>
          <w:tcPr>
            <w:tcW w:w="5880" w:type="dxa"/>
            <w:vAlign w:val="bottom"/>
            <w:tcBorders>
              <w:left w:val="single" w:sz="8" w:color="auto"/>
              <w:right w:val="single" w:sz="8" w:color="E9E9E9"/>
            </w:tcBorders>
            <w:gridSpan w:val="2"/>
            <w:shd w:val="clear" w:color="auto" w:fill="E9E9E9"/>
          </w:tcPr>
          <w:p>
            <w:pPr>
              <w:spacing w:after="0"/>
              <w:rPr>
                <w:sz w:val="20"/>
                <w:szCs w:val="20"/>
                <w:color w:val="auto"/>
              </w:rPr>
            </w:pPr>
            <w:r>
              <w:rPr>
                <w:rFonts w:ascii="Arial" w:cs="Arial" w:eastAsia="Arial" w:hAnsi="Arial"/>
                <w:sz w:val="16"/>
                <w:szCs w:val="16"/>
                <w:color w:val="auto"/>
              </w:rPr>
              <w:t>Revenue Growth: Total TI</w:t>
            </w:r>
          </w:p>
        </w:tc>
        <w:tc>
          <w:tcPr>
            <w:tcW w:w="1260" w:type="dxa"/>
            <w:vAlign w:val="bottom"/>
            <w:tcBorders>
              <w:right w:val="single" w:sz="8" w:color="auto"/>
            </w:tcBorders>
            <w:shd w:val="clear" w:color="auto" w:fill="E9E9E9"/>
          </w:tcPr>
          <w:p>
            <w:pPr>
              <w:spacing w:after="0"/>
              <w:rPr>
                <w:sz w:val="17"/>
                <w:szCs w:val="17"/>
                <w:color w:val="auto"/>
              </w:rPr>
            </w:pPr>
          </w:p>
        </w:tc>
        <w:tc>
          <w:tcPr>
            <w:tcW w:w="2280" w:type="dxa"/>
            <w:vAlign w:val="bottom"/>
            <w:tcBorders>
              <w:right w:val="single" w:sz="8" w:color="auto"/>
            </w:tcBorders>
            <w:gridSpan w:val="2"/>
          </w:tcPr>
          <w:p>
            <w:pPr>
              <w:jc w:val="right"/>
              <w:ind w:right="860"/>
              <w:spacing w:after="0"/>
              <w:rPr>
                <w:sz w:val="20"/>
                <w:szCs w:val="20"/>
                <w:color w:val="auto"/>
              </w:rPr>
            </w:pPr>
            <w:r>
              <w:rPr>
                <w:rFonts w:ascii="Arial" w:cs="Arial" w:eastAsia="Arial" w:hAnsi="Arial"/>
                <w:sz w:val="16"/>
                <w:szCs w:val="16"/>
                <w:color w:val="auto"/>
              </w:rPr>
              <w:t>-2%</w:t>
            </w:r>
          </w:p>
        </w:tc>
        <w:tc>
          <w:tcPr>
            <w:tcW w:w="20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Below Median</w:t>
            </w:r>
          </w:p>
        </w:tc>
        <w:tc>
          <w:tcPr>
            <w:tcW w:w="0" w:type="dxa"/>
            <w:vAlign w:val="bottom"/>
          </w:tcPr>
          <w:p>
            <w:pPr>
              <w:spacing w:after="0"/>
              <w:rPr>
                <w:sz w:val="1"/>
                <w:szCs w:val="1"/>
                <w:color w:val="auto"/>
              </w:rPr>
            </w:pPr>
          </w:p>
        </w:tc>
      </w:tr>
      <w:tr>
        <w:trPr>
          <w:trHeight w:val="226"/>
        </w:trPr>
        <w:tc>
          <w:tcPr>
            <w:tcW w:w="5880" w:type="dxa"/>
            <w:vAlign w:val="bottom"/>
            <w:tcBorders>
              <w:left w:val="single" w:sz="8" w:color="auto"/>
              <w:bottom w:val="single" w:sz="8" w:color="auto"/>
              <w:right w:val="single" w:sz="8" w:color="E9E9E9"/>
            </w:tcBorders>
            <w:gridSpan w:val="2"/>
            <w:shd w:val="clear" w:color="auto" w:fill="E9E9E9"/>
          </w:tcPr>
          <w:p>
            <w:pPr>
              <w:spacing w:after="0"/>
              <w:rPr>
                <w:sz w:val="20"/>
                <w:szCs w:val="20"/>
                <w:color w:val="auto"/>
              </w:rPr>
            </w:pPr>
            <w:r>
              <w:rPr>
                <w:rFonts w:ascii="Arial" w:cs="Arial" w:eastAsia="Arial" w:hAnsi="Arial"/>
                <w:sz w:val="16"/>
                <w:szCs w:val="16"/>
                <w:color w:val="auto"/>
              </w:rPr>
              <w:t>Revenue Growth without baseband*</w:t>
            </w:r>
          </w:p>
        </w:tc>
        <w:tc>
          <w:tcPr>
            <w:tcW w:w="1260" w:type="dxa"/>
            <w:vAlign w:val="bottom"/>
            <w:tcBorders>
              <w:bottom w:val="single" w:sz="8" w:color="auto"/>
              <w:right w:val="single" w:sz="8" w:color="auto"/>
            </w:tcBorders>
            <w:shd w:val="clear" w:color="auto" w:fill="E9E9E9"/>
          </w:tcPr>
          <w:p>
            <w:pPr>
              <w:spacing w:after="0"/>
              <w:rPr>
                <w:sz w:val="19"/>
                <w:szCs w:val="19"/>
                <w:color w:val="auto"/>
              </w:rPr>
            </w:pPr>
          </w:p>
        </w:tc>
        <w:tc>
          <w:tcPr>
            <w:tcW w:w="2280" w:type="dxa"/>
            <w:vAlign w:val="bottom"/>
            <w:tcBorders>
              <w:bottom w:val="single" w:sz="8" w:color="auto"/>
              <w:right w:val="single" w:sz="8" w:color="auto"/>
            </w:tcBorders>
            <w:gridSpan w:val="2"/>
          </w:tcPr>
          <w:p>
            <w:pPr>
              <w:jc w:val="right"/>
              <w:ind w:right="860"/>
              <w:spacing w:after="0"/>
              <w:rPr>
                <w:sz w:val="20"/>
                <w:szCs w:val="20"/>
                <w:color w:val="auto"/>
              </w:rPr>
            </w:pPr>
            <w:r>
              <w:rPr>
                <w:rFonts w:ascii="Arial" w:cs="Arial" w:eastAsia="Arial" w:hAnsi="Arial"/>
                <w:sz w:val="16"/>
                <w:szCs w:val="16"/>
                <w:color w:val="auto"/>
              </w:rPr>
              <w:t>3%</w:t>
            </w:r>
          </w:p>
        </w:tc>
        <w:tc>
          <w:tcPr>
            <w:tcW w:w="20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Median</w:t>
            </w:r>
          </w:p>
        </w:tc>
        <w:tc>
          <w:tcPr>
            <w:tcW w:w="0" w:type="dxa"/>
            <w:vAlign w:val="bottom"/>
          </w:tcPr>
          <w:p>
            <w:pPr>
              <w:spacing w:after="0"/>
              <w:rPr>
                <w:sz w:val="1"/>
                <w:szCs w:val="1"/>
                <w:color w:val="auto"/>
              </w:rPr>
            </w:pPr>
          </w:p>
        </w:tc>
      </w:tr>
      <w:tr>
        <w:trPr>
          <w:trHeight w:val="210"/>
        </w:trPr>
        <w:tc>
          <w:tcPr>
            <w:tcW w:w="5880" w:type="dxa"/>
            <w:vAlign w:val="bottom"/>
            <w:tcBorders>
              <w:left w:val="single" w:sz="8" w:color="auto"/>
              <w:bottom w:val="single" w:sz="8" w:color="auto"/>
              <w:right w:val="single" w:sz="8" w:color="E9E9E9"/>
            </w:tcBorders>
            <w:gridSpan w:val="2"/>
            <w:shd w:val="clear" w:color="auto" w:fill="E9E9E9"/>
          </w:tcPr>
          <w:p>
            <w:pPr>
              <w:spacing w:after="0"/>
              <w:rPr>
                <w:sz w:val="20"/>
                <w:szCs w:val="20"/>
                <w:color w:val="auto"/>
              </w:rPr>
            </w:pPr>
            <w:r>
              <w:rPr>
                <w:rFonts w:ascii="Arial" w:cs="Arial" w:eastAsia="Arial" w:hAnsi="Arial"/>
                <w:sz w:val="16"/>
                <w:szCs w:val="16"/>
                <w:color w:val="auto"/>
              </w:rPr>
              <w:t>Profit from Operations as a % of Revenue (PFO%)</w:t>
            </w:r>
          </w:p>
        </w:tc>
        <w:tc>
          <w:tcPr>
            <w:tcW w:w="1260" w:type="dxa"/>
            <w:vAlign w:val="bottom"/>
            <w:tcBorders>
              <w:bottom w:val="single" w:sz="8" w:color="auto"/>
              <w:right w:val="single" w:sz="8" w:color="auto"/>
            </w:tcBorders>
            <w:shd w:val="clear" w:color="auto" w:fill="E9E9E9"/>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4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Above Median</w:t>
            </w:r>
          </w:p>
        </w:tc>
        <w:tc>
          <w:tcPr>
            <w:tcW w:w="0" w:type="dxa"/>
            <w:vAlign w:val="bottom"/>
          </w:tcPr>
          <w:p>
            <w:pPr>
              <w:spacing w:after="0"/>
              <w:rPr>
                <w:sz w:val="1"/>
                <w:szCs w:val="1"/>
                <w:color w:val="auto"/>
              </w:rPr>
            </w:pPr>
          </w:p>
        </w:tc>
      </w:tr>
      <w:tr>
        <w:trPr>
          <w:trHeight w:val="210"/>
        </w:trPr>
        <w:tc>
          <w:tcPr>
            <w:tcW w:w="5880" w:type="dxa"/>
            <w:vAlign w:val="bottom"/>
            <w:tcBorders>
              <w:left w:val="single" w:sz="8" w:color="auto"/>
              <w:bottom w:val="single" w:sz="8" w:color="auto"/>
              <w:right w:val="single" w:sz="8" w:color="E9E9E9"/>
            </w:tcBorders>
            <w:gridSpan w:val="2"/>
            <w:shd w:val="clear" w:color="auto" w:fill="E9E9E9"/>
          </w:tcPr>
          <w:p>
            <w:pPr>
              <w:spacing w:after="0"/>
              <w:rPr>
                <w:sz w:val="20"/>
                <w:szCs w:val="20"/>
                <w:color w:val="auto"/>
              </w:rPr>
            </w:pPr>
            <w:r>
              <w:rPr>
                <w:rFonts w:ascii="Arial" w:cs="Arial" w:eastAsia="Arial" w:hAnsi="Arial"/>
                <w:sz w:val="16"/>
                <w:szCs w:val="16"/>
                <w:color w:val="auto"/>
              </w:rPr>
              <w:t>Total Shareholder Return (TSR)</w:t>
            </w:r>
          </w:p>
        </w:tc>
        <w:tc>
          <w:tcPr>
            <w:tcW w:w="1260" w:type="dxa"/>
            <w:vAlign w:val="bottom"/>
            <w:tcBorders>
              <w:bottom w:val="single" w:sz="8" w:color="auto"/>
              <w:right w:val="single" w:sz="8" w:color="auto"/>
            </w:tcBorders>
            <w:shd w:val="clear" w:color="auto" w:fill="E9E9E9"/>
          </w:tcPr>
          <w:p>
            <w:pPr>
              <w:spacing w:after="0"/>
              <w:rPr>
                <w:sz w:val="18"/>
                <w:szCs w:val="18"/>
                <w:color w:val="auto"/>
              </w:rPr>
            </w:pPr>
          </w:p>
        </w:tc>
        <w:tc>
          <w:tcPr>
            <w:tcW w:w="2280" w:type="dxa"/>
            <w:vAlign w:val="bottom"/>
            <w:tcBorders>
              <w:bottom w:val="single" w:sz="8" w:color="auto"/>
              <w:right w:val="single" w:sz="8" w:color="auto"/>
            </w:tcBorders>
            <w:gridSpan w:val="2"/>
          </w:tcPr>
          <w:p>
            <w:pPr>
              <w:jc w:val="right"/>
              <w:ind w:right="860"/>
              <w:spacing w:after="0"/>
              <w:rPr>
                <w:sz w:val="20"/>
                <w:szCs w:val="20"/>
                <w:color w:val="auto"/>
              </w:rPr>
            </w:pPr>
            <w:r>
              <w:rPr>
                <w:rFonts w:ascii="Arial" w:cs="Arial" w:eastAsia="Arial" w:hAnsi="Arial"/>
                <w:sz w:val="16"/>
                <w:szCs w:val="16"/>
                <w:color w:val="auto"/>
              </w:rPr>
              <w:t>-9%</w:t>
            </w:r>
          </w:p>
        </w:tc>
        <w:tc>
          <w:tcPr>
            <w:tcW w:w="20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Above Median</w:t>
            </w:r>
          </w:p>
        </w:tc>
        <w:tc>
          <w:tcPr>
            <w:tcW w:w="0" w:type="dxa"/>
            <w:vAlign w:val="bottom"/>
          </w:tcPr>
          <w:p>
            <w:pPr>
              <w:spacing w:after="0"/>
              <w:rPr>
                <w:sz w:val="1"/>
                <w:szCs w:val="1"/>
                <w:color w:val="auto"/>
              </w:rPr>
            </w:pPr>
          </w:p>
        </w:tc>
      </w:tr>
      <w:tr>
        <w:trPr>
          <w:trHeight w:val="218"/>
        </w:trPr>
        <w:tc>
          <w:tcPr>
            <w:tcW w:w="2880" w:type="dxa"/>
            <w:vAlign w:val="bottom"/>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880" w:type="dxa"/>
            <w:vAlign w:val="bottom"/>
            <w:tcBorders>
              <w:right w:val="single" w:sz="8" w:color="auto"/>
            </w:tcBorders>
          </w:tcPr>
          <w:p>
            <w:pPr>
              <w:spacing w:after="0"/>
              <w:rPr>
                <w:sz w:val="24"/>
                <w:szCs w:val="24"/>
                <w:color w:val="auto"/>
              </w:rPr>
            </w:pPr>
          </w:p>
        </w:tc>
        <w:tc>
          <w:tcPr>
            <w:tcW w:w="3000" w:type="dxa"/>
            <w:vAlign w:val="bottom"/>
            <w:tcBorders>
              <w:right w:val="single" w:sz="8" w:color="auto"/>
            </w:tcBorders>
            <w:shd w:val="clear" w:color="auto" w:fill="E9E9E9"/>
          </w:tcPr>
          <w:p>
            <w:pPr>
              <w:ind w:left="80"/>
              <w:spacing w:after="0"/>
              <w:rPr>
                <w:sz w:val="20"/>
                <w:szCs w:val="20"/>
                <w:color w:val="auto"/>
              </w:rPr>
            </w:pPr>
            <w:r>
              <w:rPr>
                <w:rFonts w:ascii="Arial" w:cs="Arial" w:eastAsia="Arial" w:hAnsi="Arial"/>
                <w:sz w:val="16"/>
                <w:szCs w:val="16"/>
                <w:color w:val="auto"/>
              </w:rPr>
              <w:t>Year-on-Year Change in CEO Bonus</w:t>
            </w:r>
          </w:p>
        </w:tc>
        <w:tc>
          <w:tcPr>
            <w:tcW w:w="2700" w:type="dxa"/>
            <w:vAlign w:val="bottom"/>
            <w:tcBorders>
              <w:right w:val="single" w:sz="8" w:color="auto"/>
            </w:tcBorders>
            <w:gridSpan w:val="2"/>
            <w:vMerge w:val="restart"/>
          </w:tcPr>
          <w:p>
            <w:pPr>
              <w:jc w:val="right"/>
              <w:ind w:right="921"/>
              <w:spacing w:after="0"/>
              <w:rPr>
                <w:sz w:val="20"/>
                <w:szCs w:val="20"/>
                <w:color w:val="auto"/>
              </w:rPr>
            </w:pPr>
            <w:r>
              <w:rPr>
                <w:rFonts w:ascii="Arial" w:cs="Arial" w:eastAsia="Arial" w:hAnsi="Arial"/>
                <w:sz w:val="16"/>
                <w:szCs w:val="16"/>
                <w:color w:val="auto"/>
              </w:rPr>
              <w:t>10% lower</w:t>
            </w:r>
          </w:p>
        </w:tc>
        <w:tc>
          <w:tcPr>
            <w:tcW w:w="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88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vMerge w:val="restart"/>
            <w:shd w:val="clear" w:color="auto" w:fill="E9E9E9"/>
          </w:tcPr>
          <w:p>
            <w:pPr>
              <w:ind w:left="80"/>
              <w:spacing w:after="0"/>
              <w:rPr>
                <w:sz w:val="20"/>
                <w:szCs w:val="20"/>
                <w:color w:val="auto"/>
              </w:rPr>
            </w:pPr>
            <w:r>
              <w:rPr>
                <w:rFonts w:ascii="Arial" w:cs="Arial" w:eastAsia="Arial" w:hAnsi="Arial"/>
                <w:sz w:val="16"/>
                <w:szCs w:val="16"/>
                <w:color w:val="auto"/>
              </w:rPr>
              <w:t>(2011 bonus compared to 2010)</w:t>
            </w:r>
          </w:p>
        </w:tc>
        <w:tc>
          <w:tcPr>
            <w:tcW w:w="2700" w:type="dxa"/>
            <w:vAlign w:val="bottom"/>
            <w:tcBorders>
              <w:right w:val="single" w:sz="8" w:color="auto"/>
            </w:tcBorders>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88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vMerge w:val="continue"/>
            <w:shd w:val="clear" w:color="auto" w:fill="E9E9E9"/>
          </w:tcPr>
          <w:p>
            <w:pPr>
              <w:spacing w:after="0"/>
              <w:rPr>
                <w:sz w:val="9"/>
                <w:szCs w:val="9"/>
                <w:color w:val="auto"/>
              </w:rPr>
            </w:pPr>
          </w:p>
        </w:tc>
        <w:tc>
          <w:tcPr>
            <w:tcW w:w="1260" w:type="dxa"/>
            <w:vAlign w:val="bottom"/>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880" w:type="dxa"/>
            <w:vAlign w:val="bottom"/>
            <w:tcBorders>
              <w:right w:val="single" w:sz="8" w:color="auto"/>
            </w:tcBorders>
          </w:tcPr>
          <w:p>
            <w:pPr>
              <w:spacing w:after="0"/>
              <w:rPr>
                <w:sz w:val="9"/>
                <w:szCs w:val="9"/>
                <w:color w:val="auto"/>
              </w:rPr>
            </w:pPr>
          </w:p>
        </w:tc>
        <w:tc>
          <w:tcPr>
            <w:tcW w:w="3000" w:type="dxa"/>
            <w:vAlign w:val="bottom"/>
            <w:tcBorders>
              <w:bottom w:val="single" w:sz="8" w:color="auto"/>
              <w:right w:val="single" w:sz="8" w:color="auto"/>
            </w:tcBorders>
            <w:shd w:val="clear" w:color="auto" w:fill="E9E9E9"/>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23" w:hanging="323"/>
        <w:spacing w:after="0"/>
        <w:tabs>
          <w:tab w:leader="none" w:pos="3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growth for total TI, excluding digital baseband, a product line for which TI has a publicly stated exit plan.</w:t>
      </w:r>
    </w:p>
    <w:p>
      <w:pPr>
        <w:spacing w:after="0" w:line="22" w:lineRule="exact"/>
        <w:rPr>
          <w:sz w:val="20"/>
          <w:szCs w:val="20"/>
          <w:color w:val="auto"/>
        </w:rPr>
      </w:pPr>
    </w:p>
    <w:p>
      <w:pPr>
        <w:ind w:left="323" w:hanging="323"/>
        <w:spacing w:after="0"/>
        <w:tabs>
          <w:tab w:leader="none" w:pos="3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Relative to semiconductor competitors as outlined on page 73. Includes estimates and projections of certain competitors’ financial results.</w:t>
      </w:r>
    </w:p>
    <w:p>
      <w:pPr>
        <w:spacing w:after="0" w:line="192" w:lineRule="exact"/>
        <w:rPr>
          <w:sz w:val="20"/>
          <w:szCs w:val="20"/>
          <w:color w:val="auto"/>
        </w:rPr>
      </w:pPr>
    </w:p>
    <w:p>
      <w:pPr>
        <w:ind w:left="3" w:right="220"/>
        <w:spacing w:after="0"/>
        <w:rPr>
          <w:sz w:val="20"/>
          <w:szCs w:val="20"/>
          <w:color w:val="auto"/>
        </w:rPr>
      </w:pPr>
      <w:r>
        <w:rPr>
          <w:rFonts w:ascii="Arial" w:cs="Arial" w:eastAsia="Arial" w:hAnsi="Arial"/>
          <w:sz w:val="16"/>
          <w:szCs w:val="16"/>
          <w:color w:val="auto"/>
        </w:rPr>
        <w:t>The committee’s strategy for setting cash and non-cash compensation is described in the table that follows immediately below. Its compensation decisions for the named executive officers for 2011 are discussed on pages 71-76. Benefit programs in which the executive officers participate are discussed on pages 77-78. Perquisites are discussed on page 78.</w:t>
      </w:r>
    </w:p>
    <w:p>
      <w:pPr>
        <w:spacing w:after="0" w:line="231" w:lineRule="exact"/>
        <w:rPr>
          <w:sz w:val="20"/>
          <w:szCs w:val="20"/>
          <w:color w:val="auto"/>
        </w:rPr>
      </w:pPr>
    </w:p>
    <w:p>
      <w:pPr>
        <w:ind w:left="3"/>
        <w:spacing w:after="0"/>
        <w:tabs>
          <w:tab w:leader="none" w:pos="10103" w:val="left"/>
        </w:tabs>
        <w:rPr>
          <w:sz w:val="20"/>
          <w:szCs w:val="20"/>
          <w:color w:val="auto"/>
        </w:rPr>
      </w:pPr>
      <w:r>
        <w:rPr>
          <w:rFonts w:ascii="Arial" w:cs="Arial" w:eastAsia="Arial" w:hAnsi="Arial"/>
          <w:sz w:val="12"/>
          <w:szCs w:val="12"/>
          <w:b w:val="1"/>
          <w:bCs w:val="1"/>
          <w:color w:val="auto"/>
        </w:rPr>
        <w:t xml:space="preserve">68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22" w:right="21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Detailed discussion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Compensation philosophy and elements</w:t>
      </w:r>
    </w:p>
    <w:p>
      <w:pPr>
        <w:ind w:right="120"/>
        <w:spacing w:after="0"/>
        <w:rPr>
          <w:sz w:val="20"/>
          <w:szCs w:val="20"/>
          <w:color w:val="auto"/>
        </w:rPr>
      </w:pPr>
      <w:r>
        <w:rPr>
          <w:rFonts w:ascii="Arial" w:cs="Arial" w:eastAsia="Arial" w:hAnsi="Arial"/>
          <w:sz w:val="16"/>
          <w:szCs w:val="16"/>
          <w:color w:val="auto"/>
        </w:rPr>
        <w:t>The Compensation Committee of TI’s board of directors is responsible for setting the compensation of all TI executive officers. The committee consults with the other independent directors and its compensation consultant, Pearl Meyer &amp; Partners, before setting annual compensation for the executives. The committee chair regularly reports on committee actions at board meetings.</w:t>
      </w:r>
    </w:p>
    <w:p>
      <w:pPr>
        <w:spacing w:after="0" w:line="18" w:lineRule="exact"/>
        <w:rPr>
          <w:sz w:val="20"/>
          <w:szCs w:val="20"/>
          <w:color w:val="auto"/>
        </w:rPr>
      </w:pPr>
    </w:p>
    <w:p>
      <w:pPr>
        <w:ind w:right="40" w:firstLine="243"/>
        <w:spacing w:after="0" w:line="248" w:lineRule="auto"/>
        <w:rPr>
          <w:sz w:val="20"/>
          <w:szCs w:val="20"/>
          <w:color w:val="auto"/>
        </w:rPr>
      </w:pPr>
      <w:r>
        <w:rPr>
          <w:rFonts w:ascii="Arial" w:cs="Arial" w:eastAsia="Arial" w:hAnsi="Arial"/>
          <w:sz w:val="16"/>
          <w:szCs w:val="16"/>
          <w:color w:val="auto"/>
        </w:rPr>
        <w:t>In a cyclical industry such as ours, in which market conditions and therefore growth and profitability can change quickly, we do not use pre-set formulas, thresholds or multiples to determine compensation awards. The only exception to this is the profit sharing program, in which the executive officers and most other TI employees participate (described in the table below).</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primary elements of our executive compensation program are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Near-term compensation, paid in cash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80" w:type="dxa"/>
            <w:vAlign w:val="bottom"/>
          </w:tcPr>
          <w:p>
            <w:pPr>
              <w:spacing w:after="0"/>
              <w:rPr>
                <w:sz w:val="20"/>
                <w:szCs w:val="20"/>
                <w:color w:val="auto"/>
              </w:rPr>
            </w:pPr>
            <w:r>
              <w:rPr>
                <w:rFonts w:ascii="Arial" w:cs="Arial" w:eastAsia="Arial" w:hAnsi="Arial"/>
                <w:sz w:val="12"/>
                <w:szCs w:val="12"/>
                <w:b w:val="1"/>
                <w:bCs w:val="1"/>
                <w:color w:val="auto"/>
              </w:rPr>
              <w:t>Element</w:t>
            </w:r>
          </w:p>
        </w:tc>
        <w:tc>
          <w:tcPr>
            <w:tcW w:w="3440" w:type="dxa"/>
            <w:vAlign w:val="bottom"/>
          </w:tcPr>
          <w:p>
            <w:pPr>
              <w:ind w:left="2100"/>
              <w:spacing w:after="0"/>
              <w:rPr>
                <w:sz w:val="20"/>
                <w:szCs w:val="20"/>
                <w:color w:val="auto"/>
              </w:rPr>
            </w:pPr>
            <w:r>
              <w:rPr>
                <w:rFonts w:ascii="Arial" w:cs="Arial" w:eastAsia="Arial" w:hAnsi="Arial"/>
                <w:sz w:val="12"/>
                <w:szCs w:val="12"/>
                <w:b w:val="1"/>
                <w:bCs w:val="1"/>
                <w:color w:val="auto"/>
              </w:rPr>
              <w:t>Purpose</w:t>
            </w:r>
          </w:p>
        </w:tc>
        <w:tc>
          <w:tcPr>
            <w:tcW w:w="3160" w:type="dxa"/>
            <w:vAlign w:val="bottom"/>
          </w:tcPr>
          <w:p>
            <w:pPr>
              <w:ind w:left="1500"/>
              <w:spacing w:after="0"/>
              <w:rPr>
                <w:sz w:val="20"/>
                <w:szCs w:val="20"/>
                <w:color w:val="auto"/>
              </w:rPr>
            </w:pPr>
            <w:r>
              <w:rPr>
                <w:rFonts w:ascii="Arial" w:cs="Arial" w:eastAsia="Arial" w:hAnsi="Arial"/>
                <w:sz w:val="12"/>
                <w:szCs w:val="12"/>
                <w:b w:val="1"/>
                <w:bCs w:val="1"/>
                <w:color w:val="auto"/>
              </w:rPr>
              <w:t>Strategy</w:t>
            </w:r>
          </w:p>
        </w:tc>
        <w:tc>
          <w:tcPr>
            <w:tcW w:w="2960" w:type="dxa"/>
            <w:vAlign w:val="bottom"/>
          </w:tcPr>
          <w:p>
            <w:pPr>
              <w:ind w:left="1360"/>
              <w:spacing w:after="0"/>
              <w:rPr>
                <w:sz w:val="20"/>
                <w:szCs w:val="20"/>
                <w:color w:val="auto"/>
              </w:rPr>
            </w:pPr>
            <w:r>
              <w:rPr>
                <w:rFonts w:ascii="Arial" w:cs="Arial" w:eastAsia="Arial" w:hAnsi="Arial"/>
                <w:sz w:val="12"/>
                <w:szCs w:val="12"/>
                <w:b w:val="1"/>
                <w:bCs w:val="1"/>
                <w:color w:val="auto"/>
              </w:rPr>
              <w:t>Terms</w:t>
            </w:r>
          </w:p>
        </w:tc>
      </w:tr>
      <w:tr>
        <w:trPr>
          <w:trHeight w:val="37"/>
        </w:trPr>
        <w:tc>
          <w:tcPr>
            <w:tcW w:w="1880" w:type="dxa"/>
            <w:vAlign w:val="bottom"/>
            <w:tcBorders>
              <w:bottom w:val="single" w:sz="8" w:color="808285"/>
            </w:tcBorders>
          </w:tcPr>
          <w:p>
            <w:pPr>
              <w:spacing w:after="0"/>
              <w:rPr>
                <w:sz w:val="3"/>
                <w:szCs w:val="3"/>
                <w:color w:val="auto"/>
              </w:rPr>
            </w:pPr>
          </w:p>
        </w:tc>
        <w:tc>
          <w:tcPr>
            <w:tcW w:w="3440" w:type="dxa"/>
            <w:vAlign w:val="bottom"/>
            <w:tcBorders>
              <w:bottom w:val="single" w:sz="8" w:color="808285"/>
            </w:tcBorders>
          </w:tcPr>
          <w:p>
            <w:pPr>
              <w:spacing w:after="0"/>
              <w:rPr>
                <w:sz w:val="3"/>
                <w:szCs w:val="3"/>
                <w:color w:val="auto"/>
              </w:rPr>
            </w:pPr>
          </w:p>
        </w:tc>
        <w:tc>
          <w:tcPr>
            <w:tcW w:w="3160" w:type="dxa"/>
            <w:vAlign w:val="bottom"/>
            <w:tcBorders>
              <w:bottom w:val="single" w:sz="8" w:color="808285"/>
            </w:tcBorders>
          </w:tcPr>
          <w:p>
            <w:pPr>
              <w:spacing w:after="0"/>
              <w:rPr>
                <w:sz w:val="3"/>
                <w:szCs w:val="3"/>
                <w:color w:val="auto"/>
              </w:rPr>
            </w:pPr>
          </w:p>
        </w:tc>
        <w:tc>
          <w:tcPr>
            <w:tcW w:w="2960" w:type="dxa"/>
            <w:vAlign w:val="bottom"/>
            <w:tcBorders>
              <w:bottom w:val="single" w:sz="8" w:color="808285"/>
            </w:tcBorders>
          </w:tcPr>
          <w:p>
            <w:pPr>
              <w:spacing w:after="0"/>
              <w:rPr>
                <w:sz w:val="3"/>
                <w:szCs w:val="3"/>
                <w:color w:val="auto"/>
              </w:rPr>
            </w:pPr>
          </w:p>
        </w:tc>
      </w:tr>
      <w:tr>
        <w:trPr>
          <w:trHeight w:val="196"/>
        </w:trPr>
        <w:tc>
          <w:tcPr>
            <w:tcW w:w="1880" w:type="dxa"/>
            <w:vAlign w:val="bottom"/>
            <w:shd w:val="clear" w:color="auto" w:fill="E9E9E9"/>
          </w:tcPr>
          <w:p>
            <w:pPr>
              <w:spacing w:after="0"/>
              <w:rPr>
                <w:sz w:val="20"/>
                <w:szCs w:val="20"/>
                <w:color w:val="auto"/>
              </w:rPr>
            </w:pPr>
            <w:r>
              <w:rPr>
                <w:rFonts w:ascii="Arial" w:cs="Arial" w:eastAsia="Arial" w:hAnsi="Arial"/>
                <w:sz w:val="16"/>
                <w:szCs w:val="16"/>
                <w:color w:val="auto"/>
              </w:rPr>
              <w:t>Base salary</w:t>
            </w:r>
          </w:p>
        </w:tc>
        <w:tc>
          <w:tcPr>
            <w:tcW w:w="3440" w:type="dxa"/>
            <w:vAlign w:val="bottom"/>
            <w:shd w:val="clear" w:color="auto" w:fill="E9E9E9"/>
          </w:tcPr>
          <w:p>
            <w:pPr>
              <w:ind w:left="1060"/>
              <w:spacing w:after="0"/>
              <w:rPr>
                <w:sz w:val="20"/>
                <w:szCs w:val="20"/>
                <w:color w:val="auto"/>
              </w:rPr>
            </w:pPr>
            <w:r>
              <w:rPr>
                <w:rFonts w:ascii="Arial" w:cs="Arial" w:eastAsia="Arial" w:hAnsi="Arial"/>
                <w:sz w:val="16"/>
                <w:szCs w:val="16"/>
                <w:color w:val="auto"/>
              </w:rPr>
              <w:t>Basic, least variable form of</w:t>
            </w:r>
          </w:p>
        </w:tc>
        <w:tc>
          <w:tcPr>
            <w:tcW w:w="3160" w:type="dxa"/>
            <w:vAlign w:val="bottom"/>
            <w:shd w:val="clear" w:color="auto" w:fill="E9E9E9"/>
          </w:tcPr>
          <w:p>
            <w:pPr>
              <w:ind w:left="440"/>
              <w:spacing w:after="0"/>
              <w:rPr>
                <w:sz w:val="20"/>
                <w:szCs w:val="20"/>
                <w:color w:val="auto"/>
              </w:rPr>
            </w:pPr>
            <w:r>
              <w:rPr>
                <w:rFonts w:ascii="Arial" w:cs="Arial" w:eastAsia="Arial" w:hAnsi="Arial"/>
                <w:sz w:val="16"/>
                <w:szCs w:val="16"/>
                <w:color w:val="auto"/>
              </w:rPr>
              <w:t>Pay slightly below market median in</w:t>
            </w:r>
          </w:p>
        </w:tc>
        <w:tc>
          <w:tcPr>
            <w:tcW w:w="2960" w:type="dxa"/>
            <w:vAlign w:val="bottom"/>
            <w:shd w:val="clear" w:color="auto" w:fill="E9E9E9"/>
          </w:tcPr>
          <w:p>
            <w:pPr>
              <w:ind w:left="120"/>
              <w:spacing w:after="0"/>
              <w:rPr>
                <w:sz w:val="20"/>
                <w:szCs w:val="20"/>
                <w:color w:val="auto"/>
              </w:rPr>
            </w:pPr>
            <w:r>
              <w:rPr>
                <w:rFonts w:ascii="Arial" w:cs="Arial" w:eastAsia="Arial" w:hAnsi="Arial"/>
                <w:sz w:val="16"/>
                <w:szCs w:val="16"/>
                <w:color w:val="auto"/>
              </w:rPr>
              <w:t>Paid twice monthly</w:t>
            </w:r>
          </w:p>
        </w:tc>
      </w:tr>
      <w:tr>
        <w:trPr>
          <w:trHeight w:val="218"/>
        </w:trPr>
        <w:tc>
          <w:tcPr>
            <w:tcW w:w="1880" w:type="dxa"/>
            <w:vAlign w:val="bottom"/>
            <w:shd w:val="clear" w:color="auto" w:fill="E9E9E9"/>
          </w:tcPr>
          <w:p>
            <w:pPr>
              <w:spacing w:after="0"/>
              <w:rPr>
                <w:sz w:val="18"/>
                <w:szCs w:val="18"/>
                <w:color w:val="auto"/>
              </w:rPr>
            </w:pPr>
          </w:p>
        </w:tc>
        <w:tc>
          <w:tcPr>
            <w:tcW w:w="3440" w:type="dxa"/>
            <w:vAlign w:val="bottom"/>
            <w:shd w:val="clear" w:color="auto" w:fill="E9E9E9"/>
          </w:tcPr>
          <w:p>
            <w:pPr>
              <w:ind w:left="1060"/>
              <w:spacing w:after="0"/>
              <w:rPr>
                <w:sz w:val="20"/>
                <w:szCs w:val="20"/>
                <w:color w:val="auto"/>
              </w:rPr>
            </w:pPr>
            <w:r>
              <w:rPr>
                <w:rFonts w:ascii="Arial" w:cs="Arial" w:eastAsia="Arial" w:hAnsi="Arial"/>
                <w:sz w:val="16"/>
                <w:szCs w:val="16"/>
                <w:color w:val="auto"/>
              </w:rPr>
              <w:t>compensation</w:t>
            </w:r>
          </w:p>
        </w:tc>
        <w:tc>
          <w:tcPr>
            <w:tcW w:w="3160" w:type="dxa"/>
            <w:vAlign w:val="bottom"/>
            <w:shd w:val="clear" w:color="auto" w:fill="E9E9E9"/>
          </w:tcPr>
          <w:p>
            <w:pPr>
              <w:ind w:left="440"/>
              <w:spacing w:after="0"/>
              <w:rPr>
                <w:sz w:val="20"/>
                <w:szCs w:val="20"/>
                <w:color w:val="auto"/>
              </w:rPr>
            </w:pPr>
            <w:r>
              <w:rPr>
                <w:rFonts w:ascii="Arial" w:cs="Arial" w:eastAsia="Arial" w:hAnsi="Arial"/>
                <w:sz w:val="16"/>
                <w:szCs w:val="16"/>
                <w:color w:val="auto"/>
              </w:rPr>
              <w:t>order to weight total compensation to</w:t>
            </w:r>
          </w:p>
        </w:tc>
        <w:tc>
          <w:tcPr>
            <w:tcW w:w="2960" w:type="dxa"/>
            <w:vAlign w:val="bottom"/>
            <w:shd w:val="clear" w:color="auto" w:fill="E9E9E9"/>
          </w:tcPr>
          <w:p>
            <w:pPr>
              <w:spacing w:after="0"/>
              <w:rPr>
                <w:sz w:val="18"/>
                <w:szCs w:val="18"/>
                <w:color w:val="auto"/>
              </w:rPr>
            </w:pPr>
          </w:p>
        </w:tc>
      </w:tr>
      <w:tr>
        <w:trPr>
          <w:trHeight w:val="218"/>
        </w:trPr>
        <w:tc>
          <w:tcPr>
            <w:tcW w:w="1880" w:type="dxa"/>
            <w:vAlign w:val="bottom"/>
            <w:shd w:val="clear" w:color="auto" w:fill="E9E9E9"/>
          </w:tcPr>
          <w:p>
            <w:pPr>
              <w:spacing w:after="0"/>
              <w:rPr>
                <w:sz w:val="18"/>
                <w:szCs w:val="18"/>
                <w:color w:val="auto"/>
              </w:rPr>
            </w:pPr>
          </w:p>
        </w:tc>
        <w:tc>
          <w:tcPr>
            <w:tcW w:w="3440" w:type="dxa"/>
            <w:vAlign w:val="bottom"/>
            <w:shd w:val="clear" w:color="auto" w:fill="E9E9E9"/>
          </w:tcPr>
          <w:p>
            <w:pPr>
              <w:spacing w:after="0"/>
              <w:rPr>
                <w:sz w:val="18"/>
                <w:szCs w:val="18"/>
                <w:color w:val="auto"/>
              </w:rPr>
            </w:pPr>
          </w:p>
        </w:tc>
        <w:tc>
          <w:tcPr>
            <w:tcW w:w="3160" w:type="dxa"/>
            <w:vAlign w:val="bottom"/>
            <w:shd w:val="clear" w:color="auto" w:fill="E9E9E9"/>
          </w:tcPr>
          <w:p>
            <w:pPr>
              <w:ind w:left="440"/>
              <w:spacing w:after="0"/>
              <w:rPr>
                <w:sz w:val="20"/>
                <w:szCs w:val="20"/>
                <w:color w:val="auto"/>
              </w:rPr>
            </w:pPr>
            <w:r>
              <w:rPr>
                <w:rFonts w:ascii="Arial" w:cs="Arial" w:eastAsia="Arial" w:hAnsi="Arial"/>
                <w:sz w:val="16"/>
                <w:szCs w:val="16"/>
                <w:color w:val="auto"/>
              </w:rPr>
              <w:t>the performance-based elements</w:t>
            </w:r>
          </w:p>
        </w:tc>
        <w:tc>
          <w:tcPr>
            <w:tcW w:w="2960" w:type="dxa"/>
            <w:vAlign w:val="bottom"/>
            <w:shd w:val="clear" w:color="auto" w:fill="E9E9E9"/>
          </w:tcPr>
          <w:p>
            <w:pPr>
              <w:spacing w:after="0"/>
              <w:rPr>
                <w:sz w:val="18"/>
                <w:szCs w:val="18"/>
                <w:color w:val="auto"/>
              </w:rPr>
            </w:pPr>
          </w:p>
        </w:tc>
      </w:tr>
      <w:tr>
        <w:trPr>
          <w:trHeight w:val="233"/>
        </w:trPr>
        <w:tc>
          <w:tcPr>
            <w:tcW w:w="1880" w:type="dxa"/>
            <w:vAlign w:val="bottom"/>
            <w:shd w:val="clear" w:color="auto" w:fill="E9E9E9"/>
          </w:tcPr>
          <w:p>
            <w:pPr>
              <w:spacing w:after="0"/>
              <w:rPr>
                <w:sz w:val="20"/>
                <w:szCs w:val="20"/>
                <w:color w:val="auto"/>
              </w:rPr>
            </w:pPr>
          </w:p>
        </w:tc>
        <w:tc>
          <w:tcPr>
            <w:tcW w:w="3440" w:type="dxa"/>
            <w:vAlign w:val="bottom"/>
            <w:shd w:val="clear" w:color="auto" w:fill="E9E9E9"/>
          </w:tcPr>
          <w:p>
            <w:pPr>
              <w:spacing w:after="0"/>
              <w:rPr>
                <w:sz w:val="20"/>
                <w:szCs w:val="20"/>
                <w:color w:val="auto"/>
              </w:rPr>
            </w:pPr>
          </w:p>
        </w:tc>
        <w:tc>
          <w:tcPr>
            <w:tcW w:w="3160" w:type="dxa"/>
            <w:vAlign w:val="bottom"/>
            <w:shd w:val="clear" w:color="auto" w:fill="E9E9E9"/>
          </w:tcPr>
          <w:p>
            <w:pPr>
              <w:ind w:left="440"/>
              <w:spacing w:after="0"/>
              <w:rPr>
                <w:sz w:val="20"/>
                <w:szCs w:val="20"/>
                <w:color w:val="auto"/>
              </w:rPr>
            </w:pPr>
            <w:r>
              <w:rPr>
                <w:rFonts w:ascii="Arial" w:cs="Arial" w:eastAsia="Arial" w:hAnsi="Arial"/>
                <w:sz w:val="16"/>
                <w:szCs w:val="16"/>
                <w:color w:val="auto"/>
              </w:rPr>
              <w:t>described below in this chart.</w:t>
            </w:r>
          </w:p>
        </w:tc>
        <w:tc>
          <w:tcPr>
            <w:tcW w:w="2960" w:type="dxa"/>
            <w:vAlign w:val="bottom"/>
            <w:shd w:val="clear" w:color="auto" w:fill="E9E9E9"/>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0590" cy="32492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0590" cy="3249295"/>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p>
      <w:pPr>
        <w:spacing w:after="0" w:line="233" w:lineRule="exact"/>
        <w:rPr>
          <w:sz w:val="20"/>
          <w:szCs w:val="20"/>
          <w:color w:val="auto"/>
        </w:rPr>
      </w:pPr>
    </w:p>
    <w:p>
      <w:pPr>
        <w:spacing w:after="0"/>
        <w:tabs>
          <w:tab w:leader="none" w:pos="2920" w:val="left"/>
          <w:tab w:leader="none" w:pos="5740" w:val="left"/>
        </w:tabs>
        <w:rPr>
          <w:sz w:val="20"/>
          <w:szCs w:val="20"/>
          <w:color w:val="auto"/>
        </w:rPr>
      </w:pPr>
      <w:r>
        <w:rPr>
          <w:rFonts w:ascii="Arial" w:cs="Arial" w:eastAsia="Arial" w:hAnsi="Arial"/>
          <w:sz w:val="16"/>
          <w:szCs w:val="16"/>
          <w:color w:val="auto"/>
        </w:rPr>
        <w:t>Profit sharing</w:t>
      </w:r>
      <w:r>
        <w:rPr>
          <w:sz w:val="20"/>
          <w:szCs w:val="20"/>
          <w:color w:val="auto"/>
        </w:rPr>
        <w:tab/>
      </w:r>
      <w:r>
        <w:rPr>
          <w:rFonts w:ascii="Arial" w:cs="Arial" w:eastAsia="Arial" w:hAnsi="Arial"/>
          <w:sz w:val="16"/>
          <w:szCs w:val="16"/>
          <w:color w:val="auto"/>
        </w:rPr>
        <w:t>Broad-based program designed to</w:t>
      </w:r>
      <w:r>
        <w:rPr>
          <w:sz w:val="20"/>
          <w:szCs w:val="20"/>
          <w:color w:val="auto"/>
        </w:rPr>
        <w:tab/>
      </w:r>
      <w:r>
        <w:rPr>
          <w:rFonts w:ascii="Arial" w:cs="Arial" w:eastAsia="Arial" w:hAnsi="Arial"/>
          <w:sz w:val="15"/>
          <w:szCs w:val="15"/>
          <w:color w:val="auto"/>
        </w:rPr>
        <w:t>Pay according to a formula that</w:t>
      </w:r>
    </w:p>
    <w:p>
      <w:pPr>
        <w:spacing w:after="0" w:line="34" w:lineRule="exact"/>
        <w:rPr>
          <w:sz w:val="20"/>
          <w:szCs w:val="20"/>
          <w:color w:val="auto"/>
        </w:rPr>
      </w:pPr>
    </w:p>
    <w:p>
      <w:pPr>
        <w:ind w:left="2940"/>
        <w:spacing w:after="0"/>
        <w:tabs>
          <w:tab w:leader="none" w:pos="5740" w:val="left"/>
        </w:tabs>
        <w:rPr>
          <w:sz w:val="20"/>
          <w:szCs w:val="20"/>
          <w:color w:val="auto"/>
        </w:rPr>
      </w:pPr>
      <w:r>
        <w:rPr>
          <w:rFonts w:ascii="Arial" w:cs="Arial" w:eastAsia="Arial" w:hAnsi="Arial"/>
          <w:sz w:val="16"/>
          <w:szCs w:val="16"/>
          <w:color w:val="auto"/>
        </w:rPr>
        <w:t>emphasize that each employee</w:t>
      </w:r>
      <w:r>
        <w:rPr>
          <w:sz w:val="20"/>
          <w:szCs w:val="20"/>
          <w:color w:val="auto"/>
        </w:rPr>
        <w:tab/>
      </w:r>
      <w:r>
        <w:rPr>
          <w:rFonts w:ascii="Arial" w:cs="Arial" w:eastAsia="Arial" w:hAnsi="Arial"/>
          <w:sz w:val="15"/>
          <w:szCs w:val="15"/>
          <w:color w:val="auto"/>
        </w:rPr>
        <w:t>focuses employees on a company</w:t>
      </w:r>
    </w:p>
    <w:p>
      <w:pPr>
        <w:spacing w:after="0" w:line="34" w:lineRule="exact"/>
        <w:rPr>
          <w:sz w:val="20"/>
          <w:szCs w:val="20"/>
          <w:color w:val="auto"/>
        </w:rPr>
      </w:pPr>
    </w:p>
    <w:p>
      <w:pPr>
        <w:ind w:left="2940"/>
        <w:spacing w:after="0"/>
        <w:tabs>
          <w:tab w:leader="none" w:pos="5740" w:val="left"/>
        </w:tabs>
        <w:rPr>
          <w:sz w:val="20"/>
          <w:szCs w:val="20"/>
          <w:color w:val="auto"/>
        </w:rPr>
      </w:pPr>
      <w:r>
        <w:rPr>
          <w:rFonts w:ascii="Arial" w:cs="Arial" w:eastAsia="Arial" w:hAnsi="Arial"/>
          <w:sz w:val="16"/>
          <w:szCs w:val="16"/>
          <w:color w:val="auto"/>
        </w:rPr>
        <w:t>contributes to the company’s</w:t>
      </w:r>
      <w:r>
        <w:rPr>
          <w:sz w:val="20"/>
          <w:szCs w:val="20"/>
          <w:color w:val="auto"/>
        </w:rPr>
        <w:tab/>
      </w:r>
      <w:r>
        <w:rPr>
          <w:rFonts w:ascii="Arial" w:cs="Arial" w:eastAsia="Arial" w:hAnsi="Arial"/>
          <w:sz w:val="15"/>
          <w:szCs w:val="15"/>
          <w:color w:val="auto"/>
        </w:rPr>
        <w:t>goal, and at a level that will affect</w:t>
      </w:r>
    </w:p>
    <w:p>
      <w:pPr>
        <w:spacing w:after="0" w:line="34" w:lineRule="exact"/>
        <w:rPr>
          <w:sz w:val="20"/>
          <w:szCs w:val="20"/>
          <w:color w:val="auto"/>
        </w:rPr>
      </w:pPr>
    </w:p>
    <w:p>
      <w:pPr>
        <w:ind w:left="2940"/>
        <w:spacing w:after="0"/>
        <w:tabs>
          <w:tab w:leader="none" w:pos="5740" w:val="left"/>
        </w:tabs>
        <w:rPr>
          <w:sz w:val="20"/>
          <w:szCs w:val="20"/>
          <w:color w:val="auto"/>
        </w:rPr>
      </w:pPr>
      <w:r>
        <w:rPr>
          <w:rFonts w:ascii="Arial" w:cs="Arial" w:eastAsia="Arial" w:hAnsi="Arial"/>
          <w:sz w:val="16"/>
          <w:szCs w:val="16"/>
          <w:color w:val="auto"/>
        </w:rPr>
        <w:t>profitability and can share in it</w:t>
      </w:r>
      <w:r>
        <w:rPr>
          <w:sz w:val="20"/>
          <w:szCs w:val="20"/>
          <w:color w:val="auto"/>
        </w:rPr>
        <w:tab/>
      </w:r>
      <w:r>
        <w:rPr>
          <w:rFonts w:ascii="Arial" w:cs="Arial" w:eastAsia="Arial" w:hAnsi="Arial"/>
          <w:sz w:val="15"/>
          <w:szCs w:val="15"/>
          <w:color w:val="auto"/>
        </w:rPr>
        <w:t>behavior. Profit sharing is paid in</w:t>
      </w:r>
    </w:p>
    <w:p>
      <w:pPr>
        <w:spacing w:after="0" w:line="34"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addition to any performance bonus</w:t>
      </w:r>
    </w:p>
    <w:p>
      <w:pPr>
        <w:spacing w:after="0" w:line="34"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awarded for the year.</w:t>
      </w:r>
    </w:p>
    <w:p>
      <w:pPr>
        <w:spacing w:after="0" w:line="46"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For the last seven years, the</w:t>
      </w:r>
    </w:p>
    <w:p>
      <w:pPr>
        <w:spacing w:after="0" w:line="34"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formula has been based on</w:t>
      </w:r>
    </w:p>
    <w:p>
      <w:pPr>
        <w:spacing w:after="0" w:line="34"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company-level annual operating</w:t>
      </w:r>
    </w:p>
    <w:p>
      <w:pPr>
        <w:spacing w:after="0" w:line="34"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profit margin. The formula was set by</w:t>
      </w:r>
    </w:p>
    <w:p>
      <w:pPr>
        <w:spacing w:after="0" w:line="46"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the TI board. The committee’s</w:t>
      </w:r>
    </w:p>
    <w:p>
      <w:pPr>
        <w:spacing w:after="0" w:line="34"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practice has been not to adjust</w:t>
      </w:r>
    </w:p>
    <w:p>
      <w:pPr>
        <w:spacing w:after="0" w:line="34"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amounts earned under the formula.</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Payable in a single cash payment shortly after the end of the performance year</w:t>
      </w:r>
    </w:p>
    <w:p>
      <w:pPr>
        <w:spacing w:after="0" w:line="7" w:lineRule="exact"/>
        <w:rPr>
          <w:sz w:val="20"/>
          <w:szCs w:val="20"/>
          <w:color w:val="auto"/>
        </w:rPr>
      </w:pPr>
    </w:p>
    <w:p>
      <w:pPr>
        <w:ind w:right="220" w:firstLine="243"/>
        <w:spacing w:after="0" w:line="253" w:lineRule="auto"/>
        <w:rPr>
          <w:sz w:val="20"/>
          <w:szCs w:val="20"/>
          <w:color w:val="auto"/>
        </w:rPr>
      </w:pPr>
      <w:r>
        <w:rPr>
          <w:rFonts w:ascii="Arial" w:cs="Arial" w:eastAsia="Arial" w:hAnsi="Arial"/>
          <w:sz w:val="16"/>
          <w:szCs w:val="16"/>
          <w:color w:val="auto"/>
        </w:rPr>
        <w:t>As in recent years, the formula for 2011 was:</w:t>
      </w:r>
    </w:p>
    <w:p>
      <w:pPr>
        <w:ind w:left="500" w:right="440"/>
        <w:spacing w:after="0" w:line="303" w:lineRule="auto"/>
        <w:rPr>
          <w:sz w:val="20"/>
          <w:szCs w:val="20"/>
          <w:color w:val="auto"/>
        </w:rPr>
      </w:pPr>
      <w:r>
        <w:rPr>
          <w:rFonts w:ascii="Arial" w:cs="Arial" w:eastAsia="Arial" w:hAnsi="Arial"/>
          <w:sz w:val="15"/>
          <w:szCs w:val="15"/>
          <w:color w:val="auto"/>
        </w:rPr>
        <w:t>Below 10% company-level annual operating profit as a percentage of revenue (“Margin”): no profit sharing</w:t>
      </w:r>
    </w:p>
    <w:p>
      <w:pPr>
        <w:spacing w:after="0" w:line="2" w:lineRule="exact"/>
        <w:rPr>
          <w:sz w:val="20"/>
          <w:szCs w:val="20"/>
          <w:color w:val="auto"/>
        </w:rPr>
      </w:pPr>
    </w:p>
    <w:p>
      <w:pPr>
        <w:ind w:left="500" w:right="180"/>
        <w:spacing w:after="0" w:line="282" w:lineRule="auto"/>
        <w:rPr>
          <w:sz w:val="20"/>
          <w:szCs w:val="20"/>
          <w:color w:val="auto"/>
        </w:rPr>
      </w:pPr>
      <w:r>
        <w:rPr>
          <w:rFonts w:ascii="Arial" w:cs="Arial" w:eastAsia="Arial" w:hAnsi="Arial"/>
          <w:sz w:val="16"/>
          <w:szCs w:val="16"/>
          <w:color w:val="auto"/>
        </w:rPr>
        <w:t>At 10% Margin: profit sharing = 2% of base salary</w:t>
      </w:r>
    </w:p>
    <w:p>
      <w:pPr>
        <w:spacing w:after="0" w:line="1" w:lineRule="exact"/>
        <w:rPr>
          <w:sz w:val="20"/>
          <w:szCs w:val="20"/>
          <w:color w:val="auto"/>
        </w:rPr>
      </w:pPr>
    </w:p>
    <w:p>
      <w:pPr>
        <w:ind w:left="500" w:right="20"/>
        <w:spacing w:after="0" w:line="272" w:lineRule="auto"/>
        <w:rPr>
          <w:sz w:val="20"/>
          <w:szCs w:val="20"/>
          <w:color w:val="auto"/>
        </w:rPr>
      </w:pPr>
      <w:r>
        <w:rPr>
          <w:rFonts w:ascii="Arial" w:cs="Arial" w:eastAsia="Arial" w:hAnsi="Arial"/>
          <w:sz w:val="16"/>
          <w:szCs w:val="16"/>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2011, TI delivered Margin of 22%. As a result, all eligible employees, including executive officers, received profit sharing of 7.9% of base salary.</w:t>
      </w:r>
    </w:p>
    <w:p>
      <w:pPr>
        <w:spacing w:after="0" w:line="200" w:lineRule="exact"/>
        <w:rPr>
          <w:sz w:val="20"/>
          <w:szCs w:val="20"/>
          <w:color w:val="auto"/>
        </w:rPr>
      </w:pPr>
    </w:p>
    <w:p>
      <w:pPr>
        <w:sectPr>
          <w:pgSz w:w="11900" w:h="16838" w:orient="portrait"/>
          <w:cols w:equalWidth="0" w:num="2">
            <w:col w:w="8360" w:space="240"/>
            <w:col w:w="2840"/>
          </w:cols>
          <w:pgMar w:left="240" w:top="535" w:right="219" w:bottom="1440" w:gutter="0" w:footer="0" w:header="0"/>
          <w:type w:val="continuous"/>
        </w:sectPr>
      </w:pPr>
    </w:p>
    <w:p>
      <w:pPr>
        <w:spacing w:after="0" w:line="45" w:lineRule="exact"/>
        <w:rPr>
          <w:sz w:val="20"/>
          <w:szCs w:val="20"/>
          <w:color w:val="auto"/>
        </w:rPr>
      </w:pPr>
    </w:p>
    <w:p>
      <w:pPr>
        <w:spacing w:after="0"/>
        <w:tabs>
          <w:tab w:leader="none" w:pos="9620"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type w:val="continuous"/>
        </w:sectPr>
      </w:pPr>
    </w:p>
    <w:bookmarkStart w:id="16" w:name="page17"/>
    <w:bookmarkEnd w:id="16"/>
    <w:p>
      <w:pPr>
        <w:ind w:left="3"/>
        <w:spacing w:after="0"/>
        <w:tabs>
          <w:tab w:leader="none" w:pos="3983" w:val="left"/>
          <w:tab w:leader="none" w:pos="6923" w:val="left"/>
          <w:tab w:leader="none" w:pos="9923" w:val="left"/>
        </w:tabs>
        <w:rPr>
          <w:sz w:val="20"/>
          <w:szCs w:val="20"/>
          <w:color w:val="auto"/>
        </w:rPr>
      </w:pPr>
      <w:r>
        <w:rPr>
          <w:rFonts w:ascii="Arial" w:cs="Arial" w:eastAsia="Arial" w:hAnsi="Arial"/>
          <w:sz w:val="12"/>
          <w:szCs w:val="12"/>
          <w:b w:val="1"/>
          <w:bCs w:val="1"/>
          <w:color w:val="auto"/>
        </w:rPr>
        <w:t>Element</w:t>
      </w:r>
      <w:r>
        <w:rPr>
          <w:sz w:val="20"/>
          <w:szCs w:val="20"/>
          <w:color w:val="auto"/>
        </w:rPr>
        <w:tab/>
      </w:r>
      <w:r>
        <w:rPr>
          <w:rFonts w:ascii="Arial" w:cs="Arial" w:eastAsia="Arial" w:hAnsi="Arial"/>
          <w:sz w:val="12"/>
          <w:szCs w:val="12"/>
          <w:b w:val="1"/>
          <w:bCs w:val="1"/>
          <w:color w:val="auto"/>
        </w:rPr>
        <w:t>Purpose</w:t>
      </w:r>
      <w:r>
        <w:rPr>
          <w:sz w:val="20"/>
          <w:szCs w:val="20"/>
          <w:color w:val="auto"/>
        </w:rPr>
        <w:tab/>
      </w:r>
      <w:r>
        <w:rPr>
          <w:rFonts w:ascii="Arial" w:cs="Arial" w:eastAsia="Arial" w:hAnsi="Arial"/>
          <w:sz w:val="12"/>
          <w:szCs w:val="12"/>
          <w:b w:val="1"/>
          <w:bCs w:val="1"/>
          <w:color w:val="auto"/>
        </w:rPr>
        <w:t>Strategy</w:t>
      </w:r>
      <w:r>
        <w:rPr>
          <w:sz w:val="20"/>
          <w:szCs w:val="20"/>
          <w:color w:val="auto"/>
        </w:rPr>
        <w:tab/>
      </w:r>
      <w:r>
        <w:rPr>
          <w:rFonts w:ascii="Arial" w:cs="Arial" w:eastAsia="Arial" w:hAnsi="Arial"/>
          <w:sz w:val="11"/>
          <w:szCs w:val="11"/>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60590" cy="36652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0590" cy="3665220"/>
                    </a:xfrm>
                    <a:prstGeom prst="rect">
                      <a:avLst/>
                    </a:prstGeom>
                    <a:noFill/>
                  </pic:spPr>
                </pic:pic>
              </a:graphicData>
            </a:graphic>
          </wp:anchor>
        </w:drawing>
      </w:r>
    </w:p>
    <w:p>
      <w:pPr>
        <w:sectPr>
          <w:pgSz w:w="11900" w:h="16838" w:orient="portrait"/>
          <w:cols w:equalWidth="0" w:num="1">
            <w:col w:w="11443"/>
          </w:cols>
          <w:pgMar w:left="237" w:top="380" w:right="219" w:bottom="1440" w:gutter="0" w:footer="0" w:header="0"/>
        </w:sectPr>
      </w:pPr>
    </w:p>
    <w:p>
      <w:pPr>
        <w:spacing w:after="0" w:line="86" w:lineRule="exact"/>
        <w:rPr>
          <w:sz w:val="20"/>
          <w:szCs w:val="20"/>
          <w:color w:val="auto"/>
        </w:rPr>
      </w:pPr>
    </w:p>
    <w:p>
      <w:pPr>
        <w:ind w:left="3"/>
        <w:spacing w:after="0"/>
        <w:tabs>
          <w:tab w:leader="none" w:pos="2903" w:val="left"/>
        </w:tabs>
        <w:rPr>
          <w:sz w:val="20"/>
          <w:szCs w:val="20"/>
          <w:color w:val="auto"/>
        </w:rPr>
      </w:pPr>
      <w:r>
        <w:rPr>
          <w:rFonts w:ascii="Arial" w:cs="Arial" w:eastAsia="Arial" w:hAnsi="Arial"/>
          <w:sz w:val="16"/>
          <w:szCs w:val="16"/>
          <w:color w:val="auto"/>
        </w:rPr>
        <w:t>Performance bonus</w:t>
      </w:r>
      <w:r>
        <w:rPr>
          <w:sz w:val="20"/>
          <w:szCs w:val="20"/>
          <w:color w:val="auto"/>
        </w:rPr>
        <w:tab/>
      </w:r>
      <w:r>
        <w:rPr>
          <w:rFonts w:ascii="Arial" w:cs="Arial" w:eastAsia="Arial" w:hAnsi="Arial"/>
          <w:sz w:val="15"/>
          <w:szCs w:val="15"/>
          <w:color w:val="auto"/>
        </w:rPr>
        <w:t>To motivate executives and reward</w:t>
      </w:r>
    </w:p>
    <w:p>
      <w:pPr>
        <w:spacing w:after="0" w:line="34" w:lineRule="exact"/>
        <w:rPr>
          <w:sz w:val="20"/>
          <w:szCs w:val="20"/>
          <w:color w:val="auto"/>
        </w:rPr>
      </w:pPr>
    </w:p>
    <w:p>
      <w:pPr>
        <w:ind w:left="2923"/>
        <w:spacing w:after="0"/>
        <w:rPr>
          <w:sz w:val="20"/>
          <w:szCs w:val="20"/>
          <w:color w:val="auto"/>
        </w:rPr>
      </w:pPr>
      <w:r>
        <w:rPr>
          <w:rFonts w:ascii="Arial" w:cs="Arial" w:eastAsia="Arial" w:hAnsi="Arial"/>
          <w:sz w:val="16"/>
          <w:szCs w:val="16"/>
          <w:color w:val="auto"/>
        </w:rPr>
        <w:t>them according to the company’s</w:t>
      </w:r>
    </w:p>
    <w:p>
      <w:pPr>
        <w:spacing w:after="0" w:line="34" w:lineRule="exact"/>
        <w:rPr>
          <w:sz w:val="20"/>
          <w:szCs w:val="20"/>
          <w:color w:val="auto"/>
        </w:rPr>
      </w:pPr>
    </w:p>
    <w:p>
      <w:pPr>
        <w:ind w:left="2923"/>
        <w:spacing w:after="0"/>
        <w:rPr>
          <w:sz w:val="20"/>
          <w:szCs w:val="20"/>
          <w:color w:val="auto"/>
        </w:rPr>
      </w:pPr>
      <w:r>
        <w:rPr>
          <w:rFonts w:ascii="Arial" w:cs="Arial" w:eastAsia="Arial" w:hAnsi="Arial"/>
          <w:sz w:val="16"/>
          <w:szCs w:val="16"/>
          <w:color w:val="auto"/>
        </w:rPr>
        <w:t>relative and absolute performance</w:t>
      </w:r>
    </w:p>
    <w:p>
      <w:pPr>
        <w:spacing w:after="0" w:line="46" w:lineRule="exact"/>
        <w:rPr>
          <w:sz w:val="20"/>
          <w:szCs w:val="20"/>
          <w:color w:val="auto"/>
        </w:rPr>
      </w:pPr>
    </w:p>
    <w:p>
      <w:pPr>
        <w:ind w:left="2923"/>
        <w:spacing w:after="0"/>
        <w:rPr>
          <w:sz w:val="20"/>
          <w:szCs w:val="20"/>
          <w:color w:val="auto"/>
        </w:rPr>
      </w:pPr>
      <w:r>
        <w:rPr>
          <w:rFonts w:ascii="Arial" w:cs="Arial" w:eastAsia="Arial" w:hAnsi="Arial"/>
          <w:sz w:val="16"/>
          <w:szCs w:val="16"/>
          <w:color w:val="auto"/>
        </w:rPr>
        <w:t>and the executive’s individual</w:t>
      </w:r>
    </w:p>
    <w:p>
      <w:pPr>
        <w:spacing w:after="0" w:line="34" w:lineRule="exact"/>
        <w:rPr>
          <w:sz w:val="20"/>
          <w:szCs w:val="20"/>
          <w:color w:val="auto"/>
        </w:rPr>
      </w:pPr>
    </w:p>
    <w:p>
      <w:pPr>
        <w:ind w:left="2923"/>
        <w:spacing w:after="0"/>
        <w:rPr>
          <w:sz w:val="20"/>
          <w:szCs w:val="20"/>
          <w:color w:val="auto"/>
        </w:rPr>
      </w:pPr>
      <w:r>
        <w:rPr>
          <w:rFonts w:ascii="Arial" w:cs="Arial" w:eastAsia="Arial" w:hAnsi="Arial"/>
          <w:sz w:val="16"/>
          <w:szCs w:val="16"/>
          <w:color w:val="auto"/>
        </w:rPr>
        <w:t>performance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100"/>
        <w:spacing w:after="0" w:line="311" w:lineRule="auto"/>
        <w:rPr>
          <w:sz w:val="20"/>
          <w:szCs w:val="20"/>
          <w:color w:val="auto"/>
        </w:rPr>
      </w:pPr>
      <w:r>
        <w:rPr>
          <w:rFonts w:ascii="Arial" w:cs="Arial" w:eastAsia="Arial" w:hAnsi="Arial"/>
          <w:sz w:val="15"/>
          <w:szCs w:val="15"/>
          <w:color w:val="auto"/>
        </w:rPr>
        <w:t>Determined primarily on the basis of one-year and three-year company performance on certain measures (revenue growth percent, operating</w:t>
      </w:r>
    </w:p>
    <w:p>
      <w:pPr>
        <w:spacing w:after="0" w:line="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margin and total shareholder return</w:t>
      </w:r>
      <w:r>
        <w:rPr>
          <w:rFonts w:ascii="Arial" w:cs="Arial" w:eastAsia="Arial" w:hAnsi="Arial"/>
          <w:sz w:val="26"/>
          <w:szCs w:val="26"/>
          <w:color w:val="auto"/>
          <w:vertAlign w:val="superscript"/>
        </w:rPr>
        <w:t>1</w:t>
      </w:r>
      <w:r>
        <w:rPr>
          <w:rFonts w:ascii="Arial" w:cs="Arial" w:eastAsia="Arial" w:hAnsi="Arial"/>
          <w:sz w:val="16"/>
          <w:szCs w:val="16"/>
          <w:color w:val="auto"/>
        </w:rPr>
        <w:t>) as compared to competitors and on our strategic progress in key markets and with customers. These factors have been chosen to reflect our near-term financial performance as well as our progress in building long-term shareholder value.</w:t>
      </w:r>
    </w:p>
    <w:p>
      <w:pPr>
        <w:spacing w:after="0" w:line="23" w:lineRule="exact"/>
        <w:rPr>
          <w:sz w:val="20"/>
          <w:szCs w:val="20"/>
          <w:color w:val="auto"/>
        </w:rPr>
      </w:pPr>
    </w:p>
    <w:p>
      <w:pPr>
        <w:ind w:right="120" w:firstLine="243"/>
        <w:spacing w:after="0" w:line="285" w:lineRule="auto"/>
        <w:rPr>
          <w:sz w:val="20"/>
          <w:szCs w:val="20"/>
          <w:color w:val="auto"/>
        </w:rPr>
      </w:pPr>
      <w:r>
        <w:rPr>
          <w:rFonts w:ascii="Arial" w:cs="Arial" w:eastAsia="Arial" w:hAnsi="Arial"/>
          <w:sz w:val="16"/>
          <w:szCs w:val="16"/>
          <w:color w:val="auto"/>
        </w:rPr>
        <w:t>The committee aims to pay total cash compensation (base salary, profit sharing and bonus) appropriately above median if company performance is above that of competitors, and pay total cash compensation appropriately below the median if company performance is below competitors.</w:t>
      </w:r>
    </w:p>
    <w:p>
      <w:pPr>
        <w:spacing w:after="0" w:line="10" w:lineRule="exact"/>
        <w:rPr>
          <w:sz w:val="20"/>
          <w:szCs w:val="20"/>
          <w:color w:val="auto"/>
        </w:rPr>
      </w:pPr>
    </w:p>
    <w:p>
      <w:pPr>
        <w:ind w:right="20" w:firstLine="243"/>
        <w:spacing w:after="0" w:line="286" w:lineRule="auto"/>
        <w:rPr>
          <w:sz w:val="20"/>
          <w:szCs w:val="20"/>
          <w:color w:val="auto"/>
        </w:rPr>
      </w:pPr>
      <w:r>
        <w:rPr>
          <w:rFonts w:ascii="Arial" w:cs="Arial" w:eastAsia="Arial" w:hAnsi="Arial"/>
          <w:sz w:val="16"/>
          <w:szCs w:val="16"/>
          <w:color w:val="auto"/>
        </w:rPr>
        <w:t>The committee does not rely on formulas or performance targets or thresholds. Instead it uses its judgment based on its assessment of the factors described above.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ind w:right="280"/>
        <w:spacing w:after="0" w:line="287" w:lineRule="auto"/>
        <w:rPr>
          <w:sz w:val="20"/>
          <w:szCs w:val="20"/>
          <w:color w:val="auto"/>
        </w:rPr>
      </w:pPr>
      <w:r>
        <w:rPr>
          <w:rFonts w:ascii="Arial" w:cs="Arial" w:eastAsia="Arial" w:hAnsi="Arial"/>
          <w:sz w:val="16"/>
          <w:szCs w:val="16"/>
          <w:color w:val="auto"/>
        </w:rPr>
        <w:t>Determined by the committee and paid in a single payment after the performance year</w:t>
      </w:r>
    </w:p>
    <w:p>
      <w:pPr>
        <w:spacing w:after="0" w:line="5297" w:lineRule="exact"/>
        <w:rPr>
          <w:sz w:val="20"/>
          <w:szCs w:val="20"/>
          <w:color w:val="auto"/>
        </w:rPr>
      </w:pPr>
    </w:p>
    <w:p>
      <w:pPr>
        <w:sectPr>
          <w:pgSz w:w="11900" w:h="16838" w:orient="portrait"/>
          <w:cols w:equalWidth="0" w:num="3">
            <w:col w:w="5343" w:space="520"/>
            <w:col w:w="2620" w:space="300"/>
            <w:col w:w="2660"/>
          </w:cols>
          <w:pgMar w:left="237" w:top="380" w:right="219" w:bottom="1440" w:gutter="0" w:footer="0" w:header="0"/>
          <w:type w:val="continuous"/>
        </w:sectPr>
      </w:pPr>
    </w:p>
    <w:p>
      <w:pPr>
        <w:ind w:left="3"/>
        <w:spacing w:after="0"/>
        <w:rPr>
          <w:sz w:val="20"/>
          <w:szCs w:val="20"/>
          <w:color w:val="auto"/>
        </w:rPr>
      </w:pPr>
      <w:r>
        <w:rPr>
          <w:rFonts w:ascii="Arial" w:cs="Arial" w:eastAsia="Arial" w:hAnsi="Arial"/>
          <w:sz w:val="16"/>
          <w:szCs w:val="16"/>
          <w:b w:val="1"/>
          <w:bCs w:val="1"/>
          <w:color w:val="auto"/>
        </w:rPr>
        <w:t>Long-term compensation, awarded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0590" cy="138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0590" cy="138430"/>
                    </a:xfrm>
                    <a:prstGeom prst="rect">
                      <a:avLst/>
                    </a:prstGeom>
                    <a:noFill/>
                  </pic:spPr>
                </pic:pic>
              </a:graphicData>
            </a:graphic>
          </wp:anchor>
        </w:drawing>
      </w:r>
    </w:p>
    <w:p>
      <w:pPr>
        <w:spacing w:after="0" w:line="238" w:lineRule="exact"/>
        <w:rPr>
          <w:sz w:val="20"/>
          <w:szCs w:val="20"/>
          <w:color w:val="auto"/>
        </w:rPr>
      </w:pPr>
    </w:p>
    <w:tbl>
      <w:tblPr>
        <w:tblLayout w:type="fixed"/>
        <w:tblInd w:w="3" w:type="dxa"/>
        <w:tblCellMar>
          <w:top w:w="0" w:type="dxa"/>
          <w:left w:w="0" w:type="dxa"/>
          <w:bottom w:w="0" w:type="dxa"/>
          <w:right w:w="0" w:type="dxa"/>
        </w:tblCellMar>
      </w:tblPr>
      <w:tr>
        <w:trPr>
          <w:trHeight w:val="209"/>
        </w:trPr>
        <w:tc>
          <w:tcPr>
            <w:tcW w:w="2560" w:type="dxa"/>
            <w:vAlign w:val="bottom"/>
            <w:shd w:val="clear" w:color="auto" w:fill="E9E9E9"/>
          </w:tcPr>
          <w:p>
            <w:pPr>
              <w:spacing w:after="0"/>
              <w:rPr>
                <w:sz w:val="20"/>
                <w:szCs w:val="20"/>
                <w:color w:val="auto"/>
              </w:rPr>
            </w:pPr>
            <w:r>
              <w:rPr>
                <w:rFonts w:ascii="Arial" w:cs="Arial" w:eastAsia="Arial" w:hAnsi="Arial"/>
                <w:sz w:val="16"/>
                <w:szCs w:val="16"/>
                <w:color w:val="auto"/>
              </w:rPr>
              <w:t>Non-qualified stock options and</w:t>
            </w:r>
          </w:p>
        </w:tc>
        <w:tc>
          <w:tcPr>
            <w:tcW w:w="3140" w:type="dxa"/>
            <w:vAlign w:val="bottom"/>
            <w:shd w:val="clear" w:color="auto" w:fill="E9E9E9"/>
          </w:tcPr>
          <w:p>
            <w:pPr>
              <w:ind w:left="360"/>
              <w:spacing w:after="0"/>
              <w:rPr>
                <w:sz w:val="20"/>
                <w:szCs w:val="20"/>
                <w:color w:val="auto"/>
              </w:rPr>
            </w:pPr>
            <w:r>
              <w:rPr>
                <w:rFonts w:ascii="Arial" w:cs="Arial" w:eastAsia="Arial" w:hAnsi="Arial"/>
                <w:sz w:val="16"/>
                <w:szCs w:val="16"/>
                <w:color w:val="auto"/>
              </w:rPr>
              <w:t>Alignment with shareholders; long-</w:t>
            </w:r>
          </w:p>
        </w:tc>
        <w:tc>
          <w:tcPr>
            <w:tcW w:w="2920" w:type="dxa"/>
            <w:vAlign w:val="bottom"/>
            <w:shd w:val="clear" w:color="auto" w:fill="E9E9E9"/>
          </w:tcPr>
          <w:p>
            <w:pPr>
              <w:ind w:left="160"/>
              <w:spacing w:after="0"/>
              <w:rPr>
                <w:sz w:val="20"/>
                <w:szCs w:val="20"/>
                <w:color w:val="auto"/>
              </w:rPr>
            </w:pPr>
            <w:r>
              <w:rPr>
                <w:rFonts w:ascii="Arial" w:cs="Arial" w:eastAsia="Arial" w:hAnsi="Arial"/>
                <w:sz w:val="16"/>
                <w:szCs w:val="16"/>
                <w:color w:val="auto"/>
              </w:rPr>
              <w:t>We grant a combination of</w:t>
            </w:r>
          </w:p>
        </w:tc>
        <w:tc>
          <w:tcPr>
            <w:tcW w:w="2820" w:type="dxa"/>
            <w:vAlign w:val="bottom"/>
            <w:shd w:val="clear" w:color="auto" w:fill="E9E9E9"/>
          </w:tcPr>
          <w:p>
            <w:pPr>
              <w:ind w:left="160"/>
              <w:spacing w:after="0"/>
              <w:rPr>
                <w:sz w:val="20"/>
                <w:szCs w:val="20"/>
                <w:color w:val="auto"/>
              </w:rPr>
            </w:pPr>
            <w:r>
              <w:rPr>
                <w:rFonts w:ascii="Arial" w:cs="Arial" w:eastAsia="Arial" w:hAnsi="Arial"/>
                <w:sz w:val="16"/>
                <w:szCs w:val="16"/>
                <w:color w:val="auto"/>
              </w:rPr>
              <w:t>The terms and conditions of stock</w:t>
            </w:r>
          </w:p>
        </w:tc>
      </w:tr>
      <w:tr>
        <w:trPr>
          <w:trHeight w:val="213"/>
        </w:trPr>
        <w:tc>
          <w:tcPr>
            <w:tcW w:w="2560" w:type="dxa"/>
            <w:vAlign w:val="bottom"/>
            <w:shd w:val="clear" w:color="auto" w:fill="E9E9E9"/>
          </w:tcPr>
          <w:p>
            <w:pPr>
              <w:spacing w:after="0"/>
              <w:rPr>
                <w:sz w:val="20"/>
                <w:szCs w:val="20"/>
                <w:color w:val="auto"/>
              </w:rPr>
            </w:pPr>
            <w:r>
              <w:rPr>
                <w:rFonts w:ascii="Arial" w:cs="Arial" w:eastAsia="Arial" w:hAnsi="Arial"/>
                <w:sz w:val="16"/>
                <w:szCs w:val="16"/>
                <w:color w:val="auto"/>
              </w:rPr>
              <w:t>restricted stock units</w:t>
            </w:r>
          </w:p>
        </w:tc>
        <w:tc>
          <w:tcPr>
            <w:tcW w:w="3140" w:type="dxa"/>
            <w:vAlign w:val="bottom"/>
            <w:shd w:val="clear" w:color="auto" w:fill="E9E9E9"/>
          </w:tcPr>
          <w:p>
            <w:pPr>
              <w:ind w:left="360"/>
              <w:spacing w:after="0"/>
              <w:rPr>
                <w:sz w:val="20"/>
                <w:szCs w:val="20"/>
                <w:color w:val="auto"/>
              </w:rPr>
            </w:pPr>
            <w:r>
              <w:rPr>
                <w:rFonts w:ascii="Arial" w:cs="Arial" w:eastAsia="Arial" w:hAnsi="Arial"/>
                <w:sz w:val="16"/>
                <w:szCs w:val="16"/>
                <w:color w:val="auto"/>
              </w:rPr>
              <w:t>term focus; retention, particularly with</w:t>
            </w:r>
          </w:p>
        </w:tc>
        <w:tc>
          <w:tcPr>
            <w:tcW w:w="2920" w:type="dxa"/>
            <w:vAlign w:val="bottom"/>
            <w:shd w:val="clear" w:color="auto" w:fill="E9E9E9"/>
          </w:tcPr>
          <w:p>
            <w:pPr>
              <w:ind w:left="160"/>
              <w:spacing w:after="0"/>
              <w:rPr>
                <w:sz w:val="20"/>
                <w:szCs w:val="20"/>
                <w:color w:val="auto"/>
              </w:rPr>
            </w:pPr>
            <w:r>
              <w:rPr>
                <w:rFonts w:ascii="Arial" w:cs="Arial" w:eastAsia="Arial" w:hAnsi="Arial"/>
                <w:sz w:val="16"/>
                <w:szCs w:val="16"/>
                <w:color w:val="auto"/>
              </w:rPr>
              <w:t>nonqualified (NQ) stock options and</w:t>
            </w:r>
          </w:p>
        </w:tc>
        <w:tc>
          <w:tcPr>
            <w:tcW w:w="2820" w:type="dxa"/>
            <w:vAlign w:val="bottom"/>
            <w:shd w:val="clear" w:color="auto" w:fill="E9E9E9"/>
          </w:tcPr>
          <w:p>
            <w:pPr>
              <w:ind w:left="160"/>
              <w:spacing w:after="0"/>
              <w:rPr>
                <w:sz w:val="20"/>
                <w:szCs w:val="20"/>
                <w:color w:val="auto"/>
              </w:rPr>
            </w:pPr>
            <w:r>
              <w:rPr>
                <w:rFonts w:ascii="Arial" w:cs="Arial" w:eastAsia="Arial" w:hAnsi="Arial"/>
                <w:sz w:val="16"/>
                <w:szCs w:val="16"/>
                <w:color w:val="auto"/>
              </w:rPr>
              <w:t>options and restricted stock units are</w:t>
            </w:r>
          </w:p>
        </w:tc>
      </w:tr>
      <w:tr>
        <w:trPr>
          <w:trHeight w:val="218"/>
        </w:trPr>
        <w:tc>
          <w:tcPr>
            <w:tcW w:w="2560" w:type="dxa"/>
            <w:vAlign w:val="bottom"/>
            <w:shd w:val="clear" w:color="auto" w:fill="E9E9E9"/>
          </w:tcPr>
          <w:p>
            <w:pPr>
              <w:spacing w:after="0"/>
              <w:rPr>
                <w:sz w:val="18"/>
                <w:szCs w:val="18"/>
                <w:color w:val="auto"/>
              </w:rPr>
            </w:pPr>
          </w:p>
        </w:tc>
        <w:tc>
          <w:tcPr>
            <w:tcW w:w="3140" w:type="dxa"/>
            <w:vAlign w:val="bottom"/>
            <w:shd w:val="clear" w:color="auto" w:fill="E9E9E9"/>
          </w:tcPr>
          <w:p>
            <w:pPr>
              <w:ind w:left="360"/>
              <w:spacing w:after="0"/>
              <w:rPr>
                <w:sz w:val="20"/>
                <w:szCs w:val="20"/>
                <w:color w:val="auto"/>
              </w:rPr>
            </w:pPr>
            <w:r>
              <w:rPr>
                <w:rFonts w:ascii="Arial" w:cs="Arial" w:eastAsia="Arial" w:hAnsi="Arial"/>
                <w:sz w:val="16"/>
                <w:szCs w:val="16"/>
                <w:color w:val="auto"/>
              </w:rPr>
              <w:t>respect to restricted stock units</w:t>
            </w:r>
          </w:p>
        </w:tc>
        <w:tc>
          <w:tcPr>
            <w:tcW w:w="2920" w:type="dxa"/>
            <w:vAlign w:val="bottom"/>
            <w:shd w:val="clear" w:color="auto" w:fill="E9E9E9"/>
          </w:tcPr>
          <w:p>
            <w:pPr>
              <w:ind w:left="160"/>
              <w:spacing w:after="0"/>
              <w:rPr>
                <w:sz w:val="20"/>
                <w:szCs w:val="20"/>
                <w:color w:val="auto"/>
              </w:rPr>
            </w:pPr>
            <w:r>
              <w:rPr>
                <w:rFonts w:ascii="Arial" w:cs="Arial" w:eastAsia="Arial" w:hAnsi="Arial"/>
                <w:sz w:val="16"/>
                <w:szCs w:val="16"/>
                <w:color w:val="auto"/>
              </w:rPr>
              <w:t>restricted stock units, generally</w:t>
            </w:r>
          </w:p>
        </w:tc>
        <w:tc>
          <w:tcPr>
            <w:tcW w:w="2820" w:type="dxa"/>
            <w:vAlign w:val="bottom"/>
            <w:shd w:val="clear" w:color="auto" w:fill="E9E9E9"/>
          </w:tcPr>
          <w:p>
            <w:pPr>
              <w:ind w:left="160"/>
              <w:spacing w:after="0"/>
              <w:rPr>
                <w:sz w:val="20"/>
                <w:szCs w:val="20"/>
                <w:color w:val="auto"/>
              </w:rPr>
            </w:pPr>
            <w:r>
              <w:rPr>
                <w:rFonts w:ascii="Arial" w:cs="Arial" w:eastAsia="Arial" w:hAnsi="Arial"/>
                <w:sz w:val="16"/>
                <w:szCs w:val="16"/>
                <w:color w:val="auto"/>
              </w:rPr>
              <w:t>summarized on pages 84-85. The</w:t>
            </w:r>
          </w:p>
        </w:tc>
      </w:tr>
      <w:tr>
        <w:trPr>
          <w:trHeight w:val="218"/>
        </w:trPr>
        <w:tc>
          <w:tcPr>
            <w:tcW w:w="2560" w:type="dxa"/>
            <w:vAlign w:val="bottom"/>
            <w:shd w:val="clear" w:color="auto" w:fill="E9E9E9"/>
          </w:tcPr>
          <w:p>
            <w:pPr>
              <w:spacing w:after="0"/>
              <w:rPr>
                <w:sz w:val="18"/>
                <w:szCs w:val="18"/>
                <w:color w:val="auto"/>
              </w:rPr>
            </w:pPr>
          </w:p>
        </w:tc>
        <w:tc>
          <w:tcPr>
            <w:tcW w:w="3140" w:type="dxa"/>
            <w:vAlign w:val="bottom"/>
            <w:shd w:val="clear" w:color="auto" w:fill="E9E9E9"/>
          </w:tcPr>
          <w:p>
            <w:pPr>
              <w:spacing w:after="0"/>
              <w:rPr>
                <w:sz w:val="18"/>
                <w:szCs w:val="18"/>
                <w:color w:val="auto"/>
              </w:rPr>
            </w:pPr>
          </w:p>
        </w:tc>
        <w:tc>
          <w:tcPr>
            <w:tcW w:w="2920" w:type="dxa"/>
            <w:vAlign w:val="bottom"/>
            <w:shd w:val="clear" w:color="auto" w:fill="E9E9E9"/>
          </w:tcPr>
          <w:p>
            <w:pPr>
              <w:ind w:left="160"/>
              <w:spacing w:after="0"/>
              <w:rPr>
                <w:sz w:val="20"/>
                <w:szCs w:val="20"/>
                <w:color w:val="auto"/>
              </w:rPr>
            </w:pPr>
            <w:r>
              <w:rPr>
                <w:rFonts w:ascii="Arial" w:cs="Arial" w:eastAsia="Arial" w:hAnsi="Arial"/>
                <w:sz w:val="16"/>
                <w:szCs w:val="16"/>
                <w:color w:val="auto"/>
              </w:rPr>
              <w:t>targeted at the median level of equity</w:t>
            </w:r>
          </w:p>
        </w:tc>
        <w:tc>
          <w:tcPr>
            <w:tcW w:w="2820" w:type="dxa"/>
            <w:vAlign w:val="bottom"/>
            <w:shd w:val="clear" w:color="auto" w:fill="E9E9E9"/>
          </w:tcPr>
          <w:p>
            <w:pPr>
              <w:ind w:left="160"/>
              <w:spacing w:after="0"/>
              <w:rPr>
                <w:sz w:val="20"/>
                <w:szCs w:val="20"/>
                <w:color w:val="auto"/>
              </w:rPr>
            </w:pPr>
            <w:r>
              <w:rPr>
                <w:rFonts w:ascii="Arial" w:cs="Arial" w:eastAsia="Arial" w:hAnsi="Arial"/>
                <w:sz w:val="16"/>
                <w:szCs w:val="16"/>
                <w:color w:val="auto"/>
              </w:rPr>
              <w:t>committee’s grant procedures are</w:t>
            </w:r>
          </w:p>
        </w:tc>
      </w:tr>
      <w:tr>
        <w:trPr>
          <w:trHeight w:val="218"/>
        </w:trPr>
        <w:tc>
          <w:tcPr>
            <w:tcW w:w="2560" w:type="dxa"/>
            <w:vAlign w:val="bottom"/>
            <w:shd w:val="clear" w:color="auto" w:fill="E9E9E9"/>
          </w:tcPr>
          <w:p>
            <w:pPr>
              <w:spacing w:after="0"/>
              <w:rPr>
                <w:sz w:val="18"/>
                <w:szCs w:val="18"/>
                <w:color w:val="auto"/>
              </w:rPr>
            </w:pPr>
          </w:p>
        </w:tc>
        <w:tc>
          <w:tcPr>
            <w:tcW w:w="3140" w:type="dxa"/>
            <w:vAlign w:val="bottom"/>
            <w:shd w:val="clear" w:color="auto" w:fill="E9E9E9"/>
          </w:tcPr>
          <w:p>
            <w:pPr>
              <w:spacing w:after="0"/>
              <w:rPr>
                <w:sz w:val="18"/>
                <w:szCs w:val="18"/>
                <w:color w:val="auto"/>
              </w:rPr>
            </w:pPr>
          </w:p>
        </w:tc>
        <w:tc>
          <w:tcPr>
            <w:tcW w:w="2920" w:type="dxa"/>
            <w:vAlign w:val="bottom"/>
            <w:shd w:val="clear" w:color="auto" w:fill="E9E9E9"/>
          </w:tcPr>
          <w:p>
            <w:pPr>
              <w:ind w:left="160"/>
              <w:spacing w:after="0"/>
              <w:rPr>
                <w:sz w:val="20"/>
                <w:szCs w:val="20"/>
                <w:color w:val="auto"/>
              </w:rPr>
            </w:pPr>
            <w:r>
              <w:rPr>
                <w:rFonts w:ascii="Arial" w:cs="Arial" w:eastAsia="Arial" w:hAnsi="Arial"/>
                <w:sz w:val="16"/>
                <w:szCs w:val="16"/>
                <w:color w:val="auto"/>
              </w:rPr>
              <w:t>compensation awarded to executives</w:t>
            </w:r>
          </w:p>
        </w:tc>
        <w:tc>
          <w:tcPr>
            <w:tcW w:w="2820" w:type="dxa"/>
            <w:vAlign w:val="bottom"/>
            <w:shd w:val="clear" w:color="auto" w:fill="E9E9E9"/>
          </w:tcPr>
          <w:p>
            <w:pPr>
              <w:ind w:left="160"/>
              <w:spacing w:after="0"/>
              <w:rPr>
                <w:sz w:val="20"/>
                <w:szCs w:val="20"/>
                <w:color w:val="auto"/>
              </w:rPr>
            </w:pPr>
            <w:r>
              <w:rPr>
                <w:rFonts w:ascii="Arial" w:cs="Arial" w:eastAsia="Arial" w:hAnsi="Arial"/>
                <w:sz w:val="16"/>
                <w:szCs w:val="16"/>
                <w:color w:val="auto"/>
              </w:rPr>
              <w:t>described on page 76.</w:t>
            </w:r>
          </w:p>
        </w:tc>
      </w:tr>
      <w:tr>
        <w:trPr>
          <w:trHeight w:val="218"/>
        </w:trPr>
        <w:tc>
          <w:tcPr>
            <w:tcW w:w="2560" w:type="dxa"/>
            <w:vAlign w:val="bottom"/>
            <w:shd w:val="clear" w:color="auto" w:fill="E9E9E9"/>
          </w:tcPr>
          <w:p>
            <w:pPr>
              <w:spacing w:after="0"/>
              <w:rPr>
                <w:sz w:val="18"/>
                <w:szCs w:val="18"/>
                <w:color w:val="auto"/>
              </w:rPr>
            </w:pPr>
          </w:p>
        </w:tc>
        <w:tc>
          <w:tcPr>
            <w:tcW w:w="3140" w:type="dxa"/>
            <w:vAlign w:val="bottom"/>
            <w:shd w:val="clear" w:color="auto" w:fill="E9E9E9"/>
          </w:tcPr>
          <w:p>
            <w:pPr>
              <w:spacing w:after="0"/>
              <w:rPr>
                <w:sz w:val="18"/>
                <w:szCs w:val="18"/>
                <w:color w:val="auto"/>
              </w:rPr>
            </w:pPr>
          </w:p>
        </w:tc>
        <w:tc>
          <w:tcPr>
            <w:tcW w:w="2920" w:type="dxa"/>
            <w:vAlign w:val="bottom"/>
            <w:shd w:val="clear" w:color="auto" w:fill="E9E9E9"/>
          </w:tcPr>
          <w:p>
            <w:pPr>
              <w:ind w:left="160"/>
              <w:spacing w:after="0"/>
              <w:rPr>
                <w:sz w:val="20"/>
                <w:szCs w:val="20"/>
                <w:color w:val="auto"/>
              </w:rPr>
            </w:pPr>
            <w:r>
              <w:rPr>
                <w:rFonts w:ascii="Arial" w:cs="Arial" w:eastAsia="Arial" w:hAnsi="Arial"/>
                <w:sz w:val="16"/>
                <w:szCs w:val="16"/>
                <w:color w:val="auto"/>
              </w:rPr>
              <w:t>in similar positions at the Comparator</w:t>
            </w:r>
          </w:p>
        </w:tc>
        <w:tc>
          <w:tcPr>
            <w:tcW w:w="2820" w:type="dxa"/>
            <w:vAlign w:val="bottom"/>
            <w:shd w:val="clear" w:color="auto" w:fill="E9E9E9"/>
          </w:tcPr>
          <w:p>
            <w:pPr>
              <w:spacing w:after="0"/>
              <w:rPr>
                <w:sz w:val="18"/>
                <w:szCs w:val="18"/>
                <w:color w:val="auto"/>
              </w:rPr>
            </w:pPr>
          </w:p>
        </w:tc>
      </w:tr>
      <w:tr>
        <w:trPr>
          <w:trHeight w:val="233"/>
        </w:trPr>
        <w:tc>
          <w:tcPr>
            <w:tcW w:w="2560" w:type="dxa"/>
            <w:vAlign w:val="bottom"/>
            <w:shd w:val="clear" w:color="auto" w:fill="E9E9E9"/>
          </w:tcPr>
          <w:p>
            <w:pPr>
              <w:spacing w:after="0"/>
              <w:rPr>
                <w:sz w:val="20"/>
                <w:szCs w:val="20"/>
                <w:color w:val="auto"/>
              </w:rPr>
            </w:pPr>
          </w:p>
        </w:tc>
        <w:tc>
          <w:tcPr>
            <w:tcW w:w="3140" w:type="dxa"/>
            <w:vAlign w:val="bottom"/>
            <w:shd w:val="clear" w:color="auto" w:fill="E9E9E9"/>
          </w:tcPr>
          <w:p>
            <w:pPr>
              <w:spacing w:after="0"/>
              <w:rPr>
                <w:sz w:val="20"/>
                <w:szCs w:val="20"/>
                <w:color w:val="auto"/>
              </w:rPr>
            </w:pPr>
          </w:p>
        </w:tc>
        <w:tc>
          <w:tcPr>
            <w:tcW w:w="2920" w:type="dxa"/>
            <w:vAlign w:val="bottom"/>
            <w:shd w:val="clear" w:color="auto" w:fill="E9E9E9"/>
          </w:tcPr>
          <w:p>
            <w:pPr>
              <w:ind w:left="160"/>
              <w:spacing w:after="0"/>
              <w:rPr>
                <w:sz w:val="20"/>
                <w:szCs w:val="20"/>
                <w:color w:val="auto"/>
              </w:rPr>
            </w:pPr>
            <w:r>
              <w:rPr>
                <w:rFonts w:ascii="Arial" w:cs="Arial" w:eastAsia="Arial" w:hAnsi="Arial"/>
                <w:sz w:val="16"/>
                <w:szCs w:val="16"/>
                <w:color w:val="auto"/>
              </w:rPr>
              <w:t>Group.</w:t>
            </w:r>
          </w:p>
        </w:tc>
        <w:tc>
          <w:tcPr>
            <w:tcW w:w="2820" w:type="dxa"/>
            <w:vAlign w:val="bottom"/>
            <w:shd w:val="clear" w:color="auto" w:fill="E9E9E9"/>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left="3" w:right="260"/>
        <w:spacing w:after="0" w:line="205" w:lineRule="auto"/>
        <w:rPr>
          <w:sz w:val="20"/>
          <w:szCs w:val="20"/>
          <w:color w:val="auto"/>
        </w:rPr>
      </w:pPr>
      <w:r>
        <w:rPr>
          <w:rFonts w:ascii="Arial" w:cs="Arial" w:eastAsia="Arial" w:hAnsi="Arial"/>
          <w:sz w:val="16"/>
          <w:szCs w:val="16"/>
          <w:color w:val="auto"/>
        </w:rPr>
        <w:t>Our executive compensation program is designed to encourage executive officers to pursue strategies that serve the interests of the company and shareholders, and not to promote excessive risk-taking by our executives. It is built on a foundation of sound corporate governance and includes:</w:t>
      </w:r>
    </w:p>
    <w:p>
      <w:pPr>
        <w:spacing w:after="0" w:line="1" w:lineRule="exact"/>
        <w:rPr>
          <w:sz w:val="20"/>
          <w:szCs w:val="20"/>
          <w:color w:val="auto"/>
        </w:rPr>
      </w:pPr>
    </w:p>
    <w:p>
      <w:pPr>
        <w:ind w:left="483"/>
        <w:spacing w:after="0"/>
        <w:rPr>
          <w:sz w:val="20"/>
          <w:szCs w:val="20"/>
          <w:color w:val="auto"/>
        </w:rPr>
      </w:pPr>
      <w:r>
        <w:rPr>
          <w:rFonts w:ascii="Arial" w:cs="Arial" w:eastAsia="Arial" w:hAnsi="Arial"/>
          <w:sz w:val="16"/>
          <w:szCs w:val="16"/>
          <w:color w:val="auto"/>
        </w:rPr>
        <w:t>Executive officers do not have employment contracts and are not guaranteed salary increases or bonus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6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3" w:right="340"/>
        <w:spacing w:after="0" w:line="253" w:lineRule="auto"/>
        <w:rPr>
          <w:sz w:val="20"/>
          <w:szCs w:val="20"/>
          <w:color w:val="auto"/>
        </w:rPr>
      </w:pPr>
      <w:r>
        <w:rPr>
          <w:rFonts w:ascii="Arial" w:cs="Arial" w:eastAsia="Arial" w:hAnsi="Arial"/>
          <w:sz w:val="16"/>
          <w:szCs w:val="16"/>
          <w:color w:val="auto"/>
        </w:rPr>
        <w:t>We have never repriced stock options. We do not grant reload options. We grant equity compensation with double-trigger change-in-control terms, which accelerate the vesting of grants only if the grantee has been terminated involuntarily within a limited time after a change in control of the company. Bonus and equity compensation awards are subject to clawback under the committee’s policy described on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-337185</wp:posOffset>
            </wp:positionV>
            <wp:extent cx="56515" cy="56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-90805</wp:posOffset>
            </wp:positionV>
            <wp:extent cx="56515" cy="56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3"/>
        <w:spacing w:after="0"/>
        <w:rPr>
          <w:sz w:val="20"/>
          <w:szCs w:val="20"/>
          <w:color w:val="auto"/>
        </w:rPr>
      </w:pPr>
      <w:r>
        <w:rPr>
          <w:rFonts w:ascii="Arial" w:cs="Arial" w:eastAsia="Arial" w:hAnsi="Arial"/>
          <w:sz w:val="15"/>
          <w:szCs w:val="15"/>
          <w:color w:val="auto"/>
        </w:rPr>
        <w:t>We do not provide excessive perquisites. Those few we do provide are designed to help executives remain focused on their work at TI or for personal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-77470</wp:posOffset>
            </wp:positionV>
            <wp:extent cx="56515" cy="56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 w:lineRule="exact"/>
        <w:rPr>
          <w:sz w:val="20"/>
          <w:szCs w:val="20"/>
          <w:color w:val="auto"/>
        </w:rPr>
      </w:pPr>
    </w:p>
    <w:p>
      <w:pPr>
        <w:ind w:left="483"/>
        <w:spacing w:after="0"/>
        <w:rPr>
          <w:sz w:val="20"/>
          <w:szCs w:val="20"/>
          <w:color w:val="auto"/>
        </w:rPr>
      </w:pPr>
      <w:r>
        <w:rPr>
          <w:rFonts w:ascii="Arial" w:cs="Arial" w:eastAsia="Arial" w:hAnsi="Arial"/>
          <w:sz w:val="16"/>
          <w:szCs w:val="16"/>
          <w:color w:val="auto"/>
        </w:rPr>
        <w:t>We do not provide tax gross-ups for perquisites.</w:t>
      </w:r>
    </w:p>
    <w:p>
      <w:pPr>
        <w:spacing w:after="0" w:line="10" w:lineRule="exact"/>
        <w:rPr>
          <w:sz w:val="20"/>
          <w:szCs w:val="20"/>
          <w:color w:val="auto"/>
        </w:rPr>
      </w:pPr>
    </w:p>
    <w:p>
      <w:pPr>
        <w:ind w:left="483"/>
        <w:spacing w:after="0"/>
        <w:rPr>
          <w:sz w:val="20"/>
          <w:szCs w:val="20"/>
          <w:color w:val="auto"/>
        </w:rPr>
      </w:pPr>
      <w:r>
        <w:rPr>
          <w:rFonts w:ascii="Arial" w:cs="Arial" w:eastAsia="Arial" w:hAnsi="Arial"/>
          <w:sz w:val="16"/>
          <w:szCs w:val="16"/>
          <w:color w:val="auto"/>
        </w:rPr>
        <w:t>We do not guarantee a return or provide above-market returns on compensation that has been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6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3" w:right="800"/>
        <w:spacing w:after="0" w:line="249" w:lineRule="auto"/>
        <w:rPr>
          <w:sz w:val="20"/>
          <w:szCs w:val="20"/>
          <w:color w:val="auto"/>
        </w:rPr>
      </w:pPr>
      <w:r>
        <w:rPr>
          <w:rFonts w:ascii="Arial" w:cs="Arial" w:eastAsia="Arial" w:hAnsi="Arial"/>
          <w:sz w:val="16"/>
          <w:szCs w:val="16"/>
          <w:color w:val="auto"/>
        </w:rPr>
        <w:t>Pension benefits are calculated on salary and bonus only; the proceeds earned on equity or other performance awards are not part of the pension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-210185</wp:posOffset>
            </wp:positionV>
            <wp:extent cx="56515" cy="56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3"/>
        <w:spacing w:after="0"/>
        <w:rPr>
          <w:sz w:val="20"/>
          <w:szCs w:val="20"/>
          <w:color w:val="auto"/>
        </w:rPr>
      </w:pPr>
      <w:r>
        <w:rPr>
          <w:rFonts w:ascii="Arial" w:cs="Arial" w:eastAsia="Arial" w:hAnsi="Arial"/>
          <w:sz w:val="16"/>
          <w:szCs w:val="16"/>
          <w:color w:val="auto"/>
        </w:rPr>
        <w:t>____________________</w:t>
      </w:r>
    </w:p>
    <w:p>
      <w:pPr>
        <w:spacing w:after="0" w:line="209" w:lineRule="exact"/>
        <w:rPr>
          <w:sz w:val="20"/>
          <w:szCs w:val="20"/>
          <w:color w:val="auto"/>
        </w:rPr>
      </w:pPr>
    </w:p>
    <w:p>
      <w:pPr>
        <w:ind w:left="283" w:right="180" w:hanging="283"/>
        <w:spacing w:after="0" w:line="243" w:lineRule="auto"/>
        <w:tabs>
          <w:tab w:leader="none" w:pos="2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shareholder return refers to the percentage change in the value of a stockholder’s investment in a company over the relevant time period, as determined by dividends paid and the change in the company’s share price during the period. See page 74.</w:t>
      </w:r>
    </w:p>
    <w:p>
      <w:pPr>
        <w:spacing w:after="0" w:line="253" w:lineRule="exact"/>
        <w:rPr>
          <w:sz w:val="20"/>
          <w:szCs w:val="20"/>
          <w:color w:val="auto"/>
        </w:rPr>
      </w:pPr>
    </w:p>
    <w:p>
      <w:pPr>
        <w:ind w:left="3"/>
        <w:spacing w:after="0"/>
        <w:tabs>
          <w:tab w:leader="none" w:pos="10103" w:val="left"/>
        </w:tabs>
        <w:rPr>
          <w:sz w:val="20"/>
          <w:szCs w:val="20"/>
          <w:color w:val="auto"/>
        </w:rPr>
      </w:pPr>
      <w:r>
        <w:rPr>
          <w:rFonts w:ascii="Arial" w:cs="Arial" w:eastAsia="Arial" w:hAnsi="Arial"/>
          <w:sz w:val="12"/>
          <w:szCs w:val="12"/>
          <w:b w:val="1"/>
          <w:bCs w:val="1"/>
          <w:color w:val="auto"/>
        </w:rPr>
        <w:t xml:space="preserve">70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380" w:right="219" w:bottom="1440" w:gutter="0" w:footer="0" w:header="0"/>
          <w:type w:val="continuous"/>
        </w:sectPr>
      </w:pPr>
    </w:p>
    <w:bookmarkStart w:id="17" w:name="page18"/>
    <w:bookmarkEnd w:id="17"/>
    <w:p>
      <w:pPr>
        <w:ind w:left="3"/>
        <w:spacing w:after="0"/>
        <w:rPr>
          <w:sz w:val="20"/>
          <w:szCs w:val="20"/>
          <w:color w:val="auto"/>
        </w:rPr>
      </w:pPr>
      <w:r>
        <w:rPr>
          <w:rFonts w:ascii="Arial" w:cs="Arial" w:eastAsia="Arial" w:hAnsi="Arial"/>
          <w:sz w:val="16"/>
          <w:szCs w:val="16"/>
          <w:u w:val="single" w:color="auto"/>
          <w:color w:val="auto"/>
        </w:rPr>
        <w:t>Comparator group</w:t>
      </w:r>
    </w:p>
    <w:p>
      <w:pPr>
        <w:ind w:left="3" w:right="40"/>
        <w:spacing w:after="0" w:line="239" w:lineRule="auto"/>
        <w:rPr>
          <w:sz w:val="20"/>
          <w:szCs w:val="20"/>
          <w:color w:val="auto"/>
        </w:rPr>
      </w:pPr>
      <w:r>
        <w:rPr>
          <w:rFonts w:ascii="Arial" w:cs="Arial" w:eastAsia="Arial" w:hAnsi="Arial"/>
          <w:sz w:val="16"/>
          <w:szCs w:val="16"/>
          <w:color w:val="auto"/>
        </w:rPr>
        <w:t>The Compensation Committee considers the market level of compensation when setting the salary, bonuses and equity compensation of the executive officers. The committee targets salary slightly below market median in order to weight total compensation to performance-based elements.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19" w:lineRule="exact"/>
        <w:rPr>
          <w:sz w:val="20"/>
          <w:szCs w:val="20"/>
          <w:color w:val="auto"/>
        </w:rPr>
      </w:pPr>
    </w:p>
    <w:p>
      <w:pPr>
        <w:ind w:left="3" w:right="400" w:firstLine="243"/>
        <w:spacing w:after="0" w:line="248" w:lineRule="auto"/>
        <w:rPr>
          <w:sz w:val="20"/>
          <w:szCs w:val="20"/>
          <w:color w:val="auto"/>
        </w:rPr>
      </w:pPr>
      <w:r>
        <w:rPr>
          <w:rFonts w:ascii="Arial" w:cs="Arial" w:eastAsia="Arial" w:hAnsi="Arial"/>
          <w:sz w:val="16"/>
          <w:szCs w:val="16"/>
          <w:color w:val="auto"/>
        </w:rPr>
        <w:t>The committee sets the Comparator Group. In general, the Comparator Group companies (1) are U.S.-based, (2) engage in the semiconductor business or other electronics or information technology activities, (3) have executive positions comparable in complexity to those of TI and (4) use forms of executive compensation comparable to TI’s.</w:t>
      </w:r>
    </w:p>
    <w:p>
      <w:pPr>
        <w:spacing w:after="0" w:line="12" w:lineRule="exact"/>
        <w:rPr>
          <w:sz w:val="20"/>
          <w:szCs w:val="20"/>
          <w:color w:val="auto"/>
        </w:rPr>
      </w:pPr>
    </w:p>
    <w:p>
      <w:pPr>
        <w:ind w:left="3" w:right="440" w:firstLine="243"/>
        <w:spacing w:after="0" w:line="259" w:lineRule="auto"/>
        <w:rPr>
          <w:sz w:val="20"/>
          <w:szCs w:val="20"/>
          <w:color w:val="auto"/>
        </w:rPr>
      </w:pPr>
      <w:r>
        <w:rPr>
          <w:rFonts w:ascii="Arial" w:cs="Arial" w:eastAsia="Arial" w:hAnsi="Arial"/>
          <w:sz w:val="16"/>
          <w:szCs w:val="16"/>
          <w:color w:val="auto"/>
        </w:rPr>
        <w:t>Shown in the table below is the Comparator Group used for the compensation decisions for 2011 (base salary, equity compensation and bonus). The table compares the group to TI in terms of revenue and market capitalization.</w:t>
      </w:r>
    </w:p>
    <w:p>
      <w:pPr>
        <w:spacing w:after="0" w:line="192"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5100" w:type="dxa"/>
            <w:vAlign w:val="bottom"/>
          </w:tcPr>
          <w:p>
            <w:pPr>
              <w:spacing w:after="0"/>
              <w:rPr>
                <w:sz w:val="13"/>
                <w:szCs w:val="13"/>
                <w:color w:val="auto"/>
              </w:rPr>
            </w:pPr>
          </w:p>
        </w:tc>
        <w:tc>
          <w:tcPr>
            <w:tcW w:w="3640" w:type="dxa"/>
            <w:vAlign w:val="bottom"/>
          </w:tcPr>
          <w:p>
            <w:pPr>
              <w:jc w:val="right"/>
              <w:ind w:right="263"/>
              <w:spacing w:after="0"/>
              <w:rPr>
                <w:sz w:val="20"/>
                <w:szCs w:val="20"/>
                <w:color w:val="auto"/>
              </w:rPr>
            </w:pPr>
            <w:r>
              <w:rPr>
                <w:rFonts w:ascii="Arial" w:cs="Arial" w:eastAsia="Arial" w:hAnsi="Arial"/>
                <w:sz w:val="12"/>
                <w:szCs w:val="12"/>
                <w:b w:val="1"/>
                <w:bCs w:val="1"/>
                <w:color w:val="auto"/>
              </w:rPr>
              <w:t>Revenue</w:t>
            </w:r>
          </w:p>
        </w:tc>
        <w:tc>
          <w:tcPr>
            <w:tcW w:w="1260" w:type="dxa"/>
            <w:vAlign w:val="bottom"/>
          </w:tcPr>
          <w:p>
            <w:pPr>
              <w:jc w:val="right"/>
              <w:ind w:right="263"/>
              <w:spacing w:after="0"/>
              <w:rPr>
                <w:sz w:val="20"/>
                <w:szCs w:val="20"/>
                <w:color w:val="auto"/>
              </w:rPr>
            </w:pPr>
            <w:r>
              <w:rPr>
                <w:rFonts w:ascii="Arial" w:cs="Arial" w:eastAsia="Arial" w:hAnsi="Arial"/>
                <w:sz w:val="12"/>
                <w:szCs w:val="12"/>
                <w:b w:val="1"/>
                <w:bCs w:val="1"/>
                <w:color w:val="auto"/>
              </w:rPr>
              <w:t>Market Cap</w:t>
            </w:r>
          </w:p>
        </w:tc>
        <w:tc>
          <w:tcPr>
            <w:tcW w:w="1440" w:type="dxa"/>
            <w:vAlign w:val="bottom"/>
          </w:tcPr>
          <w:p>
            <w:pPr>
              <w:spacing w:after="0"/>
              <w:rPr>
                <w:sz w:val="13"/>
                <w:szCs w:val="13"/>
                <w:color w:val="auto"/>
              </w:rPr>
            </w:pPr>
          </w:p>
        </w:tc>
      </w:tr>
      <w:tr>
        <w:trPr>
          <w:trHeight w:val="218"/>
        </w:trPr>
        <w:tc>
          <w:tcPr>
            <w:tcW w:w="5100" w:type="dxa"/>
            <w:vAlign w:val="bottom"/>
          </w:tcPr>
          <w:p>
            <w:pPr>
              <w:spacing w:after="0"/>
              <w:rPr>
                <w:sz w:val="20"/>
                <w:szCs w:val="20"/>
                <w:color w:val="auto"/>
              </w:rPr>
            </w:pPr>
            <w:r>
              <w:rPr>
                <w:rFonts w:ascii="Arial" w:cs="Arial" w:eastAsia="Arial" w:hAnsi="Arial"/>
                <w:sz w:val="12"/>
                <w:szCs w:val="12"/>
                <w:b w:val="1"/>
                <w:bCs w:val="1"/>
                <w:color w:val="auto"/>
              </w:rPr>
              <w:t>Company</w:t>
            </w:r>
          </w:p>
        </w:tc>
        <w:tc>
          <w:tcPr>
            <w:tcW w:w="3640" w:type="dxa"/>
            <w:vAlign w:val="bottom"/>
          </w:tcPr>
          <w:p>
            <w:pPr>
              <w:jc w:val="right"/>
              <w:ind w:right="163"/>
              <w:spacing w:after="0"/>
              <w:rPr>
                <w:sz w:val="20"/>
                <w:szCs w:val="20"/>
                <w:color w:val="auto"/>
              </w:rPr>
            </w:pPr>
            <w:r>
              <w:rPr>
                <w:rFonts w:ascii="Arial" w:cs="Arial" w:eastAsia="Arial" w:hAnsi="Arial"/>
                <w:sz w:val="12"/>
                <w:szCs w:val="12"/>
                <w:b w:val="1"/>
                <w:bCs w:val="1"/>
                <w:color w:val="auto"/>
              </w:rPr>
              <w:t>($ billion)***</w:t>
            </w:r>
          </w:p>
        </w:tc>
        <w:tc>
          <w:tcPr>
            <w:tcW w:w="1260" w:type="dxa"/>
            <w:vAlign w:val="bottom"/>
          </w:tcPr>
          <w:p>
            <w:pPr>
              <w:jc w:val="right"/>
              <w:ind w:right="243"/>
              <w:spacing w:after="0"/>
              <w:rPr>
                <w:sz w:val="20"/>
                <w:szCs w:val="20"/>
                <w:color w:val="auto"/>
              </w:rPr>
            </w:pPr>
            <w:r>
              <w:rPr>
                <w:rFonts w:ascii="Arial" w:cs="Arial" w:eastAsia="Arial" w:hAnsi="Arial"/>
                <w:sz w:val="12"/>
                <w:szCs w:val="12"/>
                <w:b w:val="1"/>
                <w:bCs w:val="1"/>
                <w:color w:val="auto"/>
              </w:rPr>
              <w:t>($ billion)***</w:t>
            </w:r>
          </w:p>
        </w:tc>
        <w:tc>
          <w:tcPr>
            <w:tcW w:w="1440" w:type="dxa"/>
            <w:vAlign w:val="bottom"/>
          </w:tcPr>
          <w:p>
            <w:pPr>
              <w:ind w:left="300"/>
              <w:spacing w:after="0"/>
              <w:rPr>
                <w:sz w:val="20"/>
                <w:szCs w:val="20"/>
                <w:color w:val="auto"/>
              </w:rPr>
            </w:pPr>
            <w:r>
              <w:rPr>
                <w:rFonts w:ascii="Arial" w:cs="Arial" w:eastAsia="Arial" w:hAnsi="Arial"/>
                <w:sz w:val="12"/>
                <w:szCs w:val="12"/>
                <w:b w:val="1"/>
                <w:bCs w:val="1"/>
                <w:color w:val="auto"/>
              </w:rPr>
              <w:t>Fiscal Year End</w:t>
            </w:r>
          </w:p>
        </w:tc>
      </w:tr>
      <w:tr>
        <w:trPr>
          <w:trHeight w:val="37"/>
        </w:trPr>
        <w:tc>
          <w:tcPr>
            <w:tcW w:w="5100" w:type="dxa"/>
            <w:vAlign w:val="bottom"/>
            <w:tcBorders>
              <w:bottom w:val="single" w:sz="8" w:color="808285"/>
            </w:tcBorders>
          </w:tcPr>
          <w:p>
            <w:pPr>
              <w:spacing w:after="0"/>
              <w:rPr>
                <w:sz w:val="3"/>
                <w:szCs w:val="3"/>
                <w:color w:val="auto"/>
              </w:rPr>
            </w:pPr>
          </w:p>
        </w:tc>
        <w:tc>
          <w:tcPr>
            <w:tcW w:w="3640" w:type="dxa"/>
            <w:vAlign w:val="bottom"/>
            <w:tcBorders>
              <w:bottom w:val="single" w:sz="8" w:color="808285"/>
            </w:tcBorders>
          </w:tcPr>
          <w:p>
            <w:pPr>
              <w:spacing w:after="0"/>
              <w:rPr>
                <w:sz w:val="3"/>
                <w:szCs w:val="3"/>
                <w:color w:val="auto"/>
              </w:rPr>
            </w:pPr>
          </w:p>
        </w:tc>
        <w:tc>
          <w:tcPr>
            <w:tcW w:w="1260" w:type="dxa"/>
            <w:vAlign w:val="bottom"/>
            <w:tcBorders>
              <w:bottom w:val="single" w:sz="8" w:color="808285"/>
            </w:tcBorders>
          </w:tcPr>
          <w:p>
            <w:pPr>
              <w:spacing w:after="0"/>
              <w:rPr>
                <w:sz w:val="3"/>
                <w:szCs w:val="3"/>
                <w:color w:val="auto"/>
              </w:rPr>
            </w:pPr>
          </w:p>
        </w:tc>
        <w:tc>
          <w:tcPr>
            <w:tcW w:w="1440" w:type="dxa"/>
            <w:vAlign w:val="bottom"/>
            <w:tcBorders>
              <w:bottom w:val="single" w:sz="8" w:color="808285"/>
            </w:tcBorders>
          </w:tcPr>
          <w:p>
            <w:pPr>
              <w:spacing w:after="0"/>
              <w:rPr>
                <w:sz w:val="3"/>
                <w:szCs w:val="3"/>
                <w:color w:val="auto"/>
              </w:rPr>
            </w:pPr>
          </w:p>
        </w:tc>
      </w:tr>
      <w:tr>
        <w:trPr>
          <w:trHeight w:val="210"/>
        </w:trPr>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Intel Corporation</w:t>
            </w:r>
          </w:p>
        </w:tc>
        <w:tc>
          <w:tcPr>
            <w:tcW w:w="3640" w:type="dxa"/>
            <w:vAlign w:val="bottom"/>
            <w:shd w:val="clear" w:color="auto" w:fill="E9E9E9"/>
          </w:tcPr>
          <w:p>
            <w:pPr>
              <w:jc w:val="right"/>
              <w:ind w:right="343"/>
              <w:spacing w:after="0"/>
              <w:rPr>
                <w:sz w:val="20"/>
                <w:szCs w:val="20"/>
                <w:color w:val="auto"/>
              </w:rPr>
            </w:pPr>
            <w:r>
              <w:rPr>
                <w:rFonts w:ascii="Arial" w:cs="Arial" w:eastAsia="Arial" w:hAnsi="Arial"/>
                <w:sz w:val="16"/>
                <w:szCs w:val="16"/>
                <w:color w:val="auto"/>
              </w:rPr>
              <w:t>54.0</w:t>
            </w:r>
          </w:p>
        </w:tc>
        <w:tc>
          <w:tcPr>
            <w:tcW w:w="1260" w:type="dxa"/>
            <w:vAlign w:val="bottom"/>
            <w:shd w:val="clear" w:color="auto" w:fill="E9E9E9"/>
          </w:tcPr>
          <w:p>
            <w:pPr>
              <w:jc w:val="right"/>
              <w:ind w:right="383"/>
              <w:spacing w:after="0"/>
              <w:rPr>
                <w:sz w:val="20"/>
                <w:szCs w:val="20"/>
                <w:color w:val="auto"/>
              </w:rPr>
            </w:pPr>
            <w:r>
              <w:rPr>
                <w:rFonts w:ascii="Arial" w:cs="Arial" w:eastAsia="Arial" w:hAnsi="Arial"/>
                <w:sz w:val="16"/>
                <w:szCs w:val="16"/>
                <w:color w:val="auto"/>
              </w:rPr>
              <w:t>123.5</w:t>
            </w:r>
          </w:p>
        </w:tc>
        <w:tc>
          <w:tcPr>
            <w:tcW w:w="1440" w:type="dxa"/>
            <w:vAlign w:val="bottom"/>
            <w:shd w:val="clear" w:color="auto" w:fill="E9E9E9"/>
          </w:tcPr>
          <w:p>
            <w:pPr>
              <w:ind w:left="360"/>
              <w:spacing w:after="0"/>
              <w:rPr>
                <w:sz w:val="20"/>
                <w:szCs w:val="20"/>
                <w:color w:val="auto"/>
              </w:rPr>
            </w:pPr>
            <w:r>
              <w:rPr>
                <w:rFonts w:ascii="Arial" w:cs="Arial" w:eastAsia="Arial" w:hAnsi="Arial"/>
                <w:sz w:val="16"/>
                <w:szCs w:val="16"/>
                <w:color w:val="auto"/>
              </w:rPr>
              <w:t>December</w:t>
            </w: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Cisco Systems, Inc.</w:t>
            </w:r>
          </w:p>
        </w:tc>
        <w:tc>
          <w:tcPr>
            <w:tcW w:w="3640" w:type="dxa"/>
            <w:vAlign w:val="bottom"/>
          </w:tcPr>
          <w:p>
            <w:pPr>
              <w:jc w:val="right"/>
              <w:ind w:right="343"/>
              <w:spacing w:after="0"/>
              <w:rPr>
                <w:sz w:val="20"/>
                <w:szCs w:val="20"/>
                <w:color w:val="auto"/>
              </w:rPr>
            </w:pPr>
            <w:r>
              <w:rPr>
                <w:rFonts w:ascii="Arial" w:cs="Arial" w:eastAsia="Arial" w:hAnsi="Arial"/>
                <w:sz w:val="16"/>
                <w:szCs w:val="16"/>
                <w:color w:val="auto"/>
              </w:rPr>
              <w:t>43.7</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97.2</w:t>
            </w:r>
          </w:p>
        </w:tc>
        <w:tc>
          <w:tcPr>
            <w:tcW w:w="1440" w:type="dxa"/>
            <w:vAlign w:val="bottom"/>
          </w:tcPr>
          <w:p>
            <w:pPr>
              <w:ind w:left="360"/>
              <w:spacing w:after="0"/>
              <w:rPr>
                <w:sz w:val="20"/>
                <w:szCs w:val="20"/>
                <w:color w:val="auto"/>
              </w:rPr>
            </w:pPr>
            <w:r>
              <w:rPr>
                <w:rFonts w:ascii="Arial" w:cs="Arial" w:eastAsia="Arial" w:hAnsi="Arial"/>
                <w:sz w:val="16"/>
                <w:szCs w:val="16"/>
                <w:color w:val="auto"/>
              </w:rPr>
              <w:t>July</w:t>
            </w:r>
          </w:p>
        </w:tc>
      </w:tr>
      <w:tr>
        <w:trPr>
          <w:trHeight w:val="226"/>
        </w:trPr>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Google Inc.</w:t>
            </w:r>
          </w:p>
        </w:tc>
        <w:tc>
          <w:tcPr>
            <w:tcW w:w="3640" w:type="dxa"/>
            <w:vAlign w:val="bottom"/>
            <w:shd w:val="clear" w:color="auto" w:fill="E9E9E9"/>
          </w:tcPr>
          <w:p>
            <w:pPr>
              <w:jc w:val="right"/>
              <w:ind w:right="343"/>
              <w:spacing w:after="0"/>
              <w:rPr>
                <w:sz w:val="20"/>
                <w:szCs w:val="20"/>
                <w:color w:val="auto"/>
              </w:rPr>
            </w:pPr>
            <w:r>
              <w:rPr>
                <w:rFonts w:ascii="Arial" w:cs="Arial" w:eastAsia="Arial" w:hAnsi="Arial"/>
                <w:sz w:val="16"/>
                <w:szCs w:val="16"/>
                <w:color w:val="auto"/>
              </w:rPr>
              <w:t>37.9</w:t>
            </w:r>
          </w:p>
        </w:tc>
        <w:tc>
          <w:tcPr>
            <w:tcW w:w="1260" w:type="dxa"/>
            <w:vAlign w:val="bottom"/>
            <w:shd w:val="clear" w:color="auto" w:fill="E9E9E9"/>
          </w:tcPr>
          <w:p>
            <w:pPr>
              <w:jc w:val="right"/>
              <w:ind w:right="383"/>
              <w:spacing w:after="0"/>
              <w:rPr>
                <w:sz w:val="20"/>
                <w:szCs w:val="20"/>
                <w:color w:val="auto"/>
              </w:rPr>
            </w:pPr>
            <w:r>
              <w:rPr>
                <w:rFonts w:ascii="Arial" w:cs="Arial" w:eastAsia="Arial" w:hAnsi="Arial"/>
                <w:sz w:val="16"/>
                <w:szCs w:val="16"/>
                <w:color w:val="auto"/>
              </w:rPr>
              <w:t>209.2</w:t>
            </w:r>
          </w:p>
        </w:tc>
        <w:tc>
          <w:tcPr>
            <w:tcW w:w="1440" w:type="dxa"/>
            <w:vAlign w:val="bottom"/>
            <w:shd w:val="clear" w:color="auto" w:fill="E9E9E9"/>
          </w:tcPr>
          <w:p>
            <w:pPr>
              <w:ind w:left="360"/>
              <w:spacing w:after="0"/>
              <w:rPr>
                <w:sz w:val="20"/>
                <w:szCs w:val="20"/>
                <w:color w:val="auto"/>
              </w:rPr>
            </w:pPr>
            <w:r>
              <w:rPr>
                <w:rFonts w:ascii="Arial" w:cs="Arial" w:eastAsia="Arial" w:hAnsi="Arial"/>
                <w:sz w:val="16"/>
                <w:szCs w:val="16"/>
                <w:color w:val="auto"/>
              </w:rPr>
              <w:t>December</w:t>
            </w: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Oracle Corporation</w:t>
            </w:r>
          </w:p>
        </w:tc>
        <w:tc>
          <w:tcPr>
            <w:tcW w:w="3640" w:type="dxa"/>
            <w:vAlign w:val="bottom"/>
          </w:tcPr>
          <w:p>
            <w:pPr>
              <w:jc w:val="right"/>
              <w:ind w:right="343"/>
              <w:spacing w:after="0"/>
              <w:rPr>
                <w:sz w:val="20"/>
                <w:szCs w:val="20"/>
                <w:color w:val="auto"/>
              </w:rPr>
            </w:pPr>
            <w:r>
              <w:rPr>
                <w:rFonts w:ascii="Arial" w:cs="Arial" w:eastAsia="Arial" w:hAnsi="Arial"/>
                <w:sz w:val="16"/>
                <w:szCs w:val="16"/>
                <w:color w:val="auto"/>
              </w:rPr>
              <w:t>36.7</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128.9</w:t>
            </w:r>
          </w:p>
        </w:tc>
        <w:tc>
          <w:tcPr>
            <w:tcW w:w="1440" w:type="dxa"/>
            <w:vAlign w:val="bottom"/>
          </w:tcPr>
          <w:p>
            <w:pPr>
              <w:ind w:left="360"/>
              <w:spacing w:after="0"/>
              <w:rPr>
                <w:sz w:val="20"/>
                <w:szCs w:val="20"/>
                <w:color w:val="auto"/>
              </w:rPr>
            </w:pPr>
            <w:r>
              <w:rPr>
                <w:rFonts w:ascii="Arial" w:cs="Arial" w:eastAsia="Arial" w:hAnsi="Arial"/>
                <w:sz w:val="16"/>
                <w:szCs w:val="16"/>
                <w:color w:val="auto"/>
              </w:rPr>
              <w:t>May</w:t>
            </w:r>
          </w:p>
        </w:tc>
      </w:tr>
      <w:tr>
        <w:trPr>
          <w:trHeight w:val="226"/>
        </w:trPr>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Emerson Electric Co.</w:t>
            </w:r>
          </w:p>
        </w:tc>
        <w:tc>
          <w:tcPr>
            <w:tcW w:w="3640" w:type="dxa"/>
            <w:vAlign w:val="bottom"/>
            <w:shd w:val="clear" w:color="auto" w:fill="E9E9E9"/>
          </w:tcPr>
          <w:p>
            <w:pPr>
              <w:jc w:val="right"/>
              <w:ind w:right="343"/>
              <w:spacing w:after="0"/>
              <w:rPr>
                <w:sz w:val="20"/>
                <w:szCs w:val="20"/>
                <w:color w:val="auto"/>
              </w:rPr>
            </w:pPr>
            <w:r>
              <w:rPr>
                <w:rFonts w:ascii="Arial" w:cs="Arial" w:eastAsia="Arial" w:hAnsi="Arial"/>
                <w:sz w:val="16"/>
                <w:szCs w:val="16"/>
                <w:color w:val="auto"/>
              </w:rPr>
              <w:t>24.2</w:t>
            </w:r>
          </w:p>
        </w:tc>
        <w:tc>
          <w:tcPr>
            <w:tcW w:w="1260" w:type="dxa"/>
            <w:vAlign w:val="bottom"/>
            <w:shd w:val="clear" w:color="auto" w:fill="E9E9E9"/>
          </w:tcPr>
          <w:p>
            <w:pPr>
              <w:jc w:val="right"/>
              <w:ind w:right="383"/>
              <w:spacing w:after="0"/>
              <w:rPr>
                <w:sz w:val="20"/>
                <w:szCs w:val="20"/>
                <w:color w:val="auto"/>
              </w:rPr>
            </w:pPr>
            <w:r>
              <w:rPr>
                <w:rFonts w:ascii="Arial" w:cs="Arial" w:eastAsia="Arial" w:hAnsi="Arial"/>
                <w:sz w:val="16"/>
                <w:szCs w:val="16"/>
                <w:color w:val="auto"/>
              </w:rPr>
              <w:t>34.3</w:t>
            </w:r>
          </w:p>
        </w:tc>
        <w:tc>
          <w:tcPr>
            <w:tcW w:w="1440" w:type="dxa"/>
            <w:vAlign w:val="bottom"/>
            <w:shd w:val="clear" w:color="auto" w:fill="E9E9E9"/>
          </w:tcPr>
          <w:p>
            <w:pPr>
              <w:ind w:left="360"/>
              <w:spacing w:after="0"/>
              <w:rPr>
                <w:sz w:val="20"/>
                <w:szCs w:val="20"/>
                <w:color w:val="auto"/>
              </w:rPr>
            </w:pPr>
            <w:r>
              <w:rPr>
                <w:rFonts w:ascii="Arial" w:cs="Arial" w:eastAsia="Arial" w:hAnsi="Arial"/>
                <w:sz w:val="16"/>
                <w:szCs w:val="16"/>
                <w:color w:val="auto"/>
              </w:rPr>
              <w:t>September</w:t>
            </w: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Xerox Corporation</w:t>
            </w:r>
          </w:p>
        </w:tc>
        <w:tc>
          <w:tcPr>
            <w:tcW w:w="3640" w:type="dxa"/>
            <w:vAlign w:val="bottom"/>
          </w:tcPr>
          <w:p>
            <w:pPr>
              <w:jc w:val="right"/>
              <w:ind w:right="343"/>
              <w:spacing w:after="0"/>
              <w:rPr>
                <w:sz w:val="20"/>
                <w:szCs w:val="20"/>
                <w:color w:val="auto"/>
              </w:rPr>
            </w:pPr>
            <w:r>
              <w:rPr>
                <w:rFonts w:ascii="Arial" w:cs="Arial" w:eastAsia="Arial" w:hAnsi="Arial"/>
                <w:sz w:val="16"/>
                <w:szCs w:val="16"/>
                <w:color w:val="auto"/>
              </w:rPr>
              <w:t>22.6</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10.8</w:t>
            </w:r>
          </w:p>
        </w:tc>
        <w:tc>
          <w:tcPr>
            <w:tcW w:w="1440" w:type="dxa"/>
            <w:vAlign w:val="bottom"/>
          </w:tcPr>
          <w:p>
            <w:pPr>
              <w:ind w:left="360"/>
              <w:spacing w:after="0"/>
              <w:rPr>
                <w:sz w:val="20"/>
                <w:szCs w:val="20"/>
                <w:color w:val="auto"/>
              </w:rPr>
            </w:pPr>
            <w:r>
              <w:rPr>
                <w:rFonts w:ascii="Arial" w:cs="Arial" w:eastAsia="Arial" w:hAnsi="Arial"/>
                <w:sz w:val="16"/>
                <w:szCs w:val="16"/>
                <w:color w:val="auto"/>
              </w:rPr>
              <w:t>December</w:t>
            </w:r>
          </w:p>
        </w:tc>
      </w:tr>
      <w:tr>
        <w:trPr>
          <w:trHeight w:val="226"/>
        </w:trPr>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EMC Corporation</w:t>
            </w:r>
          </w:p>
        </w:tc>
        <w:tc>
          <w:tcPr>
            <w:tcW w:w="3640" w:type="dxa"/>
            <w:vAlign w:val="bottom"/>
            <w:shd w:val="clear" w:color="auto" w:fill="E9E9E9"/>
          </w:tcPr>
          <w:p>
            <w:pPr>
              <w:jc w:val="right"/>
              <w:ind w:right="343"/>
              <w:spacing w:after="0"/>
              <w:rPr>
                <w:sz w:val="20"/>
                <w:szCs w:val="20"/>
                <w:color w:val="auto"/>
              </w:rPr>
            </w:pPr>
            <w:r>
              <w:rPr>
                <w:rFonts w:ascii="Arial" w:cs="Arial" w:eastAsia="Arial" w:hAnsi="Arial"/>
                <w:sz w:val="16"/>
                <w:szCs w:val="16"/>
                <w:color w:val="auto"/>
              </w:rPr>
              <w:t>20.0</w:t>
            </w:r>
          </w:p>
        </w:tc>
        <w:tc>
          <w:tcPr>
            <w:tcW w:w="1260" w:type="dxa"/>
            <w:vAlign w:val="bottom"/>
            <w:shd w:val="clear" w:color="auto" w:fill="E9E9E9"/>
          </w:tcPr>
          <w:p>
            <w:pPr>
              <w:jc w:val="right"/>
              <w:ind w:right="383"/>
              <w:spacing w:after="0"/>
              <w:rPr>
                <w:sz w:val="20"/>
                <w:szCs w:val="20"/>
                <w:color w:val="auto"/>
              </w:rPr>
            </w:pPr>
            <w:r>
              <w:rPr>
                <w:rFonts w:ascii="Arial" w:cs="Arial" w:eastAsia="Arial" w:hAnsi="Arial"/>
                <w:sz w:val="16"/>
                <w:szCs w:val="16"/>
                <w:color w:val="auto"/>
              </w:rPr>
              <w:t>43.9</w:t>
            </w:r>
          </w:p>
        </w:tc>
        <w:tc>
          <w:tcPr>
            <w:tcW w:w="1440" w:type="dxa"/>
            <w:vAlign w:val="bottom"/>
            <w:shd w:val="clear" w:color="auto" w:fill="E9E9E9"/>
          </w:tcPr>
          <w:p>
            <w:pPr>
              <w:ind w:left="360"/>
              <w:spacing w:after="0"/>
              <w:rPr>
                <w:sz w:val="20"/>
                <w:szCs w:val="20"/>
                <w:color w:val="auto"/>
              </w:rPr>
            </w:pPr>
            <w:r>
              <w:rPr>
                <w:rFonts w:ascii="Arial" w:cs="Arial" w:eastAsia="Arial" w:hAnsi="Arial"/>
                <w:sz w:val="16"/>
                <w:szCs w:val="16"/>
                <w:color w:val="auto"/>
              </w:rPr>
              <w:t>December</w:t>
            </w: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Computer Sciences Corporation</w:t>
            </w:r>
          </w:p>
        </w:tc>
        <w:tc>
          <w:tcPr>
            <w:tcW w:w="3640" w:type="dxa"/>
            <w:vAlign w:val="bottom"/>
          </w:tcPr>
          <w:p>
            <w:pPr>
              <w:jc w:val="right"/>
              <w:ind w:right="343"/>
              <w:spacing w:after="0"/>
              <w:rPr>
                <w:sz w:val="20"/>
                <w:szCs w:val="20"/>
                <w:color w:val="auto"/>
              </w:rPr>
            </w:pPr>
            <w:r>
              <w:rPr>
                <w:rFonts w:ascii="Arial" w:cs="Arial" w:eastAsia="Arial" w:hAnsi="Arial"/>
                <w:sz w:val="16"/>
                <w:szCs w:val="16"/>
                <w:color w:val="auto"/>
              </w:rPr>
              <w:t>16.2</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3.7</w:t>
            </w:r>
          </w:p>
        </w:tc>
        <w:tc>
          <w:tcPr>
            <w:tcW w:w="1440" w:type="dxa"/>
            <w:vAlign w:val="bottom"/>
          </w:tcPr>
          <w:p>
            <w:pPr>
              <w:ind w:left="360"/>
              <w:spacing w:after="0"/>
              <w:rPr>
                <w:sz w:val="20"/>
                <w:szCs w:val="20"/>
                <w:color w:val="auto"/>
              </w:rPr>
            </w:pPr>
            <w:r>
              <w:rPr>
                <w:rFonts w:ascii="Arial" w:cs="Arial" w:eastAsia="Arial" w:hAnsi="Arial"/>
                <w:sz w:val="16"/>
                <w:szCs w:val="16"/>
                <w:color w:val="auto"/>
              </w:rPr>
              <w:t>March</w:t>
            </w:r>
          </w:p>
        </w:tc>
      </w:tr>
      <w:tr>
        <w:trPr>
          <w:trHeight w:val="226"/>
        </w:trPr>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QUALCOMM Corporation</w:t>
            </w:r>
          </w:p>
        </w:tc>
        <w:tc>
          <w:tcPr>
            <w:tcW w:w="3640" w:type="dxa"/>
            <w:vAlign w:val="bottom"/>
            <w:shd w:val="clear" w:color="auto" w:fill="E9E9E9"/>
          </w:tcPr>
          <w:p>
            <w:pPr>
              <w:jc w:val="right"/>
              <w:ind w:right="343"/>
              <w:spacing w:after="0"/>
              <w:rPr>
                <w:sz w:val="20"/>
                <w:szCs w:val="20"/>
                <w:color w:val="auto"/>
              </w:rPr>
            </w:pPr>
            <w:r>
              <w:rPr>
                <w:rFonts w:ascii="Arial" w:cs="Arial" w:eastAsia="Arial" w:hAnsi="Arial"/>
                <w:sz w:val="16"/>
                <w:szCs w:val="16"/>
                <w:color w:val="auto"/>
              </w:rPr>
              <w:t>15.0</w:t>
            </w:r>
          </w:p>
        </w:tc>
        <w:tc>
          <w:tcPr>
            <w:tcW w:w="1260" w:type="dxa"/>
            <w:vAlign w:val="bottom"/>
            <w:shd w:val="clear" w:color="auto" w:fill="E9E9E9"/>
          </w:tcPr>
          <w:p>
            <w:pPr>
              <w:jc w:val="right"/>
              <w:ind w:right="383"/>
              <w:spacing w:after="0"/>
              <w:rPr>
                <w:sz w:val="20"/>
                <w:szCs w:val="20"/>
                <w:color w:val="auto"/>
              </w:rPr>
            </w:pPr>
            <w:r>
              <w:rPr>
                <w:rFonts w:ascii="Arial" w:cs="Arial" w:eastAsia="Arial" w:hAnsi="Arial"/>
                <w:sz w:val="16"/>
                <w:szCs w:val="16"/>
                <w:color w:val="auto"/>
              </w:rPr>
              <w:t>92.3</w:t>
            </w:r>
          </w:p>
        </w:tc>
        <w:tc>
          <w:tcPr>
            <w:tcW w:w="1440" w:type="dxa"/>
            <w:vAlign w:val="bottom"/>
            <w:shd w:val="clear" w:color="auto" w:fill="E9E9E9"/>
          </w:tcPr>
          <w:p>
            <w:pPr>
              <w:ind w:left="360"/>
              <w:spacing w:after="0"/>
              <w:rPr>
                <w:sz w:val="20"/>
                <w:szCs w:val="20"/>
                <w:color w:val="auto"/>
              </w:rPr>
            </w:pPr>
            <w:r>
              <w:rPr>
                <w:rFonts w:ascii="Arial" w:cs="Arial" w:eastAsia="Arial" w:hAnsi="Arial"/>
                <w:sz w:val="16"/>
                <w:szCs w:val="16"/>
                <w:color w:val="auto"/>
              </w:rPr>
              <w:t>September</w:t>
            </w:r>
          </w:p>
        </w:tc>
      </w:tr>
      <w:tr>
        <w:trPr>
          <w:trHeight w:val="204"/>
        </w:trPr>
        <w:tc>
          <w:tcPr>
            <w:tcW w:w="5100" w:type="dxa"/>
            <w:vAlign w:val="bottom"/>
          </w:tcPr>
          <w:p>
            <w:pPr>
              <w:spacing w:after="0"/>
              <w:rPr>
                <w:sz w:val="20"/>
                <w:szCs w:val="20"/>
                <w:color w:val="auto"/>
              </w:rPr>
            </w:pPr>
            <w:r>
              <w:rPr>
                <w:rFonts w:ascii="Arial" w:cs="Arial" w:eastAsia="Arial" w:hAnsi="Arial"/>
                <w:sz w:val="16"/>
                <w:szCs w:val="16"/>
                <w:color w:val="auto"/>
              </w:rPr>
              <w:t>TE Connectivity Ltd.*</w:t>
            </w:r>
          </w:p>
        </w:tc>
        <w:tc>
          <w:tcPr>
            <w:tcW w:w="3640" w:type="dxa"/>
            <w:vAlign w:val="bottom"/>
          </w:tcPr>
          <w:p>
            <w:pPr>
              <w:jc w:val="right"/>
              <w:ind w:right="343"/>
              <w:spacing w:after="0"/>
              <w:rPr>
                <w:sz w:val="20"/>
                <w:szCs w:val="20"/>
                <w:color w:val="auto"/>
              </w:rPr>
            </w:pPr>
            <w:r>
              <w:rPr>
                <w:rFonts w:ascii="Arial" w:cs="Arial" w:eastAsia="Arial" w:hAnsi="Arial"/>
                <w:sz w:val="16"/>
                <w:szCs w:val="16"/>
                <w:color w:val="auto"/>
              </w:rPr>
              <w:t>14.4</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13.1</w:t>
            </w:r>
          </w:p>
        </w:tc>
        <w:tc>
          <w:tcPr>
            <w:tcW w:w="1440" w:type="dxa"/>
            <w:vAlign w:val="bottom"/>
          </w:tcPr>
          <w:p>
            <w:pPr>
              <w:ind w:left="360"/>
              <w:spacing w:after="0"/>
              <w:rPr>
                <w:sz w:val="20"/>
                <w:szCs w:val="20"/>
                <w:color w:val="auto"/>
              </w:rPr>
            </w:pPr>
            <w:r>
              <w:rPr>
                <w:rFonts w:ascii="Arial" w:cs="Arial" w:eastAsia="Arial" w:hAnsi="Arial"/>
                <w:sz w:val="16"/>
                <w:szCs w:val="16"/>
                <w:color w:val="auto"/>
              </w:rPr>
              <w:t>September</w:t>
            </w:r>
          </w:p>
        </w:tc>
      </w:tr>
      <w:tr>
        <w:trPr>
          <w:trHeight w:val="233"/>
        </w:trPr>
        <w:tc>
          <w:tcPr>
            <w:tcW w:w="5100" w:type="dxa"/>
            <w:vAlign w:val="bottom"/>
            <w:shd w:val="clear" w:color="auto" w:fill="E9E9E9"/>
          </w:tcPr>
          <w:p>
            <w:pPr>
              <w:spacing w:after="0"/>
              <w:rPr>
                <w:sz w:val="20"/>
                <w:szCs w:val="20"/>
                <w:color w:val="auto"/>
              </w:rPr>
            </w:pPr>
            <w:r>
              <w:rPr>
                <w:rFonts w:ascii="Arial" w:cs="Arial" w:eastAsia="Arial" w:hAnsi="Arial"/>
                <w:sz w:val="16"/>
                <w:szCs w:val="16"/>
                <w:b w:val="1"/>
                <w:bCs w:val="1"/>
                <w:color w:val="auto"/>
              </w:rPr>
              <w:t>Texas Instruments Incorporated</w:t>
            </w:r>
          </w:p>
        </w:tc>
        <w:tc>
          <w:tcPr>
            <w:tcW w:w="3640" w:type="dxa"/>
            <w:vAlign w:val="bottom"/>
            <w:shd w:val="clear" w:color="auto" w:fill="E9E9E9"/>
          </w:tcPr>
          <w:p>
            <w:pPr>
              <w:jc w:val="right"/>
              <w:ind w:right="343"/>
              <w:spacing w:after="0"/>
              <w:rPr>
                <w:sz w:val="20"/>
                <w:szCs w:val="20"/>
                <w:color w:val="auto"/>
              </w:rPr>
            </w:pPr>
            <w:r>
              <w:rPr>
                <w:rFonts w:ascii="Arial" w:cs="Arial" w:eastAsia="Arial" w:hAnsi="Arial"/>
                <w:sz w:val="16"/>
                <w:szCs w:val="16"/>
                <w:b w:val="1"/>
                <w:bCs w:val="1"/>
                <w:color w:val="auto"/>
              </w:rPr>
              <w:t>13.7</w:t>
            </w:r>
          </w:p>
        </w:tc>
        <w:tc>
          <w:tcPr>
            <w:tcW w:w="1260" w:type="dxa"/>
            <w:vAlign w:val="bottom"/>
            <w:shd w:val="clear" w:color="auto" w:fill="E9E9E9"/>
          </w:tcPr>
          <w:p>
            <w:pPr>
              <w:jc w:val="right"/>
              <w:ind w:right="383"/>
              <w:spacing w:after="0"/>
              <w:rPr>
                <w:sz w:val="20"/>
                <w:szCs w:val="20"/>
                <w:color w:val="auto"/>
              </w:rPr>
            </w:pPr>
            <w:r>
              <w:rPr>
                <w:rFonts w:ascii="Arial" w:cs="Arial" w:eastAsia="Arial" w:hAnsi="Arial"/>
                <w:sz w:val="16"/>
                <w:szCs w:val="16"/>
                <w:b w:val="1"/>
                <w:bCs w:val="1"/>
                <w:color w:val="auto"/>
              </w:rPr>
              <w:t>33.3</w:t>
            </w:r>
          </w:p>
        </w:tc>
        <w:tc>
          <w:tcPr>
            <w:tcW w:w="1440" w:type="dxa"/>
            <w:vAlign w:val="bottom"/>
            <w:shd w:val="clear" w:color="auto" w:fill="E9E9E9"/>
          </w:tcPr>
          <w:p>
            <w:pPr>
              <w:ind w:left="360"/>
              <w:spacing w:after="0"/>
              <w:rPr>
                <w:sz w:val="20"/>
                <w:szCs w:val="20"/>
                <w:color w:val="auto"/>
              </w:rPr>
            </w:pPr>
            <w:r>
              <w:rPr>
                <w:rFonts w:ascii="Arial" w:cs="Arial" w:eastAsia="Arial" w:hAnsi="Arial"/>
                <w:sz w:val="16"/>
                <w:szCs w:val="16"/>
                <w:b w:val="1"/>
                <w:bCs w:val="1"/>
                <w:color w:val="auto"/>
              </w:rPr>
              <w:t>December</w:t>
            </w: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eBay Inc.</w:t>
            </w:r>
          </w:p>
        </w:tc>
        <w:tc>
          <w:tcPr>
            <w:tcW w:w="3640" w:type="dxa"/>
            <w:vAlign w:val="bottom"/>
          </w:tcPr>
          <w:p>
            <w:pPr>
              <w:jc w:val="right"/>
              <w:ind w:right="343"/>
              <w:spacing w:after="0"/>
              <w:rPr>
                <w:sz w:val="20"/>
                <w:szCs w:val="20"/>
                <w:color w:val="auto"/>
              </w:rPr>
            </w:pPr>
            <w:r>
              <w:rPr>
                <w:rFonts w:ascii="Arial" w:cs="Arial" w:eastAsia="Arial" w:hAnsi="Arial"/>
                <w:sz w:val="16"/>
                <w:szCs w:val="16"/>
                <w:color w:val="auto"/>
              </w:rPr>
              <w:t>11.7</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39.2</w:t>
            </w:r>
          </w:p>
        </w:tc>
        <w:tc>
          <w:tcPr>
            <w:tcW w:w="1440" w:type="dxa"/>
            <w:vAlign w:val="bottom"/>
          </w:tcPr>
          <w:p>
            <w:pPr>
              <w:ind w:left="360"/>
              <w:spacing w:after="0"/>
              <w:rPr>
                <w:sz w:val="20"/>
                <w:szCs w:val="20"/>
                <w:color w:val="auto"/>
              </w:rPr>
            </w:pPr>
            <w:r>
              <w:rPr>
                <w:rFonts w:ascii="Arial" w:cs="Arial" w:eastAsia="Arial" w:hAnsi="Arial"/>
                <w:sz w:val="16"/>
                <w:szCs w:val="16"/>
                <w:color w:val="auto"/>
              </w:rPr>
              <w:t>December</w:t>
            </w:r>
          </w:p>
        </w:tc>
      </w:tr>
      <w:tr>
        <w:trPr>
          <w:trHeight w:val="226"/>
        </w:trPr>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Seagate Technology</w:t>
            </w:r>
          </w:p>
        </w:tc>
        <w:tc>
          <w:tcPr>
            <w:tcW w:w="3640" w:type="dxa"/>
            <w:vAlign w:val="bottom"/>
            <w:shd w:val="clear" w:color="auto" w:fill="E9E9E9"/>
          </w:tcPr>
          <w:p>
            <w:pPr>
              <w:jc w:val="right"/>
              <w:ind w:right="343"/>
              <w:spacing w:after="0"/>
              <w:rPr>
                <w:sz w:val="20"/>
                <w:szCs w:val="20"/>
                <w:color w:val="auto"/>
              </w:rPr>
            </w:pPr>
            <w:r>
              <w:rPr>
                <w:rFonts w:ascii="Arial" w:cs="Arial" w:eastAsia="Arial" w:hAnsi="Arial"/>
                <w:sz w:val="16"/>
                <w:szCs w:val="16"/>
                <w:color w:val="auto"/>
              </w:rPr>
              <w:t>11.6</w:t>
            </w:r>
          </w:p>
        </w:tc>
        <w:tc>
          <w:tcPr>
            <w:tcW w:w="1260" w:type="dxa"/>
            <w:vAlign w:val="bottom"/>
            <w:shd w:val="clear" w:color="auto" w:fill="E9E9E9"/>
          </w:tcPr>
          <w:p>
            <w:pPr>
              <w:jc w:val="right"/>
              <w:ind w:right="383"/>
              <w:spacing w:after="0"/>
              <w:rPr>
                <w:sz w:val="20"/>
                <w:szCs w:val="20"/>
                <w:color w:val="auto"/>
              </w:rPr>
            </w:pPr>
            <w:r>
              <w:rPr>
                <w:rFonts w:ascii="Arial" w:cs="Arial" w:eastAsia="Arial" w:hAnsi="Arial"/>
                <w:sz w:val="16"/>
                <w:szCs w:val="16"/>
                <w:color w:val="auto"/>
              </w:rPr>
              <w:t>7.6</w:t>
            </w:r>
          </w:p>
        </w:tc>
        <w:tc>
          <w:tcPr>
            <w:tcW w:w="1440" w:type="dxa"/>
            <w:vAlign w:val="bottom"/>
            <w:shd w:val="clear" w:color="auto" w:fill="E9E9E9"/>
          </w:tcPr>
          <w:p>
            <w:pPr>
              <w:ind w:left="360"/>
              <w:spacing w:after="0"/>
              <w:rPr>
                <w:sz w:val="20"/>
                <w:szCs w:val="20"/>
                <w:color w:val="auto"/>
              </w:rPr>
            </w:pPr>
            <w:r>
              <w:rPr>
                <w:rFonts w:ascii="Arial" w:cs="Arial" w:eastAsia="Arial" w:hAnsi="Arial"/>
                <w:sz w:val="16"/>
                <w:szCs w:val="16"/>
                <w:color w:val="auto"/>
              </w:rPr>
              <w:t>June</w:t>
            </w: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Applied Materials, Inc.</w:t>
            </w:r>
          </w:p>
        </w:tc>
        <w:tc>
          <w:tcPr>
            <w:tcW w:w="3640" w:type="dxa"/>
            <w:vAlign w:val="bottom"/>
          </w:tcPr>
          <w:p>
            <w:pPr>
              <w:jc w:val="right"/>
              <w:ind w:right="343"/>
              <w:spacing w:after="0"/>
              <w:rPr>
                <w:sz w:val="20"/>
                <w:szCs w:val="20"/>
                <w:color w:val="auto"/>
              </w:rPr>
            </w:pPr>
            <w:r>
              <w:rPr>
                <w:rFonts w:ascii="Arial" w:cs="Arial" w:eastAsia="Arial" w:hAnsi="Arial"/>
                <w:sz w:val="16"/>
                <w:szCs w:val="16"/>
                <w:color w:val="auto"/>
              </w:rPr>
              <w:t>10.5</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14.0</w:t>
            </w:r>
          </w:p>
        </w:tc>
        <w:tc>
          <w:tcPr>
            <w:tcW w:w="1440" w:type="dxa"/>
            <w:vAlign w:val="bottom"/>
          </w:tcPr>
          <w:p>
            <w:pPr>
              <w:ind w:left="360"/>
              <w:spacing w:after="0"/>
              <w:rPr>
                <w:sz w:val="20"/>
                <w:szCs w:val="20"/>
                <w:color w:val="auto"/>
              </w:rPr>
            </w:pPr>
            <w:r>
              <w:rPr>
                <w:rFonts w:ascii="Arial" w:cs="Arial" w:eastAsia="Arial" w:hAnsi="Arial"/>
                <w:sz w:val="16"/>
                <w:szCs w:val="16"/>
                <w:color w:val="auto"/>
              </w:rPr>
              <w:t>October</w:t>
            </w:r>
          </w:p>
        </w:tc>
      </w:tr>
      <w:tr>
        <w:trPr>
          <w:trHeight w:val="226"/>
        </w:trPr>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Western Digital Corporation</w:t>
            </w:r>
          </w:p>
        </w:tc>
        <w:tc>
          <w:tcPr>
            <w:tcW w:w="3640" w:type="dxa"/>
            <w:vAlign w:val="bottom"/>
            <w:shd w:val="clear" w:color="auto" w:fill="E9E9E9"/>
          </w:tcPr>
          <w:p>
            <w:pPr>
              <w:jc w:val="right"/>
              <w:ind w:right="343"/>
              <w:spacing w:after="0"/>
              <w:rPr>
                <w:sz w:val="20"/>
                <w:szCs w:val="20"/>
                <w:color w:val="auto"/>
              </w:rPr>
            </w:pPr>
            <w:r>
              <w:rPr>
                <w:rFonts w:ascii="Arial" w:cs="Arial" w:eastAsia="Arial" w:hAnsi="Arial"/>
                <w:sz w:val="16"/>
                <w:szCs w:val="16"/>
                <w:color w:val="auto"/>
              </w:rPr>
              <w:t>9.3</w:t>
            </w:r>
          </w:p>
        </w:tc>
        <w:tc>
          <w:tcPr>
            <w:tcW w:w="1260" w:type="dxa"/>
            <w:vAlign w:val="bottom"/>
            <w:shd w:val="clear" w:color="auto" w:fill="E9E9E9"/>
          </w:tcPr>
          <w:p>
            <w:pPr>
              <w:jc w:val="right"/>
              <w:ind w:right="383"/>
              <w:spacing w:after="0"/>
              <w:rPr>
                <w:sz w:val="20"/>
                <w:szCs w:val="20"/>
                <w:color w:val="auto"/>
              </w:rPr>
            </w:pPr>
            <w:r>
              <w:rPr>
                <w:rFonts w:ascii="Arial" w:cs="Arial" w:eastAsia="Arial" w:hAnsi="Arial"/>
                <w:sz w:val="16"/>
                <w:szCs w:val="16"/>
                <w:color w:val="auto"/>
              </w:rPr>
              <w:t>7.2</w:t>
            </w:r>
          </w:p>
        </w:tc>
        <w:tc>
          <w:tcPr>
            <w:tcW w:w="1440" w:type="dxa"/>
            <w:vAlign w:val="bottom"/>
            <w:shd w:val="clear" w:color="auto" w:fill="E9E9E9"/>
          </w:tcPr>
          <w:p>
            <w:pPr>
              <w:ind w:left="360"/>
              <w:spacing w:after="0"/>
              <w:rPr>
                <w:sz w:val="20"/>
                <w:szCs w:val="20"/>
                <w:color w:val="auto"/>
              </w:rPr>
            </w:pPr>
            <w:r>
              <w:rPr>
                <w:rFonts w:ascii="Arial" w:cs="Arial" w:eastAsia="Arial" w:hAnsi="Arial"/>
                <w:sz w:val="16"/>
                <w:szCs w:val="16"/>
                <w:color w:val="auto"/>
              </w:rPr>
              <w:t>June</w:t>
            </w: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Motorola Solutions, Inc.**</w:t>
            </w:r>
          </w:p>
        </w:tc>
        <w:tc>
          <w:tcPr>
            <w:tcW w:w="3640" w:type="dxa"/>
            <w:vAlign w:val="bottom"/>
          </w:tcPr>
          <w:p>
            <w:pPr>
              <w:jc w:val="right"/>
              <w:ind w:right="343"/>
              <w:spacing w:after="0"/>
              <w:rPr>
                <w:sz w:val="20"/>
                <w:szCs w:val="20"/>
                <w:color w:val="auto"/>
              </w:rPr>
            </w:pPr>
            <w:r>
              <w:rPr>
                <w:rFonts w:ascii="Arial" w:cs="Arial" w:eastAsia="Arial" w:hAnsi="Arial"/>
                <w:sz w:val="16"/>
                <w:szCs w:val="16"/>
                <w:color w:val="auto"/>
              </w:rPr>
              <w:t>8.2</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15.1</w:t>
            </w:r>
          </w:p>
        </w:tc>
        <w:tc>
          <w:tcPr>
            <w:tcW w:w="1440" w:type="dxa"/>
            <w:vAlign w:val="bottom"/>
          </w:tcPr>
          <w:p>
            <w:pPr>
              <w:ind w:left="360"/>
              <w:spacing w:after="0"/>
              <w:rPr>
                <w:sz w:val="20"/>
                <w:szCs w:val="20"/>
                <w:color w:val="auto"/>
              </w:rPr>
            </w:pPr>
            <w:r>
              <w:rPr>
                <w:rFonts w:ascii="Arial" w:cs="Arial" w:eastAsia="Arial" w:hAnsi="Arial"/>
                <w:sz w:val="16"/>
                <w:szCs w:val="16"/>
                <w:color w:val="auto"/>
              </w:rPr>
              <w:t>December</w:t>
            </w:r>
          </w:p>
        </w:tc>
      </w:tr>
      <w:tr>
        <w:trPr>
          <w:trHeight w:val="226"/>
        </w:trPr>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Broadcom Corporation</w:t>
            </w:r>
          </w:p>
        </w:tc>
        <w:tc>
          <w:tcPr>
            <w:tcW w:w="3640" w:type="dxa"/>
            <w:vAlign w:val="bottom"/>
            <w:shd w:val="clear" w:color="auto" w:fill="E9E9E9"/>
          </w:tcPr>
          <w:p>
            <w:pPr>
              <w:jc w:val="right"/>
              <w:ind w:right="343"/>
              <w:spacing w:after="0"/>
              <w:rPr>
                <w:sz w:val="20"/>
                <w:szCs w:val="20"/>
                <w:color w:val="auto"/>
              </w:rPr>
            </w:pPr>
            <w:r>
              <w:rPr>
                <w:rFonts w:ascii="Arial" w:cs="Arial" w:eastAsia="Arial" w:hAnsi="Arial"/>
                <w:sz w:val="16"/>
                <w:szCs w:val="16"/>
                <w:color w:val="auto"/>
              </w:rPr>
              <w:t>7.4</w:t>
            </w:r>
          </w:p>
        </w:tc>
        <w:tc>
          <w:tcPr>
            <w:tcW w:w="1260" w:type="dxa"/>
            <w:vAlign w:val="bottom"/>
            <w:shd w:val="clear" w:color="auto" w:fill="E9E9E9"/>
          </w:tcPr>
          <w:p>
            <w:pPr>
              <w:jc w:val="right"/>
              <w:ind w:right="383"/>
              <w:spacing w:after="0"/>
              <w:rPr>
                <w:sz w:val="20"/>
                <w:szCs w:val="20"/>
                <w:color w:val="auto"/>
              </w:rPr>
            </w:pPr>
            <w:r>
              <w:rPr>
                <w:rFonts w:ascii="Arial" w:cs="Arial" w:eastAsia="Arial" w:hAnsi="Arial"/>
                <w:sz w:val="16"/>
                <w:szCs w:val="16"/>
                <w:color w:val="auto"/>
              </w:rPr>
              <w:t>15.8</w:t>
            </w:r>
          </w:p>
        </w:tc>
        <w:tc>
          <w:tcPr>
            <w:tcW w:w="1440" w:type="dxa"/>
            <w:vAlign w:val="bottom"/>
            <w:shd w:val="clear" w:color="auto" w:fill="E9E9E9"/>
          </w:tcPr>
          <w:p>
            <w:pPr>
              <w:ind w:left="360"/>
              <w:spacing w:after="0"/>
              <w:rPr>
                <w:sz w:val="20"/>
                <w:szCs w:val="20"/>
                <w:color w:val="auto"/>
              </w:rPr>
            </w:pPr>
            <w:r>
              <w:rPr>
                <w:rFonts w:ascii="Arial" w:cs="Arial" w:eastAsia="Arial" w:hAnsi="Arial"/>
                <w:sz w:val="16"/>
                <w:szCs w:val="16"/>
                <w:color w:val="auto"/>
              </w:rPr>
              <w:t>December</w:t>
            </w: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Yahoo! Inc.</w:t>
            </w:r>
          </w:p>
        </w:tc>
        <w:tc>
          <w:tcPr>
            <w:tcW w:w="3640" w:type="dxa"/>
            <w:vAlign w:val="bottom"/>
          </w:tcPr>
          <w:p>
            <w:pPr>
              <w:jc w:val="right"/>
              <w:ind w:right="343"/>
              <w:spacing w:after="0"/>
              <w:rPr>
                <w:sz w:val="20"/>
                <w:szCs w:val="20"/>
                <w:color w:val="auto"/>
              </w:rPr>
            </w:pPr>
            <w:r>
              <w:rPr>
                <w:rFonts w:ascii="Arial" w:cs="Arial" w:eastAsia="Arial" w:hAnsi="Arial"/>
                <w:sz w:val="16"/>
                <w:szCs w:val="16"/>
                <w:color w:val="auto"/>
              </w:rPr>
              <w:t>5.0</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20.0</w:t>
            </w:r>
          </w:p>
        </w:tc>
        <w:tc>
          <w:tcPr>
            <w:tcW w:w="1440" w:type="dxa"/>
            <w:vAlign w:val="bottom"/>
          </w:tcPr>
          <w:p>
            <w:pPr>
              <w:ind w:left="360"/>
              <w:spacing w:after="0"/>
              <w:rPr>
                <w:sz w:val="20"/>
                <w:szCs w:val="20"/>
                <w:color w:val="auto"/>
              </w:rPr>
            </w:pPr>
            <w:r>
              <w:rPr>
                <w:rFonts w:ascii="Arial" w:cs="Arial" w:eastAsia="Arial" w:hAnsi="Arial"/>
                <w:sz w:val="16"/>
                <w:szCs w:val="16"/>
                <w:color w:val="auto"/>
              </w:rPr>
              <w:t>December</w:t>
            </w:r>
          </w:p>
        </w:tc>
      </w:tr>
      <w:tr>
        <w:trPr>
          <w:trHeight w:val="218"/>
        </w:trPr>
        <w:tc>
          <w:tcPr>
            <w:tcW w:w="5100" w:type="dxa"/>
            <w:vAlign w:val="bottom"/>
            <w:tcBorders>
              <w:bottom w:val="single" w:sz="8" w:color="808285"/>
            </w:tcBorders>
            <w:shd w:val="clear" w:color="auto" w:fill="E9E9E9"/>
          </w:tcPr>
          <w:p>
            <w:pPr>
              <w:spacing w:after="0"/>
              <w:rPr>
                <w:sz w:val="20"/>
                <w:szCs w:val="20"/>
                <w:color w:val="auto"/>
              </w:rPr>
            </w:pPr>
            <w:r>
              <w:rPr>
                <w:rFonts w:ascii="Arial" w:cs="Arial" w:eastAsia="Arial" w:hAnsi="Arial"/>
                <w:sz w:val="16"/>
                <w:szCs w:val="16"/>
                <w:color w:val="auto"/>
              </w:rPr>
              <w:t>Analog Devices, Inc.</w:t>
            </w:r>
          </w:p>
        </w:tc>
        <w:tc>
          <w:tcPr>
            <w:tcW w:w="3640" w:type="dxa"/>
            <w:vAlign w:val="bottom"/>
            <w:tcBorders>
              <w:bottom w:val="single" w:sz="8" w:color="808285"/>
            </w:tcBorders>
            <w:shd w:val="clear" w:color="auto" w:fill="E9E9E9"/>
          </w:tcPr>
          <w:p>
            <w:pPr>
              <w:jc w:val="right"/>
              <w:ind w:right="343"/>
              <w:spacing w:after="0"/>
              <w:rPr>
                <w:sz w:val="20"/>
                <w:szCs w:val="20"/>
                <w:color w:val="auto"/>
              </w:rPr>
            </w:pPr>
            <w:r>
              <w:rPr>
                <w:rFonts w:ascii="Arial" w:cs="Arial" w:eastAsia="Arial" w:hAnsi="Arial"/>
                <w:sz w:val="16"/>
                <w:szCs w:val="16"/>
                <w:color w:val="auto"/>
              </w:rPr>
              <w:t>3.0</w:t>
            </w:r>
          </w:p>
        </w:tc>
        <w:tc>
          <w:tcPr>
            <w:tcW w:w="1260" w:type="dxa"/>
            <w:vAlign w:val="bottom"/>
            <w:tcBorders>
              <w:bottom w:val="single" w:sz="8" w:color="808285"/>
            </w:tcBorders>
            <w:shd w:val="clear" w:color="auto" w:fill="E9E9E9"/>
          </w:tcPr>
          <w:p>
            <w:pPr>
              <w:jc w:val="right"/>
              <w:ind w:right="383"/>
              <w:spacing w:after="0"/>
              <w:rPr>
                <w:sz w:val="20"/>
                <w:szCs w:val="20"/>
                <w:color w:val="auto"/>
              </w:rPr>
            </w:pPr>
            <w:r>
              <w:rPr>
                <w:rFonts w:ascii="Arial" w:cs="Arial" w:eastAsia="Arial" w:hAnsi="Arial"/>
                <w:sz w:val="16"/>
                <w:szCs w:val="16"/>
                <w:color w:val="auto"/>
              </w:rPr>
              <w:t>10.7</w:t>
            </w:r>
          </w:p>
        </w:tc>
        <w:tc>
          <w:tcPr>
            <w:tcW w:w="1440" w:type="dxa"/>
            <w:vAlign w:val="bottom"/>
            <w:tcBorders>
              <w:bottom w:val="single" w:sz="8" w:color="808285"/>
            </w:tcBorders>
            <w:shd w:val="clear" w:color="auto" w:fill="E9E9E9"/>
          </w:tcPr>
          <w:p>
            <w:pPr>
              <w:ind w:left="360"/>
              <w:spacing w:after="0"/>
              <w:rPr>
                <w:sz w:val="20"/>
                <w:szCs w:val="20"/>
                <w:color w:val="auto"/>
              </w:rPr>
            </w:pPr>
            <w:r>
              <w:rPr>
                <w:rFonts w:ascii="Arial" w:cs="Arial" w:eastAsia="Arial" w:hAnsi="Arial"/>
                <w:sz w:val="16"/>
                <w:szCs w:val="16"/>
                <w:color w:val="auto"/>
              </w:rPr>
              <w:t>October</w:t>
            </w:r>
          </w:p>
        </w:tc>
      </w:tr>
      <w:tr>
        <w:trPr>
          <w:trHeight w:val="218"/>
        </w:trPr>
        <w:tc>
          <w:tcPr>
            <w:tcW w:w="51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8"/>
        </w:trPr>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75th Percentile</w:t>
            </w:r>
          </w:p>
        </w:tc>
        <w:tc>
          <w:tcPr>
            <w:tcW w:w="3640" w:type="dxa"/>
            <w:vAlign w:val="bottom"/>
            <w:shd w:val="clear" w:color="auto" w:fill="E9E9E9"/>
          </w:tcPr>
          <w:p>
            <w:pPr>
              <w:jc w:val="right"/>
              <w:ind w:right="343"/>
              <w:spacing w:after="0"/>
              <w:rPr>
                <w:sz w:val="20"/>
                <w:szCs w:val="20"/>
                <w:color w:val="auto"/>
              </w:rPr>
            </w:pPr>
            <w:r>
              <w:rPr>
                <w:rFonts w:ascii="Arial" w:cs="Arial" w:eastAsia="Arial" w:hAnsi="Arial"/>
                <w:sz w:val="16"/>
                <w:szCs w:val="16"/>
                <w:color w:val="auto"/>
              </w:rPr>
              <w:t>23.4</w:t>
            </w:r>
          </w:p>
        </w:tc>
        <w:tc>
          <w:tcPr>
            <w:tcW w:w="1260" w:type="dxa"/>
            <w:vAlign w:val="bottom"/>
            <w:shd w:val="clear" w:color="auto" w:fill="E9E9E9"/>
          </w:tcPr>
          <w:p>
            <w:pPr>
              <w:jc w:val="right"/>
              <w:ind w:right="383"/>
              <w:spacing w:after="0"/>
              <w:rPr>
                <w:sz w:val="20"/>
                <w:szCs w:val="20"/>
                <w:color w:val="auto"/>
              </w:rPr>
            </w:pPr>
            <w:r>
              <w:rPr>
                <w:rFonts w:ascii="Arial" w:cs="Arial" w:eastAsia="Arial" w:hAnsi="Arial"/>
                <w:sz w:val="16"/>
                <w:szCs w:val="16"/>
                <w:color w:val="auto"/>
              </w:rPr>
              <w:t>68.1</w:t>
            </w:r>
          </w:p>
        </w:tc>
        <w:tc>
          <w:tcPr>
            <w:tcW w:w="1440" w:type="dxa"/>
            <w:vAlign w:val="bottom"/>
            <w:shd w:val="clear" w:color="auto" w:fill="E9E9E9"/>
          </w:tcPr>
          <w:p>
            <w:pPr>
              <w:spacing w:after="0"/>
              <w:rPr>
                <w:sz w:val="18"/>
                <w:szCs w:val="18"/>
                <w:color w:val="auto"/>
              </w:rPr>
            </w:pP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Median</w:t>
            </w:r>
          </w:p>
        </w:tc>
        <w:tc>
          <w:tcPr>
            <w:tcW w:w="3640" w:type="dxa"/>
            <w:vAlign w:val="bottom"/>
          </w:tcPr>
          <w:p>
            <w:pPr>
              <w:jc w:val="right"/>
              <w:ind w:right="343"/>
              <w:spacing w:after="0"/>
              <w:rPr>
                <w:sz w:val="20"/>
                <w:szCs w:val="20"/>
                <w:color w:val="auto"/>
              </w:rPr>
            </w:pPr>
            <w:r>
              <w:rPr>
                <w:rFonts w:ascii="Arial" w:cs="Arial" w:eastAsia="Arial" w:hAnsi="Arial"/>
                <w:sz w:val="16"/>
                <w:szCs w:val="16"/>
                <w:color w:val="auto"/>
              </w:rPr>
              <w:t>14.4</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20.0</w:t>
            </w:r>
          </w:p>
        </w:tc>
        <w:tc>
          <w:tcPr>
            <w:tcW w:w="1440" w:type="dxa"/>
            <w:vAlign w:val="bottom"/>
          </w:tcPr>
          <w:p>
            <w:pPr>
              <w:spacing w:after="0"/>
              <w:rPr>
                <w:sz w:val="18"/>
                <w:szCs w:val="18"/>
                <w:color w:val="auto"/>
              </w:rPr>
            </w:pPr>
          </w:p>
        </w:tc>
      </w:tr>
      <w:tr>
        <w:trPr>
          <w:trHeight w:val="226"/>
        </w:trPr>
        <w:tc>
          <w:tcPr>
            <w:tcW w:w="5100" w:type="dxa"/>
            <w:vAlign w:val="bottom"/>
            <w:shd w:val="clear" w:color="auto" w:fill="E9E9E9"/>
          </w:tcPr>
          <w:p>
            <w:pPr>
              <w:spacing w:after="0"/>
              <w:rPr>
                <w:sz w:val="20"/>
                <w:szCs w:val="20"/>
                <w:color w:val="auto"/>
              </w:rPr>
            </w:pPr>
            <w:r>
              <w:rPr>
                <w:rFonts w:ascii="Arial" w:cs="Arial" w:eastAsia="Arial" w:hAnsi="Arial"/>
                <w:sz w:val="16"/>
                <w:szCs w:val="16"/>
                <w:color w:val="auto"/>
              </w:rPr>
              <w:t>25th Percentile</w:t>
            </w:r>
          </w:p>
        </w:tc>
        <w:tc>
          <w:tcPr>
            <w:tcW w:w="3640" w:type="dxa"/>
            <w:vAlign w:val="bottom"/>
            <w:shd w:val="clear" w:color="auto" w:fill="E9E9E9"/>
          </w:tcPr>
          <w:p>
            <w:pPr>
              <w:jc w:val="right"/>
              <w:ind w:right="343"/>
              <w:spacing w:after="0"/>
              <w:rPr>
                <w:sz w:val="20"/>
                <w:szCs w:val="20"/>
                <w:color w:val="auto"/>
              </w:rPr>
            </w:pPr>
            <w:r>
              <w:rPr>
                <w:rFonts w:ascii="Arial" w:cs="Arial" w:eastAsia="Arial" w:hAnsi="Arial"/>
                <w:sz w:val="16"/>
                <w:szCs w:val="16"/>
                <w:color w:val="auto"/>
              </w:rPr>
              <w:t>9.9</w:t>
            </w:r>
          </w:p>
        </w:tc>
        <w:tc>
          <w:tcPr>
            <w:tcW w:w="1260" w:type="dxa"/>
            <w:vAlign w:val="bottom"/>
            <w:shd w:val="clear" w:color="auto" w:fill="E9E9E9"/>
          </w:tcPr>
          <w:p>
            <w:pPr>
              <w:jc w:val="right"/>
              <w:ind w:right="383"/>
              <w:spacing w:after="0"/>
              <w:rPr>
                <w:sz w:val="20"/>
                <w:szCs w:val="20"/>
                <w:color w:val="auto"/>
              </w:rPr>
            </w:pPr>
            <w:r>
              <w:rPr>
                <w:rFonts w:ascii="Arial" w:cs="Arial" w:eastAsia="Arial" w:hAnsi="Arial"/>
                <w:sz w:val="16"/>
                <w:szCs w:val="16"/>
                <w:color w:val="auto"/>
              </w:rPr>
              <w:t>12.0</w:t>
            </w:r>
          </w:p>
        </w:tc>
        <w:tc>
          <w:tcPr>
            <w:tcW w:w="1440" w:type="dxa"/>
            <w:vAlign w:val="bottom"/>
            <w:shd w:val="clear" w:color="auto" w:fill="E9E9E9"/>
          </w:tcPr>
          <w:p>
            <w:pPr>
              <w:spacing w:after="0"/>
              <w:rPr>
                <w:sz w:val="19"/>
                <w:szCs w:val="19"/>
                <w:color w:val="auto"/>
              </w:rPr>
            </w:pPr>
          </w:p>
        </w:tc>
      </w:tr>
    </w:tbl>
    <w:p>
      <w:pPr>
        <w:spacing w:after="0" w:line="233" w:lineRule="exact"/>
        <w:rPr>
          <w:sz w:val="20"/>
          <w:szCs w:val="20"/>
          <w:color w:val="auto"/>
        </w:rPr>
      </w:pPr>
    </w:p>
    <w:p>
      <w:pPr>
        <w:ind w:left="383" w:hanging="383"/>
        <w:spacing w:after="0"/>
        <w:tabs>
          <w:tab w:leader="none" w:pos="3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Formerly Tyco Electronics Ltd. (renamed during 2011).</w:t>
      </w:r>
    </w:p>
    <w:p>
      <w:pPr>
        <w:spacing w:after="0" w:line="20" w:lineRule="exact"/>
        <w:rPr>
          <w:sz w:val="20"/>
          <w:szCs w:val="20"/>
          <w:color w:val="auto"/>
        </w:rPr>
      </w:pPr>
    </w:p>
    <w:p>
      <w:pPr>
        <w:ind w:left="383" w:hanging="383"/>
        <w:spacing w:after="0"/>
        <w:tabs>
          <w:tab w:leader="none" w:pos="3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Formerly Motorola, Inc. (renamed during 2011 after spin-off of the wireless operations).</w:t>
      </w:r>
    </w:p>
    <w:p>
      <w:pPr>
        <w:ind w:left="383" w:hanging="383"/>
        <w:spacing w:after="0"/>
        <w:tabs>
          <w:tab w:leader="none" w:pos="3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Trailing four-quarter revenue as reported by Capital IQ on January 31, 2012. Market capitalization as of December 31, 2011.</w:t>
      </w:r>
    </w:p>
    <w:p>
      <w:pPr>
        <w:spacing w:after="0" w:line="192" w:lineRule="exact"/>
        <w:rPr>
          <w:sz w:val="20"/>
          <w:szCs w:val="20"/>
          <w:color w:val="auto"/>
        </w:rPr>
      </w:pPr>
    </w:p>
    <w:p>
      <w:pPr>
        <w:ind w:left="3" w:right="400"/>
        <w:spacing w:after="0" w:line="243" w:lineRule="auto"/>
        <w:rPr>
          <w:sz w:val="20"/>
          <w:szCs w:val="20"/>
          <w:color w:val="auto"/>
        </w:rPr>
      </w:pPr>
      <w:r>
        <w:rPr>
          <w:rFonts w:ascii="Arial" w:cs="Arial" w:eastAsia="Arial" w:hAnsi="Arial"/>
          <w:sz w:val="16"/>
          <w:szCs w:val="16"/>
          <w:color w:val="auto"/>
        </w:rPr>
        <w:t>The committee set the Comparator Group in July 2010 for the base salary and equity compensation decisions it made in January 2011. For a discussion of the factors considered by the committee, please see page 65 of the company’s 2011 proxy statement.</w:t>
      </w:r>
    </w:p>
    <w:p>
      <w:pPr>
        <w:spacing w:after="0" w:line="15" w:lineRule="exact"/>
        <w:rPr>
          <w:sz w:val="20"/>
          <w:szCs w:val="20"/>
          <w:color w:val="auto"/>
        </w:rPr>
      </w:pPr>
    </w:p>
    <w:p>
      <w:pPr>
        <w:jc w:val="center"/>
        <w:ind w:right="97"/>
        <w:spacing w:after="0"/>
        <w:rPr>
          <w:sz w:val="20"/>
          <w:szCs w:val="20"/>
          <w:color w:val="auto"/>
        </w:rPr>
      </w:pPr>
      <w:r>
        <w:rPr>
          <w:rFonts w:ascii="Arial" w:cs="Arial" w:eastAsia="Arial" w:hAnsi="Arial"/>
          <w:sz w:val="16"/>
          <w:szCs w:val="16"/>
          <w:color w:val="auto"/>
        </w:rPr>
        <w:t>In July 2011, the committee reviewed the Comparator Group in terms of industry, revenue and market capitalization. In 2011, Motorola’s wireless operations</w:t>
      </w:r>
    </w:p>
    <w:p>
      <w:pPr>
        <w:spacing w:after="0" w:line="10" w:lineRule="exact"/>
        <w:rPr>
          <w:sz w:val="20"/>
          <w:szCs w:val="20"/>
          <w:color w:val="auto"/>
        </w:rPr>
      </w:pPr>
    </w:p>
    <w:p>
      <w:pPr>
        <w:jc w:val="both"/>
        <w:ind w:left="3" w:right="100"/>
        <w:spacing w:after="0"/>
        <w:rPr>
          <w:sz w:val="20"/>
          <w:szCs w:val="20"/>
          <w:color w:val="auto"/>
        </w:rPr>
      </w:pPr>
      <w:r>
        <w:rPr>
          <w:rFonts w:ascii="Arial" w:cs="Arial" w:eastAsia="Arial" w:hAnsi="Arial"/>
          <w:sz w:val="16"/>
          <w:szCs w:val="16"/>
          <w:color w:val="auto"/>
        </w:rPr>
        <w:t>separated from Motorola, Inc., which was renamed Motorola Solutions, Inc. The committee decided Motorola Solutions was still comparable to TI for compensation purposes and therefore retained it in the Comparator Group. The committee used that Comparator Group for the bonus decisions in January 2012 relating to 2011 performance.</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u w:val="single" w:color="auto"/>
          <w:color w:val="auto"/>
        </w:rPr>
        <w:t>Analysis of compensation determinations for 2011</w:t>
      </w:r>
    </w:p>
    <w:p>
      <w:pPr>
        <w:ind w:left="3" w:right="60"/>
        <w:spacing w:after="0" w:line="239" w:lineRule="auto"/>
        <w:rPr>
          <w:sz w:val="20"/>
          <w:szCs w:val="20"/>
          <w:color w:val="auto"/>
        </w:rPr>
      </w:pPr>
      <w:r>
        <w:rPr>
          <w:rFonts w:ascii="Arial" w:cs="Arial" w:eastAsia="Arial" w:hAnsi="Arial"/>
          <w:sz w:val="16"/>
          <w:szCs w:val="16"/>
          <w:i w:val="1"/>
          <w:iCs w:val="1"/>
          <w:color w:val="auto"/>
        </w:rPr>
        <w:t xml:space="preserve">Total compensation </w:t>
      </w:r>
      <w:r>
        <w:rPr>
          <w:rFonts w:ascii="Arial" w:cs="Arial" w:eastAsia="Arial" w:hAnsi="Arial"/>
          <w:sz w:val="16"/>
          <w:szCs w:val="16"/>
          <w:color w:val="auto"/>
        </w:rPr>
        <w:t>– Before finalizing the compensation of the executive officers, the committee reviewed all elements of compensation. The information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total cash compensation (salary, profit sharing and projected bonus), the grant date fair value of equity compensation, the impact that proposed compensation would have on other compensation elements such as pension, and a summary of benefits that the executives would receive under various termination scenarios. The review enabled the committee to see how various compensation elements relate to one another and what impact its decisions would have on the total earnings opportunity</w:t>
      </w:r>
    </w:p>
    <w:p>
      <w:pPr>
        <w:spacing w:after="0" w:line="230" w:lineRule="exact"/>
        <w:rPr>
          <w:sz w:val="20"/>
          <w:szCs w:val="20"/>
          <w:color w:val="auto"/>
        </w:rPr>
      </w:pPr>
    </w:p>
    <w:p>
      <w:pPr>
        <w:ind w:left="3"/>
        <w:spacing w:after="0"/>
        <w:tabs>
          <w:tab w:leader="none" w:pos="962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52" w:right="219" w:bottom="1440" w:gutter="0" w:footer="0" w:header="0"/>
        </w:sectPr>
      </w:pPr>
    </w:p>
    <w:bookmarkStart w:id="18" w:name="page19"/>
    <w:bookmarkEnd w:id="18"/>
    <w:p>
      <w:pPr>
        <w:ind w:left="3" w:right="140"/>
        <w:spacing w:after="0"/>
        <w:rPr>
          <w:sz w:val="20"/>
          <w:szCs w:val="20"/>
          <w:color w:val="auto"/>
        </w:rPr>
      </w:pPr>
      <w:r>
        <w:rPr>
          <w:rFonts w:ascii="Arial" w:cs="Arial" w:eastAsia="Arial" w:hAnsi="Arial"/>
          <w:sz w:val="16"/>
          <w:szCs w:val="16"/>
          <w:color w:val="auto"/>
        </w:rPr>
        <w:t>of the executives. In assessing the information, the committee did not target a specific level of total compensation or use a formula to allocate compensation to the various elements. Instead, it used its judgment in assessing whether the total was consistent with the objectives of the program. Based on this review, the committee determined that the level of compensation was appropriate.</w:t>
      </w:r>
    </w:p>
    <w:p>
      <w:pPr>
        <w:spacing w:after="0" w:line="172"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 The committee set the 2011 rate of base salary for the named executive officers as follows:</w:t>
      </w:r>
    </w:p>
    <w:p>
      <w:pPr>
        <w:spacing w:after="0" w:line="227"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4540" w:type="dxa"/>
            <w:vAlign w:val="bottom"/>
          </w:tcPr>
          <w:p>
            <w:pPr>
              <w:spacing w:after="0"/>
              <w:rPr>
                <w:sz w:val="20"/>
                <w:szCs w:val="20"/>
                <w:color w:val="auto"/>
              </w:rPr>
            </w:pPr>
            <w:r>
              <w:rPr>
                <w:rFonts w:ascii="Arial" w:cs="Arial" w:eastAsia="Arial" w:hAnsi="Arial"/>
                <w:sz w:val="12"/>
                <w:szCs w:val="12"/>
                <w:b w:val="1"/>
                <w:bCs w:val="1"/>
                <w:color w:val="auto"/>
              </w:rPr>
              <w:t>Officer</w:t>
            </w:r>
          </w:p>
        </w:tc>
        <w:tc>
          <w:tcPr>
            <w:tcW w:w="4760" w:type="dxa"/>
            <w:vAlign w:val="bottom"/>
          </w:tcPr>
          <w:p>
            <w:pPr>
              <w:jc w:val="center"/>
              <w:ind w:left="3304"/>
              <w:spacing w:after="0"/>
              <w:rPr>
                <w:sz w:val="20"/>
                <w:szCs w:val="20"/>
                <w:color w:val="auto"/>
              </w:rPr>
            </w:pPr>
            <w:r>
              <w:rPr>
                <w:rFonts w:ascii="Arial" w:cs="Arial" w:eastAsia="Arial" w:hAnsi="Arial"/>
                <w:sz w:val="12"/>
                <w:szCs w:val="12"/>
                <w:b w:val="1"/>
                <w:bCs w:val="1"/>
                <w:color w:val="auto"/>
              </w:rPr>
              <w:t>2011 Annual Rate</w:t>
            </w:r>
          </w:p>
        </w:tc>
        <w:tc>
          <w:tcPr>
            <w:tcW w:w="2140" w:type="dxa"/>
            <w:vAlign w:val="bottom"/>
          </w:tcPr>
          <w:p>
            <w:pPr>
              <w:jc w:val="right"/>
              <w:ind w:right="64"/>
              <w:spacing w:after="0"/>
              <w:rPr>
                <w:sz w:val="20"/>
                <w:szCs w:val="20"/>
                <w:color w:val="auto"/>
              </w:rPr>
            </w:pPr>
            <w:r>
              <w:rPr>
                <w:rFonts w:ascii="Arial" w:cs="Arial" w:eastAsia="Arial" w:hAnsi="Arial"/>
                <w:sz w:val="12"/>
                <w:szCs w:val="12"/>
                <w:b w:val="1"/>
                <w:bCs w:val="1"/>
                <w:color w:val="auto"/>
              </w:rPr>
              <w:t>Change from 2010 Annual Rate</w:t>
            </w:r>
          </w:p>
        </w:tc>
      </w:tr>
      <w:tr>
        <w:trPr>
          <w:trHeight w:val="37"/>
        </w:trPr>
        <w:tc>
          <w:tcPr>
            <w:tcW w:w="4540" w:type="dxa"/>
            <w:vAlign w:val="bottom"/>
            <w:tcBorders>
              <w:bottom w:val="single" w:sz="8" w:color="808285"/>
            </w:tcBorders>
          </w:tcPr>
          <w:p>
            <w:pPr>
              <w:spacing w:after="0"/>
              <w:rPr>
                <w:sz w:val="3"/>
                <w:szCs w:val="3"/>
                <w:color w:val="auto"/>
              </w:rPr>
            </w:pPr>
          </w:p>
        </w:tc>
        <w:tc>
          <w:tcPr>
            <w:tcW w:w="4760" w:type="dxa"/>
            <w:vAlign w:val="bottom"/>
            <w:tcBorders>
              <w:bottom w:val="single" w:sz="8" w:color="808285"/>
            </w:tcBorders>
          </w:tcPr>
          <w:p>
            <w:pPr>
              <w:spacing w:after="0"/>
              <w:rPr>
                <w:sz w:val="3"/>
                <w:szCs w:val="3"/>
                <w:color w:val="auto"/>
              </w:rPr>
            </w:pPr>
          </w:p>
        </w:tc>
        <w:tc>
          <w:tcPr>
            <w:tcW w:w="2140" w:type="dxa"/>
            <w:vAlign w:val="bottom"/>
            <w:tcBorders>
              <w:bottom w:val="single" w:sz="8" w:color="808285"/>
            </w:tcBorders>
          </w:tcPr>
          <w:p>
            <w:pPr>
              <w:spacing w:after="0"/>
              <w:rPr>
                <w:sz w:val="3"/>
                <w:szCs w:val="3"/>
                <w:color w:val="auto"/>
              </w:rPr>
            </w:pPr>
          </w:p>
        </w:tc>
      </w:tr>
      <w:tr>
        <w:trPr>
          <w:trHeight w:val="210"/>
        </w:trPr>
        <w:tc>
          <w:tcPr>
            <w:tcW w:w="4540" w:type="dxa"/>
            <w:vAlign w:val="bottom"/>
            <w:shd w:val="clear" w:color="auto" w:fill="E9E9E9"/>
          </w:tcPr>
          <w:p>
            <w:pPr>
              <w:spacing w:after="0"/>
              <w:rPr>
                <w:sz w:val="20"/>
                <w:szCs w:val="20"/>
                <w:color w:val="auto"/>
              </w:rPr>
            </w:pPr>
            <w:r>
              <w:rPr>
                <w:rFonts w:ascii="Arial" w:cs="Arial" w:eastAsia="Arial" w:hAnsi="Arial"/>
                <w:sz w:val="16"/>
                <w:szCs w:val="16"/>
                <w:color w:val="auto"/>
              </w:rPr>
              <w:t>Mr. Templeton</w:t>
            </w:r>
          </w:p>
        </w:tc>
        <w:tc>
          <w:tcPr>
            <w:tcW w:w="4760" w:type="dxa"/>
            <w:vAlign w:val="bottom"/>
            <w:shd w:val="clear" w:color="auto" w:fill="E9E9E9"/>
          </w:tcPr>
          <w:p>
            <w:pPr>
              <w:jc w:val="center"/>
              <w:ind w:left="3304"/>
              <w:spacing w:after="0"/>
              <w:rPr>
                <w:sz w:val="20"/>
                <w:szCs w:val="20"/>
                <w:color w:val="auto"/>
              </w:rPr>
            </w:pPr>
            <w:r>
              <w:rPr>
                <w:rFonts w:ascii="Arial" w:cs="Arial" w:eastAsia="Arial" w:hAnsi="Arial"/>
                <w:sz w:val="16"/>
                <w:szCs w:val="16"/>
                <w:color w:val="auto"/>
                <w:w w:val="98"/>
              </w:rPr>
              <w:t>$990,087</w:t>
            </w:r>
          </w:p>
        </w:tc>
        <w:tc>
          <w:tcPr>
            <w:tcW w:w="2140" w:type="dxa"/>
            <w:vAlign w:val="bottom"/>
            <w:shd w:val="clear" w:color="auto" w:fill="E9E9E9"/>
          </w:tcPr>
          <w:p>
            <w:pPr>
              <w:jc w:val="right"/>
              <w:ind w:right="744"/>
              <w:spacing w:after="0"/>
              <w:rPr>
                <w:sz w:val="20"/>
                <w:szCs w:val="20"/>
                <w:color w:val="auto"/>
              </w:rPr>
            </w:pPr>
            <w:r>
              <w:rPr>
                <w:rFonts w:ascii="Arial" w:cs="Arial" w:eastAsia="Arial" w:hAnsi="Arial"/>
                <w:sz w:val="16"/>
                <w:szCs w:val="16"/>
                <w:color w:val="auto"/>
              </w:rPr>
              <w:t>0%</w:t>
            </w:r>
          </w:p>
        </w:tc>
      </w:tr>
      <w:tr>
        <w:trPr>
          <w:trHeight w:val="211"/>
        </w:trPr>
        <w:tc>
          <w:tcPr>
            <w:tcW w:w="4540" w:type="dxa"/>
            <w:vAlign w:val="bottom"/>
          </w:tcPr>
          <w:p>
            <w:pPr>
              <w:spacing w:after="0"/>
              <w:rPr>
                <w:sz w:val="20"/>
                <w:szCs w:val="20"/>
                <w:color w:val="auto"/>
              </w:rPr>
            </w:pPr>
            <w:r>
              <w:rPr>
                <w:rFonts w:ascii="Arial" w:cs="Arial" w:eastAsia="Arial" w:hAnsi="Arial"/>
                <w:sz w:val="16"/>
                <w:szCs w:val="16"/>
                <w:color w:val="auto"/>
              </w:rPr>
              <w:t>Mr. March</w:t>
            </w:r>
          </w:p>
        </w:tc>
        <w:tc>
          <w:tcPr>
            <w:tcW w:w="4760" w:type="dxa"/>
            <w:vAlign w:val="bottom"/>
          </w:tcPr>
          <w:p>
            <w:pPr>
              <w:jc w:val="center"/>
              <w:ind w:left="3304"/>
              <w:spacing w:after="0"/>
              <w:rPr>
                <w:sz w:val="20"/>
                <w:szCs w:val="20"/>
                <w:color w:val="auto"/>
              </w:rPr>
            </w:pPr>
            <w:r>
              <w:rPr>
                <w:rFonts w:ascii="Arial" w:cs="Arial" w:eastAsia="Arial" w:hAnsi="Arial"/>
                <w:sz w:val="16"/>
                <w:szCs w:val="16"/>
                <w:color w:val="auto"/>
                <w:w w:val="98"/>
              </w:rPr>
              <w:t>$565,008</w:t>
            </w:r>
          </w:p>
        </w:tc>
        <w:tc>
          <w:tcPr>
            <w:tcW w:w="2140" w:type="dxa"/>
            <w:vAlign w:val="bottom"/>
          </w:tcPr>
          <w:p>
            <w:pPr>
              <w:jc w:val="right"/>
              <w:ind w:right="744"/>
              <w:spacing w:after="0"/>
              <w:rPr>
                <w:sz w:val="20"/>
                <w:szCs w:val="20"/>
                <w:color w:val="auto"/>
              </w:rPr>
            </w:pPr>
            <w:r>
              <w:rPr>
                <w:rFonts w:ascii="Arial" w:cs="Arial" w:eastAsia="Arial" w:hAnsi="Arial"/>
                <w:sz w:val="16"/>
                <w:szCs w:val="16"/>
                <w:color w:val="auto"/>
              </w:rPr>
              <w:t>6.6%</w:t>
            </w:r>
          </w:p>
        </w:tc>
      </w:tr>
      <w:tr>
        <w:trPr>
          <w:trHeight w:val="226"/>
        </w:trPr>
        <w:tc>
          <w:tcPr>
            <w:tcW w:w="4540" w:type="dxa"/>
            <w:vAlign w:val="bottom"/>
            <w:shd w:val="clear" w:color="auto" w:fill="E9E9E9"/>
          </w:tcPr>
          <w:p>
            <w:pPr>
              <w:spacing w:after="0"/>
              <w:rPr>
                <w:sz w:val="20"/>
                <w:szCs w:val="20"/>
                <w:color w:val="auto"/>
              </w:rPr>
            </w:pPr>
            <w:r>
              <w:rPr>
                <w:rFonts w:ascii="Arial" w:cs="Arial" w:eastAsia="Arial" w:hAnsi="Arial"/>
                <w:sz w:val="16"/>
                <w:szCs w:val="16"/>
                <w:color w:val="auto"/>
              </w:rPr>
              <w:t>Mr. Lowe</w:t>
            </w:r>
          </w:p>
        </w:tc>
        <w:tc>
          <w:tcPr>
            <w:tcW w:w="4760" w:type="dxa"/>
            <w:vAlign w:val="bottom"/>
            <w:shd w:val="clear" w:color="auto" w:fill="E9E9E9"/>
          </w:tcPr>
          <w:p>
            <w:pPr>
              <w:jc w:val="center"/>
              <w:ind w:left="3304"/>
              <w:spacing w:after="0"/>
              <w:rPr>
                <w:sz w:val="20"/>
                <w:szCs w:val="20"/>
                <w:color w:val="auto"/>
              </w:rPr>
            </w:pPr>
            <w:r>
              <w:rPr>
                <w:rFonts w:ascii="Arial" w:cs="Arial" w:eastAsia="Arial" w:hAnsi="Arial"/>
                <w:sz w:val="16"/>
                <w:szCs w:val="16"/>
                <w:color w:val="auto"/>
                <w:w w:val="98"/>
              </w:rPr>
              <w:t>$600,000</w:t>
            </w:r>
          </w:p>
        </w:tc>
        <w:tc>
          <w:tcPr>
            <w:tcW w:w="2140" w:type="dxa"/>
            <w:vAlign w:val="bottom"/>
            <w:shd w:val="clear" w:color="auto" w:fill="E9E9E9"/>
          </w:tcPr>
          <w:p>
            <w:pPr>
              <w:jc w:val="right"/>
              <w:ind w:right="744"/>
              <w:spacing w:after="0"/>
              <w:rPr>
                <w:sz w:val="20"/>
                <w:szCs w:val="20"/>
                <w:color w:val="auto"/>
              </w:rPr>
            </w:pPr>
            <w:r>
              <w:rPr>
                <w:rFonts w:ascii="Arial" w:cs="Arial" w:eastAsia="Arial" w:hAnsi="Arial"/>
                <w:sz w:val="16"/>
                <w:szCs w:val="16"/>
                <w:color w:val="auto"/>
              </w:rPr>
              <w:t>4.3%</w:t>
            </w:r>
          </w:p>
        </w:tc>
      </w:tr>
      <w:tr>
        <w:trPr>
          <w:trHeight w:val="211"/>
        </w:trPr>
        <w:tc>
          <w:tcPr>
            <w:tcW w:w="4540" w:type="dxa"/>
            <w:vAlign w:val="bottom"/>
          </w:tcPr>
          <w:p>
            <w:pPr>
              <w:spacing w:after="0"/>
              <w:rPr>
                <w:sz w:val="20"/>
                <w:szCs w:val="20"/>
                <w:color w:val="auto"/>
              </w:rPr>
            </w:pPr>
            <w:r>
              <w:rPr>
                <w:rFonts w:ascii="Arial" w:cs="Arial" w:eastAsia="Arial" w:hAnsi="Arial"/>
                <w:sz w:val="16"/>
                <w:szCs w:val="16"/>
                <w:color w:val="auto"/>
              </w:rPr>
              <w:t>Mr. Ritchie</w:t>
            </w:r>
          </w:p>
        </w:tc>
        <w:tc>
          <w:tcPr>
            <w:tcW w:w="4760" w:type="dxa"/>
            <w:vAlign w:val="bottom"/>
          </w:tcPr>
          <w:p>
            <w:pPr>
              <w:jc w:val="center"/>
              <w:ind w:left="3304"/>
              <w:spacing w:after="0"/>
              <w:rPr>
                <w:sz w:val="20"/>
                <w:szCs w:val="20"/>
                <w:color w:val="auto"/>
              </w:rPr>
            </w:pPr>
            <w:r>
              <w:rPr>
                <w:rFonts w:ascii="Arial" w:cs="Arial" w:eastAsia="Arial" w:hAnsi="Arial"/>
                <w:sz w:val="16"/>
                <w:szCs w:val="16"/>
                <w:color w:val="auto"/>
                <w:w w:val="98"/>
              </w:rPr>
              <w:t>$550,020</w:t>
            </w:r>
          </w:p>
        </w:tc>
        <w:tc>
          <w:tcPr>
            <w:tcW w:w="2140" w:type="dxa"/>
            <w:vAlign w:val="bottom"/>
          </w:tcPr>
          <w:p>
            <w:pPr>
              <w:jc w:val="right"/>
              <w:ind w:right="744"/>
              <w:spacing w:after="0"/>
              <w:rPr>
                <w:sz w:val="20"/>
                <w:szCs w:val="20"/>
                <w:color w:val="auto"/>
              </w:rPr>
            </w:pPr>
            <w:r>
              <w:rPr>
                <w:rFonts w:ascii="Arial" w:cs="Arial" w:eastAsia="Arial" w:hAnsi="Arial"/>
                <w:sz w:val="16"/>
                <w:szCs w:val="16"/>
                <w:color w:val="auto"/>
              </w:rPr>
              <w:t>16.9%</w:t>
            </w:r>
          </w:p>
        </w:tc>
      </w:tr>
      <w:tr>
        <w:trPr>
          <w:trHeight w:val="226"/>
        </w:trPr>
        <w:tc>
          <w:tcPr>
            <w:tcW w:w="4540" w:type="dxa"/>
            <w:vAlign w:val="bottom"/>
            <w:shd w:val="clear" w:color="auto" w:fill="E9E9E9"/>
          </w:tcPr>
          <w:p>
            <w:pPr>
              <w:spacing w:after="0"/>
              <w:rPr>
                <w:sz w:val="20"/>
                <w:szCs w:val="20"/>
                <w:color w:val="auto"/>
              </w:rPr>
            </w:pPr>
            <w:r>
              <w:rPr>
                <w:rFonts w:ascii="Arial" w:cs="Arial" w:eastAsia="Arial" w:hAnsi="Arial"/>
                <w:sz w:val="16"/>
                <w:szCs w:val="16"/>
                <w:color w:val="auto"/>
              </w:rPr>
              <w:t>Mr. Crutcher</w:t>
            </w:r>
          </w:p>
        </w:tc>
        <w:tc>
          <w:tcPr>
            <w:tcW w:w="4760" w:type="dxa"/>
            <w:vAlign w:val="bottom"/>
            <w:shd w:val="clear" w:color="auto" w:fill="E9E9E9"/>
          </w:tcPr>
          <w:p>
            <w:pPr>
              <w:jc w:val="center"/>
              <w:ind w:left="3304"/>
              <w:spacing w:after="0"/>
              <w:rPr>
                <w:sz w:val="20"/>
                <w:szCs w:val="20"/>
                <w:color w:val="auto"/>
              </w:rPr>
            </w:pPr>
            <w:r>
              <w:rPr>
                <w:rFonts w:ascii="Arial" w:cs="Arial" w:eastAsia="Arial" w:hAnsi="Arial"/>
                <w:sz w:val="16"/>
                <w:szCs w:val="16"/>
                <w:color w:val="auto"/>
                <w:w w:val="98"/>
              </w:rPr>
              <w:t>$485,004</w:t>
            </w:r>
          </w:p>
        </w:tc>
        <w:tc>
          <w:tcPr>
            <w:tcW w:w="2140" w:type="dxa"/>
            <w:vAlign w:val="bottom"/>
            <w:shd w:val="clear" w:color="auto" w:fill="E9E9E9"/>
          </w:tcPr>
          <w:p>
            <w:pPr>
              <w:jc w:val="right"/>
              <w:ind w:right="744"/>
              <w:spacing w:after="0"/>
              <w:rPr>
                <w:sz w:val="20"/>
                <w:szCs w:val="20"/>
                <w:color w:val="auto"/>
              </w:rPr>
            </w:pPr>
            <w:r>
              <w:rPr>
                <w:rFonts w:ascii="Arial" w:cs="Arial" w:eastAsia="Arial" w:hAnsi="Arial"/>
                <w:sz w:val="16"/>
                <w:szCs w:val="16"/>
                <w:color w:val="auto"/>
              </w:rPr>
              <w:t>14.1%</w:t>
            </w:r>
          </w:p>
        </w:tc>
      </w:tr>
    </w:tbl>
    <w:p>
      <w:pPr>
        <w:spacing w:after="0" w:line="200" w:lineRule="exact"/>
        <w:rPr>
          <w:sz w:val="20"/>
          <w:szCs w:val="20"/>
          <w:color w:val="auto"/>
        </w:rPr>
      </w:pPr>
    </w:p>
    <w:p>
      <w:pPr>
        <w:spacing w:after="0" w:line="215" w:lineRule="exact"/>
        <w:rPr>
          <w:sz w:val="20"/>
          <w:szCs w:val="20"/>
          <w:color w:val="auto"/>
        </w:rPr>
      </w:pPr>
    </w:p>
    <w:p>
      <w:pPr>
        <w:ind w:left="3" w:right="260"/>
        <w:spacing w:after="0" w:line="269" w:lineRule="auto"/>
        <w:rPr>
          <w:sz w:val="20"/>
          <w:szCs w:val="20"/>
          <w:color w:val="auto"/>
        </w:rPr>
      </w:pPr>
      <w:r>
        <w:rPr>
          <w:rFonts w:ascii="Arial" w:cs="Arial" w:eastAsia="Arial" w:hAnsi="Arial"/>
          <w:sz w:val="15"/>
          <w:szCs w:val="15"/>
          <w:color w:val="auto"/>
        </w:rPr>
        <w:t>The committee set the 2011 base-salary rate for each of the named executive officers in January 2011. In keeping with its strategy, the committee set the annual base-salary rates to be below the estimated median level of salaries expected to be paid to similarly situated executives of the Comparator Group in 2011.</w:t>
      </w:r>
    </w:p>
    <w:p>
      <w:pPr>
        <w:spacing w:after="0" w:line="1" w:lineRule="exact"/>
        <w:rPr>
          <w:sz w:val="20"/>
          <w:szCs w:val="20"/>
          <w:color w:val="auto"/>
        </w:rPr>
      </w:pPr>
    </w:p>
    <w:p>
      <w:pPr>
        <w:ind w:left="3" w:right="60" w:firstLine="243"/>
        <w:spacing w:after="0" w:line="259" w:lineRule="auto"/>
        <w:rPr>
          <w:sz w:val="20"/>
          <w:szCs w:val="20"/>
          <w:color w:val="auto"/>
        </w:rPr>
      </w:pPr>
      <w:r>
        <w:rPr>
          <w:rFonts w:ascii="Arial" w:cs="Arial" w:eastAsia="Arial" w:hAnsi="Arial"/>
          <w:sz w:val="16"/>
          <w:szCs w:val="16"/>
          <w:color w:val="auto"/>
        </w:rPr>
        <w:t>The salary differences between the named executive officers were driven primarily by the market rate of pay for each officer, and not the application of a formula designed to maintain a differential between the officers.</w:t>
      </w:r>
    </w:p>
    <w:p>
      <w:pPr>
        <w:spacing w:after="0" w:line="157" w:lineRule="exact"/>
        <w:rPr>
          <w:sz w:val="20"/>
          <w:szCs w:val="20"/>
          <w:color w:val="auto"/>
        </w:rPr>
      </w:pPr>
    </w:p>
    <w:p>
      <w:pPr>
        <w:ind w:left="3" w:right="100"/>
        <w:spacing w:after="0" w:line="242" w:lineRule="auto"/>
        <w:rPr>
          <w:sz w:val="20"/>
          <w:szCs w:val="20"/>
          <w:color w:val="auto"/>
        </w:rPr>
      </w:pPr>
      <w:r>
        <w:rPr>
          <w:rFonts w:ascii="Arial" w:cs="Arial" w:eastAsia="Arial" w:hAnsi="Arial"/>
          <w:sz w:val="16"/>
          <w:szCs w:val="16"/>
          <w:i w:val="1"/>
          <w:iCs w:val="1"/>
          <w:color w:val="auto"/>
        </w:rPr>
        <w:t xml:space="preserve">Equity compensation </w:t>
      </w:r>
      <w:r>
        <w:rPr>
          <w:rFonts w:ascii="Arial" w:cs="Arial" w:eastAsia="Arial" w:hAnsi="Arial"/>
          <w:sz w:val="16"/>
          <w:szCs w:val="16"/>
          <w:color w:val="auto"/>
        </w:rPr>
        <w:t>– In 2011, the committee awarded equity compensation to each of the named executive officers. The grants are shown in the grants of plan-based awards in 2011 table on page 81. The grant date fair value of the awards is reflected in that table and in the “Stock Awards” and “Option Awards” columns of the summary compensation table on page 79. The table below is provided to assist the reader in comparing the number of shares, grant date fair values and “NQ Equivalent” levels for each of the years shown in the summary compensation table. NQ Equivalents are calculated by treating each restricted stock unit as 3 NQ Equivalents and each option share as 1 NQ Equivalent. This 3:1 ratio approximates the relative accounting expense of granting one restricted stock unit as compared with an option for one share.</w:t>
      </w:r>
    </w:p>
    <w:p>
      <w:pPr>
        <w:spacing w:after="0" w:line="207"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5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rPr>
              <w:t>Restricted</w:t>
            </w:r>
          </w:p>
        </w:tc>
        <w:tc>
          <w:tcPr>
            <w:tcW w:w="146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18"/>
        </w:trPr>
        <w:tc>
          <w:tcPr>
            <w:tcW w:w="5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right"/>
              <w:ind w:right="163"/>
              <w:spacing w:after="0"/>
              <w:rPr>
                <w:sz w:val="20"/>
                <w:szCs w:val="20"/>
                <w:color w:val="auto"/>
              </w:rPr>
            </w:pPr>
            <w:r>
              <w:rPr>
                <w:rFonts w:ascii="Arial" w:cs="Arial" w:eastAsia="Arial" w:hAnsi="Arial"/>
                <w:sz w:val="12"/>
                <w:szCs w:val="12"/>
                <w:b w:val="1"/>
                <w:bCs w:val="1"/>
                <w:color w:val="auto"/>
              </w:rPr>
              <w:t>Stock Options</w:t>
            </w: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rPr>
              <w:t>Stock Units</w:t>
            </w:r>
          </w:p>
        </w:tc>
        <w:tc>
          <w:tcPr>
            <w:tcW w:w="1460" w:type="dxa"/>
            <w:vAlign w:val="bottom"/>
          </w:tcPr>
          <w:p>
            <w:pPr>
              <w:spacing w:after="0"/>
              <w:rPr>
                <w:sz w:val="18"/>
                <w:szCs w:val="18"/>
                <w:color w:val="auto"/>
              </w:rPr>
            </w:pPr>
          </w:p>
        </w:tc>
        <w:tc>
          <w:tcPr>
            <w:tcW w:w="1380" w:type="dxa"/>
            <w:vAlign w:val="bottom"/>
          </w:tcPr>
          <w:p>
            <w:pPr>
              <w:ind w:left="340"/>
              <w:spacing w:after="0"/>
              <w:rPr>
                <w:sz w:val="20"/>
                <w:szCs w:val="20"/>
                <w:color w:val="auto"/>
              </w:rPr>
            </w:pPr>
            <w:r>
              <w:rPr>
                <w:rFonts w:ascii="Arial" w:cs="Arial" w:eastAsia="Arial" w:hAnsi="Arial"/>
                <w:sz w:val="12"/>
                <w:szCs w:val="12"/>
                <w:b w:val="1"/>
                <w:bCs w:val="1"/>
                <w:color w:val="auto"/>
              </w:rPr>
              <w:t>Grant Date</w:t>
            </w:r>
          </w:p>
        </w:tc>
      </w:tr>
      <w:tr>
        <w:trPr>
          <w:trHeight w:val="218"/>
        </w:trPr>
        <w:tc>
          <w:tcPr>
            <w:tcW w:w="5480" w:type="dxa"/>
            <w:vAlign w:val="bottom"/>
          </w:tcPr>
          <w:p>
            <w:pPr>
              <w:spacing w:after="0"/>
              <w:rPr>
                <w:sz w:val="20"/>
                <w:szCs w:val="20"/>
                <w:color w:val="auto"/>
              </w:rPr>
            </w:pPr>
            <w:r>
              <w:rPr>
                <w:rFonts w:ascii="Arial" w:cs="Arial" w:eastAsia="Arial" w:hAnsi="Arial"/>
                <w:sz w:val="12"/>
                <w:szCs w:val="12"/>
                <w:b w:val="1"/>
                <w:bCs w:val="1"/>
                <w:color w:val="auto"/>
              </w:rPr>
              <w:t>Officer</w:t>
            </w:r>
          </w:p>
        </w:tc>
        <w:tc>
          <w:tcPr>
            <w:tcW w:w="720" w:type="dxa"/>
            <w:vAlign w:val="bottom"/>
          </w:tcPr>
          <w:p>
            <w:pPr>
              <w:jc w:val="center"/>
              <w:ind w:left="22"/>
              <w:spacing w:after="0"/>
              <w:rPr>
                <w:sz w:val="20"/>
                <w:szCs w:val="20"/>
                <w:color w:val="auto"/>
              </w:rPr>
            </w:pPr>
            <w:r>
              <w:rPr>
                <w:rFonts w:ascii="Arial" w:cs="Arial" w:eastAsia="Arial" w:hAnsi="Arial"/>
                <w:sz w:val="12"/>
                <w:szCs w:val="12"/>
                <w:b w:val="1"/>
                <w:bCs w:val="1"/>
                <w:color w:val="auto"/>
                <w:w w:val="99"/>
              </w:rPr>
              <w:t>Year</w:t>
            </w:r>
          </w:p>
        </w:tc>
        <w:tc>
          <w:tcPr>
            <w:tcW w:w="1200" w:type="dxa"/>
            <w:vAlign w:val="bottom"/>
          </w:tcPr>
          <w:p>
            <w:pPr>
              <w:jc w:val="right"/>
              <w:ind w:right="263"/>
              <w:spacing w:after="0"/>
              <w:rPr>
                <w:sz w:val="20"/>
                <w:szCs w:val="20"/>
                <w:color w:val="auto"/>
              </w:rPr>
            </w:pPr>
            <w:r>
              <w:rPr>
                <w:rFonts w:ascii="Arial" w:cs="Arial" w:eastAsia="Arial" w:hAnsi="Arial"/>
                <w:sz w:val="12"/>
                <w:szCs w:val="12"/>
                <w:b w:val="1"/>
                <w:bCs w:val="1"/>
                <w:color w:val="auto"/>
              </w:rPr>
              <w:t>(in Shares)</w:t>
            </w: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rPr>
              <w:t>(in Shares)</w:t>
            </w:r>
          </w:p>
        </w:tc>
        <w:tc>
          <w:tcPr>
            <w:tcW w:w="1460" w:type="dxa"/>
            <w:vAlign w:val="bottom"/>
          </w:tcPr>
          <w:p>
            <w:pPr>
              <w:jc w:val="right"/>
              <w:ind w:right="282"/>
              <w:spacing w:after="0"/>
              <w:rPr>
                <w:sz w:val="20"/>
                <w:szCs w:val="20"/>
                <w:color w:val="auto"/>
              </w:rPr>
            </w:pPr>
            <w:r>
              <w:rPr>
                <w:rFonts w:ascii="Arial" w:cs="Arial" w:eastAsia="Arial" w:hAnsi="Arial"/>
                <w:sz w:val="12"/>
                <w:szCs w:val="12"/>
                <w:b w:val="1"/>
                <w:bCs w:val="1"/>
                <w:color w:val="auto"/>
              </w:rPr>
              <w:t>NQ Equivalents</w:t>
            </w:r>
          </w:p>
        </w:tc>
        <w:tc>
          <w:tcPr>
            <w:tcW w:w="1380" w:type="dxa"/>
            <w:vAlign w:val="bottom"/>
          </w:tcPr>
          <w:p>
            <w:pPr>
              <w:ind w:left="340"/>
              <w:spacing w:after="0"/>
              <w:rPr>
                <w:sz w:val="20"/>
                <w:szCs w:val="20"/>
                <w:color w:val="auto"/>
              </w:rPr>
            </w:pPr>
            <w:r>
              <w:rPr>
                <w:rFonts w:ascii="Arial" w:cs="Arial" w:eastAsia="Arial" w:hAnsi="Arial"/>
                <w:sz w:val="12"/>
                <w:szCs w:val="12"/>
                <w:b w:val="1"/>
                <w:bCs w:val="1"/>
                <w:color w:val="auto"/>
              </w:rPr>
              <w:t>Fair Value*</w:t>
            </w:r>
          </w:p>
        </w:tc>
      </w:tr>
      <w:tr>
        <w:trPr>
          <w:trHeight w:val="37"/>
        </w:trPr>
        <w:tc>
          <w:tcPr>
            <w:tcW w:w="5480" w:type="dxa"/>
            <w:vAlign w:val="bottom"/>
            <w:tcBorders>
              <w:bottom w:val="single" w:sz="8" w:color="808285"/>
            </w:tcBorders>
          </w:tcPr>
          <w:p>
            <w:pPr>
              <w:spacing w:after="0"/>
              <w:rPr>
                <w:sz w:val="3"/>
                <w:szCs w:val="3"/>
                <w:color w:val="auto"/>
              </w:rPr>
            </w:pPr>
          </w:p>
        </w:tc>
        <w:tc>
          <w:tcPr>
            <w:tcW w:w="720" w:type="dxa"/>
            <w:vAlign w:val="bottom"/>
            <w:tcBorders>
              <w:bottom w:val="single" w:sz="8" w:color="808285"/>
            </w:tcBorders>
          </w:tcPr>
          <w:p>
            <w:pPr>
              <w:spacing w:after="0"/>
              <w:rPr>
                <w:sz w:val="3"/>
                <w:szCs w:val="3"/>
                <w:color w:val="auto"/>
              </w:rPr>
            </w:pPr>
          </w:p>
        </w:tc>
        <w:tc>
          <w:tcPr>
            <w:tcW w:w="1200" w:type="dxa"/>
            <w:vAlign w:val="bottom"/>
            <w:tcBorders>
              <w:bottom w:val="single" w:sz="8" w:color="808285"/>
            </w:tcBorders>
          </w:tcPr>
          <w:p>
            <w:pPr>
              <w:spacing w:after="0"/>
              <w:rPr>
                <w:sz w:val="3"/>
                <w:szCs w:val="3"/>
                <w:color w:val="auto"/>
              </w:rPr>
            </w:pPr>
          </w:p>
        </w:tc>
        <w:tc>
          <w:tcPr>
            <w:tcW w:w="1200" w:type="dxa"/>
            <w:vAlign w:val="bottom"/>
            <w:tcBorders>
              <w:bottom w:val="single" w:sz="8" w:color="808285"/>
            </w:tcBorders>
          </w:tcPr>
          <w:p>
            <w:pPr>
              <w:spacing w:after="0"/>
              <w:rPr>
                <w:sz w:val="3"/>
                <w:szCs w:val="3"/>
                <w:color w:val="auto"/>
              </w:rPr>
            </w:pPr>
          </w:p>
        </w:tc>
        <w:tc>
          <w:tcPr>
            <w:tcW w:w="1460" w:type="dxa"/>
            <w:vAlign w:val="bottom"/>
            <w:tcBorders>
              <w:bottom w:val="single" w:sz="8" w:color="808285"/>
            </w:tcBorders>
          </w:tcPr>
          <w:p>
            <w:pPr>
              <w:spacing w:after="0"/>
              <w:rPr>
                <w:sz w:val="3"/>
                <w:szCs w:val="3"/>
                <w:color w:val="auto"/>
              </w:rPr>
            </w:pPr>
          </w:p>
        </w:tc>
        <w:tc>
          <w:tcPr>
            <w:tcW w:w="1380" w:type="dxa"/>
            <w:vAlign w:val="bottom"/>
            <w:tcBorders>
              <w:bottom w:val="single" w:sz="8" w:color="808285"/>
            </w:tcBorders>
          </w:tcPr>
          <w:p>
            <w:pPr>
              <w:spacing w:after="0"/>
              <w:rPr>
                <w:sz w:val="3"/>
                <w:szCs w:val="3"/>
                <w:color w:val="auto"/>
              </w:rPr>
            </w:pPr>
          </w:p>
        </w:tc>
      </w:tr>
      <w:tr>
        <w:trPr>
          <w:trHeight w:val="196"/>
        </w:trPr>
        <w:tc>
          <w:tcPr>
            <w:tcW w:w="5480" w:type="dxa"/>
            <w:vAlign w:val="bottom"/>
            <w:shd w:val="clear" w:color="auto" w:fill="E9E9E9"/>
          </w:tcPr>
          <w:p>
            <w:pPr>
              <w:spacing w:after="0"/>
              <w:rPr>
                <w:sz w:val="20"/>
                <w:szCs w:val="20"/>
                <w:color w:val="auto"/>
              </w:rPr>
            </w:pPr>
            <w:r>
              <w:rPr>
                <w:rFonts w:ascii="Arial" w:cs="Arial" w:eastAsia="Arial" w:hAnsi="Arial"/>
                <w:sz w:val="16"/>
                <w:szCs w:val="16"/>
                <w:color w:val="auto"/>
              </w:rPr>
              <w:t>Mr. Templeton</w:t>
            </w: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2011</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450,000</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rPr>
              <w:t>150,000</w:t>
            </w:r>
          </w:p>
        </w:tc>
        <w:tc>
          <w:tcPr>
            <w:tcW w:w="1460" w:type="dxa"/>
            <w:vAlign w:val="bottom"/>
            <w:shd w:val="clear" w:color="auto" w:fill="E9E9E9"/>
          </w:tcPr>
          <w:p>
            <w:pPr>
              <w:jc w:val="right"/>
              <w:ind w:right="382"/>
              <w:spacing w:after="0"/>
              <w:rPr>
                <w:sz w:val="20"/>
                <w:szCs w:val="20"/>
                <w:color w:val="auto"/>
              </w:rPr>
            </w:pPr>
            <w:r>
              <w:rPr>
                <w:rFonts w:ascii="Arial" w:cs="Arial" w:eastAsia="Arial" w:hAnsi="Arial"/>
                <w:sz w:val="16"/>
                <w:szCs w:val="16"/>
                <w:color w:val="auto"/>
              </w:rPr>
              <w:t>900,000</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$9,883,575</w:t>
            </w:r>
          </w:p>
        </w:tc>
      </w:tr>
      <w:tr>
        <w:trPr>
          <w:trHeight w:val="218"/>
        </w:trPr>
        <w:tc>
          <w:tcPr>
            <w:tcW w:w="5480" w:type="dxa"/>
            <w:vAlign w:val="bottom"/>
            <w:shd w:val="clear" w:color="auto" w:fill="E9E9E9"/>
          </w:tcPr>
          <w:p>
            <w:pPr>
              <w:spacing w:after="0"/>
              <w:rPr>
                <w:sz w:val="18"/>
                <w:szCs w:val="18"/>
                <w:color w:val="auto"/>
              </w:rPr>
            </w:pP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2010</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540,000</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rPr>
              <w:t>180,000</w:t>
            </w:r>
          </w:p>
        </w:tc>
        <w:tc>
          <w:tcPr>
            <w:tcW w:w="1460" w:type="dxa"/>
            <w:vAlign w:val="bottom"/>
            <w:shd w:val="clear" w:color="auto" w:fill="E9E9E9"/>
          </w:tcPr>
          <w:p>
            <w:pPr>
              <w:jc w:val="right"/>
              <w:ind w:right="382"/>
              <w:spacing w:after="0"/>
              <w:rPr>
                <w:sz w:val="20"/>
                <w:szCs w:val="20"/>
                <w:color w:val="auto"/>
              </w:rPr>
            </w:pPr>
            <w:r>
              <w:rPr>
                <w:rFonts w:ascii="Arial" w:cs="Arial" w:eastAsia="Arial" w:hAnsi="Arial"/>
                <w:sz w:val="16"/>
                <w:szCs w:val="16"/>
                <w:color w:val="auto"/>
              </w:rPr>
              <w:t>1,080,000</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$7,715,066</w:t>
            </w:r>
          </w:p>
        </w:tc>
      </w:tr>
      <w:tr>
        <w:trPr>
          <w:trHeight w:val="233"/>
        </w:trPr>
        <w:tc>
          <w:tcPr>
            <w:tcW w:w="5480" w:type="dxa"/>
            <w:vAlign w:val="bottom"/>
            <w:shd w:val="clear" w:color="auto" w:fill="E9E9E9"/>
          </w:tcPr>
          <w:p>
            <w:pPr>
              <w:spacing w:after="0"/>
              <w:rPr>
                <w:sz w:val="20"/>
                <w:szCs w:val="20"/>
                <w:color w:val="auto"/>
              </w:rPr>
            </w:pP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2009</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664,461</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rPr>
              <w:t>221,487</w:t>
            </w:r>
          </w:p>
        </w:tc>
        <w:tc>
          <w:tcPr>
            <w:tcW w:w="1460" w:type="dxa"/>
            <w:vAlign w:val="bottom"/>
            <w:shd w:val="clear" w:color="auto" w:fill="E9E9E9"/>
          </w:tcPr>
          <w:p>
            <w:pPr>
              <w:jc w:val="right"/>
              <w:ind w:right="382"/>
              <w:spacing w:after="0"/>
              <w:rPr>
                <w:sz w:val="20"/>
                <w:szCs w:val="20"/>
                <w:color w:val="auto"/>
              </w:rPr>
            </w:pPr>
            <w:r>
              <w:rPr>
                <w:rFonts w:ascii="Arial" w:cs="Arial" w:eastAsia="Arial" w:hAnsi="Arial"/>
                <w:sz w:val="16"/>
                <w:szCs w:val="16"/>
                <w:color w:val="auto"/>
              </w:rPr>
              <w:t>1,328,922</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$6,919,254</w:t>
            </w:r>
          </w:p>
        </w:tc>
      </w:tr>
      <w:tr>
        <w:trPr>
          <w:trHeight w:val="218"/>
        </w:trPr>
        <w:tc>
          <w:tcPr>
            <w:tcW w:w="5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4"/>
        </w:trPr>
        <w:tc>
          <w:tcPr>
            <w:tcW w:w="5480" w:type="dxa"/>
            <w:vAlign w:val="bottom"/>
            <w:shd w:val="clear" w:color="auto" w:fill="E9E9E9"/>
          </w:tcPr>
          <w:p>
            <w:pPr>
              <w:spacing w:after="0"/>
              <w:rPr>
                <w:sz w:val="20"/>
                <w:szCs w:val="20"/>
                <w:color w:val="auto"/>
              </w:rPr>
            </w:pPr>
            <w:r>
              <w:rPr>
                <w:rFonts w:ascii="Arial" w:cs="Arial" w:eastAsia="Arial" w:hAnsi="Arial"/>
                <w:sz w:val="16"/>
                <w:szCs w:val="16"/>
                <w:color w:val="auto"/>
              </w:rPr>
              <w:t>Mr. March</w:t>
            </w: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2011</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137,500</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rPr>
              <w:t>45,834</w:t>
            </w:r>
          </w:p>
        </w:tc>
        <w:tc>
          <w:tcPr>
            <w:tcW w:w="1460" w:type="dxa"/>
            <w:vAlign w:val="bottom"/>
            <w:shd w:val="clear" w:color="auto" w:fill="E9E9E9"/>
          </w:tcPr>
          <w:p>
            <w:pPr>
              <w:jc w:val="right"/>
              <w:ind w:right="382"/>
              <w:spacing w:after="0"/>
              <w:rPr>
                <w:sz w:val="20"/>
                <w:szCs w:val="20"/>
                <w:color w:val="auto"/>
              </w:rPr>
            </w:pPr>
            <w:r>
              <w:rPr>
                <w:rFonts w:ascii="Arial" w:cs="Arial" w:eastAsia="Arial" w:hAnsi="Arial"/>
                <w:sz w:val="16"/>
                <w:szCs w:val="16"/>
                <w:color w:val="auto"/>
              </w:rPr>
              <w:t>275,002</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$3,020,004</w:t>
            </w:r>
          </w:p>
        </w:tc>
      </w:tr>
      <w:tr>
        <w:trPr>
          <w:trHeight w:val="218"/>
        </w:trPr>
        <w:tc>
          <w:tcPr>
            <w:tcW w:w="5480" w:type="dxa"/>
            <w:vAlign w:val="bottom"/>
            <w:shd w:val="clear" w:color="auto" w:fill="E9E9E9"/>
          </w:tcPr>
          <w:p>
            <w:pPr>
              <w:spacing w:after="0"/>
              <w:rPr>
                <w:sz w:val="18"/>
                <w:szCs w:val="18"/>
                <w:color w:val="auto"/>
              </w:rPr>
            </w:pP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2010</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161,250</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rPr>
              <w:t>53,751</w:t>
            </w:r>
          </w:p>
        </w:tc>
        <w:tc>
          <w:tcPr>
            <w:tcW w:w="1460" w:type="dxa"/>
            <w:vAlign w:val="bottom"/>
            <w:shd w:val="clear" w:color="auto" w:fill="E9E9E9"/>
          </w:tcPr>
          <w:p>
            <w:pPr>
              <w:jc w:val="right"/>
              <w:ind w:right="382"/>
              <w:spacing w:after="0"/>
              <w:rPr>
                <w:sz w:val="20"/>
                <w:szCs w:val="20"/>
                <w:color w:val="auto"/>
              </w:rPr>
            </w:pPr>
            <w:r>
              <w:rPr>
                <w:rFonts w:ascii="Arial" w:cs="Arial" w:eastAsia="Arial" w:hAnsi="Arial"/>
                <w:sz w:val="16"/>
                <w:szCs w:val="16"/>
                <w:color w:val="auto"/>
              </w:rPr>
              <w:t>322,503</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$2,303,828</w:t>
            </w:r>
          </w:p>
        </w:tc>
      </w:tr>
      <w:tr>
        <w:trPr>
          <w:trHeight w:val="233"/>
        </w:trPr>
        <w:tc>
          <w:tcPr>
            <w:tcW w:w="5480" w:type="dxa"/>
            <w:vAlign w:val="bottom"/>
            <w:shd w:val="clear" w:color="auto" w:fill="E9E9E9"/>
          </w:tcPr>
          <w:p>
            <w:pPr>
              <w:spacing w:after="0"/>
              <w:rPr>
                <w:sz w:val="20"/>
                <w:szCs w:val="20"/>
                <w:color w:val="auto"/>
              </w:rPr>
            </w:pP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2009</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190,000</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rPr>
              <w:t>63,334</w:t>
            </w:r>
          </w:p>
        </w:tc>
        <w:tc>
          <w:tcPr>
            <w:tcW w:w="1460" w:type="dxa"/>
            <w:vAlign w:val="bottom"/>
            <w:shd w:val="clear" w:color="auto" w:fill="E9E9E9"/>
          </w:tcPr>
          <w:p>
            <w:pPr>
              <w:jc w:val="right"/>
              <w:ind w:right="382"/>
              <w:spacing w:after="0"/>
              <w:rPr>
                <w:sz w:val="20"/>
                <w:szCs w:val="20"/>
                <w:color w:val="auto"/>
              </w:rPr>
            </w:pPr>
            <w:r>
              <w:rPr>
                <w:rFonts w:ascii="Arial" w:cs="Arial" w:eastAsia="Arial" w:hAnsi="Arial"/>
                <w:sz w:val="16"/>
                <w:szCs w:val="16"/>
                <w:color w:val="auto"/>
              </w:rPr>
              <w:t>380,000</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$1,978,543</w:t>
            </w:r>
          </w:p>
        </w:tc>
      </w:tr>
      <w:tr>
        <w:trPr>
          <w:trHeight w:val="218"/>
        </w:trPr>
        <w:tc>
          <w:tcPr>
            <w:tcW w:w="5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4"/>
        </w:trPr>
        <w:tc>
          <w:tcPr>
            <w:tcW w:w="5480" w:type="dxa"/>
            <w:vAlign w:val="bottom"/>
            <w:shd w:val="clear" w:color="auto" w:fill="E9E9E9"/>
          </w:tcPr>
          <w:p>
            <w:pPr>
              <w:spacing w:after="0"/>
              <w:rPr>
                <w:sz w:val="20"/>
                <w:szCs w:val="20"/>
                <w:color w:val="auto"/>
              </w:rPr>
            </w:pPr>
            <w:r>
              <w:rPr>
                <w:rFonts w:ascii="Arial" w:cs="Arial" w:eastAsia="Arial" w:hAnsi="Arial"/>
                <w:sz w:val="16"/>
                <w:szCs w:val="16"/>
                <w:color w:val="auto"/>
              </w:rPr>
              <w:t>Mr. Lowe</w:t>
            </w: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2011</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185,000</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rPr>
              <w:t>61,667</w:t>
            </w:r>
          </w:p>
        </w:tc>
        <w:tc>
          <w:tcPr>
            <w:tcW w:w="1460" w:type="dxa"/>
            <w:vAlign w:val="bottom"/>
            <w:shd w:val="clear" w:color="auto" w:fill="E9E9E9"/>
          </w:tcPr>
          <w:p>
            <w:pPr>
              <w:jc w:val="right"/>
              <w:ind w:right="382"/>
              <w:spacing w:after="0"/>
              <w:rPr>
                <w:sz w:val="20"/>
                <w:szCs w:val="20"/>
                <w:color w:val="auto"/>
              </w:rPr>
            </w:pPr>
            <w:r>
              <w:rPr>
                <w:rFonts w:ascii="Arial" w:cs="Arial" w:eastAsia="Arial" w:hAnsi="Arial"/>
                <w:sz w:val="16"/>
                <w:szCs w:val="16"/>
                <w:color w:val="auto"/>
              </w:rPr>
              <w:t>370,001</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$4,063,259</w:t>
            </w:r>
          </w:p>
        </w:tc>
      </w:tr>
      <w:tr>
        <w:trPr>
          <w:trHeight w:val="218"/>
        </w:trPr>
        <w:tc>
          <w:tcPr>
            <w:tcW w:w="5480" w:type="dxa"/>
            <w:vAlign w:val="bottom"/>
            <w:shd w:val="clear" w:color="auto" w:fill="E9E9E9"/>
          </w:tcPr>
          <w:p>
            <w:pPr>
              <w:spacing w:after="0"/>
              <w:rPr>
                <w:sz w:val="18"/>
                <w:szCs w:val="18"/>
                <w:color w:val="auto"/>
              </w:rPr>
            </w:pP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2010</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277,500</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rPr>
              <w:t>92,501</w:t>
            </w:r>
          </w:p>
        </w:tc>
        <w:tc>
          <w:tcPr>
            <w:tcW w:w="1460" w:type="dxa"/>
            <w:vAlign w:val="bottom"/>
            <w:shd w:val="clear" w:color="auto" w:fill="E9E9E9"/>
          </w:tcPr>
          <w:p>
            <w:pPr>
              <w:jc w:val="right"/>
              <w:ind w:right="382"/>
              <w:spacing w:after="0"/>
              <w:rPr>
                <w:sz w:val="20"/>
                <w:szCs w:val="20"/>
                <w:color w:val="auto"/>
              </w:rPr>
            </w:pPr>
            <w:r>
              <w:rPr>
                <w:rFonts w:ascii="Arial" w:cs="Arial" w:eastAsia="Arial" w:hAnsi="Arial"/>
                <w:sz w:val="16"/>
                <w:szCs w:val="16"/>
                <w:color w:val="auto"/>
              </w:rPr>
              <w:t>555,003</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$3,964,709</w:t>
            </w:r>
          </w:p>
        </w:tc>
      </w:tr>
      <w:tr>
        <w:trPr>
          <w:trHeight w:val="233"/>
        </w:trPr>
        <w:tc>
          <w:tcPr>
            <w:tcW w:w="5480" w:type="dxa"/>
            <w:vAlign w:val="bottom"/>
            <w:shd w:val="clear" w:color="auto" w:fill="E9E9E9"/>
          </w:tcPr>
          <w:p>
            <w:pPr>
              <w:spacing w:after="0"/>
              <w:rPr>
                <w:sz w:val="20"/>
                <w:szCs w:val="20"/>
                <w:color w:val="auto"/>
              </w:rPr>
            </w:pP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2009</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280,000</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rPr>
              <w:t>93,334</w:t>
            </w:r>
          </w:p>
        </w:tc>
        <w:tc>
          <w:tcPr>
            <w:tcW w:w="1460" w:type="dxa"/>
            <w:vAlign w:val="bottom"/>
            <w:shd w:val="clear" w:color="auto" w:fill="E9E9E9"/>
          </w:tcPr>
          <w:p>
            <w:pPr>
              <w:jc w:val="right"/>
              <w:ind w:right="382"/>
              <w:spacing w:after="0"/>
              <w:rPr>
                <w:sz w:val="20"/>
                <w:szCs w:val="20"/>
                <w:color w:val="auto"/>
              </w:rPr>
            </w:pPr>
            <w:r>
              <w:rPr>
                <w:rFonts w:ascii="Arial" w:cs="Arial" w:eastAsia="Arial" w:hAnsi="Arial"/>
                <w:sz w:val="16"/>
                <w:szCs w:val="16"/>
                <w:color w:val="auto"/>
              </w:rPr>
              <w:t>560,000</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$2,915,743</w:t>
            </w:r>
          </w:p>
        </w:tc>
      </w:tr>
      <w:tr>
        <w:trPr>
          <w:trHeight w:val="218"/>
        </w:trPr>
        <w:tc>
          <w:tcPr>
            <w:tcW w:w="5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4"/>
        </w:trPr>
        <w:tc>
          <w:tcPr>
            <w:tcW w:w="5480" w:type="dxa"/>
            <w:vAlign w:val="bottom"/>
            <w:shd w:val="clear" w:color="auto" w:fill="E9E9E9"/>
          </w:tcPr>
          <w:p>
            <w:pPr>
              <w:spacing w:after="0"/>
              <w:rPr>
                <w:sz w:val="20"/>
                <w:szCs w:val="20"/>
                <w:color w:val="auto"/>
              </w:rPr>
            </w:pPr>
            <w:r>
              <w:rPr>
                <w:rFonts w:ascii="Arial" w:cs="Arial" w:eastAsia="Arial" w:hAnsi="Arial"/>
                <w:sz w:val="16"/>
                <w:szCs w:val="16"/>
                <w:color w:val="auto"/>
              </w:rPr>
              <w:t>Mr. Ritchie</w:t>
            </w: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2011</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162,500</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rPr>
              <w:t>54,167</w:t>
            </w:r>
          </w:p>
        </w:tc>
        <w:tc>
          <w:tcPr>
            <w:tcW w:w="1460" w:type="dxa"/>
            <w:vAlign w:val="bottom"/>
            <w:shd w:val="clear" w:color="auto" w:fill="E9E9E9"/>
          </w:tcPr>
          <w:p>
            <w:pPr>
              <w:jc w:val="right"/>
              <w:ind w:right="382"/>
              <w:spacing w:after="0"/>
              <w:rPr>
                <w:sz w:val="20"/>
                <w:szCs w:val="20"/>
                <w:color w:val="auto"/>
              </w:rPr>
            </w:pPr>
            <w:r>
              <w:rPr>
                <w:rFonts w:ascii="Arial" w:cs="Arial" w:eastAsia="Arial" w:hAnsi="Arial"/>
                <w:sz w:val="16"/>
                <w:szCs w:val="16"/>
                <w:color w:val="auto"/>
              </w:rPr>
              <w:t>325,001</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$3,569,080</w:t>
            </w:r>
          </w:p>
        </w:tc>
      </w:tr>
      <w:tr>
        <w:trPr>
          <w:trHeight w:val="218"/>
        </w:trPr>
        <w:tc>
          <w:tcPr>
            <w:tcW w:w="5480" w:type="dxa"/>
            <w:vAlign w:val="bottom"/>
            <w:shd w:val="clear" w:color="auto" w:fill="E9E9E9"/>
          </w:tcPr>
          <w:p>
            <w:pPr>
              <w:spacing w:after="0"/>
              <w:rPr>
                <w:sz w:val="18"/>
                <w:szCs w:val="18"/>
                <w:color w:val="auto"/>
              </w:rPr>
            </w:pP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2010</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187,500</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rPr>
              <w:t>62,501</w:t>
            </w:r>
          </w:p>
        </w:tc>
        <w:tc>
          <w:tcPr>
            <w:tcW w:w="1460" w:type="dxa"/>
            <w:vAlign w:val="bottom"/>
            <w:shd w:val="clear" w:color="auto" w:fill="E9E9E9"/>
          </w:tcPr>
          <w:p>
            <w:pPr>
              <w:jc w:val="right"/>
              <w:ind w:right="382"/>
              <w:spacing w:after="0"/>
              <w:rPr>
                <w:sz w:val="20"/>
                <w:szCs w:val="20"/>
                <w:color w:val="auto"/>
              </w:rPr>
            </w:pPr>
            <w:r>
              <w:rPr>
                <w:rFonts w:ascii="Arial" w:cs="Arial" w:eastAsia="Arial" w:hAnsi="Arial"/>
                <w:sz w:val="16"/>
                <w:szCs w:val="16"/>
                <w:color w:val="auto"/>
              </w:rPr>
              <w:t>375,003</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$2,678,865</w:t>
            </w:r>
          </w:p>
        </w:tc>
      </w:tr>
      <w:tr>
        <w:trPr>
          <w:trHeight w:val="233"/>
        </w:trPr>
        <w:tc>
          <w:tcPr>
            <w:tcW w:w="5480" w:type="dxa"/>
            <w:vAlign w:val="bottom"/>
            <w:shd w:val="clear" w:color="auto" w:fill="E9E9E9"/>
          </w:tcPr>
          <w:p>
            <w:pPr>
              <w:spacing w:after="0"/>
              <w:rPr>
                <w:sz w:val="20"/>
                <w:szCs w:val="20"/>
                <w:color w:val="auto"/>
              </w:rPr>
            </w:pP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2009</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250,000</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rPr>
              <w:t>83,334</w:t>
            </w:r>
          </w:p>
        </w:tc>
        <w:tc>
          <w:tcPr>
            <w:tcW w:w="1460" w:type="dxa"/>
            <w:vAlign w:val="bottom"/>
            <w:shd w:val="clear" w:color="auto" w:fill="E9E9E9"/>
          </w:tcPr>
          <w:p>
            <w:pPr>
              <w:jc w:val="right"/>
              <w:ind w:right="382"/>
              <w:spacing w:after="0"/>
              <w:rPr>
                <w:sz w:val="20"/>
                <w:szCs w:val="20"/>
                <w:color w:val="auto"/>
              </w:rPr>
            </w:pPr>
            <w:r>
              <w:rPr>
                <w:rFonts w:ascii="Arial" w:cs="Arial" w:eastAsia="Arial" w:hAnsi="Arial"/>
                <w:sz w:val="16"/>
                <w:szCs w:val="16"/>
                <w:color w:val="auto"/>
              </w:rPr>
              <w:t>500,000</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$2,603,343</w:t>
            </w:r>
          </w:p>
        </w:tc>
      </w:tr>
      <w:tr>
        <w:trPr>
          <w:trHeight w:val="218"/>
        </w:trPr>
        <w:tc>
          <w:tcPr>
            <w:tcW w:w="5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4"/>
        </w:trPr>
        <w:tc>
          <w:tcPr>
            <w:tcW w:w="5480" w:type="dxa"/>
            <w:vAlign w:val="bottom"/>
            <w:shd w:val="clear" w:color="auto" w:fill="E9E9E9"/>
          </w:tcPr>
          <w:p>
            <w:pPr>
              <w:spacing w:after="0"/>
              <w:rPr>
                <w:sz w:val="20"/>
                <w:szCs w:val="20"/>
                <w:color w:val="auto"/>
              </w:rPr>
            </w:pPr>
            <w:r>
              <w:rPr>
                <w:rFonts w:ascii="Arial" w:cs="Arial" w:eastAsia="Arial" w:hAnsi="Arial"/>
                <w:sz w:val="16"/>
                <w:szCs w:val="16"/>
                <w:color w:val="auto"/>
              </w:rPr>
              <w:t>Mr. Crutcher</w:t>
            </w: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2011</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162,500</w:t>
            </w:r>
          </w:p>
        </w:tc>
        <w:tc>
          <w:tcPr>
            <w:tcW w:w="120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rPr>
              <w:t>54,167</w:t>
            </w:r>
          </w:p>
        </w:tc>
        <w:tc>
          <w:tcPr>
            <w:tcW w:w="1460" w:type="dxa"/>
            <w:vAlign w:val="bottom"/>
            <w:shd w:val="clear" w:color="auto" w:fill="E9E9E9"/>
          </w:tcPr>
          <w:p>
            <w:pPr>
              <w:jc w:val="right"/>
              <w:ind w:right="382"/>
              <w:spacing w:after="0"/>
              <w:rPr>
                <w:sz w:val="20"/>
                <w:szCs w:val="20"/>
                <w:color w:val="auto"/>
              </w:rPr>
            </w:pPr>
            <w:r>
              <w:rPr>
                <w:rFonts w:ascii="Arial" w:cs="Arial" w:eastAsia="Arial" w:hAnsi="Arial"/>
                <w:sz w:val="16"/>
                <w:szCs w:val="16"/>
                <w:color w:val="auto"/>
              </w:rPr>
              <w:t>325,001</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$3,569,080</w:t>
            </w:r>
          </w:p>
        </w:tc>
      </w:tr>
      <w:tr>
        <w:trPr>
          <w:trHeight w:val="233"/>
        </w:trPr>
        <w:tc>
          <w:tcPr>
            <w:tcW w:w="5480" w:type="dxa"/>
            <w:vAlign w:val="bottom"/>
            <w:shd w:val="clear" w:color="auto" w:fill="E9E9E9"/>
          </w:tcPr>
          <w:p>
            <w:pPr>
              <w:spacing w:after="0"/>
              <w:rPr>
                <w:sz w:val="20"/>
                <w:szCs w:val="20"/>
                <w:color w:val="auto"/>
              </w:rPr>
            </w:pPr>
          </w:p>
        </w:tc>
        <w:tc>
          <w:tcPr>
            <w:tcW w:w="720" w:type="dxa"/>
            <w:vAlign w:val="bottom"/>
            <w:shd w:val="clear" w:color="auto" w:fill="E9E9E9"/>
          </w:tcPr>
          <w:p>
            <w:pPr>
              <w:jc w:val="center"/>
              <w:ind w:left="42"/>
              <w:spacing w:after="0"/>
              <w:rPr>
                <w:sz w:val="20"/>
                <w:szCs w:val="20"/>
                <w:color w:val="auto"/>
              </w:rPr>
            </w:pPr>
            <w:r>
              <w:rPr>
                <w:rFonts w:ascii="Arial" w:cs="Arial" w:eastAsia="Arial" w:hAnsi="Arial"/>
                <w:sz w:val="16"/>
                <w:szCs w:val="16"/>
                <w:color w:val="auto"/>
              </w:rPr>
              <w:t>2010</w:t>
            </w:r>
          </w:p>
        </w:tc>
        <w:tc>
          <w:tcPr>
            <w:tcW w:w="1200" w:type="dxa"/>
            <w:vAlign w:val="bottom"/>
            <w:shd w:val="clear" w:color="auto" w:fill="E9E9E9"/>
          </w:tcPr>
          <w:p>
            <w:pPr>
              <w:jc w:val="right"/>
              <w:ind w:right="303"/>
              <w:spacing w:after="0"/>
              <w:rPr>
                <w:sz w:val="20"/>
                <w:szCs w:val="20"/>
                <w:color w:val="auto"/>
              </w:rPr>
            </w:pPr>
            <w:r>
              <w:rPr>
                <w:rFonts w:ascii="Arial" w:cs="Arial" w:eastAsia="Arial" w:hAnsi="Arial"/>
                <w:sz w:val="16"/>
                <w:szCs w:val="16"/>
                <w:color w:val="auto"/>
              </w:rPr>
              <w:t>—</w:t>
            </w:r>
          </w:p>
        </w:tc>
        <w:tc>
          <w:tcPr>
            <w:tcW w:w="120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100,000**</w:t>
            </w:r>
          </w:p>
        </w:tc>
        <w:tc>
          <w:tcPr>
            <w:tcW w:w="1460" w:type="dxa"/>
            <w:vAlign w:val="bottom"/>
            <w:shd w:val="clear" w:color="auto" w:fill="E9E9E9"/>
          </w:tcPr>
          <w:p>
            <w:pPr>
              <w:jc w:val="right"/>
              <w:ind w:right="242"/>
              <w:spacing w:after="0"/>
              <w:rPr>
                <w:sz w:val="20"/>
                <w:szCs w:val="20"/>
                <w:color w:val="auto"/>
              </w:rPr>
            </w:pPr>
            <w:r>
              <w:rPr>
                <w:rFonts w:ascii="Arial" w:cs="Arial" w:eastAsia="Arial" w:hAnsi="Arial"/>
                <w:sz w:val="16"/>
                <w:szCs w:val="16"/>
                <w:color w:val="auto"/>
              </w:rPr>
              <w:t>300,000**</w:t>
            </w:r>
          </w:p>
        </w:tc>
        <w:tc>
          <w:tcPr>
            <w:tcW w:w="1380" w:type="dxa"/>
            <w:vAlign w:val="bottom"/>
            <w:shd w:val="clear" w:color="auto" w:fill="E9E9E9"/>
          </w:tcPr>
          <w:p>
            <w:pPr>
              <w:ind w:left="380"/>
              <w:spacing w:after="0"/>
              <w:rPr>
                <w:sz w:val="20"/>
                <w:szCs w:val="20"/>
                <w:color w:val="auto"/>
              </w:rPr>
            </w:pPr>
            <w:r>
              <w:rPr>
                <w:rFonts w:ascii="Arial" w:cs="Arial" w:eastAsia="Arial" w:hAnsi="Arial"/>
                <w:sz w:val="16"/>
                <w:szCs w:val="16"/>
                <w:color w:val="auto"/>
              </w:rPr>
              <w:t>$2,498,000**</w:t>
            </w:r>
          </w:p>
        </w:tc>
      </w:tr>
    </w:tbl>
    <w:p>
      <w:pPr>
        <w:spacing w:after="0" w:line="233" w:lineRule="exact"/>
        <w:rPr>
          <w:sz w:val="20"/>
          <w:szCs w:val="20"/>
          <w:color w:val="auto"/>
        </w:rPr>
      </w:pPr>
    </w:p>
    <w:p>
      <w:pPr>
        <w:ind w:left="323" w:hanging="323"/>
        <w:spacing w:after="0"/>
        <w:tabs>
          <w:tab w:leader="none" w:pos="323"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note 3 to the summary compensation table on page 79 for information on how grant date fair value was calculated.</w:t>
      </w:r>
    </w:p>
    <w:p>
      <w:pPr>
        <w:spacing w:after="0" w:line="22" w:lineRule="exact"/>
        <w:rPr>
          <w:sz w:val="20"/>
          <w:szCs w:val="20"/>
          <w:color w:val="auto"/>
        </w:rPr>
      </w:pPr>
    </w:p>
    <w:p>
      <w:pPr>
        <w:ind w:left="323" w:right="620" w:hanging="323"/>
        <w:spacing w:after="0" w:line="243" w:lineRule="auto"/>
        <w:tabs>
          <w:tab w:leader="none" w:pos="323"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Shown is the award made to Mr. Crutcher in September 2010, when he became an executive officer. The grants that he received before he became an executive officer, which were made under procedures applicable to non-executive officers, are reflected in the tables on pages 75 and 83.</w:t>
      </w:r>
    </w:p>
    <w:p>
      <w:pPr>
        <w:spacing w:after="0" w:line="185" w:lineRule="exact"/>
        <w:rPr>
          <w:sz w:val="20"/>
          <w:szCs w:val="20"/>
          <w:color w:val="auto"/>
        </w:rPr>
      </w:pPr>
    </w:p>
    <w:p>
      <w:pPr>
        <w:ind w:left="3" w:right="100"/>
        <w:spacing w:after="0" w:line="211" w:lineRule="auto"/>
        <w:rPr>
          <w:sz w:val="20"/>
          <w:szCs w:val="20"/>
          <w:color w:val="auto"/>
        </w:rPr>
      </w:pPr>
      <w:r>
        <w:rPr>
          <w:rFonts w:ascii="Arial" w:cs="Arial" w:eastAsia="Arial" w:hAnsi="Arial"/>
          <w:sz w:val="16"/>
          <w:szCs w:val="16"/>
          <w:color w:val="auto"/>
        </w:rPr>
        <w:t>For each of the named executive officers, the committee made the 2011 awards shown above in January 2011. The committee’s objective was to award to those officers equity compensation that had a grant date fair value at approximately the median market level, in this case the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to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3-year average of equity compensation (including an estimate of amounts for 2011) granted by the Comparator Group.</w:t>
      </w:r>
    </w:p>
    <w:p>
      <w:pPr>
        <w:spacing w:after="0" w:line="233" w:lineRule="exact"/>
        <w:rPr>
          <w:sz w:val="20"/>
          <w:szCs w:val="20"/>
          <w:color w:val="auto"/>
        </w:rPr>
      </w:pPr>
    </w:p>
    <w:p>
      <w:pPr>
        <w:ind w:left="3"/>
        <w:spacing w:after="0"/>
        <w:tabs>
          <w:tab w:leader="none" w:pos="10103" w:val="left"/>
        </w:tabs>
        <w:rPr>
          <w:sz w:val="20"/>
          <w:szCs w:val="20"/>
          <w:color w:val="auto"/>
        </w:rPr>
      </w:pPr>
      <w:r>
        <w:rPr>
          <w:rFonts w:ascii="Arial" w:cs="Arial" w:eastAsia="Arial" w:hAnsi="Arial"/>
          <w:sz w:val="12"/>
          <w:szCs w:val="12"/>
          <w:b w:val="1"/>
          <w:bCs w:val="1"/>
          <w:color w:val="auto"/>
        </w:rPr>
        <w:t xml:space="preserve">72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55" w:right="219" w:bottom="1440" w:gutter="0" w:footer="0" w:header="0"/>
        </w:sectPr>
      </w:pPr>
    </w:p>
    <w:bookmarkStart w:id="19" w:name="page20"/>
    <w:bookmarkEnd w:id="19"/>
    <w:p>
      <w:pPr>
        <w:ind w:left="3" w:right="180" w:firstLine="243"/>
        <w:spacing w:after="0" w:line="248" w:lineRule="auto"/>
        <w:rPr>
          <w:sz w:val="20"/>
          <w:szCs w:val="20"/>
          <w:color w:val="auto"/>
        </w:rPr>
      </w:pPr>
      <w:r>
        <w:rPr>
          <w:rFonts w:ascii="Arial" w:cs="Arial" w:eastAsia="Arial" w:hAnsi="Arial"/>
          <w:sz w:val="16"/>
          <w:szCs w:val="16"/>
          <w:color w:val="auto"/>
        </w:rPr>
        <w:t>In assessing the market level, the committee considered information presented by TI’s Compensation and Benefits organization (prepared using data provided by the committee’s compensation consultant) on the estimated value of the awards expected to be granted by the Comparator Group to similarly situated executives. The award value was estimated using the same methodology used for financial accounting.</w:t>
      </w:r>
    </w:p>
    <w:p>
      <w:pPr>
        <w:spacing w:after="0" w:line="12" w:lineRule="exact"/>
        <w:rPr>
          <w:sz w:val="20"/>
          <w:szCs w:val="20"/>
          <w:color w:val="auto"/>
        </w:rPr>
      </w:pPr>
    </w:p>
    <w:p>
      <w:pPr>
        <w:ind w:left="3" w:right="240" w:firstLine="243"/>
        <w:spacing w:after="0" w:line="248" w:lineRule="auto"/>
        <w:rPr>
          <w:sz w:val="20"/>
          <w:szCs w:val="20"/>
          <w:color w:val="auto"/>
        </w:rPr>
      </w:pPr>
      <w:r>
        <w:rPr>
          <w:rFonts w:ascii="Arial" w:cs="Arial" w:eastAsia="Arial" w:hAnsi="Arial"/>
          <w:sz w:val="16"/>
          <w:szCs w:val="16"/>
          <w:color w:val="auto"/>
        </w:rPr>
        <w:t>For each officer, the committee set a number of NQ Equivalents to achieve the desired grant value. The committee decided to allocate the NQ Equivalents for each officer equally between restricted stock units and options to give equal emphasis to promoting retention, motivating the executive and aligning his interests with those of shareholders.</w:t>
      </w:r>
    </w:p>
    <w:p>
      <w:pPr>
        <w:spacing w:after="0" w:line="12" w:lineRule="exact"/>
        <w:rPr>
          <w:sz w:val="20"/>
          <w:szCs w:val="20"/>
          <w:color w:val="auto"/>
        </w:rPr>
      </w:pPr>
    </w:p>
    <w:p>
      <w:pPr>
        <w:ind w:left="3" w:right="20" w:firstLine="243"/>
        <w:spacing w:after="0" w:line="248" w:lineRule="auto"/>
        <w:rPr>
          <w:sz w:val="20"/>
          <w:szCs w:val="20"/>
          <w:color w:val="auto"/>
        </w:rPr>
      </w:pPr>
      <w:r>
        <w:rPr>
          <w:rFonts w:ascii="Arial" w:cs="Arial" w:eastAsia="Arial" w:hAnsi="Arial"/>
          <w:sz w:val="16"/>
          <w:szCs w:val="16"/>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 from the levels described above.</w:t>
      </w:r>
    </w:p>
    <w:p>
      <w:pPr>
        <w:spacing w:after="0" w:line="12" w:lineRule="exact"/>
        <w:rPr>
          <w:sz w:val="20"/>
          <w:szCs w:val="20"/>
          <w:color w:val="auto"/>
        </w:rPr>
      </w:pPr>
    </w:p>
    <w:p>
      <w:pPr>
        <w:ind w:left="3" w:right="260" w:firstLine="243"/>
        <w:spacing w:after="0" w:line="248" w:lineRule="auto"/>
        <w:rPr>
          <w:sz w:val="20"/>
          <w:szCs w:val="20"/>
          <w:color w:val="auto"/>
        </w:rPr>
      </w:pPr>
      <w:r>
        <w:rPr>
          <w:rFonts w:ascii="Arial" w:cs="Arial" w:eastAsia="Arial" w:hAnsi="Arial"/>
          <w:sz w:val="16"/>
          <w:szCs w:val="16"/>
          <w:color w:val="auto"/>
        </w:rPr>
        <w:t>The exercise price of the options was the closing price of TI stock on January 27, 2011, the third trading day after the company released its annual and fourth quarter financial results for 2010. All grants were made under the 2009 Texas Instruments Long-Term Incentive Plan (the “2009 Plan”), which shareholders approved in April 2009. All grants have the terms described on page 84.</w:t>
      </w:r>
    </w:p>
    <w:p>
      <w:pPr>
        <w:spacing w:after="0" w:line="12" w:lineRule="exact"/>
        <w:rPr>
          <w:sz w:val="20"/>
          <w:szCs w:val="20"/>
          <w:color w:val="auto"/>
        </w:rPr>
      </w:pPr>
    </w:p>
    <w:p>
      <w:pPr>
        <w:ind w:left="3" w:right="300" w:firstLine="243"/>
        <w:spacing w:after="0" w:line="259" w:lineRule="auto"/>
        <w:rPr>
          <w:sz w:val="20"/>
          <w:szCs w:val="20"/>
          <w:color w:val="auto"/>
        </w:rPr>
      </w:pPr>
      <w:r>
        <w:rPr>
          <w:rFonts w:ascii="Arial" w:cs="Arial" w:eastAsia="Arial" w:hAnsi="Arial"/>
          <w:sz w:val="16"/>
          <w:szCs w:val="16"/>
          <w:color w:val="auto"/>
        </w:rPr>
        <w:t>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57" w:lineRule="exact"/>
        <w:rPr>
          <w:sz w:val="20"/>
          <w:szCs w:val="20"/>
          <w:color w:val="auto"/>
        </w:rPr>
      </w:pPr>
    </w:p>
    <w:p>
      <w:pPr>
        <w:ind w:left="3" w:right="440"/>
        <w:spacing w:after="0" w:line="216" w:lineRule="auto"/>
        <w:rPr>
          <w:sz w:val="20"/>
          <w:szCs w:val="20"/>
          <w:color w:val="auto"/>
        </w:rPr>
      </w:pPr>
      <w:r>
        <w:rPr>
          <w:rFonts w:ascii="Arial" w:cs="Arial" w:eastAsia="Arial" w:hAnsi="Arial"/>
          <w:sz w:val="16"/>
          <w:szCs w:val="16"/>
          <w:i w:val="1"/>
          <w:iCs w:val="1"/>
          <w:color w:val="auto"/>
        </w:rPr>
        <w:t xml:space="preserve">Bonus </w:t>
      </w:r>
      <w:r>
        <w:rPr>
          <w:rFonts w:ascii="Arial" w:cs="Arial" w:eastAsia="Arial" w:hAnsi="Arial"/>
          <w:sz w:val="16"/>
          <w:szCs w:val="16"/>
          <w:color w:val="auto"/>
        </w:rPr>
        <w:t>– In January 2012, the committee set the 2011 bonus compensation for executive officers based on its assessment of 2011 performance. In setting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bonuses, the committee used the following performance measures to assess the company:</w:t>
      </w:r>
    </w:p>
    <w:p>
      <w:pPr>
        <w:ind w:left="483"/>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u w:val="single" w:color="auto"/>
          <w:color w:val="auto"/>
        </w:rPr>
        <w:t>relative</w:t>
      </w:r>
      <w:r>
        <w:rPr>
          <w:rFonts w:ascii="Arial" w:cs="Arial" w:eastAsia="Arial" w:hAnsi="Arial"/>
          <w:sz w:val="16"/>
          <w:szCs w:val="16"/>
          <w:color w:val="auto"/>
        </w:rPr>
        <w:t xml:space="preserve"> one-year and three-year performance of TI as compared with competitor companies, as measured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6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3"/>
        <w:spacing w:after="0"/>
        <w:rPr>
          <w:sz w:val="20"/>
          <w:szCs w:val="20"/>
          <w:color w:val="auto"/>
        </w:rPr>
      </w:pPr>
      <w:r>
        <w:rPr>
          <w:rFonts w:ascii="Arial" w:cs="Arial" w:eastAsia="Arial" w:hAnsi="Arial"/>
          <w:sz w:val="16"/>
          <w:szCs w:val="16"/>
          <w:color w:val="auto"/>
        </w:rPr>
        <w:t>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-84455</wp:posOffset>
            </wp:positionV>
            <wp:extent cx="56515" cy="55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963"/>
        <w:spacing w:after="0"/>
        <w:rPr>
          <w:sz w:val="20"/>
          <w:szCs w:val="20"/>
          <w:color w:val="auto"/>
        </w:rPr>
      </w:pPr>
      <w:r>
        <w:rPr>
          <w:rFonts w:ascii="Arial" w:cs="Arial" w:eastAsia="Arial" w:hAnsi="Arial"/>
          <w:sz w:val="16"/>
          <w:szCs w:val="16"/>
          <w:color w:val="auto"/>
        </w:rPr>
        <w:t>operating profit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-84455</wp:posOffset>
            </wp:positionV>
            <wp:extent cx="56515" cy="56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963"/>
        <w:spacing w:after="0"/>
        <w:rPr>
          <w:sz w:val="20"/>
          <w:szCs w:val="20"/>
          <w:color w:val="auto"/>
        </w:rPr>
      </w:pPr>
      <w:r>
        <w:rPr>
          <w:rFonts w:ascii="Arial" w:cs="Arial" w:eastAsia="Arial" w:hAnsi="Arial"/>
          <w:sz w:val="16"/>
          <w:szCs w:val="16"/>
          <w:color w:val="auto"/>
        </w:rPr>
        <w:t>total shareholder return;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-84455</wp:posOffset>
            </wp:positionV>
            <wp:extent cx="56515" cy="55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3"/>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u w:val="single" w:color="auto"/>
          <w:color w:val="auto"/>
        </w:rPr>
        <w:t>absolute</w:t>
      </w:r>
      <w:r>
        <w:rPr>
          <w:rFonts w:ascii="Arial" w:cs="Arial" w:eastAsia="Arial" w:hAnsi="Arial"/>
          <w:sz w:val="16"/>
          <w:szCs w:val="16"/>
          <w:color w:val="auto"/>
        </w:rPr>
        <w:t xml:space="preserve"> one-year and three-year performance of TI on the above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-84455</wp:posOffset>
            </wp:positionV>
            <wp:extent cx="56515" cy="56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84" w:lineRule="exact"/>
        <w:rPr>
          <w:sz w:val="20"/>
          <w:szCs w:val="20"/>
          <w:color w:val="auto"/>
        </w:rPr>
      </w:pPr>
    </w:p>
    <w:p>
      <w:pPr>
        <w:ind w:left="3" w:right="180"/>
        <w:spacing w:after="0" w:line="243" w:lineRule="auto"/>
        <w:rPr>
          <w:sz w:val="20"/>
          <w:szCs w:val="20"/>
          <w:color w:val="auto"/>
        </w:rPr>
      </w:pPr>
      <w:r>
        <w:rPr>
          <w:rFonts w:ascii="Arial" w:cs="Arial" w:eastAsia="Arial" w:hAnsi="Arial"/>
          <w:sz w:val="16"/>
          <w:szCs w:val="16"/>
          <w:color w:val="auto"/>
        </w:rPr>
        <w:t>In addition, the committee considered our strategic progress by reviewing how competitive we are in key markets with our core products and technologies, as well as the strength of our relationships with key customers.</w:t>
      </w:r>
    </w:p>
    <w:p>
      <w:pPr>
        <w:spacing w:after="0" w:line="15" w:lineRule="exact"/>
        <w:rPr>
          <w:sz w:val="20"/>
          <w:szCs w:val="20"/>
          <w:color w:val="auto"/>
        </w:rPr>
      </w:pPr>
    </w:p>
    <w:p>
      <w:pPr>
        <w:ind w:left="3" w:right="160" w:firstLine="243"/>
        <w:spacing w:after="0"/>
        <w:rPr>
          <w:sz w:val="20"/>
          <w:szCs w:val="20"/>
          <w:color w:val="auto"/>
        </w:rPr>
      </w:pPr>
      <w:r>
        <w:rPr>
          <w:rFonts w:ascii="Arial" w:cs="Arial" w:eastAsia="Arial" w:hAnsi="Arial"/>
          <w:sz w:val="16"/>
          <w:szCs w:val="16"/>
          <w:color w:val="auto"/>
        </w:rPr>
        <w:t>One-year relative performance on the three measures and one-year strategic progress were the primary considerations in the committee’s assessment of the company’s 2011 performance. In assessing performance, the committee did not use formulas, thresholds or multiples. Because market conditions can quickly change in our industry, thresholds established at the beginning of a year could prove irrelevant by year-end. The committee believes its approach, which assesses the company’s relative performance in hindsight after year-end, gives it the insight to most effectively and critically judge results and encouraged executives to pursue strategies that serve the long-term interests of the company and its shareholders.</w:t>
      </w:r>
    </w:p>
    <w:p>
      <w:pPr>
        <w:spacing w:after="0" w:line="1" w:lineRule="exact"/>
        <w:rPr>
          <w:sz w:val="20"/>
          <w:szCs w:val="20"/>
          <w:color w:val="auto"/>
        </w:rPr>
      </w:pPr>
    </w:p>
    <w:p>
      <w:pPr>
        <w:ind w:left="243"/>
        <w:spacing w:after="0"/>
        <w:rPr>
          <w:sz w:val="20"/>
          <w:szCs w:val="20"/>
          <w:color w:val="auto"/>
        </w:rPr>
      </w:pPr>
      <w:r>
        <w:rPr>
          <w:rFonts w:ascii="Arial" w:cs="Arial" w:eastAsia="Arial" w:hAnsi="Arial"/>
          <w:sz w:val="16"/>
          <w:szCs w:val="16"/>
          <w:color w:val="auto"/>
        </w:rPr>
        <w:t>In the comparison of relative performance, the committee used the following companies (the “competitor companies”):</w:t>
      </w:r>
      <w:r>
        <w:rPr>
          <w:rFonts w:ascii="Arial" w:cs="Arial" w:eastAsia="Arial" w:hAnsi="Arial"/>
          <w:sz w:val="26"/>
          <w:szCs w:val="26"/>
          <w:color w:val="auto"/>
          <w:vertAlign w:val="superscript"/>
        </w:rPr>
        <w:t>2</w:t>
      </w:r>
    </w:p>
    <w:p>
      <w:pPr>
        <w:sectPr>
          <w:pgSz w:w="11900" w:h="16838" w:orient="portrait"/>
          <w:cols w:equalWidth="0" w:num="1">
            <w:col w:w="11443"/>
          </w:cols>
          <w:pgMar w:left="237" w:top="579" w:right="219" w:bottom="1440" w:gutter="0" w:footer="0" w:header="0"/>
        </w:sectPr>
      </w:pPr>
    </w:p>
    <w:p>
      <w:pPr>
        <w:spacing w:after="0" w:line="138" w:lineRule="exact"/>
        <w:rPr>
          <w:sz w:val="20"/>
          <w:szCs w:val="20"/>
          <w:color w:val="auto"/>
        </w:rPr>
      </w:pPr>
    </w:p>
    <w:p>
      <w:pPr>
        <w:ind w:left="1143"/>
        <w:spacing w:after="0"/>
        <w:rPr>
          <w:sz w:val="20"/>
          <w:szCs w:val="20"/>
          <w:color w:val="auto"/>
        </w:rPr>
      </w:pPr>
      <w:r>
        <w:rPr>
          <w:rFonts w:ascii="Arial" w:cs="Arial" w:eastAsia="Arial" w:hAnsi="Arial"/>
          <w:sz w:val="15"/>
          <w:szCs w:val="15"/>
          <w:color w:val="auto"/>
        </w:rPr>
        <w:t>Advanced Micro Devices, Inc.</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LSI Logic Corporation</w:t>
      </w:r>
    </w:p>
    <w:p>
      <w:pPr>
        <w:spacing w:after="0" w:line="46" w:lineRule="exact"/>
        <w:rPr>
          <w:sz w:val="20"/>
          <w:szCs w:val="20"/>
          <w:color w:val="auto"/>
        </w:rPr>
      </w:pPr>
    </w:p>
    <w:p>
      <w:pPr>
        <w:sectPr>
          <w:pgSz w:w="11900" w:h="16838" w:orient="portrait"/>
          <w:cols w:equalWidth="0" w:num="2">
            <w:col w:w="5403" w:space="720"/>
            <w:col w:w="5320"/>
          </w:cols>
          <w:pgMar w:left="237" w:top="579" w:right="219" w:bottom="1440" w:gutter="0" w:footer="0" w:header="0"/>
          <w:type w:val="continuous"/>
        </w:sectPr>
      </w:pPr>
    </w:p>
    <w:p>
      <w:pPr>
        <w:ind w:left="1143"/>
        <w:spacing w:after="0"/>
        <w:rPr>
          <w:sz w:val="20"/>
          <w:szCs w:val="20"/>
          <w:color w:val="auto"/>
        </w:rPr>
      </w:pPr>
      <w:r>
        <w:rPr>
          <w:rFonts w:ascii="Arial" w:cs="Arial" w:eastAsia="Arial" w:hAnsi="Arial"/>
          <w:sz w:val="15"/>
          <w:szCs w:val="15"/>
          <w:color w:val="auto"/>
        </w:rPr>
        <w:t>Altera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Marvell Technology Group Ltd.</w:t>
      </w:r>
    </w:p>
    <w:p>
      <w:pPr>
        <w:spacing w:after="0" w:line="46" w:lineRule="exact"/>
        <w:rPr>
          <w:sz w:val="20"/>
          <w:szCs w:val="20"/>
          <w:color w:val="auto"/>
        </w:rPr>
      </w:pPr>
    </w:p>
    <w:p>
      <w:pPr>
        <w:sectPr>
          <w:pgSz w:w="11900" w:h="16838" w:orient="portrait"/>
          <w:cols w:equalWidth="0" w:num="2">
            <w:col w:w="5403" w:space="720"/>
            <w:col w:w="5320"/>
          </w:cols>
          <w:pgMar w:left="237" w:top="579" w:right="219" w:bottom="1440" w:gutter="0" w:footer="0" w:header="0"/>
          <w:type w:val="continuous"/>
        </w:sectPr>
      </w:pPr>
    </w:p>
    <w:p>
      <w:pPr>
        <w:ind w:left="1143"/>
        <w:spacing w:after="0"/>
        <w:rPr>
          <w:sz w:val="20"/>
          <w:szCs w:val="20"/>
          <w:color w:val="auto"/>
        </w:rPr>
      </w:pPr>
      <w:r>
        <w:rPr>
          <w:rFonts w:ascii="Arial" w:cs="Arial" w:eastAsia="Arial" w:hAnsi="Arial"/>
          <w:sz w:val="15"/>
          <w:szCs w:val="15"/>
          <w:color w:val="auto"/>
        </w:rPr>
        <w:t>Atmel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Maxim Integrated Products, Inc.</w:t>
      </w:r>
    </w:p>
    <w:p>
      <w:pPr>
        <w:spacing w:after="0" w:line="46" w:lineRule="exact"/>
        <w:rPr>
          <w:sz w:val="20"/>
          <w:szCs w:val="20"/>
          <w:color w:val="auto"/>
        </w:rPr>
      </w:pPr>
    </w:p>
    <w:p>
      <w:pPr>
        <w:sectPr>
          <w:pgSz w:w="11900" w:h="16838" w:orient="portrait"/>
          <w:cols w:equalWidth="0" w:num="2">
            <w:col w:w="5403" w:space="720"/>
            <w:col w:w="5320"/>
          </w:cols>
          <w:pgMar w:left="237" w:top="579" w:right="219" w:bottom="1440" w:gutter="0" w:footer="0" w:header="0"/>
          <w:type w:val="continuous"/>
        </w:sectPr>
      </w:pPr>
    </w:p>
    <w:p>
      <w:pPr>
        <w:ind w:left="1143"/>
        <w:spacing w:after="0"/>
        <w:rPr>
          <w:sz w:val="20"/>
          <w:szCs w:val="20"/>
          <w:color w:val="auto"/>
        </w:rPr>
      </w:pPr>
      <w:r>
        <w:rPr>
          <w:rFonts w:ascii="Arial" w:cs="Arial" w:eastAsia="Arial" w:hAnsi="Arial"/>
          <w:sz w:val="15"/>
          <w:szCs w:val="15"/>
          <w:color w:val="auto"/>
        </w:rPr>
        <w:t>Analog Devices,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Microchip Technology Incorporated</w:t>
      </w:r>
    </w:p>
    <w:p>
      <w:pPr>
        <w:spacing w:after="0" w:line="46" w:lineRule="exact"/>
        <w:rPr>
          <w:sz w:val="20"/>
          <w:szCs w:val="20"/>
          <w:color w:val="auto"/>
        </w:rPr>
      </w:pPr>
    </w:p>
    <w:p>
      <w:pPr>
        <w:sectPr>
          <w:pgSz w:w="11900" w:h="16838" w:orient="portrait"/>
          <w:cols w:equalWidth="0" w:num="2">
            <w:col w:w="5403" w:space="720"/>
            <w:col w:w="5320"/>
          </w:cols>
          <w:pgMar w:left="237" w:top="579" w:right="219" w:bottom="1440" w:gutter="0" w:footer="0" w:header="0"/>
          <w:type w:val="continuous"/>
        </w:sectPr>
      </w:pPr>
    </w:p>
    <w:p>
      <w:pPr>
        <w:ind w:left="1143"/>
        <w:spacing w:after="0"/>
        <w:rPr>
          <w:sz w:val="20"/>
          <w:szCs w:val="20"/>
          <w:color w:val="auto"/>
        </w:rPr>
      </w:pPr>
      <w:r>
        <w:rPr>
          <w:rFonts w:ascii="Arial" w:cs="Arial" w:eastAsia="Arial" w:hAnsi="Arial"/>
          <w:sz w:val="15"/>
          <w:szCs w:val="15"/>
          <w:color w:val="auto"/>
        </w:rPr>
        <w:t>Broadcom Corporation</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Arial" w:cs="Arial" w:eastAsia="Arial" w:hAnsi="Arial"/>
          <w:sz w:val="15"/>
          <w:szCs w:val="15"/>
          <w:color w:val="auto"/>
        </w:rPr>
        <w:t>NXP Semiconductors N.V.</w:t>
      </w:r>
    </w:p>
    <w:p>
      <w:pPr>
        <w:spacing w:after="0" w:line="46" w:lineRule="exact"/>
        <w:rPr>
          <w:sz w:val="20"/>
          <w:szCs w:val="20"/>
          <w:color w:val="auto"/>
        </w:rPr>
      </w:pPr>
    </w:p>
    <w:p>
      <w:pPr>
        <w:sectPr>
          <w:pgSz w:w="11900" w:h="16838" w:orient="portrait"/>
          <w:cols w:equalWidth="0" w:num="2">
            <w:col w:w="5403" w:space="720"/>
            <w:col w:w="5320"/>
          </w:cols>
          <w:pgMar w:left="237" w:top="579" w:right="219" w:bottom="1440" w:gutter="0" w:footer="0" w:header="0"/>
          <w:type w:val="continuous"/>
        </w:sectPr>
      </w:pPr>
    </w:p>
    <w:p>
      <w:pPr>
        <w:ind w:left="1143"/>
        <w:spacing w:after="0"/>
        <w:rPr>
          <w:sz w:val="20"/>
          <w:szCs w:val="20"/>
          <w:color w:val="auto"/>
        </w:rPr>
      </w:pPr>
      <w:r>
        <w:rPr>
          <w:rFonts w:ascii="Arial" w:cs="Arial" w:eastAsia="Arial" w:hAnsi="Arial"/>
          <w:sz w:val="15"/>
          <w:szCs w:val="15"/>
          <w:color w:val="auto"/>
        </w:rPr>
        <w:t>Fairchild Semiconductor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NVIDIA Corporation</w:t>
      </w:r>
    </w:p>
    <w:p>
      <w:pPr>
        <w:spacing w:after="0" w:line="46" w:lineRule="exact"/>
        <w:rPr>
          <w:sz w:val="20"/>
          <w:szCs w:val="20"/>
          <w:color w:val="auto"/>
        </w:rPr>
      </w:pPr>
    </w:p>
    <w:p>
      <w:pPr>
        <w:sectPr>
          <w:pgSz w:w="11900" w:h="16838" w:orient="portrait"/>
          <w:cols w:equalWidth="0" w:num="2">
            <w:col w:w="5403" w:space="720"/>
            <w:col w:w="5320"/>
          </w:cols>
          <w:pgMar w:left="237" w:top="579" w:right="219" w:bottom="1440" w:gutter="0" w:footer="0" w:header="0"/>
          <w:type w:val="continuous"/>
        </w:sectPr>
      </w:pPr>
    </w:p>
    <w:p>
      <w:pPr>
        <w:ind w:left="1143"/>
        <w:spacing w:after="0"/>
        <w:rPr>
          <w:sz w:val="20"/>
          <w:szCs w:val="20"/>
          <w:color w:val="auto"/>
        </w:rPr>
      </w:pPr>
      <w:r>
        <w:rPr>
          <w:rFonts w:ascii="Arial" w:cs="Arial" w:eastAsia="Arial" w:hAnsi="Arial"/>
          <w:sz w:val="15"/>
          <w:szCs w:val="15"/>
          <w:color w:val="auto"/>
        </w:rPr>
        <w:t>Infineon Technologies AG</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Arial" w:cs="Arial" w:eastAsia="Arial" w:hAnsi="Arial"/>
          <w:sz w:val="15"/>
          <w:szCs w:val="15"/>
          <w:color w:val="auto"/>
        </w:rPr>
        <w:t>ON Semiconductor Corporation</w:t>
      </w:r>
    </w:p>
    <w:p>
      <w:pPr>
        <w:spacing w:after="0" w:line="46" w:lineRule="exact"/>
        <w:rPr>
          <w:sz w:val="20"/>
          <w:szCs w:val="20"/>
          <w:color w:val="auto"/>
        </w:rPr>
      </w:pPr>
    </w:p>
    <w:p>
      <w:pPr>
        <w:sectPr>
          <w:pgSz w:w="11900" w:h="16838" w:orient="portrait"/>
          <w:cols w:equalWidth="0" w:num="2">
            <w:col w:w="5403" w:space="720"/>
            <w:col w:w="5320"/>
          </w:cols>
          <w:pgMar w:left="237" w:top="579" w:right="219" w:bottom="1440" w:gutter="0" w:footer="0" w:header="0"/>
          <w:type w:val="continuous"/>
        </w:sectPr>
      </w:pPr>
    </w:p>
    <w:p>
      <w:pPr>
        <w:ind w:left="1143"/>
        <w:spacing w:after="0"/>
        <w:rPr>
          <w:sz w:val="20"/>
          <w:szCs w:val="20"/>
          <w:color w:val="auto"/>
        </w:rPr>
      </w:pPr>
      <w:r>
        <w:rPr>
          <w:rFonts w:ascii="Arial" w:cs="Arial" w:eastAsia="Arial" w:hAnsi="Arial"/>
          <w:sz w:val="15"/>
          <w:szCs w:val="15"/>
          <w:color w:val="auto"/>
        </w:rPr>
        <w:t>Intel Corporation</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15"/>
          <w:szCs w:val="15"/>
          <w:color w:val="auto"/>
        </w:rPr>
        <w:t>QUALCOMM Incorporated</w:t>
      </w:r>
    </w:p>
    <w:p>
      <w:pPr>
        <w:spacing w:after="0" w:line="46" w:lineRule="exact"/>
        <w:rPr>
          <w:sz w:val="20"/>
          <w:szCs w:val="20"/>
          <w:color w:val="auto"/>
        </w:rPr>
      </w:pPr>
    </w:p>
    <w:p>
      <w:pPr>
        <w:sectPr>
          <w:pgSz w:w="11900" w:h="16838" w:orient="portrait"/>
          <w:cols w:equalWidth="0" w:num="2">
            <w:col w:w="5403" w:space="720"/>
            <w:col w:w="5320"/>
          </w:cols>
          <w:pgMar w:left="237" w:top="579" w:right="219" w:bottom="1440" w:gutter="0" w:footer="0" w:header="0"/>
          <w:type w:val="continuous"/>
        </w:sectPr>
      </w:pPr>
    </w:p>
    <w:p>
      <w:pPr>
        <w:ind w:left="1143"/>
        <w:spacing w:after="0"/>
        <w:rPr>
          <w:sz w:val="20"/>
          <w:szCs w:val="20"/>
          <w:color w:val="auto"/>
        </w:rPr>
      </w:pPr>
      <w:r>
        <w:rPr>
          <w:rFonts w:ascii="Arial" w:cs="Arial" w:eastAsia="Arial" w:hAnsi="Arial"/>
          <w:sz w:val="15"/>
          <w:szCs w:val="15"/>
          <w:color w:val="auto"/>
        </w:rPr>
        <w:t>Intersil Corporation</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Arial" w:cs="Arial" w:eastAsia="Arial" w:hAnsi="Arial"/>
          <w:sz w:val="15"/>
          <w:szCs w:val="15"/>
          <w:color w:val="auto"/>
        </w:rPr>
        <w:t>STMicroelectronics N.V.</w:t>
      </w:r>
    </w:p>
    <w:p>
      <w:pPr>
        <w:spacing w:after="0" w:line="46" w:lineRule="exact"/>
        <w:rPr>
          <w:sz w:val="20"/>
          <w:szCs w:val="20"/>
          <w:color w:val="auto"/>
        </w:rPr>
      </w:pPr>
    </w:p>
    <w:p>
      <w:pPr>
        <w:sectPr>
          <w:pgSz w:w="11900" w:h="16838" w:orient="portrait"/>
          <w:cols w:equalWidth="0" w:num="2">
            <w:col w:w="5403" w:space="720"/>
            <w:col w:w="5320"/>
          </w:cols>
          <w:pgMar w:left="237" w:top="579" w:right="219" w:bottom="1440" w:gutter="0" w:footer="0" w:header="0"/>
          <w:type w:val="continuous"/>
        </w:sectPr>
      </w:pPr>
    </w:p>
    <w:p>
      <w:pPr>
        <w:ind w:left="1143"/>
        <w:spacing w:after="0"/>
        <w:rPr>
          <w:sz w:val="20"/>
          <w:szCs w:val="20"/>
          <w:color w:val="auto"/>
        </w:rPr>
      </w:pPr>
      <w:r>
        <w:rPr>
          <w:rFonts w:ascii="Arial" w:cs="Arial" w:eastAsia="Arial" w:hAnsi="Arial"/>
          <w:sz w:val="15"/>
          <w:szCs w:val="15"/>
          <w:color w:val="auto"/>
        </w:rPr>
        <w:t>Linear Technology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Xilinx, Inc.</w:t>
      </w:r>
    </w:p>
    <w:p>
      <w:pPr>
        <w:spacing w:after="0" w:line="200" w:lineRule="exact"/>
        <w:rPr>
          <w:sz w:val="20"/>
          <w:szCs w:val="20"/>
          <w:color w:val="auto"/>
        </w:rPr>
      </w:pPr>
    </w:p>
    <w:p>
      <w:pPr>
        <w:sectPr>
          <w:pgSz w:w="11900" w:h="16838" w:orient="portrait"/>
          <w:cols w:equalWidth="0" w:num="2">
            <w:col w:w="5403" w:space="720"/>
            <w:col w:w="5320"/>
          </w:cols>
          <w:pgMar w:left="237" w:top="579" w:right="219" w:bottom="1440" w:gutter="0" w:footer="0" w:header="0"/>
          <w:type w:val="continuous"/>
        </w:sectPr>
      </w:pPr>
    </w:p>
    <w:p>
      <w:pPr>
        <w:spacing w:after="0" w:line="246" w:lineRule="exact"/>
        <w:rPr>
          <w:sz w:val="20"/>
          <w:szCs w:val="20"/>
          <w:color w:val="auto"/>
        </w:rPr>
      </w:pPr>
    </w:p>
    <w:p>
      <w:pPr>
        <w:ind w:left="3" w:right="120"/>
        <w:spacing w:after="0" w:line="239" w:lineRule="auto"/>
        <w:rPr>
          <w:sz w:val="20"/>
          <w:szCs w:val="20"/>
          <w:color w:val="auto"/>
        </w:rPr>
      </w:pPr>
      <w:r>
        <w:rPr>
          <w:rFonts w:ascii="Arial" w:cs="Arial" w:eastAsia="Arial" w:hAnsi="Arial"/>
          <w:sz w:val="16"/>
          <w:szCs w:val="16"/>
          <w:color w:val="auto"/>
        </w:rPr>
        <w:t>These companies include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In July 2011, the committee decided to remove National Semiconductor Corporation because of its pending acquisition by TI and to add Atmel and NXP, which are TI competitors, to increase the overall comparability of the group to TI.</w:t>
      </w:r>
    </w:p>
    <w:p>
      <w:pPr>
        <w:spacing w:after="0" w:line="177"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w:t>
      </w:r>
    </w:p>
    <w:p>
      <w:pPr>
        <w:spacing w:after="0" w:line="192" w:lineRule="exact"/>
        <w:rPr>
          <w:sz w:val="20"/>
          <w:szCs w:val="20"/>
          <w:color w:val="auto"/>
        </w:rPr>
      </w:pPr>
    </w:p>
    <w:p>
      <w:pPr>
        <w:ind w:left="283" w:right="640" w:hanging="283"/>
        <w:spacing w:after="0" w:line="243" w:lineRule="auto"/>
        <w:tabs>
          <w:tab w:leader="none" w:pos="2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the extent the companies had not released financial results for the year or most recent quarter, the committee based its evaluation on estimates and projections of the companies’ financial results for 2011.</w:t>
      </w:r>
    </w:p>
    <w:p>
      <w:pPr>
        <w:spacing w:after="0" w:line="253" w:lineRule="exact"/>
        <w:rPr>
          <w:sz w:val="20"/>
          <w:szCs w:val="20"/>
          <w:color w:val="auto"/>
        </w:rPr>
      </w:pPr>
    </w:p>
    <w:p>
      <w:pPr>
        <w:ind w:left="3"/>
        <w:spacing w:after="0"/>
        <w:tabs>
          <w:tab w:leader="none" w:pos="962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79" w:right="2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u w:val="single" w:color="auto"/>
          <w:color w:val="auto"/>
        </w:rPr>
        <w:t>Assessment of 2011 Performance</w:t>
      </w:r>
    </w:p>
    <w:p>
      <w:pPr>
        <w:ind w:right="160"/>
        <w:spacing w:after="0" w:line="239" w:lineRule="auto"/>
        <w:rPr>
          <w:sz w:val="20"/>
          <w:szCs w:val="20"/>
          <w:color w:val="auto"/>
        </w:rPr>
      </w:pPr>
      <w:r>
        <w:rPr>
          <w:rFonts w:ascii="Arial" w:cs="Arial" w:eastAsia="Arial" w:hAnsi="Arial"/>
          <w:sz w:val="16"/>
          <w:szCs w:val="16"/>
          <w:color w:val="auto"/>
        </w:rPr>
        <w:t>The committee spent extensive time in December and January assessing TI’s results and strategic progress for 2011. The committee considered both quantitative and qualitative data, and it applied judgment in its assessment. Overall, the committee determined that TI’s absolute performance was below that of the prior year, and that its relative performance was mixed, surpassing most competitors listed in the table above in operating profitability, total shareholder return and strategic position, but below competitors in revenue growth.</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committee set the named executive officers’ bonus to be commensurate with this performance, generally about 10 percent lower than that of 2010.</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Below are details of the committee’s performance assessment.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and margin</w:t>
      </w:r>
    </w:p>
    <w:p>
      <w:pPr>
        <w:ind w:left="480" w:right="80"/>
        <w:spacing w:after="0" w:line="253" w:lineRule="auto"/>
        <w:rPr>
          <w:sz w:val="20"/>
          <w:szCs w:val="20"/>
          <w:color w:val="auto"/>
        </w:rPr>
      </w:pPr>
      <w:r>
        <w:rPr>
          <w:rFonts w:ascii="Arial" w:cs="Arial" w:eastAsia="Arial" w:hAnsi="Arial"/>
          <w:sz w:val="16"/>
          <w:szCs w:val="16"/>
          <w:color w:val="auto"/>
        </w:rPr>
        <w:t>TI revenue declined 2 percent, which was below the median growth rate of the competitor companies. However, TI’s revenue included a $600 million decline in revenue for wireless digital basebands, a product line for which TI has a publicly stated exit plan. Excluding baseband revenue ($1.1 billion), TI’s revenue grew 3 percent, the median as compared with competitors. Revenue grew in the company’s core businesses of Analog and Embedded Processing, up 7 percent and 2 percent respectively, resulting in market share gains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-460375</wp:posOffset>
            </wp:positionV>
            <wp:extent cx="56515" cy="56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160"/>
        <w:spacing w:after="0" w:line="253" w:lineRule="auto"/>
        <w:rPr>
          <w:sz w:val="20"/>
          <w:szCs w:val="20"/>
          <w:color w:val="auto"/>
        </w:rPr>
      </w:pPr>
      <w:r>
        <w:rPr>
          <w:rFonts w:ascii="Arial" w:cs="Arial" w:eastAsia="Arial" w:hAnsi="Arial"/>
          <w:sz w:val="16"/>
          <w:szCs w:val="16"/>
          <w:color w:val="auto"/>
        </w:rPr>
        <w:t>Operating profit margin was 22 percent. This placed the company above median as compared with competitors. Return on invested capital was 14 percent, above the company’s cost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-213995</wp:posOffset>
            </wp:positionV>
            <wp:extent cx="56515" cy="558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0" w:right="480"/>
        <w:spacing w:after="0" w:line="259" w:lineRule="auto"/>
        <w:rPr>
          <w:sz w:val="20"/>
          <w:szCs w:val="20"/>
          <w:color w:val="auto"/>
        </w:rPr>
      </w:pPr>
      <w:r>
        <w:rPr>
          <w:rFonts w:ascii="Arial" w:cs="Arial" w:eastAsia="Arial" w:hAnsi="Arial"/>
          <w:sz w:val="16"/>
          <w:szCs w:val="16"/>
          <w:color w:val="auto"/>
        </w:rPr>
        <w:t>Three-year metrics were 3 percent compounded annual revenue growth and 24 percent average operating profit margin, below and above the median, respectively, as compared with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-219710</wp:posOffset>
            </wp:positionV>
            <wp:extent cx="56515" cy="55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shareholder return (“TSR”)</w:t>
      </w:r>
    </w:p>
    <w:p>
      <w:pPr>
        <w:ind w:left="480"/>
        <w:spacing w:after="0"/>
        <w:rPr>
          <w:sz w:val="20"/>
          <w:szCs w:val="20"/>
          <w:color w:val="auto"/>
        </w:rPr>
      </w:pPr>
      <w:r>
        <w:rPr>
          <w:rFonts w:ascii="Arial" w:cs="Arial" w:eastAsia="Arial" w:hAnsi="Arial"/>
          <w:sz w:val="16"/>
          <w:szCs w:val="16"/>
          <w:color w:val="auto"/>
        </w:rPr>
        <w:t>TSR declined 9 percent, but was above the median performance of competitor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6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40"/>
        <w:spacing w:after="0" w:line="253" w:lineRule="auto"/>
        <w:rPr>
          <w:sz w:val="20"/>
          <w:szCs w:val="20"/>
          <w:color w:val="auto"/>
        </w:rPr>
      </w:pPr>
      <w:r>
        <w:rPr>
          <w:rFonts w:ascii="Arial" w:cs="Arial" w:eastAsia="Arial" w:hAnsi="Arial"/>
          <w:sz w:val="16"/>
          <w:szCs w:val="16"/>
          <w:color w:val="auto"/>
        </w:rPr>
        <w:t>The company returned cash to stockholders through stock repurchases of $2 billion, reducing outstanding shares by 2 percent (net of stock issuances during the year). The company also increased the quarterly dividend rate by 31 percent, the ninth increase in eight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-213995</wp:posOffset>
            </wp:positionV>
            <wp:extent cx="56515" cy="55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Even accounting for the above stock repurchases and dividend increases, the balance sheet remained robust, ending the year with cash and 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5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investments of almost $3 billion.</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Three-year TSR increased 26 percent, near median of competitor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5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Strategic progress</w:t>
      </w:r>
    </w:p>
    <w:p>
      <w:pPr>
        <w:ind w:left="480"/>
        <w:spacing w:after="0"/>
        <w:rPr>
          <w:sz w:val="20"/>
          <w:szCs w:val="20"/>
          <w:color w:val="auto"/>
        </w:rPr>
      </w:pPr>
      <w:r>
        <w:rPr>
          <w:rFonts w:ascii="Arial" w:cs="Arial" w:eastAsia="Arial" w:hAnsi="Arial"/>
          <w:sz w:val="16"/>
          <w:szCs w:val="16"/>
          <w:color w:val="auto"/>
        </w:rPr>
        <w:t>The company completed a major step in strengthening its Analog competitiveness with the acquisition of 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-84455</wp:posOffset>
            </wp:positionV>
            <wp:extent cx="56515" cy="55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jc w:val="both"/>
        <w:ind w:left="480" w:right="120"/>
        <w:spacing w:after="0" w:line="253" w:lineRule="auto"/>
        <w:rPr>
          <w:sz w:val="20"/>
          <w:szCs w:val="20"/>
          <w:color w:val="auto"/>
        </w:rPr>
      </w:pPr>
      <w:r>
        <w:rPr>
          <w:rFonts w:ascii="Arial" w:cs="Arial" w:eastAsia="Arial" w:hAnsi="Arial"/>
          <w:sz w:val="16"/>
          <w:szCs w:val="16"/>
          <w:color w:val="auto"/>
        </w:rPr>
        <w:t>Semiconductor, adding thousands of new analog products to its existing portfolio and increasing the company’s manufacturing capability with the addition of two wafer fabs and an assembly/test facility. As a result, half the company’s revenue now comes from Analog sales and TI offers customers an unparalleled breadth of product choices.</w:t>
      </w:r>
    </w:p>
    <w:p>
      <w:pPr>
        <w:ind w:left="480" w:right="80"/>
        <w:spacing w:after="0" w:line="255" w:lineRule="auto"/>
        <w:rPr>
          <w:sz w:val="20"/>
          <w:szCs w:val="20"/>
          <w:color w:val="auto"/>
        </w:rPr>
      </w:pPr>
      <w:r>
        <w:rPr>
          <w:rFonts w:ascii="Arial" w:cs="Arial" w:eastAsia="Arial" w:hAnsi="Arial"/>
          <w:sz w:val="16"/>
          <w:szCs w:val="16"/>
          <w:color w:val="auto"/>
        </w:rPr>
        <w:t>Also in reviewing strategic progress for 2011, the committee again noted that TI is focused on segments of the semiconductor market that have long-term growth potential thanks to the many and increasing number of electronic systems that require Analog and Embedded Processing technology. TI’s positions, strategies, products and manufacturing capacity give the company a sustainable advantage over competitors, as evidenced by market share gains in both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-464185</wp:posOffset>
            </wp:positionV>
            <wp:extent cx="56515" cy="55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15" cy="55880"/>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Performance Summary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40" w:type="dxa"/>
            <w:vAlign w:val="bottom"/>
          </w:tcPr>
          <w:p>
            <w:pPr>
              <w:spacing w:after="0"/>
              <w:rPr>
                <w:sz w:val="13"/>
                <w:szCs w:val="13"/>
                <w:color w:val="auto"/>
              </w:rPr>
            </w:pPr>
          </w:p>
        </w:tc>
        <w:tc>
          <w:tcPr>
            <w:tcW w:w="4220" w:type="dxa"/>
            <w:vAlign w:val="bottom"/>
          </w:tcPr>
          <w:p>
            <w:pPr>
              <w:jc w:val="right"/>
              <w:ind w:right="84"/>
              <w:spacing w:after="0"/>
              <w:rPr>
                <w:sz w:val="20"/>
                <w:szCs w:val="20"/>
                <w:color w:val="auto"/>
              </w:rPr>
            </w:pPr>
            <w:r>
              <w:rPr>
                <w:rFonts w:ascii="Arial" w:cs="Arial" w:eastAsia="Arial" w:hAnsi="Arial"/>
                <w:sz w:val="12"/>
                <w:szCs w:val="12"/>
                <w:b w:val="1"/>
                <w:bCs w:val="1"/>
                <w:color w:val="auto"/>
              </w:rPr>
              <w:t>1-Year</w:t>
            </w:r>
          </w:p>
        </w:tc>
        <w:tc>
          <w:tcPr>
            <w:tcW w:w="1180" w:type="dxa"/>
            <w:vAlign w:val="bottom"/>
            <w:gridSpan w:val="2"/>
          </w:tcPr>
          <w:p>
            <w:pPr>
              <w:ind w:left="480"/>
              <w:spacing w:after="0"/>
              <w:rPr>
                <w:sz w:val="20"/>
                <w:szCs w:val="20"/>
                <w:color w:val="auto"/>
              </w:rPr>
            </w:pPr>
            <w:r>
              <w:rPr>
                <w:rFonts w:ascii="Arial" w:cs="Arial" w:eastAsia="Arial" w:hAnsi="Arial"/>
                <w:sz w:val="12"/>
                <w:szCs w:val="12"/>
                <w:b w:val="1"/>
                <w:bCs w:val="1"/>
                <w:color w:val="auto"/>
              </w:rPr>
              <w:t>3-Year</w:t>
            </w:r>
          </w:p>
        </w:tc>
      </w:tr>
      <w:tr>
        <w:trPr>
          <w:trHeight w:val="37"/>
        </w:trPr>
        <w:tc>
          <w:tcPr>
            <w:tcW w:w="6040" w:type="dxa"/>
            <w:vAlign w:val="bottom"/>
            <w:tcBorders>
              <w:bottom w:val="single" w:sz="8" w:color="808285"/>
            </w:tcBorders>
          </w:tcPr>
          <w:p>
            <w:pPr>
              <w:spacing w:after="0"/>
              <w:rPr>
                <w:sz w:val="3"/>
                <w:szCs w:val="3"/>
                <w:color w:val="auto"/>
              </w:rPr>
            </w:pPr>
          </w:p>
        </w:tc>
        <w:tc>
          <w:tcPr>
            <w:tcW w:w="4220" w:type="dxa"/>
            <w:vAlign w:val="bottom"/>
            <w:tcBorders>
              <w:bottom w:val="single" w:sz="8" w:color="808285"/>
            </w:tcBorders>
          </w:tcPr>
          <w:p>
            <w:pPr>
              <w:spacing w:after="0"/>
              <w:rPr>
                <w:sz w:val="3"/>
                <w:szCs w:val="3"/>
                <w:color w:val="auto"/>
              </w:rPr>
            </w:pPr>
          </w:p>
        </w:tc>
        <w:tc>
          <w:tcPr>
            <w:tcW w:w="540" w:type="dxa"/>
            <w:vAlign w:val="bottom"/>
            <w:tcBorders>
              <w:bottom w:val="single" w:sz="8" w:color="808285"/>
            </w:tcBorders>
          </w:tcPr>
          <w:p>
            <w:pPr>
              <w:spacing w:after="0"/>
              <w:rPr>
                <w:sz w:val="3"/>
                <w:szCs w:val="3"/>
                <w:color w:val="auto"/>
              </w:rPr>
            </w:pPr>
          </w:p>
        </w:tc>
        <w:tc>
          <w:tcPr>
            <w:tcW w:w="640" w:type="dxa"/>
            <w:vAlign w:val="bottom"/>
            <w:tcBorders>
              <w:bottom w:val="single" w:sz="8" w:color="808285"/>
            </w:tcBorders>
          </w:tcPr>
          <w:p>
            <w:pPr>
              <w:spacing w:after="0"/>
              <w:rPr>
                <w:sz w:val="3"/>
                <w:szCs w:val="3"/>
                <w:color w:val="auto"/>
              </w:rPr>
            </w:pPr>
          </w:p>
        </w:tc>
      </w:tr>
      <w:tr>
        <w:trPr>
          <w:trHeight w:val="210"/>
        </w:trPr>
        <w:tc>
          <w:tcPr>
            <w:tcW w:w="6040" w:type="dxa"/>
            <w:vAlign w:val="bottom"/>
            <w:shd w:val="clear" w:color="auto" w:fill="E9E9E9"/>
          </w:tcPr>
          <w:p>
            <w:pPr>
              <w:spacing w:after="0"/>
              <w:rPr>
                <w:sz w:val="20"/>
                <w:szCs w:val="20"/>
                <w:color w:val="auto"/>
              </w:rPr>
            </w:pPr>
            <w:r>
              <w:rPr>
                <w:rFonts w:ascii="Arial" w:cs="Arial" w:eastAsia="Arial" w:hAnsi="Arial"/>
                <w:sz w:val="16"/>
                <w:szCs w:val="16"/>
                <w:color w:val="auto"/>
              </w:rPr>
              <w:t>Revenue growth</w:t>
            </w:r>
          </w:p>
        </w:tc>
        <w:tc>
          <w:tcPr>
            <w:tcW w:w="422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-2%</w:t>
            </w:r>
          </w:p>
        </w:tc>
        <w:tc>
          <w:tcPr>
            <w:tcW w:w="5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w:t>
            </w:r>
          </w:p>
        </w:tc>
        <w:tc>
          <w:tcPr>
            <w:tcW w:w="640" w:type="dxa"/>
            <w:vAlign w:val="bottom"/>
            <w:shd w:val="clear" w:color="auto" w:fill="E9E9E9"/>
          </w:tcPr>
          <w:p>
            <w:pPr>
              <w:ind w:left="60"/>
              <w:spacing w:after="0"/>
              <w:rPr>
                <w:sz w:val="20"/>
                <w:szCs w:val="20"/>
                <w:color w:val="auto"/>
              </w:rPr>
            </w:pPr>
            <w:r>
              <w:rPr>
                <w:rFonts w:ascii="Arial" w:cs="Arial" w:eastAsia="Arial" w:hAnsi="Arial"/>
                <w:sz w:val="16"/>
                <w:szCs w:val="16"/>
                <w:color w:val="auto"/>
              </w:rPr>
              <w:t>CAGR</w:t>
            </w:r>
          </w:p>
        </w:tc>
      </w:tr>
      <w:tr>
        <w:trPr>
          <w:trHeight w:val="211"/>
        </w:trPr>
        <w:tc>
          <w:tcPr>
            <w:tcW w:w="6040" w:type="dxa"/>
            <w:vAlign w:val="bottom"/>
          </w:tcPr>
          <w:p>
            <w:pPr>
              <w:spacing w:after="0"/>
              <w:rPr>
                <w:sz w:val="20"/>
                <w:szCs w:val="20"/>
                <w:color w:val="auto"/>
              </w:rPr>
            </w:pPr>
            <w:r>
              <w:rPr>
                <w:rFonts w:ascii="Arial" w:cs="Arial" w:eastAsia="Arial" w:hAnsi="Arial"/>
                <w:sz w:val="16"/>
                <w:szCs w:val="16"/>
                <w:color w:val="auto"/>
              </w:rPr>
              <w:t>Operating margin</w:t>
            </w:r>
          </w:p>
        </w:tc>
        <w:tc>
          <w:tcPr>
            <w:tcW w:w="4220" w:type="dxa"/>
            <w:vAlign w:val="bottom"/>
          </w:tcPr>
          <w:p>
            <w:pPr>
              <w:jc w:val="right"/>
              <w:ind w:right="124"/>
              <w:spacing w:after="0"/>
              <w:rPr>
                <w:sz w:val="20"/>
                <w:szCs w:val="20"/>
                <w:color w:val="auto"/>
              </w:rPr>
            </w:pPr>
            <w:r>
              <w:rPr>
                <w:rFonts w:ascii="Arial" w:cs="Arial" w:eastAsia="Arial" w:hAnsi="Arial"/>
                <w:sz w:val="16"/>
                <w:szCs w:val="16"/>
                <w:color w:val="auto"/>
              </w:rPr>
              <w:t>22%</w:t>
            </w: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c>
          <w:tcPr>
            <w:tcW w:w="640" w:type="dxa"/>
            <w:vAlign w:val="bottom"/>
          </w:tcPr>
          <w:p>
            <w:pPr>
              <w:ind w:left="60"/>
              <w:spacing w:after="0"/>
              <w:rPr>
                <w:sz w:val="20"/>
                <w:szCs w:val="20"/>
                <w:color w:val="auto"/>
              </w:rPr>
            </w:pPr>
            <w:r>
              <w:rPr>
                <w:rFonts w:ascii="Arial" w:cs="Arial" w:eastAsia="Arial" w:hAnsi="Arial"/>
                <w:sz w:val="16"/>
                <w:szCs w:val="16"/>
                <w:color w:val="auto"/>
                <w:w w:val="96"/>
              </w:rPr>
              <w:t>average</w:t>
            </w:r>
          </w:p>
        </w:tc>
      </w:tr>
      <w:tr>
        <w:trPr>
          <w:trHeight w:val="226"/>
        </w:trPr>
        <w:tc>
          <w:tcPr>
            <w:tcW w:w="6040" w:type="dxa"/>
            <w:vAlign w:val="bottom"/>
            <w:shd w:val="clear" w:color="auto" w:fill="E9E9E9"/>
          </w:tcPr>
          <w:p>
            <w:pPr>
              <w:spacing w:after="0"/>
              <w:rPr>
                <w:sz w:val="20"/>
                <w:szCs w:val="20"/>
                <w:color w:val="auto"/>
              </w:rPr>
            </w:pPr>
            <w:r>
              <w:rPr>
                <w:rFonts w:ascii="Arial" w:cs="Arial" w:eastAsia="Arial" w:hAnsi="Arial"/>
                <w:sz w:val="16"/>
                <w:szCs w:val="16"/>
                <w:color w:val="auto"/>
              </w:rPr>
              <w:t>Return on invested capital (ROIC)</w:t>
            </w:r>
          </w:p>
        </w:tc>
        <w:tc>
          <w:tcPr>
            <w:tcW w:w="422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14%</w:t>
            </w:r>
          </w:p>
        </w:tc>
        <w:tc>
          <w:tcPr>
            <w:tcW w:w="5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20%</w:t>
            </w:r>
          </w:p>
        </w:tc>
        <w:tc>
          <w:tcPr>
            <w:tcW w:w="640" w:type="dxa"/>
            <w:vAlign w:val="bottom"/>
            <w:shd w:val="clear" w:color="auto" w:fill="E9E9E9"/>
          </w:tcPr>
          <w:p>
            <w:pPr>
              <w:ind w:left="60"/>
              <w:spacing w:after="0"/>
              <w:rPr>
                <w:sz w:val="20"/>
                <w:szCs w:val="20"/>
                <w:color w:val="auto"/>
              </w:rPr>
            </w:pPr>
            <w:r>
              <w:rPr>
                <w:rFonts w:ascii="Arial" w:cs="Arial" w:eastAsia="Arial" w:hAnsi="Arial"/>
                <w:sz w:val="16"/>
                <w:szCs w:val="16"/>
                <w:color w:val="auto"/>
                <w:w w:val="96"/>
              </w:rPr>
              <w:t>average</w:t>
            </w:r>
          </w:p>
        </w:tc>
      </w:tr>
      <w:tr>
        <w:trPr>
          <w:trHeight w:val="211"/>
        </w:trPr>
        <w:tc>
          <w:tcPr>
            <w:tcW w:w="6040" w:type="dxa"/>
            <w:vAlign w:val="bottom"/>
          </w:tcPr>
          <w:p>
            <w:pPr>
              <w:spacing w:after="0"/>
              <w:rPr>
                <w:sz w:val="20"/>
                <w:szCs w:val="20"/>
                <w:color w:val="auto"/>
              </w:rPr>
            </w:pPr>
            <w:r>
              <w:rPr>
                <w:rFonts w:ascii="Arial" w:cs="Arial" w:eastAsia="Arial" w:hAnsi="Arial"/>
                <w:sz w:val="16"/>
                <w:szCs w:val="16"/>
                <w:color w:val="auto"/>
              </w:rPr>
              <w:t>Increase in quarterly dividend rate</w:t>
            </w:r>
          </w:p>
        </w:tc>
        <w:tc>
          <w:tcPr>
            <w:tcW w:w="4220" w:type="dxa"/>
            <w:vAlign w:val="bottom"/>
          </w:tcPr>
          <w:p>
            <w:pPr>
              <w:jc w:val="right"/>
              <w:ind w:right="124"/>
              <w:spacing w:after="0"/>
              <w:rPr>
                <w:sz w:val="20"/>
                <w:szCs w:val="20"/>
                <w:color w:val="auto"/>
              </w:rPr>
            </w:pPr>
            <w:r>
              <w:rPr>
                <w:rFonts w:ascii="Arial" w:cs="Arial" w:eastAsia="Arial" w:hAnsi="Arial"/>
                <w:sz w:val="16"/>
                <w:szCs w:val="16"/>
                <w:color w:val="auto"/>
              </w:rPr>
              <w:t>31%</w:t>
            </w:r>
          </w:p>
        </w:tc>
        <w:tc>
          <w:tcPr>
            <w:tcW w:w="540" w:type="dxa"/>
            <w:vAlign w:val="bottom"/>
          </w:tcPr>
          <w:p>
            <w:pPr>
              <w:jc w:val="right"/>
              <w:spacing w:after="0"/>
              <w:rPr>
                <w:sz w:val="20"/>
                <w:szCs w:val="20"/>
                <w:color w:val="auto"/>
              </w:rPr>
            </w:pPr>
            <w:r>
              <w:rPr>
                <w:rFonts w:ascii="Arial" w:cs="Arial" w:eastAsia="Arial" w:hAnsi="Arial"/>
                <w:sz w:val="16"/>
                <w:szCs w:val="16"/>
                <w:color w:val="auto"/>
              </w:rPr>
              <w:t>55%</w:t>
            </w:r>
          </w:p>
        </w:tc>
        <w:tc>
          <w:tcPr>
            <w:tcW w:w="640" w:type="dxa"/>
            <w:vAlign w:val="bottom"/>
          </w:tcPr>
          <w:p>
            <w:pPr>
              <w:spacing w:after="0"/>
              <w:rPr>
                <w:sz w:val="18"/>
                <w:szCs w:val="18"/>
                <w:color w:val="auto"/>
              </w:rPr>
            </w:pPr>
          </w:p>
        </w:tc>
      </w:tr>
      <w:tr>
        <w:trPr>
          <w:trHeight w:val="226"/>
        </w:trPr>
        <w:tc>
          <w:tcPr>
            <w:tcW w:w="6040" w:type="dxa"/>
            <w:vAlign w:val="bottom"/>
            <w:shd w:val="clear" w:color="auto" w:fill="E9E9E9"/>
          </w:tcPr>
          <w:p>
            <w:pPr>
              <w:spacing w:after="0"/>
              <w:rPr>
                <w:sz w:val="20"/>
                <w:szCs w:val="20"/>
                <w:color w:val="auto"/>
              </w:rPr>
            </w:pPr>
            <w:r>
              <w:rPr>
                <w:rFonts w:ascii="Arial" w:cs="Arial" w:eastAsia="Arial" w:hAnsi="Arial"/>
                <w:sz w:val="16"/>
                <w:szCs w:val="16"/>
                <w:color w:val="auto"/>
              </w:rPr>
              <w:t>Total shareholder return (TSR)</w:t>
            </w:r>
          </w:p>
        </w:tc>
        <w:tc>
          <w:tcPr>
            <w:tcW w:w="422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-9%</w:t>
            </w:r>
          </w:p>
        </w:tc>
        <w:tc>
          <w:tcPr>
            <w:tcW w:w="5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26%</w:t>
            </w:r>
          </w:p>
        </w:tc>
        <w:tc>
          <w:tcPr>
            <w:tcW w:w="640" w:type="dxa"/>
            <w:vAlign w:val="bottom"/>
            <w:shd w:val="clear" w:color="auto" w:fill="E9E9E9"/>
          </w:tcPr>
          <w:p>
            <w:pPr>
              <w:ind w:left="60"/>
              <w:spacing w:after="0"/>
              <w:rPr>
                <w:sz w:val="20"/>
                <w:szCs w:val="20"/>
                <w:color w:val="auto"/>
              </w:rPr>
            </w:pPr>
            <w:r>
              <w:rPr>
                <w:rFonts w:ascii="Arial" w:cs="Arial" w:eastAsia="Arial" w:hAnsi="Arial"/>
                <w:sz w:val="16"/>
                <w:szCs w:val="16"/>
                <w:color w:val="auto"/>
              </w:rPr>
              <w:t>CAGR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CAGR = compound annual growth rate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ROIC = operating margin x (1 – tax rate) / (assets – non-debt liabilities)</w:t>
      </w:r>
    </w:p>
    <w:p>
      <w:pPr>
        <w:spacing w:after="0" w:line="204" w:lineRule="exact"/>
        <w:rPr>
          <w:sz w:val="20"/>
          <w:szCs w:val="20"/>
          <w:color w:val="auto"/>
        </w:rPr>
      </w:pPr>
    </w:p>
    <w:p>
      <w:pPr>
        <w:jc w:val="both"/>
        <w:ind w:left="1440" w:right="480" w:hanging="1442"/>
        <w:spacing w:after="0" w:line="287" w:lineRule="auto"/>
        <w:rPr>
          <w:sz w:val="20"/>
          <w:szCs w:val="20"/>
          <w:color w:val="auto"/>
        </w:rPr>
      </w:pPr>
      <w:r>
        <w:rPr>
          <w:rFonts w:ascii="Arial" w:cs="Arial" w:eastAsia="Arial" w:hAnsi="Arial"/>
          <w:sz w:val="16"/>
          <w:szCs w:val="16"/>
          <w:color w:val="auto"/>
        </w:rPr>
        <w:t>One-year TSR % = (adjusted closing price of the company’s stock at year-end 2011, divided by 2010 year-end adjusted closing price) minus 1. The adjusted closing price is as shown under Historical Prices for the company’s stock on Yahoo Finance and reflects stock splits and reinvestment of dividends.</w:t>
      </w:r>
    </w:p>
    <w:p>
      <w:pPr>
        <w:spacing w:after="0" w:line="147"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Three-year TSR CAGR % =</w:t>
      </w:r>
      <w:r>
        <w:rPr>
          <w:rFonts w:ascii="Arial" w:cs="Arial" w:eastAsia="Arial" w:hAnsi="Arial"/>
          <w:sz w:val="15"/>
          <w:szCs w:val="15"/>
          <w:color w:val="auto"/>
        </w:rPr>
        <w:t xml:space="preserve"> (adjusted closing price of the company’s stock at year-end 2011, divided by 2008 year-end adjusted closing price)</w:t>
      </w:r>
      <w:r>
        <w:rPr>
          <w:rFonts w:ascii="Arial" w:cs="Arial" w:eastAsia="Arial" w:hAnsi="Arial"/>
          <w:sz w:val="25"/>
          <w:szCs w:val="25"/>
          <w:color w:val="auto"/>
          <w:vertAlign w:val="superscript"/>
        </w:rPr>
        <w:t>1/3</w:t>
      </w:r>
      <w:r>
        <w:rPr>
          <w:rFonts w:ascii="Arial" w:cs="Arial" w:eastAsia="Arial" w:hAnsi="Arial"/>
          <w:sz w:val="15"/>
          <w:szCs w:val="15"/>
          <w:color w:val="auto"/>
        </w:rPr>
        <w:t xml:space="preserve"> minus 1.</w:t>
      </w:r>
    </w:p>
    <w:p>
      <w:pPr>
        <w:ind w:left="2040"/>
        <w:spacing w:after="0"/>
        <w:rPr>
          <w:sz w:val="20"/>
          <w:szCs w:val="20"/>
          <w:color w:val="auto"/>
        </w:rPr>
      </w:pPr>
      <w:r>
        <w:rPr>
          <w:rFonts w:ascii="Arial" w:cs="Arial" w:eastAsia="Arial" w:hAnsi="Arial"/>
          <w:sz w:val="16"/>
          <w:szCs w:val="16"/>
          <w:color w:val="auto"/>
        </w:rPr>
        <w:t>Adjusted closing price is as described above.</w:t>
      </w:r>
    </w:p>
    <w:p>
      <w:pPr>
        <w:spacing w:after="0" w:line="284" w:lineRule="exact"/>
        <w:rPr>
          <w:sz w:val="20"/>
          <w:szCs w:val="20"/>
          <w:color w:val="auto"/>
        </w:rPr>
      </w:pPr>
    </w:p>
    <w:p>
      <w:pPr>
        <w:spacing w:after="0"/>
        <w:tabs>
          <w:tab w:leader="none" w:pos="10100" w:val="left"/>
        </w:tabs>
        <w:rPr>
          <w:sz w:val="20"/>
          <w:szCs w:val="20"/>
          <w:color w:val="auto"/>
        </w:rPr>
      </w:pPr>
      <w:r>
        <w:rPr>
          <w:rFonts w:ascii="Arial" w:cs="Arial" w:eastAsia="Arial" w:hAnsi="Arial"/>
          <w:sz w:val="12"/>
          <w:szCs w:val="12"/>
          <w:b w:val="1"/>
          <w:bCs w:val="1"/>
          <w:color w:val="auto"/>
        </w:rPr>
        <w:t xml:space="preserve">74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52" w:right="219" w:bottom="1440" w:gutter="0" w:footer="0" w:header="0"/>
        </w:sectPr>
      </w:pPr>
    </w:p>
    <w:bookmarkStart w:id="21" w:name="page22"/>
    <w:bookmarkEnd w:id="21"/>
    <w:p>
      <w:pPr>
        <w:ind w:left="3" w:right="480"/>
        <w:spacing w:after="0"/>
        <w:rPr>
          <w:sz w:val="20"/>
          <w:szCs w:val="20"/>
          <w:color w:val="auto"/>
        </w:rPr>
      </w:pPr>
      <w:r>
        <w:rPr>
          <w:rFonts w:ascii="Arial" w:cs="Arial" w:eastAsia="Arial" w:hAnsi="Arial"/>
          <w:sz w:val="16"/>
          <w:szCs w:val="16"/>
          <w:color w:val="auto"/>
        </w:rPr>
        <w:t>Before setting the bonuses for the named executive officers, the committee considered the officers’ individual performance. The performance of the CEO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18" w:lineRule="exact"/>
        <w:rPr>
          <w:sz w:val="20"/>
          <w:szCs w:val="20"/>
          <w:color w:val="auto"/>
        </w:rPr>
      </w:pPr>
    </w:p>
    <w:p>
      <w:pPr>
        <w:ind w:left="243"/>
        <w:spacing w:after="0"/>
        <w:rPr>
          <w:sz w:val="20"/>
          <w:szCs w:val="20"/>
          <w:color w:val="auto"/>
        </w:rPr>
      </w:pPr>
      <w:r>
        <w:rPr>
          <w:rFonts w:ascii="Arial" w:cs="Arial" w:eastAsia="Arial" w:hAnsi="Arial"/>
          <w:sz w:val="16"/>
          <w:szCs w:val="16"/>
          <w:color w:val="auto"/>
        </w:rPr>
        <w:t>Mr. March is the chief financial officer. The committee noted the financial management of the company.</w:t>
      </w:r>
    </w:p>
    <w:p>
      <w:pPr>
        <w:spacing w:after="0" w:line="34" w:lineRule="exact"/>
        <w:rPr>
          <w:sz w:val="20"/>
          <w:szCs w:val="20"/>
          <w:color w:val="auto"/>
        </w:rPr>
      </w:pPr>
    </w:p>
    <w:p>
      <w:pPr>
        <w:ind w:left="3" w:right="120" w:firstLine="243"/>
        <w:spacing w:after="0" w:line="259" w:lineRule="auto"/>
        <w:rPr>
          <w:sz w:val="20"/>
          <w:szCs w:val="20"/>
          <w:color w:val="auto"/>
        </w:rPr>
      </w:pPr>
      <w:r>
        <w:rPr>
          <w:rFonts w:ascii="Arial" w:cs="Arial" w:eastAsia="Arial" w:hAnsi="Arial"/>
          <w:sz w:val="16"/>
          <w:szCs w:val="16"/>
          <w:color w:val="auto"/>
        </w:rPr>
        <w:t>Mr. Lowe is responsible for the company’s analog semiconductor product lines. The committee noted the financial performance of those product lines, including the company’s analog market share, and the position of the operations strategically and with customers.</w:t>
      </w:r>
    </w:p>
    <w:p>
      <w:pPr>
        <w:spacing w:after="0" w:line="3" w:lineRule="exact"/>
        <w:rPr>
          <w:sz w:val="20"/>
          <w:szCs w:val="20"/>
          <w:color w:val="auto"/>
        </w:rPr>
      </w:pPr>
    </w:p>
    <w:p>
      <w:pPr>
        <w:ind w:left="3" w:right="80" w:firstLine="243"/>
        <w:spacing w:after="0" w:line="259" w:lineRule="auto"/>
        <w:rPr>
          <w:sz w:val="20"/>
          <w:szCs w:val="20"/>
          <w:color w:val="auto"/>
        </w:rPr>
      </w:pPr>
      <w:r>
        <w:rPr>
          <w:rFonts w:ascii="Arial" w:cs="Arial" w:eastAsia="Arial" w:hAnsi="Arial"/>
          <w:sz w:val="16"/>
          <w:szCs w:val="16"/>
          <w:color w:val="auto"/>
        </w:rPr>
        <w:t>Mr. Ritchie is responsible for the company’s semiconductor manufacturing operations. The committee noted the performance of those operations, including their cost-competitiveness and inventory management.</w:t>
      </w:r>
    </w:p>
    <w:p>
      <w:pPr>
        <w:spacing w:after="0" w:line="3" w:lineRule="exact"/>
        <w:rPr>
          <w:sz w:val="20"/>
          <w:szCs w:val="20"/>
          <w:color w:val="auto"/>
        </w:rPr>
      </w:pPr>
    </w:p>
    <w:p>
      <w:pPr>
        <w:ind w:left="3" w:right="320" w:firstLine="243"/>
        <w:spacing w:after="0" w:line="259" w:lineRule="auto"/>
        <w:rPr>
          <w:sz w:val="20"/>
          <w:szCs w:val="20"/>
          <w:color w:val="auto"/>
        </w:rPr>
      </w:pPr>
      <w:r>
        <w:rPr>
          <w:rFonts w:ascii="Arial" w:cs="Arial" w:eastAsia="Arial" w:hAnsi="Arial"/>
          <w:sz w:val="16"/>
          <w:szCs w:val="16"/>
          <w:color w:val="auto"/>
        </w:rPr>
        <w:t>Mr. Crutcher is responsible for the company’s embedded processing and custom product lines. The committee noted the financial performance and strategic position of the product lines.</w:t>
      </w:r>
    </w:p>
    <w:p>
      <w:pPr>
        <w:spacing w:after="0" w:line="3" w:lineRule="exact"/>
        <w:rPr>
          <w:sz w:val="20"/>
          <w:szCs w:val="20"/>
          <w:color w:val="auto"/>
        </w:rPr>
      </w:pPr>
    </w:p>
    <w:p>
      <w:pPr>
        <w:jc w:val="center"/>
        <w:ind w:right="297"/>
        <w:spacing w:after="0"/>
        <w:rPr>
          <w:sz w:val="20"/>
          <w:szCs w:val="20"/>
          <w:color w:val="auto"/>
        </w:rPr>
      </w:pPr>
      <w:r>
        <w:rPr>
          <w:rFonts w:ascii="Arial" w:cs="Arial" w:eastAsia="Arial" w:hAnsi="Arial"/>
          <w:sz w:val="16"/>
          <w:szCs w:val="16"/>
          <w:color w:val="auto"/>
        </w:rPr>
        <w:t>The bonuses awarded for 2011 performance are shown in the table below. The differences in the amounts awarded to the named executive officers were</w:t>
      </w:r>
    </w:p>
    <w:p>
      <w:pPr>
        <w:spacing w:after="0" w:line="10" w:lineRule="exact"/>
        <w:rPr>
          <w:sz w:val="20"/>
          <w:szCs w:val="20"/>
          <w:color w:val="auto"/>
        </w:rPr>
      </w:pPr>
    </w:p>
    <w:p>
      <w:pPr>
        <w:ind w:left="3" w:right="320"/>
        <w:spacing w:after="0" w:line="264" w:lineRule="auto"/>
        <w:rPr>
          <w:sz w:val="20"/>
          <w:szCs w:val="20"/>
          <w:color w:val="auto"/>
        </w:rPr>
      </w:pPr>
      <w:r>
        <w:rPr>
          <w:rFonts w:ascii="Arial" w:cs="Arial" w:eastAsia="Arial" w:hAnsi="Arial"/>
          <w:sz w:val="15"/>
          <w:szCs w:val="15"/>
          <w:color w:val="auto"/>
        </w:rPr>
        <w:t>primarily the result of differences in the officers’ level of responsibility and the applicable market level of total cash compensation expected to be paid to similarly situated officers in the Comparator Group. The increase in Mr. Crutcher’s bonus for 2011 as compared to 2010 reflects his first full year at his current level of responsibility. The bonus of each named executive officer was paid under the Executive Officer Performance Plan described on pages 78 and 81.</w:t>
      </w:r>
    </w:p>
    <w:p>
      <w:pPr>
        <w:spacing w:after="0" w:line="154" w:lineRule="exact"/>
        <w:rPr>
          <w:sz w:val="20"/>
          <w:szCs w:val="20"/>
          <w:color w:val="auto"/>
        </w:rPr>
      </w:pPr>
    </w:p>
    <w:p>
      <w:pPr>
        <w:ind w:left="3" w:right="20"/>
        <w:spacing w:after="0" w:line="252" w:lineRule="auto"/>
        <w:rPr>
          <w:sz w:val="20"/>
          <w:szCs w:val="20"/>
          <w:color w:val="auto"/>
        </w:rPr>
      </w:pPr>
      <w:r>
        <w:rPr>
          <w:rFonts w:ascii="Arial" w:cs="Arial" w:eastAsia="Arial" w:hAnsi="Arial"/>
          <w:sz w:val="16"/>
          <w:szCs w:val="16"/>
          <w:i w:val="1"/>
          <w:iCs w:val="1"/>
          <w:color w:val="auto"/>
        </w:rPr>
        <w:t xml:space="preserve">Results of the compensation decisions </w:t>
      </w:r>
      <w:r>
        <w:rPr>
          <w:rFonts w:ascii="Arial" w:cs="Arial" w:eastAsia="Arial" w:hAnsi="Arial"/>
          <w:sz w:val="16"/>
          <w:szCs w:val="16"/>
          <w:color w:val="auto"/>
        </w:rPr>
        <w:t>– Results of the compensation decisions made by the committee relating to the named executive officers for 2011 are</w:t>
      </w:r>
      <w:r>
        <w:rPr>
          <w:rFonts w:ascii="Arial" w:cs="Arial" w:eastAsia="Arial" w:hAnsi="Arial"/>
          <w:sz w:val="16"/>
          <w:szCs w:val="16"/>
          <w:i w:val="1"/>
          <w:iCs w:val="1"/>
          <w:color w:val="auto"/>
        </w:rPr>
        <w:t xml:space="preserve"> </w:t>
      </w:r>
      <w:r>
        <w:rPr>
          <w:rFonts w:ascii="Arial" w:cs="Arial" w:eastAsia="Arial" w:hAnsi="Arial"/>
          <w:sz w:val="16"/>
          <w:szCs w:val="16"/>
          <w:color w:val="auto"/>
        </w:rPr>
        <w:t>summarized in the following table. This table is provided as a supplement to the summary compensation table on page 79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 The principal differences between this table and the summary compensation table are explained in footnote 3 below.</w:t>
      </w:r>
      <w:r>
        <w:rPr>
          <w:rFonts w:ascii="Arial" w:cs="Arial" w:eastAsia="Arial" w:hAnsi="Arial"/>
          <w:sz w:val="26"/>
          <w:szCs w:val="26"/>
          <w:color w:val="auto"/>
          <w:vertAlign w:val="superscript"/>
        </w:rPr>
        <w:t>3</w:t>
      </w:r>
    </w:p>
    <w:p>
      <w:pPr>
        <w:spacing w:after="0" w:line="88"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3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rPr>
              <w:t>Equity Compensation</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8"/>
        </w:trPr>
        <w:tc>
          <w:tcPr>
            <w:tcW w:w="3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center"/>
              <w:ind w:right="43"/>
              <w:spacing w:after="0"/>
              <w:rPr>
                <w:sz w:val="20"/>
                <w:szCs w:val="20"/>
                <w:color w:val="auto"/>
              </w:rPr>
            </w:pPr>
            <w:r>
              <w:rPr>
                <w:rFonts w:ascii="Arial" w:cs="Arial" w:eastAsia="Arial" w:hAnsi="Arial"/>
                <w:sz w:val="12"/>
                <w:szCs w:val="12"/>
                <w:b w:val="1"/>
                <w:bCs w:val="1"/>
                <w:color w:val="auto"/>
              </w:rPr>
              <w:t>Salary</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rPr>
              <w:t>(Grant Date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2"/>
                <w:szCs w:val="12"/>
                <w:b w:val="1"/>
                <w:bCs w:val="1"/>
                <w:color w:val="auto"/>
              </w:rPr>
              <w:t>Officer</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9"/>
              </w:rPr>
              <w:t>Year</w:t>
            </w:r>
          </w:p>
        </w:tc>
        <w:tc>
          <w:tcPr>
            <w:tcW w:w="1300" w:type="dxa"/>
            <w:vAlign w:val="bottom"/>
          </w:tcPr>
          <w:p>
            <w:pPr>
              <w:ind w:left="140"/>
              <w:spacing w:after="0"/>
              <w:rPr>
                <w:sz w:val="20"/>
                <w:szCs w:val="20"/>
                <w:color w:val="auto"/>
              </w:rPr>
            </w:pPr>
            <w:r>
              <w:rPr>
                <w:rFonts w:ascii="Arial" w:cs="Arial" w:eastAsia="Arial" w:hAnsi="Arial"/>
                <w:sz w:val="12"/>
                <w:szCs w:val="12"/>
                <w:b w:val="1"/>
                <w:bCs w:val="1"/>
                <w:color w:val="auto"/>
              </w:rPr>
              <w:t>(Annual Rate)</w:t>
            </w:r>
          </w:p>
        </w:tc>
        <w:tc>
          <w:tcPr>
            <w:tcW w:w="1440" w:type="dxa"/>
            <w:vAlign w:val="bottom"/>
            <w:gridSpan w:val="2"/>
          </w:tcPr>
          <w:p>
            <w:pPr>
              <w:jc w:val="right"/>
              <w:ind w:right="201"/>
              <w:spacing w:after="0"/>
              <w:rPr>
                <w:sz w:val="20"/>
                <w:szCs w:val="20"/>
                <w:color w:val="auto"/>
              </w:rPr>
            </w:pPr>
            <w:r>
              <w:rPr>
                <w:rFonts w:ascii="Arial" w:cs="Arial" w:eastAsia="Arial" w:hAnsi="Arial"/>
                <w:sz w:val="12"/>
                <w:szCs w:val="12"/>
                <w:b w:val="1"/>
                <w:bCs w:val="1"/>
                <w:color w:val="auto"/>
              </w:rPr>
              <w:t>Profit Sharing</w:t>
            </w:r>
          </w:p>
        </w:tc>
        <w:tc>
          <w:tcPr>
            <w:tcW w:w="380" w:type="dxa"/>
            <w:vAlign w:val="bottom"/>
          </w:tcPr>
          <w:p>
            <w:pPr>
              <w:spacing w:after="0"/>
              <w:rPr>
                <w:sz w:val="21"/>
                <w:szCs w:val="21"/>
                <w:color w:val="auto"/>
              </w:rPr>
            </w:pPr>
          </w:p>
        </w:tc>
        <w:tc>
          <w:tcPr>
            <w:tcW w:w="940" w:type="dxa"/>
            <w:vAlign w:val="bottom"/>
          </w:tcPr>
          <w:p>
            <w:pPr>
              <w:jc w:val="right"/>
              <w:ind w:right="362"/>
              <w:spacing w:after="0"/>
              <w:rPr>
                <w:sz w:val="20"/>
                <w:szCs w:val="20"/>
                <w:color w:val="auto"/>
              </w:rPr>
            </w:pPr>
            <w:r>
              <w:rPr>
                <w:rFonts w:ascii="Arial" w:cs="Arial" w:eastAsia="Arial" w:hAnsi="Arial"/>
                <w:sz w:val="12"/>
                <w:szCs w:val="12"/>
                <w:b w:val="1"/>
                <w:bCs w:val="1"/>
                <w:color w:val="auto"/>
              </w:rPr>
              <w:t>Bonus</w:t>
            </w: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rPr>
              <w:t>Fair Value)</w:t>
            </w:r>
          </w:p>
        </w:tc>
        <w:tc>
          <w:tcPr>
            <w:tcW w:w="320" w:type="dxa"/>
            <w:vAlign w:val="bottom"/>
          </w:tcPr>
          <w:p>
            <w:pPr>
              <w:spacing w:after="0"/>
              <w:rPr>
                <w:sz w:val="21"/>
                <w:szCs w:val="21"/>
                <w:color w:val="auto"/>
              </w:rPr>
            </w:pPr>
          </w:p>
        </w:tc>
        <w:tc>
          <w:tcPr>
            <w:tcW w:w="1040" w:type="dxa"/>
            <w:vAlign w:val="bottom"/>
          </w:tcPr>
          <w:p>
            <w:pPr>
              <w:jc w:val="right"/>
              <w:ind w:right="462"/>
              <w:spacing w:after="0"/>
              <w:rPr>
                <w:sz w:val="20"/>
                <w:szCs w:val="20"/>
                <w:color w:val="auto"/>
              </w:rPr>
            </w:pPr>
            <w:r>
              <w:rPr>
                <w:rFonts w:ascii="Arial" w:cs="Arial" w:eastAsia="Arial" w:hAnsi="Arial"/>
                <w:sz w:val="12"/>
                <w:szCs w:val="12"/>
                <w:b w:val="1"/>
                <w:bCs w:val="1"/>
                <w:color w:val="auto"/>
              </w:rPr>
              <w:t>Total</w:t>
            </w:r>
          </w:p>
        </w:tc>
      </w:tr>
      <w:tr>
        <w:trPr>
          <w:trHeight w:val="37"/>
        </w:trPr>
        <w:tc>
          <w:tcPr>
            <w:tcW w:w="3640" w:type="dxa"/>
            <w:vAlign w:val="bottom"/>
            <w:tcBorders>
              <w:bottom w:val="single" w:sz="8" w:color="808285"/>
            </w:tcBorders>
          </w:tcPr>
          <w:p>
            <w:pPr>
              <w:spacing w:after="0"/>
              <w:rPr>
                <w:sz w:val="3"/>
                <w:szCs w:val="3"/>
                <w:color w:val="auto"/>
              </w:rPr>
            </w:pPr>
          </w:p>
        </w:tc>
        <w:tc>
          <w:tcPr>
            <w:tcW w:w="640" w:type="dxa"/>
            <w:vAlign w:val="bottom"/>
            <w:tcBorders>
              <w:bottom w:val="single" w:sz="8" w:color="808285"/>
            </w:tcBorders>
          </w:tcPr>
          <w:p>
            <w:pPr>
              <w:spacing w:after="0"/>
              <w:rPr>
                <w:sz w:val="3"/>
                <w:szCs w:val="3"/>
                <w:color w:val="auto"/>
              </w:rPr>
            </w:pPr>
          </w:p>
        </w:tc>
        <w:tc>
          <w:tcPr>
            <w:tcW w:w="1300" w:type="dxa"/>
            <w:vAlign w:val="bottom"/>
            <w:tcBorders>
              <w:bottom w:val="single" w:sz="8" w:color="808285"/>
            </w:tcBorders>
          </w:tcPr>
          <w:p>
            <w:pPr>
              <w:spacing w:after="0"/>
              <w:rPr>
                <w:sz w:val="3"/>
                <w:szCs w:val="3"/>
                <w:color w:val="auto"/>
              </w:rPr>
            </w:pPr>
          </w:p>
        </w:tc>
        <w:tc>
          <w:tcPr>
            <w:tcW w:w="520" w:type="dxa"/>
            <w:vAlign w:val="bottom"/>
            <w:tcBorders>
              <w:bottom w:val="single" w:sz="8" w:color="808285"/>
            </w:tcBorders>
          </w:tcPr>
          <w:p>
            <w:pPr>
              <w:spacing w:after="0"/>
              <w:rPr>
                <w:sz w:val="3"/>
                <w:szCs w:val="3"/>
                <w:color w:val="auto"/>
              </w:rPr>
            </w:pPr>
          </w:p>
        </w:tc>
        <w:tc>
          <w:tcPr>
            <w:tcW w:w="920" w:type="dxa"/>
            <w:vAlign w:val="bottom"/>
            <w:tcBorders>
              <w:bottom w:val="single" w:sz="8" w:color="808285"/>
            </w:tcBorders>
          </w:tcPr>
          <w:p>
            <w:pPr>
              <w:spacing w:after="0"/>
              <w:rPr>
                <w:sz w:val="3"/>
                <w:szCs w:val="3"/>
                <w:color w:val="auto"/>
              </w:rPr>
            </w:pPr>
          </w:p>
        </w:tc>
        <w:tc>
          <w:tcPr>
            <w:tcW w:w="380" w:type="dxa"/>
            <w:vAlign w:val="bottom"/>
            <w:tcBorders>
              <w:bottom w:val="single" w:sz="8" w:color="808285"/>
            </w:tcBorders>
          </w:tcPr>
          <w:p>
            <w:pPr>
              <w:spacing w:after="0"/>
              <w:rPr>
                <w:sz w:val="3"/>
                <w:szCs w:val="3"/>
                <w:color w:val="auto"/>
              </w:rPr>
            </w:pPr>
          </w:p>
        </w:tc>
        <w:tc>
          <w:tcPr>
            <w:tcW w:w="940" w:type="dxa"/>
            <w:vAlign w:val="bottom"/>
            <w:tcBorders>
              <w:bottom w:val="single" w:sz="8" w:color="808285"/>
            </w:tcBorders>
          </w:tcPr>
          <w:p>
            <w:pPr>
              <w:spacing w:after="0"/>
              <w:rPr>
                <w:sz w:val="3"/>
                <w:szCs w:val="3"/>
                <w:color w:val="auto"/>
              </w:rPr>
            </w:pPr>
          </w:p>
        </w:tc>
        <w:tc>
          <w:tcPr>
            <w:tcW w:w="1740" w:type="dxa"/>
            <w:vAlign w:val="bottom"/>
            <w:tcBorders>
              <w:bottom w:val="single" w:sz="8" w:color="808285"/>
            </w:tcBorders>
          </w:tcPr>
          <w:p>
            <w:pPr>
              <w:spacing w:after="0"/>
              <w:rPr>
                <w:sz w:val="3"/>
                <w:szCs w:val="3"/>
                <w:color w:val="auto"/>
              </w:rPr>
            </w:pPr>
          </w:p>
        </w:tc>
        <w:tc>
          <w:tcPr>
            <w:tcW w:w="320" w:type="dxa"/>
            <w:vAlign w:val="bottom"/>
            <w:tcBorders>
              <w:bottom w:val="single" w:sz="8" w:color="808285"/>
            </w:tcBorders>
          </w:tcPr>
          <w:p>
            <w:pPr>
              <w:spacing w:after="0"/>
              <w:rPr>
                <w:sz w:val="3"/>
                <w:szCs w:val="3"/>
                <w:color w:val="auto"/>
              </w:rPr>
            </w:pPr>
          </w:p>
        </w:tc>
        <w:tc>
          <w:tcPr>
            <w:tcW w:w="1040" w:type="dxa"/>
            <w:vAlign w:val="bottom"/>
            <w:tcBorders>
              <w:bottom w:val="single" w:sz="8" w:color="808285"/>
            </w:tcBorders>
          </w:tcPr>
          <w:p>
            <w:pPr>
              <w:spacing w:after="0"/>
              <w:rPr>
                <w:sz w:val="3"/>
                <w:szCs w:val="3"/>
                <w:color w:val="auto"/>
              </w:rPr>
            </w:pPr>
          </w:p>
        </w:tc>
      </w:tr>
      <w:tr>
        <w:trPr>
          <w:trHeight w:val="208"/>
        </w:trPr>
        <w:tc>
          <w:tcPr>
            <w:tcW w:w="3640" w:type="dxa"/>
            <w:vAlign w:val="bottom"/>
            <w:shd w:val="clear" w:color="auto" w:fill="E9E9E9"/>
          </w:tcPr>
          <w:p>
            <w:pPr>
              <w:spacing w:after="0"/>
              <w:rPr>
                <w:sz w:val="20"/>
                <w:szCs w:val="20"/>
                <w:color w:val="auto"/>
              </w:rPr>
            </w:pPr>
            <w:r>
              <w:rPr>
                <w:rFonts w:ascii="Arial" w:cs="Arial" w:eastAsia="Arial" w:hAnsi="Arial"/>
                <w:sz w:val="16"/>
                <w:szCs w:val="16"/>
                <w:color w:val="auto"/>
              </w:rPr>
              <w:t>Mr. Templeton</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2011</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$990,087</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78,118</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w w:val="95"/>
              </w:rPr>
              <w:t>2,700,000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$ 9,883,575</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w w:val="97"/>
              </w:rPr>
              <w:t>13,651,780</w:t>
            </w:r>
          </w:p>
        </w:tc>
      </w:tr>
      <w:tr>
        <w:trPr>
          <w:trHeight w:val="218"/>
        </w:trPr>
        <w:tc>
          <w:tcPr>
            <w:tcW w:w="3640" w:type="dxa"/>
            <w:vAlign w:val="bottom"/>
            <w:shd w:val="clear" w:color="auto" w:fill="E9E9E9"/>
          </w:tcPr>
          <w:p>
            <w:pPr>
              <w:spacing w:after="0"/>
              <w:rPr>
                <w:sz w:val="18"/>
                <w:szCs w:val="18"/>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2010</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$990,087</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w w:val="93"/>
              </w:rPr>
              <w:t>171,094</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w w:val="95"/>
              </w:rPr>
              <w:t>3,000,000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$ 7,715,066</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w w:val="97"/>
              </w:rPr>
              <w:t>11,876,247</w:t>
            </w:r>
          </w:p>
        </w:tc>
      </w:tr>
      <w:tr>
        <w:trPr>
          <w:trHeight w:val="233"/>
        </w:trPr>
        <w:tc>
          <w:tcPr>
            <w:tcW w:w="3640" w:type="dxa"/>
            <w:vAlign w:val="bottom"/>
            <w:shd w:val="clear" w:color="auto" w:fill="E9E9E9"/>
          </w:tcPr>
          <w:p>
            <w:pPr>
              <w:spacing w:after="0"/>
              <w:rPr>
                <w:sz w:val="20"/>
                <w:szCs w:val="20"/>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2009</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$963,120</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63,084</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w w:val="95"/>
              </w:rPr>
              <w:t>1,725,000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$ 6,919,254</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9,670,458</w:t>
            </w:r>
          </w:p>
        </w:tc>
      </w:tr>
      <w:tr>
        <w:trPr>
          <w:trHeight w:val="218"/>
        </w:trPr>
        <w:tc>
          <w:tcPr>
            <w:tcW w:w="3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4"/>
        </w:trPr>
        <w:tc>
          <w:tcPr>
            <w:tcW w:w="3640" w:type="dxa"/>
            <w:vAlign w:val="bottom"/>
            <w:shd w:val="clear" w:color="auto" w:fill="E9E9E9"/>
          </w:tcPr>
          <w:p>
            <w:pPr>
              <w:spacing w:after="0"/>
              <w:rPr>
                <w:sz w:val="20"/>
                <w:szCs w:val="20"/>
                <w:color w:val="auto"/>
              </w:rPr>
            </w:pPr>
            <w:r>
              <w:rPr>
                <w:rFonts w:ascii="Arial" w:cs="Arial" w:eastAsia="Arial" w:hAnsi="Arial"/>
                <w:sz w:val="16"/>
                <w:szCs w:val="16"/>
                <w:color w:val="auto"/>
              </w:rPr>
              <w:t>Mr. March</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2011</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$565,008</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44,349</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875,000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$ 3,020,004</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4,504,361</w:t>
            </w:r>
          </w:p>
        </w:tc>
      </w:tr>
      <w:tr>
        <w:trPr>
          <w:trHeight w:val="218"/>
        </w:trPr>
        <w:tc>
          <w:tcPr>
            <w:tcW w:w="3640" w:type="dxa"/>
            <w:vAlign w:val="bottom"/>
            <w:shd w:val="clear" w:color="auto" w:fill="E9E9E9"/>
          </w:tcPr>
          <w:p>
            <w:pPr>
              <w:spacing w:after="0"/>
              <w:rPr>
                <w:sz w:val="18"/>
                <w:szCs w:val="18"/>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2010</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$530,004</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90,858</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975,000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$ 2,303,828</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3,899,690</w:t>
            </w:r>
          </w:p>
        </w:tc>
      </w:tr>
      <w:tr>
        <w:trPr>
          <w:trHeight w:val="233"/>
        </w:trPr>
        <w:tc>
          <w:tcPr>
            <w:tcW w:w="3640" w:type="dxa"/>
            <w:vAlign w:val="bottom"/>
            <w:shd w:val="clear" w:color="auto" w:fill="E9E9E9"/>
          </w:tcPr>
          <w:p>
            <w:pPr>
              <w:spacing w:after="0"/>
              <w:rPr>
                <w:sz w:val="20"/>
                <w:szCs w:val="20"/>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2009</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$465,000</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30,458</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575,000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$ 1,978,543</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3,049,001</w:t>
            </w:r>
          </w:p>
        </w:tc>
      </w:tr>
      <w:tr>
        <w:trPr>
          <w:trHeight w:val="218"/>
        </w:trPr>
        <w:tc>
          <w:tcPr>
            <w:tcW w:w="3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4"/>
        </w:trPr>
        <w:tc>
          <w:tcPr>
            <w:tcW w:w="3640" w:type="dxa"/>
            <w:vAlign w:val="bottom"/>
            <w:shd w:val="clear" w:color="auto" w:fill="E9E9E9"/>
          </w:tcPr>
          <w:p>
            <w:pPr>
              <w:spacing w:after="0"/>
              <w:rPr>
                <w:sz w:val="20"/>
                <w:szCs w:val="20"/>
                <w:color w:val="auto"/>
              </w:rPr>
            </w:pPr>
            <w:r>
              <w:rPr>
                <w:rFonts w:ascii="Arial" w:cs="Arial" w:eastAsia="Arial" w:hAnsi="Arial"/>
                <w:sz w:val="16"/>
                <w:szCs w:val="16"/>
                <w:color w:val="auto"/>
              </w:rPr>
              <w:t>Mr. Lowe</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2011</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$600,000</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47,176</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w w:val="95"/>
              </w:rPr>
              <w:t>1,225,000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$ 4,063,259</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5,935,435</w:t>
            </w:r>
          </w:p>
        </w:tc>
      </w:tr>
      <w:tr>
        <w:trPr>
          <w:trHeight w:val="218"/>
        </w:trPr>
        <w:tc>
          <w:tcPr>
            <w:tcW w:w="3640" w:type="dxa"/>
            <w:vAlign w:val="bottom"/>
            <w:shd w:val="clear" w:color="auto" w:fill="E9E9E9"/>
          </w:tcPr>
          <w:p>
            <w:pPr>
              <w:spacing w:after="0"/>
              <w:rPr>
                <w:sz w:val="18"/>
                <w:szCs w:val="18"/>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2010</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$575,004</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99,014</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w w:val="95"/>
              </w:rPr>
              <w:t>1,350,000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$ 3,964,709</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5,988,727</w:t>
            </w:r>
          </w:p>
        </w:tc>
      </w:tr>
      <w:tr>
        <w:trPr>
          <w:trHeight w:val="233"/>
        </w:trPr>
        <w:tc>
          <w:tcPr>
            <w:tcW w:w="3640" w:type="dxa"/>
            <w:vAlign w:val="bottom"/>
            <w:shd w:val="clear" w:color="auto" w:fill="E9E9E9"/>
          </w:tcPr>
          <w:p>
            <w:pPr>
              <w:spacing w:after="0"/>
              <w:rPr>
                <w:sz w:val="20"/>
                <w:szCs w:val="20"/>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2009</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$535,020</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35,044</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775,000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$ 2,915,743</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4,260,807</w:t>
            </w:r>
          </w:p>
        </w:tc>
      </w:tr>
      <w:tr>
        <w:trPr>
          <w:trHeight w:val="218"/>
        </w:trPr>
        <w:tc>
          <w:tcPr>
            <w:tcW w:w="3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4"/>
        </w:trPr>
        <w:tc>
          <w:tcPr>
            <w:tcW w:w="3640" w:type="dxa"/>
            <w:vAlign w:val="bottom"/>
            <w:shd w:val="clear" w:color="auto" w:fill="E9E9E9"/>
          </w:tcPr>
          <w:p>
            <w:pPr>
              <w:spacing w:after="0"/>
              <w:rPr>
                <w:sz w:val="20"/>
                <w:szCs w:val="20"/>
                <w:color w:val="auto"/>
              </w:rPr>
            </w:pPr>
            <w:r>
              <w:rPr>
                <w:rFonts w:ascii="Arial" w:cs="Arial" w:eastAsia="Arial" w:hAnsi="Arial"/>
                <w:sz w:val="16"/>
                <w:szCs w:val="16"/>
                <w:color w:val="auto"/>
              </w:rPr>
              <w:t>Mr. Ritchie</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2011</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$550,020</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42,873</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w w:val="95"/>
              </w:rPr>
              <w:t>1,000,000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$ 3,569,080</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5,161,973</w:t>
            </w:r>
          </w:p>
        </w:tc>
      </w:tr>
      <w:tr>
        <w:trPr>
          <w:trHeight w:val="218"/>
        </w:trPr>
        <w:tc>
          <w:tcPr>
            <w:tcW w:w="3640" w:type="dxa"/>
            <w:vAlign w:val="bottom"/>
            <w:shd w:val="clear" w:color="auto" w:fill="E9E9E9"/>
          </w:tcPr>
          <w:p>
            <w:pPr>
              <w:spacing w:after="0"/>
              <w:rPr>
                <w:sz w:val="18"/>
                <w:szCs w:val="18"/>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2010</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$470,400</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81,151</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w w:val="95"/>
              </w:rPr>
              <w:t>1,100,000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$ 2,678,865</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4,330,416</w:t>
            </w:r>
          </w:p>
        </w:tc>
      </w:tr>
      <w:tr>
        <w:trPr>
          <w:trHeight w:val="233"/>
        </w:trPr>
        <w:tc>
          <w:tcPr>
            <w:tcW w:w="3640" w:type="dxa"/>
            <w:vAlign w:val="bottom"/>
            <w:shd w:val="clear" w:color="auto" w:fill="E9E9E9"/>
          </w:tcPr>
          <w:p>
            <w:pPr>
              <w:spacing w:after="0"/>
              <w:rPr>
                <w:sz w:val="20"/>
                <w:szCs w:val="20"/>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2009</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$448,080</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29,349</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600,000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$ 2,603,343</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3,680,772</w:t>
            </w:r>
          </w:p>
        </w:tc>
      </w:tr>
      <w:tr>
        <w:trPr>
          <w:trHeight w:val="218"/>
        </w:trPr>
        <w:tc>
          <w:tcPr>
            <w:tcW w:w="3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4"/>
        </w:trPr>
        <w:tc>
          <w:tcPr>
            <w:tcW w:w="3640" w:type="dxa"/>
            <w:vAlign w:val="bottom"/>
            <w:shd w:val="clear" w:color="auto" w:fill="E9E9E9"/>
          </w:tcPr>
          <w:p>
            <w:pPr>
              <w:spacing w:after="0"/>
              <w:rPr>
                <w:sz w:val="20"/>
                <w:szCs w:val="20"/>
                <w:color w:val="auto"/>
              </w:rPr>
            </w:pPr>
            <w:r>
              <w:rPr>
                <w:rFonts w:ascii="Arial" w:cs="Arial" w:eastAsia="Arial" w:hAnsi="Arial"/>
                <w:sz w:val="16"/>
                <w:szCs w:val="16"/>
                <w:color w:val="auto"/>
              </w:rPr>
              <w:t>Mr. Crutcher</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2011</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$485,004</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37,873</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925,000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$ 3,569,080</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5,016,957</w:t>
            </w:r>
          </w:p>
        </w:tc>
      </w:tr>
      <w:tr>
        <w:trPr>
          <w:trHeight w:val="233"/>
        </w:trPr>
        <w:tc>
          <w:tcPr>
            <w:tcW w:w="3640" w:type="dxa"/>
            <w:vAlign w:val="bottom"/>
            <w:shd w:val="clear" w:color="auto" w:fill="E9E9E9"/>
          </w:tcPr>
          <w:p>
            <w:pPr>
              <w:spacing w:after="0"/>
              <w:rPr>
                <w:sz w:val="20"/>
                <w:szCs w:val="20"/>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2010</w:t>
            </w:r>
          </w:p>
        </w:tc>
        <w:tc>
          <w:tcPr>
            <w:tcW w:w="1300" w:type="dxa"/>
            <w:vAlign w:val="bottom"/>
            <w:shd w:val="clear" w:color="auto" w:fill="E9E9E9"/>
          </w:tcPr>
          <w:p>
            <w:pPr>
              <w:jc w:val="center"/>
              <w:ind w:right="43"/>
              <w:spacing w:after="0"/>
              <w:rPr>
                <w:sz w:val="20"/>
                <w:szCs w:val="20"/>
                <w:color w:val="auto"/>
              </w:rPr>
            </w:pPr>
            <w:r>
              <w:rPr>
                <w:rFonts w:ascii="Arial" w:cs="Arial" w:eastAsia="Arial" w:hAnsi="Arial"/>
                <w:sz w:val="16"/>
                <w:szCs w:val="16"/>
                <w:color w:val="auto"/>
                <w:w w:val="98"/>
              </w:rPr>
              <w:t>$425,040</w:t>
            </w: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281"/>
              <w:spacing w:after="0"/>
              <w:rPr>
                <w:sz w:val="20"/>
                <w:szCs w:val="20"/>
                <w:color w:val="auto"/>
              </w:rPr>
            </w:pPr>
            <w:r>
              <w:rPr>
                <w:rFonts w:ascii="Arial" w:cs="Arial" w:eastAsia="Arial" w:hAnsi="Arial"/>
                <w:sz w:val="16"/>
                <w:szCs w:val="16"/>
                <w:color w:val="auto"/>
              </w:rPr>
              <w:t>62,508</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750,000</w:t>
            </w:r>
          </w:p>
        </w:tc>
        <w:tc>
          <w:tcPr>
            <w:tcW w:w="17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$ 4,641,074</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162"/>
              <w:spacing w:after="0"/>
              <w:rPr>
                <w:sz w:val="20"/>
                <w:szCs w:val="20"/>
                <w:color w:val="auto"/>
              </w:rPr>
            </w:pPr>
            <w:r>
              <w:rPr>
                <w:rFonts w:ascii="Arial" w:cs="Arial" w:eastAsia="Arial" w:hAnsi="Arial"/>
                <w:sz w:val="16"/>
                <w:szCs w:val="16"/>
                <w:color w:val="auto"/>
              </w:rPr>
              <w:t>5,878,622</w:t>
            </w:r>
          </w:p>
        </w:tc>
      </w:tr>
    </w:tbl>
    <w:p>
      <w:pPr>
        <w:spacing w:after="0" w:line="200" w:lineRule="exact"/>
        <w:rPr>
          <w:sz w:val="20"/>
          <w:szCs w:val="20"/>
          <w:color w:val="auto"/>
        </w:rPr>
      </w:pPr>
    </w:p>
    <w:p>
      <w:pPr>
        <w:spacing w:after="0" w:line="215" w:lineRule="exact"/>
        <w:rPr>
          <w:sz w:val="20"/>
          <w:szCs w:val="20"/>
          <w:color w:val="auto"/>
        </w:rPr>
      </w:pPr>
    </w:p>
    <w:p>
      <w:pPr>
        <w:ind w:left="3" w:right="40"/>
        <w:spacing w:after="0"/>
        <w:rPr>
          <w:sz w:val="20"/>
          <w:szCs w:val="20"/>
          <w:color w:val="auto"/>
        </w:rPr>
      </w:pPr>
      <w:r>
        <w:rPr>
          <w:rFonts w:ascii="Arial" w:cs="Arial" w:eastAsia="Arial" w:hAnsi="Arial"/>
          <w:sz w:val="16"/>
          <w:szCs w:val="16"/>
          <w:color w:val="auto"/>
        </w:rPr>
        <w:t>For Mr. Lowe, the “Total” is about even for 2011 as compared to 2010. For Mr. Crutcher, the “Total” is lower for 2011 due to the restricted stock unit award he received in September 2010, when he became an executive officer (reflected on pages 72 and 83). For the other named executive officers, including Mr. Templeton, the “Total” was higher for 2011 due to the higher grant date fair value of their equity compensation.</w:t>
      </w:r>
    </w:p>
    <w:p>
      <w:pPr>
        <w:spacing w:after="0" w:line="176"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w:t>
      </w:r>
    </w:p>
    <w:p>
      <w:pPr>
        <w:spacing w:after="0" w:line="192" w:lineRule="exact"/>
        <w:rPr>
          <w:sz w:val="20"/>
          <w:szCs w:val="20"/>
          <w:color w:val="auto"/>
        </w:rPr>
      </w:pPr>
    </w:p>
    <w:p>
      <w:pPr>
        <w:ind w:left="283" w:right="40" w:hanging="283"/>
        <w:spacing w:after="0" w:line="239" w:lineRule="auto"/>
        <w:tabs>
          <w:tab w:leader="none" w:pos="28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table shows the annual rate of base salary as set by the committee. In the summary compensation table, the “Salary” column shows the actual salary paid in the year. This table has separate columns for profit sharing and bonus. In the summary compensation table, profit sharing and bonus are aggregated in the column for “Non-Equity Incentive Plan Compensation,” in accordance with SEC requirements. Please see notes 3 and 4 to the summary compensation table for information about how grant date fair value was calculated.</w:t>
      </w:r>
    </w:p>
    <w:p>
      <w:pPr>
        <w:spacing w:after="0" w:line="256" w:lineRule="exact"/>
        <w:rPr>
          <w:sz w:val="20"/>
          <w:szCs w:val="20"/>
          <w:color w:val="auto"/>
        </w:rPr>
      </w:pPr>
    </w:p>
    <w:p>
      <w:pPr>
        <w:ind w:left="3"/>
        <w:spacing w:after="0"/>
        <w:tabs>
          <w:tab w:leader="none" w:pos="962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55" w:right="219" w:bottom="1440" w:gutter="0" w:footer="0" w:header="0"/>
        </w:sectPr>
      </w:pPr>
    </w:p>
    <w:bookmarkStart w:id="22" w:name="page23"/>
    <w:bookmarkEnd w:id="22"/>
    <w:p>
      <w:pPr>
        <w:ind w:left="240"/>
        <w:spacing w:after="0"/>
        <w:rPr>
          <w:sz w:val="20"/>
          <w:szCs w:val="20"/>
          <w:color w:val="auto"/>
        </w:rPr>
      </w:pPr>
      <w:r>
        <w:rPr>
          <w:rFonts w:ascii="Arial" w:cs="Arial" w:eastAsia="Arial" w:hAnsi="Arial"/>
          <w:sz w:val="16"/>
          <w:szCs w:val="16"/>
          <w:color w:val="auto"/>
        </w:rPr>
        <w:t>The compensation decisions shown above resulted in the following 2011 compensation mix for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120" w:right="2480" w:hanging="116"/>
        <w:spacing w:after="0" w:line="243" w:lineRule="auto"/>
        <w:tabs>
          <w:tab w:leader="none" w:pos="2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Average data for the named executive officers other than Mr. Templeton. Totals may not equal 100 percent, due to rounding.</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Equity dilution</w:t>
      </w:r>
    </w:p>
    <w:p>
      <w:pPr>
        <w:jc w:val="both"/>
        <w:ind w:right="260"/>
        <w:spacing w:after="0"/>
        <w:rPr>
          <w:sz w:val="20"/>
          <w:szCs w:val="20"/>
          <w:color w:val="auto"/>
        </w:rPr>
      </w:pPr>
      <w:r>
        <w:rPr>
          <w:rFonts w:ascii="Arial" w:cs="Arial" w:eastAsia="Arial" w:hAnsi="Arial"/>
          <w:sz w:val="16"/>
          <w:szCs w:val="16"/>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in 2011 under the company’s equity-compensation program resulted in 0 percent net annual dilution.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Process for equity grants</w:t>
      </w:r>
    </w:p>
    <w:p>
      <w:pPr>
        <w:ind w:right="240"/>
        <w:spacing w:after="0"/>
        <w:rPr>
          <w:sz w:val="20"/>
          <w:szCs w:val="20"/>
          <w:color w:val="auto"/>
        </w:rPr>
      </w:pPr>
      <w:r>
        <w:rPr>
          <w:rFonts w:ascii="Arial" w:cs="Arial" w:eastAsia="Arial" w:hAnsi="Arial"/>
          <w:sz w:val="16"/>
          <w:szCs w:val="16"/>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18" w:lineRule="exact"/>
        <w:rPr>
          <w:sz w:val="20"/>
          <w:szCs w:val="20"/>
          <w:color w:val="auto"/>
        </w:rPr>
      </w:pPr>
    </w:p>
    <w:p>
      <w:pPr>
        <w:ind w:right="760" w:firstLine="243"/>
        <w:spacing w:after="0" w:line="259" w:lineRule="auto"/>
        <w:rPr>
          <w:sz w:val="20"/>
          <w:szCs w:val="20"/>
          <w:color w:val="auto"/>
        </w:rPr>
      </w:pPr>
      <w:r>
        <w:rPr>
          <w:rFonts w:ascii="Arial" w:cs="Arial" w:eastAsia="Arial" w:hAnsi="Arial"/>
          <w:sz w:val="16"/>
          <w:szCs w:val="16"/>
          <w:color w:val="auto"/>
        </w:rPr>
        <w:t>On occasion, the committee may grant stock options or restricted stock units to executives at times other than January. For example, it has done so in connection with job promotions and for purposes of retention.</w:t>
      </w:r>
    </w:p>
    <w:p>
      <w:pPr>
        <w:spacing w:after="0" w:line="3" w:lineRule="exact"/>
        <w:rPr>
          <w:sz w:val="20"/>
          <w:szCs w:val="20"/>
          <w:color w:val="auto"/>
        </w:rPr>
      </w:pPr>
    </w:p>
    <w:p>
      <w:pPr>
        <w:jc w:val="center"/>
        <w:ind w:right="100"/>
        <w:spacing w:after="0" w:line="275" w:lineRule="auto"/>
        <w:rPr>
          <w:sz w:val="20"/>
          <w:szCs w:val="20"/>
          <w:color w:val="auto"/>
        </w:rPr>
      </w:pPr>
      <w:r>
        <w:rPr>
          <w:rFonts w:ascii="Arial" w:cs="Arial" w:eastAsia="Arial" w:hAnsi="Arial"/>
          <w:sz w:val="15"/>
          <w:szCs w:val="15"/>
          <w:color w:val="auto"/>
        </w:rPr>
        <w:t>We do not back-date stock options or restricted stock units. We do not accelerate or delay the release of information due to plans for making equity grants. Under the committee’s policy, if the committee meeting falls in the same month as the release of the company’s financial results, the grants approved at the meeting will be made effective on the later of (i) the meeting day or (ii) the third trading day after the release of results. Otherwise they will be made effective on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day of committee action. The exercise price of stock options is the closing price of TI stock on the effective date of the grant.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Recoupment policy</w:t>
      </w:r>
    </w:p>
    <w:p>
      <w:pPr>
        <w:ind w:right="280"/>
        <w:spacing w:after="0" w:line="238" w:lineRule="auto"/>
        <w:rPr>
          <w:sz w:val="20"/>
          <w:szCs w:val="20"/>
          <w:color w:val="auto"/>
        </w:rPr>
      </w:pPr>
      <w:r>
        <w:rPr>
          <w:rFonts w:ascii="Arial" w:cs="Arial" w:eastAsia="Arial" w:hAnsi="Arial"/>
          <w:sz w:val="16"/>
          <w:szCs w:val="16"/>
          <w:color w:val="auto"/>
        </w:rPr>
        <w:t>The committee has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whose fraud or willful misconduct contributed to the need for such restatement. Such action may include (a) seeking reimbursement of any bonus paid to such officer exceeding the amount that, in the judgment of the committee, would have been paid had the financial results been properly reported and (b) seeking to recover profits received by such officer during the twelve months after the restated period under equity compensation awards. All determinations by the committee with respect to this policy are final and binding on all interested parties.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Most recent stockholder advisory vote on executive compensation</w:t>
      </w:r>
    </w:p>
    <w:p>
      <w:pPr>
        <w:ind w:right="180"/>
        <w:spacing w:after="0" w:line="239" w:lineRule="auto"/>
        <w:rPr>
          <w:sz w:val="20"/>
          <w:szCs w:val="20"/>
          <w:color w:val="auto"/>
        </w:rPr>
      </w:pPr>
      <w:r>
        <w:rPr>
          <w:rFonts w:ascii="Arial" w:cs="Arial" w:eastAsia="Arial" w:hAnsi="Arial"/>
          <w:sz w:val="16"/>
          <w:szCs w:val="16"/>
          <w:color w:val="auto"/>
        </w:rPr>
        <w:t>In April 2011, our shareholders cast an advisory vote on the company’s executive compensation decisions and policies as disclosed in the proxy statement issued by the company in March 2011. Approximately 96 percent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232" w:lineRule="exact"/>
        <w:rPr>
          <w:sz w:val="20"/>
          <w:szCs w:val="20"/>
          <w:color w:val="auto"/>
        </w:rPr>
      </w:pPr>
    </w:p>
    <w:p>
      <w:pPr>
        <w:spacing w:after="0"/>
        <w:tabs>
          <w:tab w:leader="none" w:pos="10100" w:val="left"/>
        </w:tabs>
        <w:rPr>
          <w:sz w:val="20"/>
          <w:szCs w:val="20"/>
          <w:color w:val="auto"/>
        </w:rPr>
      </w:pPr>
      <w:r>
        <w:rPr>
          <w:rFonts w:ascii="Arial" w:cs="Arial" w:eastAsia="Arial" w:hAnsi="Arial"/>
          <w:sz w:val="12"/>
          <w:szCs w:val="12"/>
          <w:b w:val="1"/>
          <w:bCs w:val="1"/>
          <w:color w:val="auto"/>
        </w:rPr>
        <w:t xml:space="preserve">76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79" w:right="21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auto"/>
        </w:rPr>
        <w:t>Benefits</w:t>
      </w:r>
    </w:p>
    <w:p>
      <w:pPr>
        <w:ind w:right="460"/>
        <w:spacing w:after="0" w:line="243" w:lineRule="auto"/>
        <w:rPr>
          <w:sz w:val="20"/>
          <w:szCs w:val="20"/>
          <w:color w:val="auto"/>
        </w:rPr>
      </w:pPr>
      <w:r>
        <w:rPr>
          <w:rFonts w:ascii="Arial" w:cs="Arial" w:eastAsia="Arial" w:hAnsi="Arial"/>
          <w:sz w:val="16"/>
          <w:szCs w:val="16"/>
          <w:color w:val="auto"/>
        </w:rPr>
        <w:t>Reflecting the company’s culture of respect and value for all employees, the financial and health benefits received by executive officers are the same as those received by other U.S. employees except for the few benefits described under the sub-heading Other Benefits in the last paragraph of this section.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Retirement plans</w:t>
      </w:r>
    </w:p>
    <w:p>
      <w:pPr>
        <w:spacing w:after="0" w:line="14"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color w:val="auto"/>
        </w:rPr>
        <w:t>The executive officers participate in our retirement plans under the same rules that apply to other U.S. employees. We maintain these plans to have a competitive benefits program and for retention.</w:t>
      </w:r>
    </w:p>
    <w:p>
      <w:pPr>
        <w:spacing w:after="0" w:line="15" w:lineRule="exact"/>
        <w:rPr>
          <w:sz w:val="20"/>
          <w:szCs w:val="20"/>
          <w:color w:val="auto"/>
        </w:rPr>
      </w:pPr>
    </w:p>
    <w:p>
      <w:pPr>
        <w:ind w:right="80" w:firstLine="243"/>
        <w:spacing w:after="0"/>
        <w:rPr>
          <w:sz w:val="20"/>
          <w:szCs w:val="20"/>
          <w:color w:val="auto"/>
        </w:rPr>
      </w:pPr>
      <w:r>
        <w:rPr>
          <w:rFonts w:ascii="Arial" w:cs="Arial" w:eastAsia="Arial" w:hAnsi="Arial"/>
          <w:sz w:val="16"/>
          <w:szCs w:val="16"/>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 well as semiconductors and materials products. In order to limit the cost of the plan, we closed the plan to new participants in 1997. We gave U.S. employees as of November 1997 the choice to remain in the plan, or to have their plan benefits frozen (i.e., no benefit increase attributable to years of service or change in eligible earnings) and begin participating in an enhanced defined contribution plan. Mr. Templeton and Mr. Crutcher chose not to remain in the defined benefit plan. As a result, their benefits under that plan were frozen in 1997 and they participate in the enhanced defined contribution plan. The other named executive officers have continued their participation in the defined benefit pension plan.</w:t>
      </w:r>
    </w:p>
    <w:p>
      <w:pPr>
        <w:spacing w:after="0" w:line="22" w:lineRule="exact"/>
        <w:rPr>
          <w:sz w:val="20"/>
          <w:szCs w:val="20"/>
          <w:color w:val="auto"/>
        </w:rPr>
      </w:pPr>
    </w:p>
    <w:p>
      <w:pPr>
        <w:ind w:right="140" w:firstLine="243"/>
        <w:spacing w:after="0" w:line="244" w:lineRule="auto"/>
        <w:rPr>
          <w:sz w:val="20"/>
          <w:szCs w:val="20"/>
          <w:color w:val="auto"/>
        </w:rPr>
      </w:pPr>
      <w:r>
        <w:rPr>
          <w:rFonts w:ascii="Arial" w:cs="Arial" w:eastAsia="Arial" w:hAnsi="Arial"/>
          <w:sz w:val="16"/>
          <w:szCs w:val="16"/>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pages 85-87.</w:t>
      </w:r>
    </w:p>
    <w:p>
      <w:pPr>
        <w:spacing w:after="0" w:line="16" w:lineRule="exact"/>
        <w:rPr>
          <w:sz w:val="20"/>
          <w:szCs w:val="20"/>
          <w:color w:val="auto"/>
        </w:rPr>
      </w:pPr>
    </w:p>
    <w:p>
      <w:pPr>
        <w:ind w:right="80" w:firstLine="243"/>
        <w:spacing w:after="0" w:line="248" w:lineRule="auto"/>
        <w:rPr>
          <w:sz w:val="20"/>
          <w:szCs w:val="20"/>
          <w:color w:val="auto"/>
        </w:rPr>
      </w:pPr>
      <w:r>
        <w:rPr>
          <w:rFonts w:ascii="Arial" w:cs="Arial" w:eastAsia="Arial" w:hAnsi="Arial"/>
          <w:sz w:val="16"/>
          <w:szCs w:val="16"/>
          <w:color w:val="auto"/>
        </w:rPr>
        <w:t>Employees accruing benefits in the qualified pension plan, including the named executive officers other than Mr. Templeton and Mr. Crutcher, also are eligible to participate in a qualified defined contribution plan that provides employer matching contributions. The enhanced defined contribution plan, in which Mr. Templeton and Mr. Crutcher participate, provides for a fixed employer contribution plus an employer matching contribution.</w:t>
      </w:r>
    </w:p>
    <w:p>
      <w:pPr>
        <w:spacing w:after="0" w:line="12" w:lineRule="exact"/>
        <w:rPr>
          <w:sz w:val="20"/>
          <w:szCs w:val="20"/>
          <w:color w:val="auto"/>
        </w:rPr>
      </w:pPr>
    </w:p>
    <w:p>
      <w:pPr>
        <w:ind w:right="100" w:firstLine="243"/>
        <w:spacing w:after="0" w:line="244" w:lineRule="auto"/>
        <w:rPr>
          <w:sz w:val="20"/>
          <w:szCs w:val="20"/>
          <w:color w:val="auto"/>
        </w:rPr>
      </w:pPr>
      <w:r>
        <w:rPr>
          <w:rFonts w:ascii="Arial" w:cs="Arial" w:eastAsia="Arial" w:hAnsi="Arial"/>
          <w:sz w:val="16"/>
          <w:szCs w:val="16"/>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In 2011, having reached the age of 55 with at least 20 years of employment, Mr. Ritchie met the requirements for early retirement under the pension plans. None of the other named executive officers was retirement-eligible under the plans.</w:t>
      </w:r>
    </w:p>
    <w:p>
      <w:pPr>
        <w:spacing w:after="0" w:line="16" w:lineRule="exact"/>
        <w:rPr>
          <w:sz w:val="20"/>
          <w:szCs w:val="20"/>
          <w:color w:val="auto"/>
        </w:rPr>
      </w:pPr>
    </w:p>
    <w:p>
      <w:pPr>
        <w:ind w:right="400" w:firstLine="243"/>
        <w:spacing w:after="0" w:line="244" w:lineRule="auto"/>
        <w:rPr>
          <w:sz w:val="20"/>
          <w:szCs w:val="20"/>
          <w:color w:val="auto"/>
        </w:rPr>
      </w:pPr>
      <w:r>
        <w:rPr>
          <w:rFonts w:ascii="Arial" w:cs="Arial" w:eastAsia="Arial" w:hAnsi="Arial"/>
          <w:sz w:val="16"/>
          <w:szCs w:val="16"/>
          <w:color w:val="auto"/>
        </w:rPr>
        <w:t>Because benefits under the qualified and non-qualified defined benefit pension plans are calculated on the basis of eligible earnings (salary and bonus), an increase in salary or bonus may result in an increase in benefits under the plans. Salary or bonus increases for Mr. Templeton and Mr. Crutcher do not result in greater benefits for them under the company’s defined benefit pension plans because their benefits under those plans were frozen in 1997. The committee considers the potential effect on the executives’ retirement benefits when it sets salary and performance bonus levels.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compensation</w:t>
      </w:r>
    </w:p>
    <w:p>
      <w:pPr>
        <w:spacing w:after="0" w:line="14"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19" w:lineRule="exact"/>
        <w:rPr>
          <w:sz w:val="20"/>
          <w:szCs w:val="20"/>
          <w:color w:val="auto"/>
        </w:rPr>
      </w:pPr>
    </w:p>
    <w:p>
      <w:pPr>
        <w:ind w:right="140" w:firstLine="243"/>
        <w:spacing w:after="0" w:line="242" w:lineRule="auto"/>
        <w:rPr>
          <w:sz w:val="20"/>
          <w:szCs w:val="20"/>
          <w:color w:val="auto"/>
        </w:rPr>
      </w:pPr>
      <w:r>
        <w:rPr>
          <w:rFonts w:ascii="Arial" w:cs="Arial" w:eastAsia="Arial" w:hAnsi="Arial"/>
          <w:sz w:val="16"/>
          <w:szCs w:val="16"/>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a subset of those offered to participants in the defined contribution plans described above. The company does not guarantee any minimum return on the amounts deferred. In accordance with SEC rules, no earnings on deferred compensation are shown in the summary compensation table on page 79 for 2011 because no “above-market” rates were earned on deferred amounts in 2011.</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stock purchase plan</w:t>
      </w:r>
    </w:p>
    <w:p>
      <w:pPr>
        <w:spacing w:after="0" w:line="14"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Our shareholders approved the TI Employees 2005 Stock Purchase Plan in April 2005. Under the plan,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208" w:lineRule="exact"/>
        <w:rPr>
          <w:sz w:val="20"/>
          <w:szCs w:val="20"/>
          <w:color w:val="auto"/>
        </w:rPr>
      </w:pPr>
    </w:p>
    <w:p>
      <w:pPr>
        <w:spacing w:after="0"/>
        <w:tabs>
          <w:tab w:leader="none" w:pos="9600"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7280910"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52" w:right="219" w:bottom="1440" w:gutter="0" w:footer="0" w:header="0"/>
        </w:sectPr>
      </w:pPr>
    </w:p>
    <w:bookmarkStart w:id="24" w:name="page25"/>
    <w:bookmarkEnd w:id="24"/>
    <w:p>
      <w:pPr>
        <w:spacing w:after="0"/>
        <w:rPr>
          <w:sz w:val="20"/>
          <w:szCs w:val="20"/>
          <w:color w:val="auto"/>
        </w:rPr>
      </w:pPr>
      <w:r>
        <w:rPr>
          <w:rFonts w:ascii="Arial" w:cs="Arial" w:eastAsia="Arial" w:hAnsi="Arial"/>
          <w:sz w:val="16"/>
          <w:szCs w:val="16"/>
          <w:i w:val="1"/>
          <w:iCs w:val="1"/>
          <w:color w:val="auto"/>
        </w:rPr>
        <w:t>Health-related benefits</w:t>
      </w:r>
    </w:p>
    <w:p>
      <w:pPr>
        <w:spacing w:after="0" w:line="14"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Executive officers are eligible under the same plans as all other U.S. employees for medical, dental, vision, disability and life insurance. These benefits are intended to be competitive with benefits offered in the semiconductor industry.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benefits</w:t>
      </w:r>
    </w:p>
    <w:p>
      <w:pPr>
        <w:spacing w:after="0" w:line="14" w:lineRule="exact"/>
        <w:rPr>
          <w:sz w:val="20"/>
          <w:szCs w:val="20"/>
          <w:color w:val="auto"/>
        </w:rPr>
      </w:pPr>
    </w:p>
    <w:p>
      <w:pPr>
        <w:ind w:right="220"/>
        <w:spacing w:after="0" w:line="260" w:lineRule="auto"/>
        <w:rPr>
          <w:sz w:val="20"/>
          <w:szCs w:val="20"/>
          <w:color w:val="auto"/>
        </w:rPr>
      </w:pPr>
      <w:r>
        <w:rPr>
          <w:rFonts w:ascii="Arial" w:cs="Arial" w:eastAsia="Arial" w:hAnsi="Arial"/>
          <w:sz w:val="15"/>
          <w:szCs w:val="15"/>
          <w:color w:val="auto"/>
        </w:rPr>
        <w:t>Executive officers receive only a few benefits that are not available to all other U.S. employees. Specifically, we promote sustained good health by providing a company-paid physical for each executive officer, and we encourage effective long-term financial planning by providing financial counseling up to $8,000 per year for the CEO and $7,000 per year for the other executive officers. The board of directors has determined that for security reasons, it is in the company’s interest to require the CEO to use company aircraft for personal air travel. The company provides no tax gross-ups for perquisites to any of the executive officers.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Compensation following employment termination or change in control</w:t>
      </w:r>
    </w:p>
    <w:p>
      <w:pPr>
        <w:ind w:right="60"/>
        <w:spacing w:after="0" w:line="258" w:lineRule="auto"/>
        <w:rPr>
          <w:sz w:val="20"/>
          <w:szCs w:val="20"/>
          <w:color w:val="auto"/>
        </w:rPr>
      </w:pPr>
      <w:r>
        <w:rPr>
          <w:rFonts w:ascii="Arial" w:cs="Arial" w:eastAsia="Arial" w:hAnsi="Arial"/>
          <w:sz w:val="15"/>
          <w:szCs w:val="15"/>
          <w:color w:val="auto"/>
        </w:rPr>
        <w:t>None of the executive officers has an employment contract. Executive officers are eligible for benefits on the same terms as other U.S. employees upon termination of employment or a change in control of the company. The current programs are described under the heading Potential Payments upon Termination or Change in Control beginning on page 88. None of the few additional benefits that the executive officers receive continue after termination of employment, except the amount described above for financial counseling is provided in the following year in the event of retirement. The committee reviews the potential impact of these programs before finalizing the annual compensation for the named executive officers. The committee did not raise or lower compensation for 2011 based on this review.</w:t>
      </w:r>
    </w:p>
    <w:p>
      <w:pPr>
        <w:spacing w:after="0" w:line="7" w:lineRule="exact"/>
        <w:rPr>
          <w:sz w:val="20"/>
          <w:szCs w:val="20"/>
          <w:color w:val="auto"/>
        </w:rPr>
      </w:pPr>
    </w:p>
    <w:p>
      <w:pPr>
        <w:ind w:right="120" w:firstLine="243"/>
        <w:spacing w:after="0" w:line="244" w:lineRule="auto"/>
        <w:rPr>
          <w:sz w:val="20"/>
          <w:szCs w:val="20"/>
          <w:color w:val="auto"/>
        </w:rPr>
      </w:pPr>
      <w:r>
        <w:rPr>
          <w:rFonts w:ascii="Arial" w:cs="Arial" w:eastAsia="Arial" w:hAnsi="Arial"/>
          <w:sz w:val="16"/>
          <w:szCs w:val="16"/>
          <w:color w:val="auto"/>
        </w:rPr>
        <w:t>The Texas Instruments 2009 Long-Term Incentive Plan generally establishes double-trigger change-in-control terms for grants made in 2010 and later years.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 ownership guidelines and policy against hedging</w:t>
      </w:r>
    </w:p>
    <w:p>
      <w:pPr>
        <w:ind w:right="200"/>
        <w:spacing w:after="0"/>
        <w:rPr>
          <w:sz w:val="20"/>
          <w:szCs w:val="20"/>
          <w:color w:val="auto"/>
        </w:rPr>
      </w:pPr>
      <w:r>
        <w:rPr>
          <w:rFonts w:ascii="Arial" w:cs="Arial" w:eastAsia="Arial" w:hAnsi="Arial"/>
          <w:sz w:val="16"/>
          <w:szCs w:val="16"/>
          <w:color w:val="auto"/>
        </w:rPr>
        <w:t>Our board of directors has established stock ownership guidelines for executive officers. The guideline for the CEO is four times base salary or 125,000 shares, whichever is less. The guideline for other executive officers is three times base salary or 25,000 shares, whichever is less. Executive officers have five years from their election as executive officers to reach these targets. Directly owned shares and restricted stock units count toward satisfying the guidelines.</w:t>
      </w:r>
    </w:p>
    <w:p>
      <w:pPr>
        <w:spacing w:after="0" w:line="18" w:lineRule="exact"/>
        <w:rPr>
          <w:sz w:val="20"/>
          <w:szCs w:val="20"/>
          <w:color w:val="auto"/>
        </w:rPr>
      </w:pPr>
    </w:p>
    <w:p>
      <w:pPr>
        <w:ind w:right="380" w:firstLine="243"/>
        <w:spacing w:after="0" w:line="292" w:lineRule="auto"/>
        <w:rPr>
          <w:sz w:val="20"/>
          <w:szCs w:val="20"/>
          <w:color w:val="auto"/>
        </w:rPr>
      </w:pPr>
      <w:r>
        <w:rPr>
          <w:rFonts w:ascii="Arial" w:cs="Arial" w:eastAsia="Arial" w:hAnsi="Arial"/>
          <w:sz w:val="15"/>
          <w:szCs w:val="15"/>
          <w:color w:val="auto"/>
        </w:rPr>
        <w:t>Short sales of TI stock by our executive officers are prohibited. It is against TI policy for any employee, including an executive officer, to engage in trading in “puts” (options to sell at a fixed price on or before a certain date), “calls” (similar options to buy), or other options or hedging techniques on TI stock.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Consideration of tax and accounting treatment of compensation</w:t>
      </w:r>
    </w:p>
    <w:p>
      <w:pPr>
        <w:ind w:right="160"/>
        <w:spacing w:after="0" w:line="238" w:lineRule="auto"/>
        <w:rPr>
          <w:sz w:val="20"/>
          <w:szCs w:val="20"/>
          <w:color w:val="auto"/>
        </w:rPr>
      </w:pPr>
      <w:r>
        <w:rPr>
          <w:rFonts w:ascii="Arial" w:cs="Arial" w:eastAsia="Arial" w:hAnsi="Arial"/>
          <w:sz w:val="16"/>
          <w:szCs w:val="16"/>
          <w:color w:val="auto"/>
        </w:rPr>
        <w:t>Section 162(m) of the IRC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Compensation Committee considers the impact of this deductibility limit on the compensation that it intends to award. The committee exercises its discretion to award compensation that does not meet the requirements of Section 162(m) when applying the limits of Section 162(m) would frustrate or be inconsistent with our compensation policies and/or when the value of the foregone deduction would not be material. The committee has exercised this discretion when awarding restricted stock units that vest over time, without performance conditions to vesting. The committee believes it is in the best interest of the company and its shareholders that restricted stock unit awards provide for the retention of our executive officers in all market conditions.</w:t>
      </w:r>
    </w:p>
    <w:p>
      <w:pPr>
        <w:spacing w:after="0" w:line="20" w:lineRule="exact"/>
        <w:rPr>
          <w:sz w:val="20"/>
          <w:szCs w:val="20"/>
          <w:color w:val="auto"/>
        </w:rPr>
      </w:pPr>
    </w:p>
    <w:p>
      <w:pPr>
        <w:ind w:right="220" w:firstLine="243"/>
        <w:spacing w:after="0" w:line="265" w:lineRule="auto"/>
        <w:rPr>
          <w:sz w:val="20"/>
          <w:szCs w:val="20"/>
          <w:color w:val="auto"/>
        </w:rPr>
      </w:pPr>
      <w:r>
        <w:rPr>
          <w:rFonts w:ascii="Arial" w:cs="Arial" w:eastAsia="Arial" w:hAnsi="Arial"/>
          <w:sz w:val="15"/>
          <w:szCs w:val="15"/>
          <w:color w:val="auto"/>
        </w:rPr>
        <w:t>The Texas Instruments Executive Officer Performance Plan is intended to ensure that performance bonuses under the plan are fully tax deductible under Section 162(m). The plan, which shareholders approved in 2002, is further described on page 81. The committee’s general policy is to award bonuses within the plan, although the committee reserves the discretion to pay a bonus outside the plan if it determines that it is in our shareholders’ best interest to do so. The committee set the bonuses of the named executive officers for 2011 performance at the levels described on page 75. The bonuses were awarded within the plan.</w:t>
      </w:r>
    </w:p>
    <w:p>
      <w:pPr>
        <w:spacing w:after="0" w:line="2" w:lineRule="exact"/>
        <w:rPr>
          <w:sz w:val="20"/>
          <w:szCs w:val="20"/>
          <w:color w:val="auto"/>
        </w:rPr>
      </w:pPr>
    </w:p>
    <w:p>
      <w:pPr>
        <w:ind w:right="300" w:firstLine="243"/>
        <w:spacing w:after="0" w:line="259" w:lineRule="auto"/>
        <w:rPr>
          <w:sz w:val="20"/>
          <w:szCs w:val="20"/>
          <w:color w:val="auto"/>
        </w:rPr>
      </w:pPr>
      <w:r>
        <w:rPr>
          <w:rFonts w:ascii="Arial" w:cs="Arial" w:eastAsia="Arial" w:hAnsi="Arial"/>
          <w:sz w:val="16"/>
          <w:szCs w:val="16"/>
          <w:color w:val="auto"/>
        </w:rPr>
        <w:t>When setting equity compensation, the committee considers the estimated cost for financial reporting purposes of equity compensation it intends to grant. Its consideration of the estimated cost of grants made in 2011 is discussed on pages 72-73 above.</w:t>
      </w:r>
    </w:p>
    <w:p>
      <w:pPr>
        <w:spacing w:after="0" w:line="192" w:lineRule="exact"/>
        <w:rPr>
          <w:sz w:val="20"/>
          <w:szCs w:val="20"/>
          <w:color w:val="auto"/>
        </w:rPr>
      </w:pPr>
    </w:p>
    <w:p>
      <w:pPr>
        <w:spacing w:after="0"/>
        <w:tabs>
          <w:tab w:leader="none" w:pos="10100" w:val="left"/>
        </w:tabs>
        <w:rPr>
          <w:sz w:val="20"/>
          <w:szCs w:val="20"/>
          <w:color w:val="auto"/>
        </w:rPr>
      </w:pPr>
      <w:r>
        <w:rPr>
          <w:rFonts w:ascii="Arial" w:cs="Arial" w:eastAsia="Arial" w:hAnsi="Arial"/>
          <w:sz w:val="12"/>
          <w:szCs w:val="12"/>
          <w:b w:val="1"/>
          <w:bCs w:val="1"/>
          <w:color w:val="auto"/>
        </w:rPr>
        <w:t xml:space="preserve">78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25" w:name="page26"/>
    <w:bookmarkEnd w:id="25"/>
    <w:p>
      <w:pPr>
        <w:ind w:left="3"/>
        <w:spacing w:after="0"/>
        <w:rPr>
          <w:sz w:val="20"/>
          <w:szCs w:val="20"/>
          <w:color w:val="auto"/>
        </w:rPr>
      </w:pPr>
      <w:r>
        <w:rPr>
          <w:rFonts w:ascii="Arial" w:cs="Arial" w:eastAsia="Arial" w:hAnsi="Arial"/>
          <w:sz w:val="19"/>
          <w:szCs w:val="19"/>
          <w:b w:val="1"/>
          <w:bCs w:val="1"/>
          <w:color w:val="auto"/>
        </w:rPr>
        <w:t>Compensation Committee report</w:t>
      </w:r>
    </w:p>
    <w:p>
      <w:pPr>
        <w:spacing w:after="0" w:line="3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Compensation Committee of the board of directors has furnished the following report:</w:t>
      </w:r>
    </w:p>
    <w:p>
      <w:pPr>
        <w:spacing w:after="0" w:line="22" w:lineRule="exact"/>
        <w:rPr>
          <w:sz w:val="20"/>
          <w:szCs w:val="20"/>
          <w:color w:val="auto"/>
        </w:rPr>
      </w:pPr>
    </w:p>
    <w:p>
      <w:pPr>
        <w:jc w:val="both"/>
        <w:ind w:left="3" w:right="200" w:firstLine="243"/>
        <w:spacing w:after="0" w:line="248" w:lineRule="auto"/>
        <w:rPr>
          <w:sz w:val="20"/>
          <w:szCs w:val="20"/>
          <w:color w:val="auto"/>
        </w:rPr>
      </w:pPr>
      <w:r>
        <w:rPr>
          <w:rFonts w:ascii="Arial" w:cs="Arial" w:eastAsia="Arial" w:hAnsi="Arial"/>
          <w:sz w:val="16"/>
          <w:szCs w:val="16"/>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2011 and the company’s proxy statement for the 2012 annual meeting of stockholders.</w:t>
      </w:r>
    </w:p>
    <w:p>
      <w:pPr>
        <w:spacing w:after="0" w:line="181" w:lineRule="exact"/>
        <w:rPr>
          <w:sz w:val="20"/>
          <w:szCs w:val="20"/>
          <w:color w:val="auto"/>
        </w:rPr>
      </w:pPr>
    </w:p>
    <w:p>
      <w:pPr>
        <w:ind w:left="2383"/>
        <w:spacing w:after="0"/>
        <w:tabs>
          <w:tab w:leader="none" w:pos="7543" w:val="left"/>
        </w:tabs>
        <w:rPr>
          <w:sz w:val="20"/>
          <w:szCs w:val="20"/>
          <w:color w:val="auto"/>
        </w:rPr>
      </w:pPr>
      <w:r>
        <w:rPr>
          <w:rFonts w:ascii="Arial" w:cs="Arial" w:eastAsia="Arial" w:hAnsi="Arial"/>
          <w:sz w:val="16"/>
          <w:szCs w:val="16"/>
          <w:color w:val="auto"/>
        </w:rPr>
        <w:t>Carrie S. Cox, Chair</w:t>
      </w:r>
      <w:r>
        <w:rPr>
          <w:sz w:val="20"/>
          <w:szCs w:val="20"/>
          <w:color w:val="auto"/>
        </w:rPr>
        <w:tab/>
      </w:r>
      <w:r>
        <w:rPr>
          <w:rFonts w:ascii="Arial" w:cs="Arial" w:eastAsia="Arial" w:hAnsi="Arial"/>
          <w:sz w:val="15"/>
          <w:szCs w:val="15"/>
          <w:color w:val="auto"/>
        </w:rPr>
        <w:t>Ruth J. Simmons</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2011 summary compensation table</w:t>
      </w:r>
    </w:p>
    <w:p>
      <w:pPr>
        <w:spacing w:after="0" w:line="32" w:lineRule="exact"/>
        <w:rPr>
          <w:sz w:val="20"/>
          <w:szCs w:val="20"/>
          <w:color w:val="auto"/>
        </w:rPr>
      </w:pPr>
    </w:p>
    <w:p>
      <w:pPr>
        <w:ind w:left="3" w:right="240"/>
        <w:spacing w:after="0" w:line="239" w:lineRule="auto"/>
        <w:rPr>
          <w:sz w:val="20"/>
          <w:szCs w:val="20"/>
          <w:color w:val="auto"/>
        </w:rPr>
      </w:pPr>
      <w:r>
        <w:rPr>
          <w:rFonts w:ascii="Arial" w:cs="Arial" w:eastAsia="Arial" w:hAnsi="Arial"/>
          <w:sz w:val="16"/>
          <w:szCs w:val="16"/>
          <w:color w:val="auto"/>
        </w:rPr>
        <w:t>The table below shows the compensation of the company’s chief executive officer, chief financial officer and each of the other three most highly compensated individuals who were executive officers during 2011 (collectively called the “named executive officers”) for services in all capacities to the company in 2011. For a discussion of the amount of a named executive officer’s salary and bonus in proportion to his total compensation, please see the Compensation Discussion and Analysis on pages 68-78.</w:t>
      </w:r>
    </w:p>
    <w:p>
      <w:pPr>
        <w:spacing w:after="0" w:line="208"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2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Change in</w:t>
            </w: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8"/>
        </w:trPr>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Pension Value</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right="284"/>
              <w:spacing w:after="0"/>
              <w:rPr>
                <w:sz w:val="20"/>
                <w:szCs w:val="20"/>
                <w:color w:val="auto"/>
              </w:rPr>
            </w:pPr>
            <w:r>
              <w:rPr>
                <w:rFonts w:ascii="Arial" w:cs="Arial" w:eastAsia="Arial" w:hAnsi="Arial"/>
                <w:sz w:val="12"/>
                <w:szCs w:val="12"/>
                <w:b w:val="1"/>
                <w:bCs w:val="1"/>
                <w:color w:val="auto"/>
              </w:rPr>
              <w:t>and</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Non-Equity</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Non-qualified</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ind w:right="144"/>
              <w:spacing w:after="0"/>
              <w:rPr>
                <w:sz w:val="20"/>
                <w:szCs w:val="20"/>
                <w:color w:val="auto"/>
              </w:rPr>
            </w:pPr>
            <w:r>
              <w:rPr>
                <w:rFonts w:ascii="Arial" w:cs="Arial" w:eastAsia="Arial" w:hAnsi="Arial"/>
                <w:sz w:val="12"/>
                <w:szCs w:val="12"/>
                <w:b w:val="1"/>
                <w:bCs w:val="1"/>
                <w:color w:val="auto"/>
                <w:w w:val="97"/>
              </w:rPr>
              <w:t>Stock</w:t>
            </w:r>
          </w:p>
        </w:tc>
        <w:tc>
          <w:tcPr>
            <w:tcW w:w="220" w:type="dxa"/>
            <w:vAlign w:val="bottom"/>
          </w:tcPr>
          <w:p>
            <w:pPr>
              <w:spacing w:after="0"/>
              <w:rPr>
                <w:sz w:val="18"/>
                <w:szCs w:val="18"/>
                <w:color w:val="auto"/>
              </w:rPr>
            </w:pPr>
          </w:p>
        </w:tc>
        <w:tc>
          <w:tcPr>
            <w:tcW w:w="840" w:type="dxa"/>
            <w:vAlign w:val="bottom"/>
          </w:tcPr>
          <w:p>
            <w:pPr>
              <w:jc w:val="center"/>
              <w:ind w:right="144"/>
              <w:spacing w:after="0"/>
              <w:rPr>
                <w:sz w:val="20"/>
                <w:szCs w:val="20"/>
                <w:color w:val="auto"/>
              </w:rPr>
            </w:pPr>
            <w:r>
              <w:rPr>
                <w:rFonts w:ascii="Arial" w:cs="Arial" w:eastAsia="Arial" w:hAnsi="Arial"/>
                <w:sz w:val="12"/>
                <w:szCs w:val="12"/>
                <w:b w:val="1"/>
                <w:bCs w:val="1"/>
                <w:color w:val="auto"/>
                <w:w w:val="98"/>
              </w:rPr>
              <w:t>Option</w:t>
            </w:r>
          </w:p>
        </w:tc>
        <w:tc>
          <w:tcPr>
            <w:tcW w:w="1160" w:type="dxa"/>
            <w:vAlign w:val="bottom"/>
            <w:gridSpan w:val="2"/>
          </w:tcPr>
          <w:p>
            <w:pPr>
              <w:jc w:val="center"/>
              <w:spacing w:after="0"/>
              <w:rPr>
                <w:sz w:val="20"/>
                <w:szCs w:val="20"/>
                <w:color w:val="auto"/>
              </w:rPr>
            </w:pPr>
            <w:r>
              <w:rPr>
                <w:rFonts w:ascii="Arial" w:cs="Arial" w:eastAsia="Arial" w:hAnsi="Arial"/>
                <w:sz w:val="12"/>
                <w:szCs w:val="12"/>
                <w:b w:val="1"/>
                <w:bCs w:val="1"/>
                <w:color w:val="auto"/>
              </w:rPr>
              <w:t>Incentive Plan</w:t>
            </w:r>
          </w:p>
        </w:tc>
        <w:tc>
          <w:tcPr>
            <w:tcW w:w="340" w:type="dxa"/>
            <w:vAlign w:val="bottom"/>
          </w:tcPr>
          <w:p>
            <w:pPr>
              <w:spacing w:after="0"/>
              <w:rPr>
                <w:sz w:val="18"/>
                <w:szCs w:val="18"/>
                <w:color w:val="auto"/>
              </w:rPr>
            </w:pPr>
          </w:p>
        </w:tc>
        <w:tc>
          <w:tcPr>
            <w:tcW w:w="900" w:type="dxa"/>
            <w:vAlign w:val="bottom"/>
          </w:tcPr>
          <w:p>
            <w:pPr>
              <w:jc w:val="center"/>
              <w:ind w:right="284"/>
              <w:spacing w:after="0"/>
              <w:rPr>
                <w:sz w:val="20"/>
                <w:szCs w:val="20"/>
                <w:color w:val="auto"/>
              </w:rPr>
            </w:pPr>
            <w:r>
              <w:rPr>
                <w:rFonts w:ascii="Arial" w:cs="Arial" w:eastAsia="Arial" w:hAnsi="Arial"/>
                <w:sz w:val="12"/>
                <w:szCs w:val="12"/>
                <w:b w:val="1"/>
                <w:bCs w:val="1"/>
                <w:color w:val="auto"/>
              </w:rPr>
              <w:t>Deferred</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2400" w:type="dxa"/>
            <w:vAlign w:val="bottom"/>
          </w:tcPr>
          <w:p>
            <w:pPr>
              <w:spacing w:after="0"/>
              <w:rPr>
                <w:sz w:val="20"/>
                <w:szCs w:val="20"/>
                <w:color w:val="auto"/>
              </w:rPr>
            </w:pPr>
            <w:r>
              <w:rPr>
                <w:rFonts w:ascii="Arial" w:cs="Arial" w:eastAsia="Arial" w:hAnsi="Arial"/>
                <w:sz w:val="12"/>
                <w:szCs w:val="12"/>
                <w:b w:val="1"/>
                <w:bCs w:val="1"/>
                <w:color w:val="auto"/>
              </w:rPr>
              <w:t>Name and Principal</w:t>
            </w:r>
          </w:p>
        </w:tc>
        <w:tc>
          <w:tcPr>
            <w:tcW w:w="74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2"/>
                <w:szCs w:val="12"/>
                <w:b w:val="1"/>
                <w:bCs w:val="1"/>
                <w:color w:val="auto"/>
              </w:rPr>
              <w:t>Salary</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Bonus</w:t>
            </w:r>
          </w:p>
        </w:tc>
        <w:tc>
          <w:tcPr>
            <w:tcW w:w="240" w:type="dxa"/>
            <w:vAlign w:val="bottom"/>
          </w:tcPr>
          <w:p>
            <w:pPr>
              <w:spacing w:after="0"/>
              <w:rPr>
                <w:sz w:val="18"/>
                <w:szCs w:val="18"/>
                <w:color w:val="auto"/>
              </w:rPr>
            </w:pPr>
          </w:p>
        </w:tc>
        <w:tc>
          <w:tcPr>
            <w:tcW w:w="820" w:type="dxa"/>
            <w:vAlign w:val="bottom"/>
          </w:tcPr>
          <w:p>
            <w:pPr>
              <w:jc w:val="center"/>
              <w:ind w:right="144"/>
              <w:spacing w:after="0"/>
              <w:rPr>
                <w:sz w:val="20"/>
                <w:szCs w:val="20"/>
                <w:color w:val="auto"/>
              </w:rPr>
            </w:pPr>
            <w:r>
              <w:rPr>
                <w:rFonts w:ascii="Arial" w:cs="Arial" w:eastAsia="Arial" w:hAnsi="Arial"/>
                <w:sz w:val="12"/>
                <w:szCs w:val="12"/>
                <w:b w:val="1"/>
                <w:bCs w:val="1"/>
                <w:color w:val="auto"/>
              </w:rPr>
              <w:t>Awards</w:t>
            </w:r>
          </w:p>
        </w:tc>
        <w:tc>
          <w:tcPr>
            <w:tcW w:w="220" w:type="dxa"/>
            <w:vAlign w:val="bottom"/>
          </w:tcPr>
          <w:p>
            <w:pPr>
              <w:spacing w:after="0"/>
              <w:rPr>
                <w:sz w:val="18"/>
                <w:szCs w:val="18"/>
                <w:color w:val="auto"/>
              </w:rPr>
            </w:pPr>
          </w:p>
        </w:tc>
        <w:tc>
          <w:tcPr>
            <w:tcW w:w="840" w:type="dxa"/>
            <w:vAlign w:val="bottom"/>
          </w:tcPr>
          <w:p>
            <w:pPr>
              <w:jc w:val="center"/>
              <w:ind w:right="144"/>
              <w:spacing w:after="0"/>
              <w:rPr>
                <w:sz w:val="20"/>
                <w:szCs w:val="20"/>
                <w:color w:val="auto"/>
              </w:rPr>
            </w:pPr>
            <w:r>
              <w:rPr>
                <w:rFonts w:ascii="Arial" w:cs="Arial" w:eastAsia="Arial" w:hAnsi="Arial"/>
                <w:sz w:val="12"/>
                <w:szCs w:val="12"/>
                <w:b w:val="1"/>
                <w:bCs w:val="1"/>
                <w:color w:val="auto"/>
                <w:w w:val="96"/>
              </w:rPr>
              <w:t>Awards</w:t>
            </w:r>
          </w:p>
        </w:tc>
        <w:tc>
          <w:tcPr>
            <w:tcW w:w="116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Compensation</w:t>
            </w:r>
          </w:p>
        </w:tc>
        <w:tc>
          <w:tcPr>
            <w:tcW w:w="124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Compensation</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2400" w:type="dxa"/>
            <w:vAlign w:val="bottom"/>
          </w:tcPr>
          <w:p>
            <w:pPr>
              <w:spacing w:after="0"/>
              <w:rPr>
                <w:sz w:val="20"/>
                <w:szCs w:val="20"/>
                <w:color w:val="auto"/>
              </w:rPr>
            </w:pPr>
            <w:r>
              <w:rPr>
                <w:rFonts w:ascii="Arial" w:cs="Arial" w:eastAsia="Arial" w:hAnsi="Arial"/>
                <w:sz w:val="12"/>
                <w:szCs w:val="12"/>
                <w:b w:val="1"/>
                <w:bCs w:val="1"/>
                <w:color w:val="auto"/>
              </w:rPr>
              <w:t>Position</w:t>
            </w:r>
          </w:p>
        </w:tc>
        <w:tc>
          <w:tcPr>
            <w:tcW w:w="740" w:type="dxa"/>
            <w:vAlign w:val="bottom"/>
          </w:tcPr>
          <w:p>
            <w:pPr>
              <w:jc w:val="center"/>
              <w:ind w:left="62"/>
              <w:spacing w:after="0"/>
              <w:rPr>
                <w:sz w:val="20"/>
                <w:szCs w:val="20"/>
                <w:color w:val="auto"/>
              </w:rPr>
            </w:pPr>
            <w:r>
              <w:rPr>
                <w:rFonts w:ascii="Arial" w:cs="Arial" w:eastAsia="Arial" w:hAnsi="Arial"/>
                <w:sz w:val="12"/>
                <w:szCs w:val="12"/>
                <w:b w:val="1"/>
                <w:bCs w:val="1"/>
                <w:color w:val="auto"/>
                <w:w w:val="92"/>
              </w:rPr>
              <w:t>Year</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8"/>
                <w:szCs w:val="18"/>
                <w:color w:val="auto"/>
              </w:rPr>
            </w:pPr>
          </w:p>
        </w:tc>
        <w:tc>
          <w:tcPr>
            <w:tcW w:w="820" w:type="dxa"/>
            <w:vAlign w:val="bottom"/>
          </w:tcPr>
          <w:p>
            <w:pPr>
              <w:jc w:val="center"/>
              <w:ind w:right="164"/>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8"/>
                <w:szCs w:val="18"/>
                <w:color w:val="auto"/>
              </w:rPr>
            </w:pPr>
          </w:p>
        </w:tc>
        <w:tc>
          <w:tcPr>
            <w:tcW w:w="840" w:type="dxa"/>
            <w:vAlign w:val="bottom"/>
          </w:tcPr>
          <w:p>
            <w:pPr>
              <w:jc w:val="center"/>
              <w:ind w:right="144"/>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8"/>
                <w:szCs w:val="18"/>
                <w:color w:val="auto"/>
              </w:rPr>
            </w:pPr>
          </w:p>
        </w:tc>
        <w:tc>
          <w:tcPr>
            <w:tcW w:w="820" w:type="dxa"/>
            <w:vAlign w:val="bottom"/>
          </w:tcPr>
          <w:p>
            <w:pPr>
              <w:jc w:val="center"/>
              <w:ind w:right="324"/>
              <w:spacing w:after="0"/>
              <w:rPr>
                <w:sz w:val="20"/>
                <w:szCs w:val="20"/>
                <w:color w:val="auto"/>
              </w:rPr>
            </w:pPr>
            <w:r>
              <w:rPr>
                <w:rFonts w:ascii="Arial" w:cs="Arial" w:eastAsia="Arial" w:hAnsi="Arial"/>
                <w:sz w:val="12"/>
                <w:szCs w:val="12"/>
                <w:b w:val="1"/>
                <w:bCs w:val="1"/>
                <w:color w:val="auto"/>
              </w:rPr>
              <w:t>($)(5)</w:t>
            </w:r>
          </w:p>
        </w:tc>
        <w:tc>
          <w:tcPr>
            <w:tcW w:w="1240" w:type="dxa"/>
            <w:vAlign w:val="bottom"/>
            <w:gridSpan w:val="2"/>
          </w:tcPr>
          <w:p>
            <w:pPr>
              <w:jc w:val="center"/>
              <w:spacing w:after="0"/>
              <w:rPr>
                <w:sz w:val="20"/>
                <w:szCs w:val="20"/>
                <w:color w:val="auto"/>
              </w:rPr>
            </w:pPr>
            <w:r>
              <w:rPr>
                <w:rFonts w:ascii="Arial" w:cs="Arial" w:eastAsia="Arial" w:hAnsi="Arial"/>
                <w:sz w:val="12"/>
                <w:szCs w:val="12"/>
                <w:b w:val="1"/>
                <w:bCs w:val="1"/>
                <w:color w:val="auto"/>
              </w:rPr>
              <w:t>Earnings ($)(6)</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rPr>
              <w:t>($)(7)</w:t>
            </w:r>
          </w:p>
        </w:tc>
        <w:tc>
          <w:tcPr>
            <w:tcW w:w="260" w:type="dxa"/>
            <w:vAlign w:val="bottom"/>
          </w:tcPr>
          <w:p>
            <w:pPr>
              <w:spacing w:after="0"/>
              <w:rPr>
                <w:sz w:val="18"/>
                <w:szCs w:val="18"/>
                <w:color w:val="auto"/>
              </w:rPr>
            </w:pPr>
          </w:p>
        </w:tc>
        <w:tc>
          <w:tcPr>
            <w:tcW w:w="800" w:type="dxa"/>
            <w:vAlign w:val="bottom"/>
          </w:tcPr>
          <w:p>
            <w:pPr>
              <w:jc w:val="right"/>
              <w:ind w:right="162"/>
              <w:spacing w:after="0"/>
              <w:rPr>
                <w:sz w:val="20"/>
                <w:szCs w:val="20"/>
                <w:color w:val="auto"/>
              </w:rPr>
            </w:pPr>
            <w:r>
              <w:rPr>
                <w:rFonts w:ascii="Arial" w:cs="Arial" w:eastAsia="Arial" w:hAnsi="Arial"/>
                <w:sz w:val="12"/>
                <w:szCs w:val="12"/>
                <w:b w:val="1"/>
                <w:bCs w:val="1"/>
                <w:color w:val="auto"/>
              </w:rPr>
              <w:t>Total ($)</w:t>
            </w:r>
          </w:p>
        </w:tc>
      </w:tr>
      <w:tr>
        <w:trPr>
          <w:trHeight w:val="37"/>
        </w:trPr>
        <w:tc>
          <w:tcPr>
            <w:tcW w:w="2400" w:type="dxa"/>
            <w:vAlign w:val="bottom"/>
            <w:tcBorders>
              <w:bottom w:val="single" w:sz="8" w:color="808285"/>
            </w:tcBorders>
          </w:tcPr>
          <w:p>
            <w:pPr>
              <w:spacing w:after="0"/>
              <w:rPr>
                <w:sz w:val="3"/>
                <w:szCs w:val="3"/>
                <w:color w:val="auto"/>
              </w:rPr>
            </w:pPr>
          </w:p>
        </w:tc>
        <w:tc>
          <w:tcPr>
            <w:tcW w:w="740" w:type="dxa"/>
            <w:vAlign w:val="bottom"/>
            <w:tcBorders>
              <w:bottom w:val="single" w:sz="8" w:color="808285"/>
            </w:tcBorders>
          </w:tcPr>
          <w:p>
            <w:pPr>
              <w:spacing w:after="0"/>
              <w:rPr>
                <w:sz w:val="3"/>
                <w:szCs w:val="3"/>
                <w:color w:val="auto"/>
              </w:rPr>
            </w:pPr>
          </w:p>
        </w:tc>
        <w:tc>
          <w:tcPr>
            <w:tcW w:w="920" w:type="dxa"/>
            <w:vAlign w:val="bottom"/>
            <w:tcBorders>
              <w:bottom w:val="single" w:sz="8" w:color="808285"/>
            </w:tcBorders>
          </w:tcPr>
          <w:p>
            <w:pPr>
              <w:spacing w:after="0"/>
              <w:rPr>
                <w:sz w:val="3"/>
                <w:szCs w:val="3"/>
                <w:color w:val="auto"/>
              </w:rPr>
            </w:pPr>
          </w:p>
        </w:tc>
        <w:tc>
          <w:tcPr>
            <w:tcW w:w="62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1160" w:type="dxa"/>
            <w:vAlign w:val="bottom"/>
            <w:tcBorders>
              <w:bottom w:val="single" w:sz="8" w:color="808285"/>
            </w:tcBorders>
            <w:gridSpan w:val="2"/>
          </w:tcPr>
          <w:p>
            <w:pPr>
              <w:spacing w:after="0"/>
              <w:rPr>
                <w:sz w:val="3"/>
                <w:szCs w:val="3"/>
                <w:color w:val="auto"/>
              </w:rPr>
            </w:pPr>
          </w:p>
        </w:tc>
        <w:tc>
          <w:tcPr>
            <w:tcW w:w="340" w:type="dxa"/>
            <w:vAlign w:val="bottom"/>
            <w:tcBorders>
              <w:bottom w:val="single" w:sz="8" w:color="808285"/>
            </w:tcBorders>
          </w:tcPr>
          <w:p>
            <w:pPr>
              <w:spacing w:after="0"/>
              <w:rPr>
                <w:sz w:val="3"/>
                <w:szCs w:val="3"/>
                <w:color w:val="auto"/>
              </w:rPr>
            </w:pPr>
          </w:p>
        </w:tc>
        <w:tc>
          <w:tcPr>
            <w:tcW w:w="900" w:type="dxa"/>
            <w:vAlign w:val="bottom"/>
            <w:tcBorders>
              <w:bottom w:val="single" w:sz="8" w:color="808285"/>
            </w:tcBorders>
          </w:tcPr>
          <w:p>
            <w:pPr>
              <w:spacing w:after="0"/>
              <w:rPr>
                <w:sz w:val="3"/>
                <w:szCs w:val="3"/>
                <w:color w:val="auto"/>
              </w:rPr>
            </w:pPr>
          </w:p>
        </w:tc>
        <w:tc>
          <w:tcPr>
            <w:tcW w:w="1180" w:type="dxa"/>
            <w:vAlign w:val="bottom"/>
            <w:tcBorders>
              <w:bottom w:val="single" w:sz="8" w:color="808285"/>
            </w:tcBorders>
          </w:tcPr>
          <w:p>
            <w:pPr>
              <w:spacing w:after="0"/>
              <w:rPr>
                <w:sz w:val="3"/>
                <w:szCs w:val="3"/>
                <w:color w:val="auto"/>
              </w:rPr>
            </w:pPr>
          </w:p>
        </w:tc>
        <w:tc>
          <w:tcPr>
            <w:tcW w:w="26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r>
      <w:tr>
        <w:trPr>
          <w:trHeight w:val="196"/>
        </w:trPr>
        <w:tc>
          <w:tcPr>
            <w:tcW w:w="2400" w:type="dxa"/>
            <w:vAlign w:val="bottom"/>
            <w:shd w:val="clear" w:color="auto" w:fill="E9E9E9"/>
          </w:tcPr>
          <w:p>
            <w:pPr>
              <w:spacing w:after="0"/>
              <w:rPr>
                <w:sz w:val="20"/>
                <w:szCs w:val="20"/>
                <w:color w:val="auto"/>
              </w:rPr>
            </w:pPr>
            <w:r>
              <w:rPr>
                <w:rFonts w:ascii="Arial" w:cs="Arial" w:eastAsia="Arial" w:hAnsi="Arial"/>
                <w:sz w:val="16"/>
                <w:szCs w:val="16"/>
                <w:color w:val="auto"/>
              </w:rPr>
              <w:t>Richard K. Templeton</w:t>
            </w: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2011</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$ 990,087</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5"/>
              </w:rPr>
              <w:t>5,194,500</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8"/>
              </w:rPr>
              <w:t>4,689,075</w:t>
            </w:r>
          </w:p>
        </w:tc>
        <w:tc>
          <w:tcPr>
            <w:tcW w:w="1160" w:type="dxa"/>
            <w:vAlign w:val="bottom"/>
            <w:gridSpan w:val="2"/>
            <w:shd w:val="clear" w:color="auto" w:fill="E9E9E9"/>
          </w:tcPr>
          <w:p>
            <w:pPr>
              <w:jc w:val="right"/>
              <w:ind w:right="84"/>
              <w:spacing w:after="0"/>
              <w:rPr>
                <w:sz w:val="20"/>
                <w:szCs w:val="20"/>
                <w:color w:val="auto"/>
              </w:rPr>
            </w:pPr>
            <w:r>
              <w:rPr>
                <w:rFonts w:ascii="Arial" w:cs="Arial" w:eastAsia="Arial" w:hAnsi="Arial"/>
                <w:sz w:val="16"/>
                <w:szCs w:val="16"/>
                <w:color w:val="auto"/>
              </w:rPr>
              <w:t>$2,778,118</w:t>
            </w:r>
          </w:p>
        </w:tc>
        <w:tc>
          <w:tcPr>
            <w:tcW w:w="340" w:type="dxa"/>
            <w:vAlign w:val="bottom"/>
            <w:shd w:val="clear" w:color="auto" w:fill="E9E9E9"/>
          </w:tcPr>
          <w:p>
            <w:pPr>
              <w:ind w:left="2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149,704</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w w:val="98"/>
              </w:rPr>
              <w:t>$254,283</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7"/>
              </w:rPr>
              <w:t>14,055,767</w:t>
            </w:r>
          </w:p>
        </w:tc>
      </w:tr>
      <w:tr>
        <w:trPr>
          <w:trHeight w:val="218"/>
        </w:trPr>
        <w:tc>
          <w:tcPr>
            <w:tcW w:w="24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Chairman, President</w:t>
            </w: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2010</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$ 987,840</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5"/>
              </w:rPr>
              <w:t>4,149,000</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8"/>
              </w:rPr>
              <w:t>3,566,066</w:t>
            </w:r>
          </w:p>
        </w:tc>
        <w:tc>
          <w:tcPr>
            <w:tcW w:w="1160" w:type="dxa"/>
            <w:vAlign w:val="bottom"/>
            <w:gridSpan w:val="2"/>
            <w:shd w:val="clear" w:color="auto" w:fill="E9E9E9"/>
          </w:tcPr>
          <w:p>
            <w:pPr>
              <w:jc w:val="right"/>
              <w:ind w:right="84"/>
              <w:spacing w:after="0"/>
              <w:rPr>
                <w:sz w:val="20"/>
                <w:szCs w:val="20"/>
                <w:color w:val="auto"/>
              </w:rPr>
            </w:pPr>
            <w:r>
              <w:rPr>
                <w:rFonts w:ascii="Arial" w:cs="Arial" w:eastAsia="Arial" w:hAnsi="Arial"/>
                <w:sz w:val="16"/>
                <w:szCs w:val="16"/>
                <w:color w:val="auto"/>
              </w:rPr>
              <w:t>$3,171,094</w:t>
            </w:r>
          </w:p>
        </w:tc>
        <w:tc>
          <w:tcPr>
            <w:tcW w:w="340" w:type="dxa"/>
            <w:vAlign w:val="bottom"/>
            <w:shd w:val="clear" w:color="auto" w:fill="E9E9E9"/>
          </w:tcPr>
          <w:p>
            <w:pPr>
              <w:ind w:left="2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98,899</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w w:val="98"/>
              </w:rPr>
              <w:t>$240,521</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7"/>
              </w:rPr>
              <w:t>12,213,420</w:t>
            </w:r>
          </w:p>
        </w:tc>
      </w:tr>
      <w:tr>
        <w:trPr>
          <w:trHeight w:val="233"/>
        </w:trPr>
        <w:tc>
          <w:tcPr>
            <w:tcW w:w="24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&amp; Chief Executive Officer</w:t>
            </w: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2009</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$ 963,120</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5"/>
              </w:rPr>
              <w:t>3,311,231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8"/>
              </w:rPr>
              <w:t>3,608,023</w:t>
            </w:r>
          </w:p>
        </w:tc>
        <w:tc>
          <w:tcPr>
            <w:tcW w:w="1160" w:type="dxa"/>
            <w:vAlign w:val="bottom"/>
            <w:gridSpan w:val="2"/>
            <w:shd w:val="clear" w:color="auto" w:fill="E9E9E9"/>
          </w:tcPr>
          <w:p>
            <w:pPr>
              <w:jc w:val="right"/>
              <w:ind w:right="84"/>
              <w:spacing w:after="0"/>
              <w:rPr>
                <w:sz w:val="20"/>
                <w:szCs w:val="20"/>
                <w:color w:val="auto"/>
              </w:rPr>
            </w:pPr>
            <w:r>
              <w:rPr>
                <w:rFonts w:ascii="Arial" w:cs="Arial" w:eastAsia="Arial" w:hAnsi="Arial"/>
                <w:sz w:val="16"/>
                <w:szCs w:val="16"/>
                <w:color w:val="auto"/>
              </w:rPr>
              <w:t>$1,788,084</w:t>
            </w:r>
          </w:p>
        </w:tc>
        <w:tc>
          <w:tcPr>
            <w:tcW w:w="340" w:type="dxa"/>
            <w:vAlign w:val="bottom"/>
            <w:shd w:val="clear" w:color="auto" w:fill="E9E9E9"/>
          </w:tcPr>
          <w:p>
            <w:pPr>
              <w:ind w:left="2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49,566</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w w:val="98"/>
              </w:rPr>
              <w:t>$145,633</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9,865,657</w:t>
            </w:r>
          </w:p>
        </w:tc>
      </w:tr>
      <w:tr>
        <w:trPr>
          <w:trHeight w:val="218"/>
        </w:trPr>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2400" w:type="dxa"/>
            <w:vAlign w:val="bottom"/>
            <w:shd w:val="clear" w:color="auto" w:fill="E9E9E9"/>
          </w:tcPr>
          <w:p>
            <w:pPr>
              <w:spacing w:after="0"/>
              <w:rPr>
                <w:sz w:val="20"/>
                <w:szCs w:val="20"/>
                <w:color w:val="auto"/>
              </w:rPr>
            </w:pPr>
            <w:r>
              <w:rPr>
                <w:rFonts w:ascii="Arial" w:cs="Arial" w:eastAsia="Arial" w:hAnsi="Arial"/>
                <w:sz w:val="16"/>
                <w:szCs w:val="16"/>
                <w:color w:val="auto"/>
              </w:rPr>
              <w:t>Kevin P. March</w:t>
            </w: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2011</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$ 562,091</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5"/>
              </w:rPr>
              <w:t>1,587,231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8"/>
              </w:rPr>
              <w:t>1,432,773</w:t>
            </w:r>
          </w:p>
        </w:tc>
        <w:tc>
          <w:tcPr>
            <w:tcW w:w="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919,349</w:t>
            </w:r>
          </w:p>
        </w:tc>
        <w:tc>
          <w:tcPr>
            <w:tcW w:w="340" w:type="dxa"/>
            <w:vAlign w:val="bottom"/>
            <w:shd w:val="clear" w:color="auto" w:fill="E9E9E9"/>
          </w:tcPr>
          <w:p>
            <w:pPr>
              <w:ind w:left="2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896,326</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rPr>
              <w:t>$ 39,925</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5,437,695</w:t>
            </w:r>
          </w:p>
        </w:tc>
      </w:tr>
      <w:tr>
        <w:trPr>
          <w:trHeight w:val="218"/>
        </w:trPr>
        <w:tc>
          <w:tcPr>
            <w:tcW w:w="24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Senior Vice President</w:t>
            </w: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2010</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$ 524,587</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5"/>
              </w:rPr>
              <w:t>1,238,961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8"/>
              </w:rPr>
              <w:t>1,064,867</w:t>
            </w:r>
          </w:p>
        </w:tc>
        <w:tc>
          <w:tcPr>
            <w:tcW w:w="1160" w:type="dxa"/>
            <w:vAlign w:val="bottom"/>
            <w:gridSpan w:val="2"/>
            <w:shd w:val="clear" w:color="auto" w:fill="E9E9E9"/>
          </w:tcPr>
          <w:p>
            <w:pPr>
              <w:jc w:val="right"/>
              <w:ind w:right="84"/>
              <w:spacing w:after="0"/>
              <w:rPr>
                <w:sz w:val="20"/>
                <w:szCs w:val="20"/>
                <w:color w:val="auto"/>
              </w:rPr>
            </w:pPr>
            <w:r>
              <w:rPr>
                <w:rFonts w:ascii="Arial" w:cs="Arial" w:eastAsia="Arial" w:hAnsi="Arial"/>
                <w:sz w:val="16"/>
                <w:szCs w:val="16"/>
                <w:color w:val="auto"/>
              </w:rPr>
              <w:t>$1,065,858</w:t>
            </w:r>
          </w:p>
        </w:tc>
        <w:tc>
          <w:tcPr>
            <w:tcW w:w="340" w:type="dxa"/>
            <w:vAlign w:val="bottom"/>
            <w:shd w:val="clear" w:color="auto" w:fill="E9E9E9"/>
          </w:tcPr>
          <w:p>
            <w:pPr>
              <w:ind w:left="2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558,705</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rPr>
              <w:t>$ 19,995</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4,472,973</w:t>
            </w:r>
          </w:p>
        </w:tc>
      </w:tr>
      <w:tr>
        <w:trPr>
          <w:trHeight w:val="233"/>
        </w:trPr>
        <w:tc>
          <w:tcPr>
            <w:tcW w:w="24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&amp; Chief Financial Officer</w:t>
            </w: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2009</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$ 465,000</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rPr>
              <w:t>946,843</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8"/>
              </w:rPr>
              <w:t>1,031,700</w:t>
            </w:r>
          </w:p>
        </w:tc>
        <w:tc>
          <w:tcPr>
            <w:tcW w:w="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605,458</w:t>
            </w:r>
          </w:p>
        </w:tc>
        <w:tc>
          <w:tcPr>
            <w:tcW w:w="340" w:type="dxa"/>
            <w:vAlign w:val="bottom"/>
            <w:shd w:val="clear" w:color="auto" w:fill="E9E9E9"/>
          </w:tcPr>
          <w:p>
            <w:pPr>
              <w:ind w:left="2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327,928</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rPr>
              <w:t>$ 20,646</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3,397,575</w:t>
            </w:r>
          </w:p>
        </w:tc>
      </w:tr>
      <w:tr>
        <w:trPr>
          <w:trHeight w:val="218"/>
        </w:trPr>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2400" w:type="dxa"/>
            <w:vAlign w:val="bottom"/>
            <w:shd w:val="clear" w:color="auto" w:fill="E9E9E9"/>
          </w:tcPr>
          <w:p>
            <w:pPr>
              <w:spacing w:after="0"/>
              <w:rPr>
                <w:sz w:val="20"/>
                <w:szCs w:val="20"/>
                <w:color w:val="auto"/>
              </w:rPr>
            </w:pPr>
            <w:r>
              <w:rPr>
                <w:rFonts w:ascii="Arial" w:cs="Arial" w:eastAsia="Arial" w:hAnsi="Arial"/>
                <w:sz w:val="16"/>
                <w:szCs w:val="16"/>
                <w:color w:val="auto"/>
              </w:rPr>
              <w:t>Gregg A. Lowe</w:t>
            </w: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2011</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$ 597,917</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5"/>
              </w:rPr>
              <w:t>2,135,528</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8"/>
              </w:rPr>
              <w:t>1,927,731</w:t>
            </w:r>
          </w:p>
        </w:tc>
        <w:tc>
          <w:tcPr>
            <w:tcW w:w="1160" w:type="dxa"/>
            <w:vAlign w:val="bottom"/>
            <w:gridSpan w:val="2"/>
            <w:shd w:val="clear" w:color="auto" w:fill="E9E9E9"/>
          </w:tcPr>
          <w:p>
            <w:pPr>
              <w:jc w:val="right"/>
              <w:ind w:right="84"/>
              <w:spacing w:after="0"/>
              <w:rPr>
                <w:sz w:val="20"/>
                <w:szCs w:val="20"/>
                <w:color w:val="auto"/>
              </w:rPr>
            </w:pPr>
            <w:r>
              <w:rPr>
                <w:rFonts w:ascii="Arial" w:cs="Arial" w:eastAsia="Arial" w:hAnsi="Arial"/>
                <w:sz w:val="16"/>
                <w:szCs w:val="16"/>
                <w:color w:val="auto"/>
              </w:rPr>
              <w:t>$1,272,176</w:t>
            </w:r>
          </w:p>
        </w:tc>
        <w:tc>
          <w:tcPr>
            <w:tcW w:w="1240" w:type="dxa"/>
            <w:vAlign w:val="bottom"/>
            <w:gridSpan w:val="2"/>
            <w:shd w:val="clear" w:color="auto" w:fill="E9E9E9"/>
          </w:tcPr>
          <w:p>
            <w:pPr>
              <w:jc w:val="right"/>
              <w:ind w:right="144"/>
              <w:spacing w:after="0"/>
              <w:rPr>
                <w:sz w:val="20"/>
                <w:szCs w:val="20"/>
                <w:color w:val="auto"/>
              </w:rPr>
            </w:pPr>
            <w:r>
              <w:rPr>
                <w:rFonts w:ascii="Arial" w:cs="Arial" w:eastAsia="Arial" w:hAnsi="Arial"/>
                <w:sz w:val="16"/>
                <w:szCs w:val="16"/>
                <w:color w:val="auto"/>
              </w:rPr>
              <w:t>$1,029,655</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rPr>
              <w:t>$ 10,313</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6,973,320</w:t>
            </w:r>
          </w:p>
        </w:tc>
      </w:tr>
      <w:tr>
        <w:trPr>
          <w:trHeight w:val="218"/>
        </w:trPr>
        <w:tc>
          <w:tcPr>
            <w:tcW w:w="24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Senior Vice President</w:t>
            </w: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2010</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$ 571,672</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5"/>
              </w:rPr>
              <w:t>2,132,148</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8"/>
              </w:rPr>
              <w:t>1,832,561</w:t>
            </w:r>
          </w:p>
        </w:tc>
        <w:tc>
          <w:tcPr>
            <w:tcW w:w="1160" w:type="dxa"/>
            <w:vAlign w:val="bottom"/>
            <w:gridSpan w:val="2"/>
            <w:shd w:val="clear" w:color="auto" w:fill="E9E9E9"/>
          </w:tcPr>
          <w:p>
            <w:pPr>
              <w:jc w:val="right"/>
              <w:ind w:right="84"/>
              <w:spacing w:after="0"/>
              <w:rPr>
                <w:sz w:val="20"/>
                <w:szCs w:val="20"/>
                <w:color w:val="auto"/>
              </w:rPr>
            </w:pPr>
            <w:r>
              <w:rPr>
                <w:rFonts w:ascii="Arial" w:cs="Arial" w:eastAsia="Arial" w:hAnsi="Arial"/>
                <w:sz w:val="16"/>
                <w:szCs w:val="16"/>
                <w:color w:val="auto"/>
              </w:rPr>
              <w:t>$1,449,014</w:t>
            </w:r>
          </w:p>
        </w:tc>
        <w:tc>
          <w:tcPr>
            <w:tcW w:w="340" w:type="dxa"/>
            <w:vAlign w:val="bottom"/>
            <w:shd w:val="clear" w:color="auto" w:fill="E9E9E9"/>
          </w:tcPr>
          <w:p>
            <w:pPr>
              <w:ind w:left="2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596,660</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rPr>
              <w:t>$ 15,927</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6,597,982</w:t>
            </w:r>
          </w:p>
        </w:tc>
      </w:tr>
      <w:tr>
        <w:trPr>
          <w:trHeight w:val="233"/>
        </w:trPr>
        <w:tc>
          <w:tcPr>
            <w:tcW w:w="2400" w:type="dxa"/>
            <w:vAlign w:val="bottom"/>
            <w:shd w:val="clear" w:color="auto" w:fill="E9E9E9"/>
          </w:tcPr>
          <w:p>
            <w:pPr>
              <w:spacing w:after="0"/>
              <w:rPr>
                <w:sz w:val="20"/>
                <w:szCs w:val="20"/>
                <w:color w:val="auto"/>
              </w:rPr>
            </w:pP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2009</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$ 535,020</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5"/>
              </w:rPr>
              <w:t>1,395,343</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8"/>
              </w:rPr>
              <w:t>1,520,400</w:t>
            </w:r>
          </w:p>
        </w:tc>
        <w:tc>
          <w:tcPr>
            <w:tcW w:w="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810,044</w:t>
            </w:r>
          </w:p>
        </w:tc>
        <w:tc>
          <w:tcPr>
            <w:tcW w:w="340" w:type="dxa"/>
            <w:vAlign w:val="bottom"/>
            <w:shd w:val="clear" w:color="auto" w:fill="E9E9E9"/>
          </w:tcPr>
          <w:p>
            <w:pPr>
              <w:ind w:left="2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378,384</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rPr>
              <w:t>$ 15,693</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4,654,884</w:t>
            </w:r>
          </w:p>
        </w:tc>
      </w:tr>
      <w:tr>
        <w:trPr>
          <w:trHeight w:val="218"/>
        </w:trPr>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2400" w:type="dxa"/>
            <w:vAlign w:val="bottom"/>
            <w:shd w:val="clear" w:color="auto" w:fill="E9E9E9"/>
          </w:tcPr>
          <w:p>
            <w:pPr>
              <w:spacing w:after="0"/>
              <w:rPr>
                <w:sz w:val="20"/>
                <w:szCs w:val="20"/>
                <w:color w:val="auto"/>
              </w:rPr>
            </w:pPr>
            <w:r>
              <w:rPr>
                <w:rFonts w:ascii="Arial" w:cs="Arial" w:eastAsia="Arial" w:hAnsi="Arial"/>
                <w:sz w:val="16"/>
                <w:szCs w:val="16"/>
                <w:color w:val="auto"/>
              </w:rPr>
              <w:t>Kevin J. Ritchie</w:t>
            </w: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2011</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$ 543,385</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5"/>
              </w:rPr>
              <w:t>1,875,803</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8"/>
              </w:rPr>
              <w:t>1,693,277</w:t>
            </w:r>
          </w:p>
        </w:tc>
        <w:tc>
          <w:tcPr>
            <w:tcW w:w="1160" w:type="dxa"/>
            <w:vAlign w:val="bottom"/>
            <w:gridSpan w:val="2"/>
            <w:shd w:val="clear" w:color="auto" w:fill="E9E9E9"/>
          </w:tcPr>
          <w:p>
            <w:pPr>
              <w:jc w:val="right"/>
              <w:ind w:right="84"/>
              <w:spacing w:after="0"/>
              <w:rPr>
                <w:sz w:val="20"/>
                <w:szCs w:val="20"/>
                <w:color w:val="auto"/>
              </w:rPr>
            </w:pPr>
            <w:r>
              <w:rPr>
                <w:rFonts w:ascii="Arial" w:cs="Arial" w:eastAsia="Arial" w:hAnsi="Arial"/>
                <w:sz w:val="16"/>
                <w:szCs w:val="16"/>
                <w:color w:val="auto"/>
              </w:rPr>
              <w:t>$1,042,873</w:t>
            </w:r>
          </w:p>
        </w:tc>
        <w:tc>
          <w:tcPr>
            <w:tcW w:w="1240" w:type="dxa"/>
            <w:vAlign w:val="bottom"/>
            <w:gridSpan w:val="2"/>
            <w:shd w:val="clear" w:color="auto" w:fill="E9E9E9"/>
          </w:tcPr>
          <w:p>
            <w:pPr>
              <w:jc w:val="right"/>
              <w:ind w:right="144"/>
              <w:spacing w:after="0"/>
              <w:rPr>
                <w:sz w:val="20"/>
                <w:szCs w:val="20"/>
                <w:color w:val="auto"/>
              </w:rPr>
            </w:pPr>
            <w:r>
              <w:rPr>
                <w:rFonts w:ascii="Arial" w:cs="Arial" w:eastAsia="Arial" w:hAnsi="Arial"/>
                <w:sz w:val="16"/>
                <w:szCs w:val="16"/>
                <w:color w:val="auto"/>
              </w:rPr>
              <w:t>$1,143,408</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rPr>
              <w:t>$ 13,855</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6,312,601</w:t>
            </w:r>
          </w:p>
        </w:tc>
      </w:tr>
      <w:tr>
        <w:trPr>
          <w:trHeight w:val="218"/>
        </w:trPr>
        <w:tc>
          <w:tcPr>
            <w:tcW w:w="24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Senior Vice President</w:t>
            </w: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2010</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$ 468,540</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5"/>
              </w:rPr>
              <w:t>1,440,648</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8"/>
              </w:rPr>
              <w:t>1,238,217</w:t>
            </w:r>
          </w:p>
        </w:tc>
        <w:tc>
          <w:tcPr>
            <w:tcW w:w="1160" w:type="dxa"/>
            <w:vAlign w:val="bottom"/>
            <w:gridSpan w:val="2"/>
            <w:shd w:val="clear" w:color="auto" w:fill="E9E9E9"/>
          </w:tcPr>
          <w:p>
            <w:pPr>
              <w:jc w:val="right"/>
              <w:ind w:right="84"/>
              <w:spacing w:after="0"/>
              <w:rPr>
                <w:sz w:val="20"/>
                <w:szCs w:val="20"/>
                <w:color w:val="auto"/>
              </w:rPr>
            </w:pPr>
            <w:r>
              <w:rPr>
                <w:rFonts w:ascii="Arial" w:cs="Arial" w:eastAsia="Arial" w:hAnsi="Arial"/>
                <w:sz w:val="16"/>
                <w:szCs w:val="16"/>
                <w:color w:val="auto"/>
              </w:rPr>
              <w:t>$1,181,151</w:t>
            </w:r>
          </w:p>
        </w:tc>
        <w:tc>
          <w:tcPr>
            <w:tcW w:w="340" w:type="dxa"/>
            <w:vAlign w:val="bottom"/>
            <w:shd w:val="clear" w:color="auto" w:fill="E9E9E9"/>
          </w:tcPr>
          <w:p>
            <w:pPr>
              <w:ind w:left="2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630,532</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rPr>
              <w:t>$ 13,520</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4,972,608</w:t>
            </w:r>
          </w:p>
        </w:tc>
      </w:tr>
      <w:tr>
        <w:trPr>
          <w:trHeight w:val="233"/>
        </w:trPr>
        <w:tc>
          <w:tcPr>
            <w:tcW w:w="2400" w:type="dxa"/>
            <w:vAlign w:val="bottom"/>
            <w:shd w:val="clear" w:color="auto" w:fill="E9E9E9"/>
          </w:tcPr>
          <w:p>
            <w:pPr>
              <w:spacing w:after="0"/>
              <w:rPr>
                <w:sz w:val="20"/>
                <w:szCs w:val="20"/>
                <w:color w:val="auto"/>
              </w:rPr>
            </w:pP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2009</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$ 448,080</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5"/>
              </w:rPr>
              <w:t>1,245,843</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8"/>
              </w:rPr>
              <w:t>1,357,500</w:t>
            </w:r>
          </w:p>
        </w:tc>
        <w:tc>
          <w:tcPr>
            <w:tcW w:w="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629,349</w:t>
            </w:r>
          </w:p>
        </w:tc>
        <w:tc>
          <w:tcPr>
            <w:tcW w:w="340" w:type="dxa"/>
            <w:vAlign w:val="bottom"/>
            <w:shd w:val="clear" w:color="auto" w:fill="E9E9E9"/>
          </w:tcPr>
          <w:p>
            <w:pPr>
              <w:ind w:left="2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418,897</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rPr>
              <w:t>$ 11,506</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4,111,175</w:t>
            </w:r>
          </w:p>
        </w:tc>
      </w:tr>
      <w:tr>
        <w:trPr>
          <w:trHeight w:val="218"/>
        </w:trPr>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2400" w:type="dxa"/>
            <w:vAlign w:val="bottom"/>
            <w:shd w:val="clear" w:color="auto" w:fill="E9E9E9"/>
          </w:tcPr>
          <w:p>
            <w:pPr>
              <w:spacing w:after="0"/>
              <w:rPr>
                <w:sz w:val="20"/>
                <w:szCs w:val="20"/>
                <w:color w:val="auto"/>
              </w:rPr>
            </w:pPr>
            <w:r>
              <w:rPr>
                <w:rFonts w:ascii="Arial" w:cs="Arial" w:eastAsia="Arial" w:hAnsi="Arial"/>
                <w:sz w:val="16"/>
                <w:szCs w:val="16"/>
                <w:color w:val="auto"/>
              </w:rPr>
              <w:t>Brian T. Crutcher (1)</w:t>
            </w: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2011</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$ 480,007</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5"/>
              </w:rPr>
              <w:t>1,875,803</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8"/>
              </w:rPr>
              <w:t>1,693,277</w:t>
            </w:r>
          </w:p>
        </w:tc>
        <w:tc>
          <w:tcPr>
            <w:tcW w:w="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962,873</w:t>
            </w:r>
          </w:p>
        </w:tc>
        <w:tc>
          <w:tcPr>
            <w:tcW w:w="340" w:type="dxa"/>
            <w:vAlign w:val="bottom"/>
            <w:shd w:val="clear" w:color="auto" w:fill="E9E9E9"/>
          </w:tcPr>
          <w:p>
            <w:pPr>
              <w:ind w:left="2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696</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rPr>
              <w:t>$ 49,540</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5,062,196</w:t>
            </w:r>
          </w:p>
        </w:tc>
      </w:tr>
      <w:tr>
        <w:trPr>
          <w:trHeight w:val="233"/>
        </w:trPr>
        <w:tc>
          <w:tcPr>
            <w:tcW w:w="2400" w:type="dxa"/>
            <w:vAlign w:val="bottom"/>
            <w:shd w:val="clear" w:color="auto" w:fill="E9E9E9"/>
          </w:tcPr>
          <w:p>
            <w:pPr>
              <w:ind w:left="220"/>
              <w:spacing w:after="0"/>
              <w:rPr>
                <w:sz w:val="20"/>
                <w:szCs w:val="20"/>
                <w:color w:val="auto"/>
              </w:rPr>
            </w:pPr>
            <w:r>
              <w:rPr>
                <w:rFonts w:ascii="Arial" w:cs="Arial" w:eastAsia="Arial" w:hAnsi="Arial"/>
                <w:sz w:val="16"/>
                <w:szCs w:val="16"/>
                <w:color w:val="auto"/>
              </w:rPr>
              <w:t>Senior Vice President</w:t>
            </w:r>
          </w:p>
        </w:tc>
        <w:tc>
          <w:tcPr>
            <w:tcW w:w="740" w:type="dxa"/>
            <w:vAlign w:val="bottom"/>
            <w:shd w:val="clear" w:color="auto" w:fill="E9E9E9"/>
          </w:tcPr>
          <w:p>
            <w:pPr>
              <w:jc w:val="center"/>
              <w:ind w:left="62"/>
              <w:spacing w:after="0"/>
              <w:rPr>
                <w:sz w:val="20"/>
                <w:szCs w:val="20"/>
                <w:color w:val="auto"/>
              </w:rPr>
            </w:pPr>
            <w:r>
              <w:rPr>
                <w:rFonts w:ascii="Arial" w:cs="Arial" w:eastAsia="Arial" w:hAnsi="Arial"/>
                <w:sz w:val="16"/>
                <w:szCs w:val="16"/>
                <w:color w:val="auto"/>
              </w:rPr>
              <w:t>2010</w:t>
            </w:r>
          </w:p>
        </w:tc>
        <w:tc>
          <w:tcPr>
            <w:tcW w:w="9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$ 360,903</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w w:val="95"/>
              </w:rPr>
              <w:t>3,650,500</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44"/>
              <w:spacing w:after="0"/>
              <w:rPr>
                <w:sz w:val="20"/>
                <w:szCs w:val="20"/>
                <w:color w:val="auto"/>
              </w:rPr>
            </w:pPr>
            <w:r>
              <w:rPr>
                <w:rFonts w:ascii="Arial" w:cs="Arial" w:eastAsia="Arial" w:hAnsi="Arial"/>
                <w:sz w:val="16"/>
                <w:szCs w:val="16"/>
                <w:color w:val="auto"/>
              </w:rPr>
              <w:t>990,574</w:t>
            </w:r>
          </w:p>
        </w:tc>
        <w:tc>
          <w:tcPr>
            <w:tcW w:w="3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812,508</w:t>
            </w:r>
          </w:p>
        </w:tc>
        <w:tc>
          <w:tcPr>
            <w:tcW w:w="340" w:type="dxa"/>
            <w:vAlign w:val="bottom"/>
            <w:shd w:val="clear" w:color="auto" w:fill="E9E9E9"/>
          </w:tcPr>
          <w:p>
            <w:pPr>
              <w:ind w:left="2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402</w:t>
            </w:r>
          </w:p>
        </w:tc>
        <w:tc>
          <w:tcPr>
            <w:tcW w:w="1180" w:type="dxa"/>
            <w:vAlign w:val="bottom"/>
            <w:shd w:val="clear" w:color="auto" w:fill="E9E9E9"/>
          </w:tcPr>
          <w:p>
            <w:pPr>
              <w:jc w:val="center"/>
              <w:ind w:left="4"/>
              <w:spacing w:after="0"/>
              <w:rPr>
                <w:sz w:val="20"/>
                <w:szCs w:val="20"/>
                <w:color w:val="auto"/>
              </w:rPr>
            </w:pPr>
            <w:r>
              <w:rPr>
                <w:rFonts w:ascii="Arial" w:cs="Arial" w:eastAsia="Arial" w:hAnsi="Arial"/>
                <w:sz w:val="16"/>
                <w:szCs w:val="16"/>
                <w:color w:val="auto"/>
              </w:rPr>
              <w:t>$ 30,468</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5,845,355</w:t>
            </w:r>
          </w:p>
        </w:tc>
      </w:tr>
    </w:tbl>
    <w:p>
      <w:pPr>
        <w:spacing w:after="0" w:line="221" w:lineRule="exact"/>
        <w:rPr>
          <w:sz w:val="20"/>
          <w:szCs w:val="20"/>
          <w:color w:val="auto"/>
        </w:rPr>
      </w:pPr>
    </w:p>
    <w:p>
      <w:pPr>
        <w:ind w:left="443" w:hanging="443"/>
        <w:spacing w:after="0"/>
        <w:tabs>
          <w:tab w:leader="none" w:pos="4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Crutcher became an executive officer in 2010.</w:t>
      </w:r>
    </w:p>
    <w:p>
      <w:pPr>
        <w:spacing w:after="0" w:line="216" w:lineRule="exact"/>
        <w:rPr>
          <w:rFonts w:ascii="Arial" w:cs="Arial" w:eastAsia="Arial" w:hAnsi="Arial"/>
          <w:sz w:val="16"/>
          <w:szCs w:val="16"/>
          <w:color w:val="auto"/>
        </w:rPr>
      </w:pPr>
    </w:p>
    <w:p>
      <w:pPr>
        <w:ind w:left="443" w:right="340" w:hanging="443"/>
        <w:spacing w:after="0" w:line="243" w:lineRule="auto"/>
        <w:tabs>
          <w:tab w:leader="none" w:pos="4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Performance bonuses for 2011 were paid under the Texas Instruments Executive Officer Performance Plan. In accordance with SEC requirements, these amounts are reported in the Non-Equity Incentive Plan Compensation column.</w:t>
      </w:r>
    </w:p>
    <w:p>
      <w:pPr>
        <w:spacing w:after="0" w:line="209" w:lineRule="exact"/>
        <w:rPr>
          <w:rFonts w:ascii="Arial" w:cs="Arial" w:eastAsia="Arial" w:hAnsi="Arial"/>
          <w:sz w:val="16"/>
          <w:szCs w:val="16"/>
          <w:color w:val="auto"/>
        </w:rPr>
      </w:pPr>
    </w:p>
    <w:p>
      <w:pPr>
        <w:ind w:left="443" w:right="20" w:hanging="443"/>
        <w:spacing w:after="0" w:line="239" w:lineRule="auto"/>
        <w:tabs>
          <w:tab w:leader="none" w:pos="4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Shown is the aggregate grant date fair value of restricted stock unit (RSU) awards calculated in accordance with ASC 718. The discussion of the assumptions used for purposes of the valuation of the awards granted in 2011 appears in note 5 of Exhibit 13 to TI’s annual report on Form 10-K for the year ended December 31, 2011. For a description of the grant terms, please see pages 84-85. The discussion of the assumptions used for purposes of the valuation of the awards granted in 2010 and 2009 appears respectively in Exhibit 13 to TI’s annual report on Form 10-K for the year ended December 31, 2010 (pages 11-14), and to TI’s annual report on Form 10-K for the year ended December 31, 2009 (pages 12-15).</w:t>
      </w:r>
    </w:p>
    <w:p>
      <w:pPr>
        <w:spacing w:after="0" w:line="211" w:lineRule="exact"/>
        <w:rPr>
          <w:rFonts w:ascii="Arial" w:cs="Arial" w:eastAsia="Arial" w:hAnsi="Arial"/>
          <w:sz w:val="16"/>
          <w:szCs w:val="16"/>
          <w:color w:val="auto"/>
        </w:rPr>
      </w:pPr>
    </w:p>
    <w:p>
      <w:pPr>
        <w:ind w:left="443" w:right="20" w:hanging="443"/>
        <w:spacing w:after="0" w:line="239" w:lineRule="auto"/>
        <w:tabs>
          <w:tab w:leader="none" w:pos="4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Shown is the aggregate grant date fair value of options calculated in accordance with ASC 718. The discussion of the assumptions used for purposes of the valuation of options granted in 2011 appears in note 5 of Exhibit 13 to TI’s annual report on Form 10-K for the year ended December 31, 2011. For a description of the grant terms, please see page 84. The discussion of the assumptions used for purposes of the valuation of the awards granted in 2010 and 2009 appears respectively in Exhibit 13 to TI’s annual report on Form 10-K for the year ended December 31, 2010 (pages 11-14), and to TI’s annual report on Form 10-K for the year ended December 31, 2009 (pages 12-15).</w:t>
      </w:r>
    </w:p>
    <w:p>
      <w:pPr>
        <w:spacing w:after="0" w:line="230" w:lineRule="exact"/>
        <w:rPr>
          <w:sz w:val="20"/>
          <w:szCs w:val="20"/>
          <w:color w:val="auto"/>
        </w:rPr>
      </w:pPr>
    </w:p>
    <w:p>
      <w:pPr>
        <w:ind w:left="3"/>
        <w:spacing w:after="0"/>
        <w:tabs>
          <w:tab w:leader="none" w:pos="960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22" w:right="219" w:bottom="1440" w:gutter="0" w:footer="0" w:header="0"/>
        </w:sectPr>
      </w:pPr>
    </w:p>
    <w:bookmarkStart w:id="26" w:name="page27"/>
    <w:bookmarkEnd w:id="26"/>
    <w:p>
      <w:pPr>
        <w:ind w:left="443" w:right="120" w:hanging="443"/>
        <w:spacing w:after="0" w:line="243" w:lineRule="auto"/>
        <w:tabs>
          <w:tab w:leader="none" w:pos="4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performance bonus and profit sharing for 2011. Please see page 75 of the Compensation Discussion and Analysis for the amounts of bonus and profit sharing paid to each of the named executive officers for 2011.</w:t>
      </w:r>
    </w:p>
    <w:p>
      <w:pPr>
        <w:spacing w:after="0" w:line="209" w:lineRule="exact"/>
        <w:rPr>
          <w:rFonts w:ascii="Arial" w:cs="Arial" w:eastAsia="Arial" w:hAnsi="Arial"/>
          <w:sz w:val="16"/>
          <w:szCs w:val="16"/>
          <w:color w:val="auto"/>
        </w:rPr>
      </w:pPr>
    </w:p>
    <w:p>
      <w:pPr>
        <w:ind w:left="443" w:right="60" w:hanging="443"/>
        <w:spacing w:after="0" w:line="238" w:lineRule="auto"/>
        <w:tabs>
          <w:tab w:leader="none" w:pos="4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2010, through December 31, 2011. This “change in the actuarial value” is the difference between the 2010 and 2011 present value of the pension benefit accumulated as of year-end by the named executive officer, assuming that benefit is not paid until age 65. Mr. Templeton’s and Mr. Crutcher’s benefits under the company’s pension plans were frozen as of December 31, 1997.</w:t>
      </w:r>
    </w:p>
    <w:p>
      <w:pPr>
        <w:spacing w:after="0" w:line="214" w:lineRule="exact"/>
        <w:rPr>
          <w:rFonts w:ascii="Arial" w:cs="Arial" w:eastAsia="Arial" w:hAnsi="Arial"/>
          <w:sz w:val="16"/>
          <w:szCs w:val="16"/>
          <w:color w:val="auto"/>
        </w:rPr>
      </w:pPr>
    </w:p>
    <w:p>
      <w:pPr>
        <w:ind w:left="443" w:right="360" w:hanging="443"/>
        <w:spacing w:after="0" w:line="243" w:lineRule="auto"/>
        <w:tabs>
          <w:tab w:leader="none" w:pos="4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interest of transparency, the value of perquisites and other personal benefits is provided in this column even if the amount is less than the reporting threshold established by the SEC. The table below shows the value of perquisites and other benefits for 2011.</w:t>
      </w:r>
    </w:p>
    <w:p>
      <w:pPr>
        <w:spacing w:after="0" w:line="228"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29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9"/>
              </w:rPr>
              <w:t>Defined</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8"/>
        </w:trPr>
        <w:tc>
          <w:tcPr>
            <w:tcW w:w="2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Contribution</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Unused</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Personal Use</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2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7"/>
              </w:rPr>
              <w:t>401(k)</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8"/>
              </w:rPr>
              <w:t>Retirement</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Vacation</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of Company</w:t>
            </w:r>
          </w:p>
        </w:tc>
        <w:tc>
          <w:tcPr>
            <w:tcW w:w="1040" w:type="dxa"/>
            <w:vAlign w:val="bottom"/>
            <w:gridSpan w:val="2"/>
          </w:tcPr>
          <w:p>
            <w:pPr>
              <w:jc w:val="right"/>
              <w:ind w:right="181"/>
              <w:spacing w:after="0"/>
              <w:rPr>
                <w:sz w:val="20"/>
                <w:szCs w:val="20"/>
                <w:color w:val="auto"/>
              </w:rPr>
            </w:pPr>
            <w:r>
              <w:rPr>
                <w:rFonts w:ascii="Arial" w:cs="Arial" w:eastAsia="Arial" w:hAnsi="Arial"/>
                <w:sz w:val="12"/>
                <w:szCs w:val="12"/>
                <w:b w:val="1"/>
                <w:bCs w:val="1"/>
                <w:color w:val="auto"/>
              </w:rPr>
              <w:t>Financial</w:t>
            </w:r>
          </w:p>
        </w:tc>
        <w:tc>
          <w:tcPr>
            <w:tcW w:w="900" w:type="dxa"/>
            <w:vAlign w:val="bottom"/>
          </w:tcPr>
          <w:p>
            <w:pPr>
              <w:jc w:val="right"/>
              <w:ind w:right="66"/>
              <w:spacing w:after="0"/>
              <w:rPr>
                <w:sz w:val="20"/>
                <w:szCs w:val="20"/>
                <w:color w:val="auto"/>
              </w:rPr>
            </w:pPr>
            <w:r>
              <w:rPr>
                <w:rFonts w:ascii="Arial" w:cs="Arial" w:eastAsia="Arial" w:hAnsi="Arial"/>
                <w:sz w:val="12"/>
                <w:szCs w:val="12"/>
                <w:b w:val="1"/>
                <w:bCs w:val="1"/>
                <w:color w:val="auto"/>
              </w:rPr>
              <w:t>Executive</w:t>
            </w:r>
          </w:p>
        </w:tc>
      </w:tr>
      <w:tr>
        <w:trPr>
          <w:trHeight w:val="218"/>
        </w:trPr>
        <w:tc>
          <w:tcPr>
            <w:tcW w:w="294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2520" w:type="dxa"/>
            <w:vAlign w:val="bottom"/>
          </w:tcPr>
          <w:p>
            <w:pPr>
              <w:jc w:val="center"/>
              <w:ind w:left="1604"/>
              <w:spacing w:after="0"/>
              <w:rPr>
                <w:sz w:val="20"/>
                <w:szCs w:val="20"/>
                <w:color w:val="auto"/>
              </w:rPr>
            </w:pPr>
            <w:r>
              <w:rPr>
                <w:rFonts w:ascii="Arial" w:cs="Arial" w:eastAsia="Arial" w:hAnsi="Arial"/>
                <w:sz w:val="12"/>
                <w:szCs w:val="12"/>
                <w:b w:val="1"/>
                <w:bCs w:val="1"/>
                <w:color w:val="auto"/>
                <w:w w:val="98"/>
              </w:rPr>
              <w:t>Insurance</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Contribution</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Plan (a)</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rPr>
              <w:t>Time (b)</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Aircraft (c)</w:t>
            </w:r>
          </w:p>
        </w:tc>
        <w:tc>
          <w:tcPr>
            <w:tcW w:w="1040" w:type="dxa"/>
            <w:vAlign w:val="bottom"/>
            <w:gridSpan w:val="2"/>
          </w:tcPr>
          <w:p>
            <w:pPr>
              <w:jc w:val="right"/>
              <w:ind w:right="121"/>
              <w:spacing w:after="0"/>
              <w:rPr>
                <w:sz w:val="20"/>
                <w:szCs w:val="20"/>
                <w:color w:val="auto"/>
              </w:rPr>
            </w:pPr>
            <w:r>
              <w:rPr>
                <w:rFonts w:ascii="Arial" w:cs="Arial" w:eastAsia="Arial" w:hAnsi="Arial"/>
                <w:sz w:val="12"/>
                <w:szCs w:val="12"/>
                <w:b w:val="1"/>
                <w:bCs w:val="1"/>
                <w:color w:val="auto"/>
              </w:rPr>
              <w:t>Counseling</w:t>
            </w:r>
          </w:p>
        </w:tc>
        <w:tc>
          <w:tcPr>
            <w:tcW w:w="900" w:type="dxa"/>
            <w:vAlign w:val="bottom"/>
          </w:tcPr>
          <w:p>
            <w:pPr>
              <w:jc w:val="right"/>
              <w:ind w:right="86"/>
              <w:spacing w:after="0"/>
              <w:rPr>
                <w:sz w:val="20"/>
                <w:szCs w:val="20"/>
                <w:color w:val="auto"/>
              </w:rPr>
            </w:pPr>
            <w:r>
              <w:rPr>
                <w:rFonts w:ascii="Arial" w:cs="Arial" w:eastAsia="Arial" w:hAnsi="Arial"/>
                <w:sz w:val="12"/>
                <w:szCs w:val="12"/>
                <w:b w:val="1"/>
                <w:bCs w:val="1"/>
                <w:color w:val="auto"/>
              </w:rPr>
              <w:t>Physical</w:t>
            </w:r>
          </w:p>
        </w:tc>
      </w:tr>
      <w:tr>
        <w:trPr>
          <w:trHeight w:val="37"/>
        </w:trPr>
        <w:tc>
          <w:tcPr>
            <w:tcW w:w="2940" w:type="dxa"/>
            <w:vAlign w:val="bottom"/>
            <w:tcBorders>
              <w:bottom w:val="single" w:sz="8" w:color="808285"/>
            </w:tcBorders>
          </w:tcPr>
          <w:p>
            <w:pPr>
              <w:spacing w:after="0"/>
              <w:rPr>
                <w:sz w:val="3"/>
                <w:szCs w:val="3"/>
                <w:color w:val="auto"/>
              </w:rPr>
            </w:pPr>
          </w:p>
        </w:tc>
        <w:tc>
          <w:tcPr>
            <w:tcW w:w="2520" w:type="dxa"/>
            <w:vAlign w:val="bottom"/>
            <w:tcBorders>
              <w:bottom w:val="single" w:sz="8" w:color="808285"/>
            </w:tcBorders>
          </w:tcPr>
          <w:p>
            <w:pPr>
              <w:spacing w:after="0"/>
              <w:rPr>
                <w:sz w:val="3"/>
                <w:szCs w:val="3"/>
                <w:color w:val="auto"/>
              </w:rPr>
            </w:pPr>
          </w:p>
        </w:tc>
        <w:tc>
          <w:tcPr>
            <w:tcW w:w="1020" w:type="dxa"/>
            <w:vAlign w:val="bottom"/>
            <w:tcBorders>
              <w:bottom w:val="single" w:sz="8" w:color="808285"/>
            </w:tcBorders>
          </w:tcPr>
          <w:p>
            <w:pPr>
              <w:spacing w:after="0"/>
              <w:rPr>
                <w:sz w:val="3"/>
                <w:szCs w:val="3"/>
                <w:color w:val="auto"/>
              </w:rPr>
            </w:pPr>
          </w:p>
        </w:tc>
        <w:tc>
          <w:tcPr>
            <w:tcW w:w="102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640" w:type="dxa"/>
            <w:vAlign w:val="bottom"/>
            <w:tcBorders>
              <w:bottom w:val="single" w:sz="8" w:color="808285"/>
            </w:tcBorders>
          </w:tcPr>
          <w:p>
            <w:pPr>
              <w:spacing w:after="0"/>
              <w:rPr>
                <w:sz w:val="3"/>
                <w:szCs w:val="3"/>
                <w:color w:val="auto"/>
              </w:rPr>
            </w:pPr>
          </w:p>
        </w:tc>
        <w:tc>
          <w:tcPr>
            <w:tcW w:w="1120" w:type="dxa"/>
            <w:vAlign w:val="bottom"/>
            <w:tcBorders>
              <w:bottom w:val="single" w:sz="8" w:color="808285"/>
            </w:tcBorders>
          </w:tcPr>
          <w:p>
            <w:pPr>
              <w:spacing w:after="0"/>
              <w:rPr>
                <w:sz w:val="3"/>
                <w:szCs w:val="3"/>
                <w:color w:val="auto"/>
              </w:rPr>
            </w:pPr>
          </w:p>
        </w:tc>
        <w:tc>
          <w:tcPr>
            <w:tcW w:w="360" w:type="dxa"/>
            <w:vAlign w:val="bottom"/>
            <w:tcBorders>
              <w:bottom w:val="single" w:sz="8" w:color="808285"/>
            </w:tcBorders>
          </w:tcPr>
          <w:p>
            <w:pPr>
              <w:spacing w:after="0"/>
              <w:rPr>
                <w:sz w:val="3"/>
                <w:szCs w:val="3"/>
                <w:color w:val="auto"/>
              </w:rPr>
            </w:pPr>
          </w:p>
        </w:tc>
        <w:tc>
          <w:tcPr>
            <w:tcW w:w="680" w:type="dxa"/>
            <w:vAlign w:val="bottom"/>
            <w:tcBorders>
              <w:bottom w:val="single" w:sz="8" w:color="808285"/>
            </w:tcBorders>
          </w:tcPr>
          <w:p>
            <w:pPr>
              <w:spacing w:after="0"/>
              <w:rPr>
                <w:sz w:val="3"/>
                <w:szCs w:val="3"/>
                <w:color w:val="auto"/>
              </w:rPr>
            </w:pPr>
          </w:p>
        </w:tc>
        <w:tc>
          <w:tcPr>
            <w:tcW w:w="900" w:type="dxa"/>
            <w:vAlign w:val="bottom"/>
            <w:tcBorders>
              <w:bottom w:val="single" w:sz="8" w:color="808285"/>
            </w:tcBorders>
          </w:tcPr>
          <w:p>
            <w:pPr>
              <w:spacing w:after="0"/>
              <w:rPr>
                <w:sz w:val="3"/>
                <w:szCs w:val="3"/>
                <w:color w:val="auto"/>
              </w:rPr>
            </w:pPr>
          </w:p>
        </w:tc>
      </w:tr>
      <w:tr>
        <w:trPr>
          <w:trHeight w:val="210"/>
        </w:trPr>
        <w:tc>
          <w:tcPr>
            <w:tcW w:w="2940" w:type="dxa"/>
            <w:vAlign w:val="bottom"/>
            <w:shd w:val="clear" w:color="auto" w:fill="E9E9E9"/>
          </w:tcPr>
          <w:p>
            <w:pPr>
              <w:spacing w:after="0"/>
              <w:rPr>
                <w:sz w:val="20"/>
                <w:szCs w:val="20"/>
                <w:color w:val="auto"/>
              </w:rPr>
            </w:pPr>
            <w:r>
              <w:rPr>
                <w:rFonts w:ascii="Arial" w:cs="Arial" w:eastAsia="Arial" w:hAnsi="Arial"/>
                <w:sz w:val="16"/>
                <w:szCs w:val="16"/>
                <w:color w:val="auto"/>
              </w:rPr>
              <w:t>R. K. Templeton</w:t>
            </w:r>
          </w:p>
        </w:tc>
        <w:tc>
          <w:tcPr>
            <w:tcW w:w="2520" w:type="dxa"/>
            <w:vAlign w:val="bottom"/>
            <w:shd w:val="clear" w:color="auto" w:fill="E9E9E9"/>
          </w:tcPr>
          <w:p>
            <w:pPr>
              <w:jc w:val="center"/>
              <w:ind w:left="1604"/>
              <w:spacing w:after="0"/>
              <w:rPr>
                <w:sz w:val="20"/>
                <w:szCs w:val="20"/>
                <w:color w:val="auto"/>
              </w:rPr>
            </w:pPr>
            <w:r>
              <w:rPr>
                <w:rFonts w:ascii="Arial" w:cs="Arial" w:eastAsia="Arial" w:hAnsi="Arial"/>
                <w:sz w:val="16"/>
                <w:szCs w:val="16"/>
                <w:color w:val="auto"/>
              </w:rPr>
              <w:t>$250</w:t>
            </w:r>
          </w:p>
        </w:tc>
        <w:tc>
          <w:tcPr>
            <w:tcW w:w="102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$9,800</w:t>
            </w:r>
          </w:p>
        </w:tc>
        <w:tc>
          <w:tcPr>
            <w:tcW w:w="1020" w:type="dxa"/>
            <w:vAlign w:val="bottom"/>
            <w:shd w:val="clear" w:color="auto" w:fill="E9E9E9"/>
          </w:tcPr>
          <w:p>
            <w:pPr>
              <w:jc w:val="right"/>
              <w:ind w:right="189"/>
              <w:spacing w:after="0"/>
              <w:rPr>
                <w:sz w:val="20"/>
                <w:szCs w:val="20"/>
                <w:color w:val="auto"/>
              </w:rPr>
            </w:pPr>
            <w:r>
              <w:rPr>
                <w:rFonts w:ascii="Arial" w:cs="Arial" w:eastAsia="Arial" w:hAnsi="Arial"/>
                <w:sz w:val="16"/>
                <w:szCs w:val="16"/>
                <w:color w:val="auto"/>
              </w:rPr>
              <w:t>$86,502</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9E9E9"/>
          </w:tcPr>
          <w:p>
            <w:pPr>
              <w:jc w:val="right"/>
              <w:ind w:right="81"/>
              <w:spacing w:after="0"/>
              <w:rPr>
                <w:sz w:val="20"/>
                <w:szCs w:val="20"/>
                <w:color w:val="auto"/>
              </w:rPr>
            </w:pPr>
            <w:r>
              <w:rPr>
                <w:rFonts w:ascii="Arial" w:cs="Arial" w:eastAsia="Arial" w:hAnsi="Arial"/>
                <w:sz w:val="16"/>
                <w:szCs w:val="16"/>
                <w:color w:val="auto"/>
                <w:w w:val="93"/>
              </w:rPr>
              <w:t>26,275</w:t>
            </w:r>
          </w:p>
        </w:tc>
        <w:tc>
          <w:tcPr>
            <w:tcW w:w="1120" w:type="dxa"/>
            <w:vAlign w:val="bottom"/>
            <w:shd w:val="clear" w:color="auto" w:fill="E9E9E9"/>
          </w:tcPr>
          <w:p>
            <w:pPr>
              <w:jc w:val="right"/>
              <w:ind w:right="148"/>
              <w:spacing w:after="0"/>
              <w:rPr>
                <w:sz w:val="20"/>
                <w:szCs w:val="20"/>
                <w:color w:val="auto"/>
              </w:rPr>
            </w:pPr>
            <w:r>
              <w:rPr>
                <w:rFonts w:ascii="Arial" w:cs="Arial" w:eastAsia="Arial" w:hAnsi="Arial"/>
                <w:sz w:val="16"/>
                <w:szCs w:val="16"/>
                <w:color w:val="auto"/>
              </w:rPr>
              <w:t>$123,456</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9E9E9"/>
          </w:tcPr>
          <w:p>
            <w:pPr>
              <w:jc w:val="right"/>
              <w:ind w:right="201"/>
              <w:spacing w:after="0"/>
              <w:rPr>
                <w:sz w:val="20"/>
                <w:szCs w:val="20"/>
                <w:color w:val="auto"/>
              </w:rPr>
            </w:pPr>
            <w:r>
              <w:rPr>
                <w:rFonts w:ascii="Arial" w:cs="Arial" w:eastAsia="Arial" w:hAnsi="Arial"/>
                <w:sz w:val="16"/>
                <w:szCs w:val="16"/>
                <w:color w:val="auto"/>
                <w:w w:val="94"/>
              </w:rPr>
              <w:t>8,000</w:t>
            </w:r>
          </w:p>
        </w:tc>
        <w:tc>
          <w:tcPr>
            <w:tcW w:w="900" w:type="dxa"/>
            <w:vAlign w:val="bottom"/>
            <w:shd w:val="clear" w:color="auto" w:fill="E9E9E9"/>
          </w:tcPr>
          <w:p>
            <w:pPr>
              <w:jc w:val="right"/>
              <w:ind w:right="146"/>
              <w:spacing w:after="0"/>
              <w:rPr>
                <w:sz w:val="20"/>
                <w:szCs w:val="20"/>
                <w:color w:val="auto"/>
              </w:rPr>
            </w:pPr>
            <w:r>
              <w:rPr>
                <w:rFonts w:ascii="Arial" w:cs="Arial" w:eastAsia="Arial" w:hAnsi="Arial"/>
                <w:sz w:val="16"/>
                <w:szCs w:val="16"/>
                <w:color w:val="auto"/>
              </w:rPr>
              <w:t>—</w:t>
            </w:r>
          </w:p>
        </w:tc>
      </w:tr>
      <w:tr>
        <w:trPr>
          <w:trHeight w:val="211"/>
        </w:trPr>
        <w:tc>
          <w:tcPr>
            <w:tcW w:w="2940" w:type="dxa"/>
            <w:vAlign w:val="bottom"/>
          </w:tcPr>
          <w:p>
            <w:pPr>
              <w:spacing w:after="0"/>
              <w:rPr>
                <w:sz w:val="20"/>
                <w:szCs w:val="20"/>
                <w:color w:val="auto"/>
              </w:rPr>
            </w:pPr>
            <w:r>
              <w:rPr>
                <w:rFonts w:ascii="Arial" w:cs="Arial" w:eastAsia="Arial" w:hAnsi="Arial"/>
                <w:sz w:val="16"/>
                <w:szCs w:val="16"/>
                <w:color w:val="auto"/>
              </w:rPr>
              <w:t>K. P. March</w:t>
            </w:r>
          </w:p>
        </w:tc>
        <w:tc>
          <w:tcPr>
            <w:tcW w:w="2520" w:type="dxa"/>
            <w:vAlign w:val="bottom"/>
          </w:tcPr>
          <w:p>
            <w:pPr>
              <w:jc w:val="center"/>
              <w:ind w:left="1604"/>
              <w:spacing w:after="0"/>
              <w:rPr>
                <w:sz w:val="20"/>
                <w:szCs w:val="20"/>
                <w:color w:val="auto"/>
              </w:rPr>
            </w:pPr>
            <w:r>
              <w:rPr>
                <w:rFonts w:ascii="Arial" w:cs="Arial" w:eastAsia="Arial" w:hAnsi="Arial"/>
                <w:sz w:val="16"/>
                <w:szCs w:val="16"/>
                <w:color w:val="auto"/>
              </w:rPr>
              <w:t>$250</w:t>
            </w:r>
          </w:p>
        </w:tc>
        <w:tc>
          <w:tcPr>
            <w:tcW w:w="1020" w:type="dxa"/>
            <w:vAlign w:val="bottom"/>
          </w:tcPr>
          <w:p>
            <w:pPr>
              <w:jc w:val="center"/>
              <w:spacing w:after="0"/>
              <w:rPr>
                <w:sz w:val="20"/>
                <w:szCs w:val="20"/>
                <w:color w:val="auto"/>
              </w:rPr>
            </w:pPr>
            <w:r>
              <w:rPr>
                <w:rFonts w:ascii="Arial" w:cs="Arial" w:eastAsia="Arial" w:hAnsi="Arial"/>
                <w:sz w:val="16"/>
                <w:szCs w:val="16"/>
                <w:color w:val="auto"/>
              </w:rPr>
              <w:t>$4,900</w:t>
            </w:r>
          </w:p>
        </w:tc>
        <w:tc>
          <w:tcPr>
            <w:tcW w:w="1020" w:type="dxa"/>
            <w:vAlign w:val="bottom"/>
          </w:tcPr>
          <w:p>
            <w:pPr>
              <w:jc w:val="right"/>
              <w:ind w:right="189"/>
              <w:spacing w:after="0"/>
              <w:rPr>
                <w:sz w:val="20"/>
                <w:szCs w:val="20"/>
                <w:color w:val="auto"/>
              </w:rPr>
            </w:pPr>
            <w:r>
              <w:rPr>
                <w:rFonts w:ascii="Arial" w:cs="Arial" w:eastAsia="Arial" w:hAnsi="Arial"/>
                <w:sz w:val="16"/>
                <w:szCs w:val="16"/>
                <w:color w:val="auto"/>
              </w:rPr>
              <w:t>N/A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1"/>
              <w:spacing w:after="0"/>
              <w:rPr>
                <w:sz w:val="20"/>
                <w:szCs w:val="20"/>
                <w:color w:val="auto"/>
              </w:rPr>
            </w:pPr>
            <w:r>
              <w:rPr>
                <w:rFonts w:ascii="Arial" w:cs="Arial" w:eastAsia="Arial" w:hAnsi="Arial"/>
                <w:sz w:val="16"/>
                <w:szCs w:val="16"/>
                <w:color w:val="auto"/>
                <w:w w:val="93"/>
              </w:rPr>
              <w:t>31,647</w:t>
            </w:r>
          </w:p>
        </w:tc>
        <w:tc>
          <w:tcPr>
            <w:tcW w:w="1120" w:type="dxa"/>
            <w:vAlign w:val="bottom"/>
          </w:tcPr>
          <w:p>
            <w:pPr>
              <w:jc w:val="right"/>
              <w:ind w:right="14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1"/>
              <w:spacing w:after="0"/>
              <w:rPr>
                <w:sz w:val="20"/>
                <w:szCs w:val="20"/>
                <w:color w:val="auto"/>
              </w:rPr>
            </w:pPr>
            <w:r>
              <w:rPr>
                <w:rFonts w:ascii="Arial" w:cs="Arial" w:eastAsia="Arial" w:hAnsi="Arial"/>
                <w:sz w:val="16"/>
                <w:szCs w:val="16"/>
                <w:color w:val="auto"/>
              </w:rPr>
              <w:t>629</w:t>
            </w:r>
          </w:p>
        </w:tc>
        <w:tc>
          <w:tcPr>
            <w:tcW w:w="900" w:type="dxa"/>
            <w:vAlign w:val="bottom"/>
          </w:tcPr>
          <w:p>
            <w:pPr>
              <w:jc w:val="right"/>
              <w:ind w:right="146"/>
              <w:spacing w:after="0"/>
              <w:rPr>
                <w:sz w:val="20"/>
                <w:szCs w:val="20"/>
                <w:color w:val="auto"/>
              </w:rPr>
            </w:pPr>
            <w:r>
              <w:rPr>
                <w:rFonts w:ascii="Arial" w:cs="Arial" w:eastAsia="Arial" w:hAnsi="Arial"/>
                <w:sz w:val="16"/>
                <w:szCs w:val="16"/>
                <w:color w:val="auto"/>
              </w:rPr>
              <w:t>$2,499</w:t>
            </w:r>
          </w:p>
        </w:tc>
      </w:tr>
      <w:tr>
        <w:trPr>
          <w:trHeight w:val="226"/>
        </w:trPr>
        <w:tc>
          <w:tcPr>
            <w:tcW w:w="2940" w:type="dxa"/>
            <w:vAlign w:val="bottom"/>
            <w:shd w:val="clear" w:color="auto" w:fill="E9E9E9"/>
          </w:tcPr>
          <w:p>
            <w:pPr>
              <w:spacing w:after="0"/>
              <w:rPr>
                <w:sz w:val="20"/>
                <w:szCs w:val="20"/>
                <w:color w:val="auto"/>
              </w:rPr>
            </w:pPr>
            <w:r>
              <w:rPr>
                <w:rFonts w:ascii="Arial" w:cs="Arial" w:eastAsia="Arial" w:hAnsi="Arial"/>
                <w:sz w:val="16"/>
                <w:szCs w:val="16"/>
                <w:color w:val="auto"/>
              </w:rPr>
              <w:t>G. A. Lowe</w:t>
            </w:r>
          </w:p>
        </w:tc>
        <w:tc>
          <w:tcPr>
            <w:tcW w:w="2520" w:type="dxa"/>
            <w:vAlign w:val="bottom"/>
            <w:shd w:val="clear" w:color="auto" w:fill="E9E9E9"/>
          </w:tcPr>
          <w:p>
            <w:pPr>
              <w:jc w:val="center"/>
              <w:ind w:left="1604"/>
              <w:spacing w:after="0"/>
              <w:rPr>
                <w:sz w:val="20"/>
                <w:szCs w:val="20"/>
                <w:color w:val="auto"/>
              </w:rPr>
            </w:pPr>
            <w:r>
              <w:rPr>
                <w:rFonts w:ascii="Arial" w:cs="Arial" w:eastAsia="Arial" w:hAnsi="Arial"/>
                <w:sz w:val="16"/>
                <w:szCs w:val="16"/>
                <w:color w:val="auto"/>
              </w:rPr>
              <w:t>$250</w:t>
            </w:r>
          </w:p>
        </w:tc>
        <w:tc>
          <w:tcPr>
            <w:tcW w:w="102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$4,900</w:t>
            </w:r>
          </w:p>
        </w:tc>
        <w:tc>
          <w:tcPr>
            <w:tcW w:w="1020" w:type="dxa"/>
            <w:vAlign w:val="bottom"/>
            <w:shd w:val="clear" w:color="auto" w:fill="E9E9E9"/>
          </w:tcPr>
          <w:p>
            <w:pPr>
              <w:jc w:val="right"/>
              <w:ind w:right="189"/>
              <w:spacing w:after="0"/>
              <w:rPr>
                <w:sz w:val="20"/>
                <w:szCs w:val="20"/>
                <w:color w:val="auto"/>
              </w:rPr>
            </w:pPr>
            <w:r>
              <w:rPr>
                <w:rFonts w:ascii="Arial" w:cs="Arial" w:eastAsia="Arial" w:hAnsi="Arial"/>
                <w:sz w:val="16"/>
                <w:szCs w:val="16"/>
                <w:color w:val="auto"/>
              </w:rPr>
              <w:t>N/A</w:t>
            </w:r>
          </w:p>
        </w:tc>
        <w:tc>
          <w:tcPr>
            <w:tcW w:w="240" w:type="dxa"/>
            <w:vAlign w:val="bottom"/>
            <w:shd w:val="clear" w:color="auto" w:fill="E9E9E9"/>
          </w:tcPr>
          <w:p>
            <w:pPr>
              <w:spacing w:after="0"/>
              <w:rPr>
                <w:sz w:val="19"/>
                <w:szCs w:val="19"/>
                <w:color w:val="auto"/>
              </w:rPr>
            </w:pPr>
          </w:p>
        </w:tc>
        <w:tc>
          <w:tcPr>
            <w:tcW w:w="640" w:type="dxa"/>
            <w:vAlign w:val="bottom"/>
            <w:shd w:val="clear" w:color="auto" w:fill="E9E9E9"/>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9E9E9"/>
          </w:tcPr>
          <w:p>
            <w:pPr>
              <w:jc w:val="right"/>
              <w:ind w:right="148"/>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9E9E9"/>
          </w:tcPr>
          <w:p>
            <w:pPr>
              <w:jc w:val="right"/>
              <w:ind w:right="201"/>
              <w:spacing w:after="0"/>
              <w:rPr>
                <w:sz w:val="20"/>
                <w:szCs w:val="20"/>
                <w:color w:val="auto"/>
              </w:rPr>
            </w:pPr>
            <w:r>
              <w:rPr>
                <w:rFonts w:ascii="Arial" w:cs="Arial" w:eastAsia="Arial" w:hAnsi="Arial"/>
                <w:sz w:val="16"/>
                <w:szCs w:val="16"/>
                <w:color w:val="auto"/>
                <w:w w:val="94"/>
              </w:rPr>
              <w:t>5,163</w:t>
            </w:r>
          </w:p>
        </w:tc>
        <w:tc>
          <w:tcPr>
            <w:tcW w:w="900" w:type="dxa"/>
            <w:vAlign w:val="bottom"/>
            <w:shd w:val="clear" w:color="auto" w:fill="E9E9E9"/>
          </w:tcPr>
          <w:p>
            <w:pPr>
              <w:jc w:val="right"/>
              <w:ind w:right="146"/>
              <w:spacing w:after="0"/>
              <w:rPr>
                <w:sz w:val="20"/>
                <w:szCs w:val="20"/>
                <w:color w:val="auto"/>
              </w:rPr>
            </w:pPr>
            <w:r>
              <w:rPr>
                <w:rFonts w:ascii="Arial" w:cs="Arial" w:eastAsia="Arial" w:hAnsi="Arial"/>
                <w:sz w:val="16"/>
                <w:szCs w:val="16"/>
                <w:color w:val="auto"/>
              </w:rPr>
              <w:t>—</w:t>
            </w:r>
          </w:p>
        </w:tc>
      </w:tr>
      <w:tr>
        <w:trPr>
          <w:trHeight w:val="211"/>
        </w:trPr>
        <w:tc>
          <w:tcPr>
            <w:tcW w:w="2940" w:type="dxa"/>
            <w:vAlign w:val="bottom"/>
          </w:tcPr>
          <w:p>
            <w:pPr>
              <w:spacing w:after="0"/>
              <w:rPr>
                <w:sz w:val="20"/>
                <w:szCs w:val="20"/>
                <w:color w:val="auto"/>
              </w:rPr>
            </w:pPr>
            <w:r>
              <w:rPr>
                <w:rFonts w:ascii="Arial" w:cs="Arial" w:eastAsia="Arial" w:hAnsi="Arial"/>
                <w:sz w:val="16"/>
                <w:szCs w:val="16"/>
                <w:color w:val="auto"/>
              </w:rPr>
              <w:t>K. J. Ritchie</w:t>
            </w:r>
          </w:p>
        </w:tc>
        <w:tc>
          <w:tcPr>
            <w:tcW w:w="2520" w:type="dxa"/>
            <w:vAlign w:val="bottom"/>
          </w:tcPr>
          <w:p>
            <w:pPr>
              <w:jc w:val="center"/>
              <w:ind w:left="1604"/>
              <w:spacing w:after="0"/>
              <w:rPr>
                <w:sz w:val="20"/>
                <w:szCs w:val="20"/>
                <w:color w:val="auto"/>
              </w:rPr>
            </w:pPr>
            <w:r>
              <w:rPr>
                <w:rFonts w:ascii="Arial" w:cs="Arial" w:eastAsia="Arial" w:hAnsi="Arial"/>
                <w:sz w:val="16"/>
                <w:szCs w:val="16"/>
                <w:color w:val="auto"/>
              </w:rPr>
              <w:t>$250</w:t>
            </w:r>
          </w:p>
        </w:tc>
        <w:tc>
          <w:tcPr>
            <w:tcW w:w="1020" w:type="dxa"/>
            <w:vAlign w:val="bottom"/>
          </w:tcPr>
          <w:p>
            <w:pPr>
              <w:jc w:val="center"/>
              <w:spacing w:after="0"/>
              <w:rPr>
                <w:sz w:val="20"/>
                <w:szCs w:val="20"/>
                <w:color w:val="auto"/>
              </w:rPr>
            </w:pPr>
            <w:r>
              <w:rPr>
                <w:rFonts w:ascii="Arial" w:cs="Arial" w:eastAsia="Arial" w:hAnsi="Arial"/>
                <w:sz w:val="16"/>
                <w:szCs w:val="16"/>
                <w:color w:val="auto"/>
              </w:rPr>
              <w:t>$4,900</w:t>
            </w:r>
          </w:p>
        </w:tc>
        <w:tc>
          <w:tcPr>
            <w:tcW w:w="1020" w:type="dxa"/>
            <w:vAlign w:val="bottom"/>
          </w:tcPr>
          <w:p>
            <w:pPr>
              <w:jc w:val="right"/>
              <w:ind w:right="189"/>
              <w:spacing w:after="0"/>
              <w:rPr>
                <w:sz w:val="20"/>
                <w:szCs w:val="20"/>
                <w:color w:val="auto"/>
              </w:rPr>
            </w:pPr>
            <w:r>
              <w:rPr>
                <w:rFonts w:ascii="Arial" w:cs="Arial" w:eastAsia="Arial" w:hAnsi="Arial"/>
                <w:sz w:val="16"/>
                <w:szCs w:val="16"/>
                <w:color w:val="auto"/>
              </w:rPr>
              <w:t>N/A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1"/>
              <w:spacing w:after="0"/>
              <w:rPr>
                <w:sz w:val="20"/>
                <w:szCs w:val="20"/>
                <w:color w:val="auto"/>
              </w:rPr>
            </w:pPr>
            <w:r>
              <w:rPr>
                <w:rFonts w:ascii="Arial" w:cs="Arial" w:eastAsia="Arial" w:hAnsi="Arial"/>
                <w:sz w:val="16"/>
                <w:szCs w:val="16"/>
                <w:color w:val="auto"/>
              </w:rPr>
              <w:t>7,056</w:t>
            </w:r>
          </w:p>
        </w:tc>
        <w:tc>
          <w:tcPr>
            <w:tcW w:w="1120" w:type="dxa"/>
            <w:vAlign w:val="bottom"/>
          </w:tcPr>
          <w:p>
            <w:pPr>
              <w:jc w:val="right"/>
              <w:ind w:right="14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1"/>
              <w:spacing w:after="0"/>
              <w:rPr>
                <w:sz w:val="20"/>
                <w:szCs w:val="20"/>
                <w:color w:val="auto"/>
              </w:rPr>
            </w:pPr>
            <w:r>
              <w:rPr>
                <w:rFonts w:ascii="Arial" w:cs="Arial" w:eastAsia="Arial" w:hAnsi="Arial"/>
                <w:sz w:val="16"/>
                <w:szCs w:val="16"/>
                <w:color w:val="auto"/>
                <w:w w:val="94"/>
              </w:rPr>
              <w:t>1,649</w:t>
            </w:r>
          </w:p>
        </w:tc>
        <w:tc>
          <w:tcPr>
            <w:tcW w:w="900" w:type="dxa"/>
            <w:vAlign w:val="bottom"/>
          </w:tcPr>
          <w:p>
            <w:pPr>
              <w:jc w:val="right"/>
              <w:ind w:right="146"/>
              <w:spacing w:after="0"/>
              <w:rPr>
                <w:sz w:val="20"/>
                <w:szCs w:val="20"/>
                <w:color w:val="auto"/>
              </w:rPr>
            </w:pPr>
            <w:r>
              <w:rPr>
                <w:rFonts w:ascii="Arial" w:cs="Arial" w:eastAsia="Arial" w:hAnsi="Arial"/>
                <w:sz w:val="16"/>
                <w:szCs w:val="16"/>
                <w:color w:val="auto"/>
              </w:rPr>
              <w:t>—</w:t>
            </w:r>
          </w:p>
        </w:tc>
      </w:tr>
      <w:tr>
        <w:trPr>
          <w:trHeight w:val="226"/>
        </w:trPr>
        <w:tc>
          <w:tcPr>
            <w:tcW w:w="294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2520" w:type="dxa"/>
            <w:vAlign w:val="bottom"/>
            <w:shd w:val="clear" w:color="auto" w:fill="E9E9E9"/>
          </w:tcPr>
          <w:p>
            <w:pPr>
              <w:jc w:val="center"/>
              <w:ind w:left="1604"/>
              <w:spacing w:after="0"/>
              <w:rPr>
                <w:sz w:val="20"/>
                <w:szCs w:val="20"/>
                <w:color w:val="auto"/>
              </w:rPr>
            </w:pPr>
            <w:r>
              <w:rPr>
                <w:rFonts w:ascii="Arial" w:cs="Arial" w:eastAsia="Arial" w:hAnsi="Arial"/>
                <w:sz w:val="16"/>
                <w:szCs w:val="16"/>
                <w:color w:val="auto"/>
              </w:rPr>
              <w:t>$250</w:t>
            </w:r>
          </w:p>
        </w:tc>
        <w:tc>
          <w:tcPr>
            <w:tcW w:w="102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$9,800</w:t>
            </w:r>
          </w:p>
        </w:tc>
        <w:tc>
          <w:tcPr>
            <w:tcW w:w="1020" w:type="dxa"/>
            <w:vAlign w:val="bottom"/>
            <w:shd w:val="clear" w:color="auto" w:fill="E9E9E9"/>
          </w:tcPr>
          <w:p>
            <w:pPr>
              <w:jc w:val="right"/>
              <w:ind w:right="189"/>
              <w:spacing w:after="0"/>
              <w:rPr>
                <w:sz w:val="20"/>
                <w:szCs w:val="20"/>
                <w:color w:val="auto"/>
              </w:rPr>
            </w:pPr>
            <w:r>
              <w:rPr>
                <w:rFonts w:ascii="Arial" w:cs="Arial" w:eastAsia="Arial" w:hAnsi="Arial"/>
                <w:sz w:val="16"/>
                <w:szCs w:val="16"/>
                <w:color w:val="auto"/>
              </w:rPr>
              <w:t>$32,068</w:t>
            </w:r>
          </w:p>
        </w:tc>
        <w:tc>
          <w:tcPr>
            <w:tcW w:w="240" w:type="dxa"/>
            <w:vAlign w:val="bottom"/>
            <w:shd w:val="clear" w:color="auto" w:fill="E9E9E9"/>
          </w:tcPr>
          <w:p>
            <w:pPr>
              <w:spacing w:after="0"/>
              <w:rPr>
                <w:sz w:val="19"/>
                <w:szCs w:val="19"/>
                <w:color w:val="auto"/>
              </w:rPr>
            </w:pPr>
          </w:p>
        </w:tc>
        <w:tc>
          <w:tcPr>
            <w:tcW w:w="640" w:type="dxa"/>
            <w:vAlign w:val="bottom"/>
            <w:shd w:val="clear" w:color="auto" w:fill="E9E9E9"/>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9E9E9"/>
          </w:tcPr>
          <w:p>
            <w:pPr>
              <w:jc w:val="right"/>
              <w:ind w:right="148"/>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9E9E9"/>
          </w:tcPr>
          <w:p>
            <w:pPr>
              <w:jc w:val="right"/>
              <w:ind w:right="201"/>
              <w:spacing w:after="0"/>
              <w:rPr>
                <w:sz w:val="20"/>
                <w:szCs w:val="20"/>
                <w:color w:val="auto"/>
              </w:rPr>
            </w:pPr>
            <w:r>
              <w:rPr>
                <w:rFonts w:ascii="Arial" w:cs="Arial" w:eastAsia="Arial" w:hAnsi="Arial"/>
                <w:sz w:val="16"/>
                <w:szCs w:val="16"/>
                <w:color w:val="auto"/>
                <w:w w:val="94"/>
              </w:rPr>
              <w:t>4,641</w:t>
            </w:r>
          </w:p>
        </w:tc>
        <w:tc>
          <w:tcPr>
            <w:tcW w:w="900" w:type="dxa"/>
            <w:vAlign w:val="bottom"/>
            <w:shd w:val="clear" w:color="auto" w:fill="E9E9E9"/>
          </w:tcPr>
          <w:p>
            <w:pPr>
              <w:jc w:val="right"/>
              <w:ind w:right="146"/>
              <w:spacing w:after="0"/>
              <w:rPr>
                <w:sz w:val="20"/>
                <w:szCs w:val="20"/>
                <w:color w:val="auto"/>
              </w:rPr>
            </w:pPr>
            <w:r>
              <w:rPr>
                <w:rFonts w:ascii="Arial" w:cs="Arial" w:eastAsia="Arial" w:hAnsi="Arial"/>
                <w:sz w:val="16"/>
                <w:szCs w:val="16"/>
                <w:color w:val="auto"/>
              </w:rPr>
              <w:t>$2,781</w:t>
            </w:r>
          </w:p>
        </w:tc>
      </w:tr>
    </w:tbl>
    <w:p>
      <w:pPr>
        <w:spacing w:after="0" w:line="221" w:lineRule="exact"/>
        <w:rPr>
          <w:sz w:val="20"/>
          <w:szCs w:val="20"/>
          <w:color w:val="auto"/>
        </w:rPr>
      </w:pPr>
    </w:p>
    <w:p>
      <w:pPr>
        <w:jc w:val="both"/>
        <w:ind w:left="443" w:right="300"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(i) contributions under the company’s enhanced defined contribution retirement plan of $4,900, and (ii) an additional amount of $81,602 for Mr. Templeton and $27,168 for Mr. Crutcher accrued by TI to offset IRC limitations on amounts that could be contributed to the enhanced defined contribution retirement plan, which amount is also shown in the Non-qualified Deferred Compensation table on page 87.</w:t>
      </w:r>
    </w:p>
    <w:p>
      <w:pPr>
        <w:spacing w:after="0" w:line="211" w:lineRule="exact"/>
        <w:rPr>
          <w:rFonts w:ascii="Arial" w:cs="Arial" w:eastAsia="Arial" w:hAnsi="Arial"/>
          <w:sz w:val="16"/>
          <w:szCs w:val="16"/>
          <w:color w:val="auto"/>
        </w:rPr>
      </w:pPr>
    </w:p>
    <w:p>
      <w:pPr>
        <w:ind w:left="443"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payments for unused vacation time that could not be carried forward.</w:t>
      </w:r>
    </w:p>
    <w:p>
      <w:pPr>
        <w:spacing w:after="0" w:line="216" w:lineRule="exact"/>
        <w:rPr>
          <w:rFonts w:ascii="Arial" w:cs="Arial" w:eastAsia="Arial" w:hAnsi="Arial"/>
          <w:sz w:val="16"/>
          <w:szCs w:val="16"/>
          <w:color w:val="auto"/>
        </w:rPr>
      </w:pPr>
    </w:p>
    <w:p>
      <w:pPr>
        <w:ind w:left="443" w:right="260" w:hanging="443"/>
        <w:spacing w:after="0" w:line="238" w:lineRule="auto"/>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board of directors has determined that for security reasons, it is in TI’s interest to require the chief executive officer to use the company aircraft for personal air travel. The amount shown for Mr. Templeton is the incremental cost of his personal use of aircraft. We valued this incremental cost using a method that takes into account: landing, parking and flight planning services expenses; crew travel expenses; supplies and catering expenses; aircraft fuel and oil expenses per hour of flight; communications costs; a portion of ongoing maintenance; and any customs, foreign permit and similar fees. Because company aircraft are primarily used for business travel, this methodology excludes the fixed costs, which do not change based on usage, such as pilots’ salaries and the lease cost of the company aircraft.</w:t>
      </w:r>
    </w:p>
    <w:p>
      <w:pPr>
        <w:spacing w:after="0" w:line="234" w:lineRule="exact"/>
        <w:rPr>
          <w:sz w:val="20"/>
          <w:szCs w:val="20"/>
          <w:color w:val="auto"/>
        </w:rPr>
      </w:pPr>
    </w:p>
    <w:p>
      <w:pPr>
        <w:ind w:left="3"/>
        <w:spacing w:after="0"/>
        <w:tabs>
          <w:tab w:leader="none" w:pos="10103" w:val="left"/>
        </w:tabs>
        <w:rPr>
          <w:sz w:val="20"/>
          <w:szCs w:val="20"/>
          <w:color w:val="auto"/>
        </w:rPr>
      </w:pPr>
      <w:r>
        <w:rPr>
          <w:rFonts w:ascii="Arial" w:cs="Arial" w:eastAsia="Arial" w:hAnsi="Arial"/>
          <w:sz w:val="12"/>
          <w:szCs w:val="12"/>
          <w:b w:val="1"/>
          <w:bCs w:val="1"/>
          <w:color w:val="auto"/>
        </w:rPr>
        <w:t xml:space="preserve">80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361" w:right="219" w:bottom="1440" w:gutter="0" w:footer="0" w:header="0"/>
        </w:sectPr>
      </w:pPr>
    </w:p>
    <w:bookmarkStart w:id="27" w:name="page28"/>
    <w:bookmarkEnd w:id="27"/>
    <w:p>
      <w:pPr>
        <w:ind w:left="3"/>
        <w:spacing w:after="0"/>
        <w:rPr>
          <w:sz w:val="20"/>
          <w:szCs w:val="20"/>
          <w:color w:val="auto"/>
        </w:rPr>
      </w:pPr>
      <w:r>
        <w:rPr>
          <w:rFonts w:ascii="Arial" w:cs="Arial" w:eastAsia="Arial" w:hAnsi="Arial"/>
          <w:sz w:val="16"/>
          <w:szCs w:val="16"/>
          <w:b w:val="1"/>
          <w:bCs w:val="1"/>
          <w:color w:val="auto"/>
        </w:rPr>
        <w:t>Grants of plan-based awards in 2011</w:t>
      </w:r>
    </w:p>
    <w:p>
      <w:pPr>
        <w:spacing w:after="0" w:line="21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shows the grants of plan-based awards to the named executive officers in 2011.</w:t>
      </w:r>
    </w:p>
    <w:p>
      <w:pPr>
        <w:spacing w:after="0" w:line="211"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center"/>
              <w:ind w:left="52"/>
              <w:spacing w:after="0"/>
              <w:rPr>
                <w:sz w:val="20"/>
                <w:szCs w:val="20"/>
                <w:color w:val="auto"/>
              </w:rPr>
            </w:pPr>
            <w:r>
              <w:rPr>
                <w:rFonts w:ascii="Arial" w:cs="Arial" w:eastAsia="Arial" w:hAnsi="Arial"/>
                <w:sz w:val="12"/>
                <w:szCs w:val="12"/>
                <w:b w:val="1"/>
                <w:bCs w:val="1"/>
                <w:color w:val="auto"/>
              </w:rPr>
              <w:t>All Other</w:t>
            </w: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rPr>
              <w:t>All Other</w:t>
            </w: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8"/>
        </w:trPr>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center"/>
              <w:ind w:left="52"/>
              <w:spacing w:after="0"/>
              <w:rPr>
                <w:sz w:val="20"/>
                <w:szCs w:val="20"/>
                <w:color w:val="auto"/>
              </w:rPr>
            </w:pPr>
            <w:r>
              <w:rPr>
                <w:rFonts w:ascii="Arial" w:cs="Arial" w:eastAsia="Arial" w:hAnsi="Arial"/>
                <w:sz w:val="12"/>
                <w:szCs w:val="12"/>
                <w:b w:val="1"/>
                <w:bCs w:val="1"/>
                <w:color w:val="auto"/>
                <w:w w:val="97"/>
              </w:rPr>
              <w:t>Stock</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Exercise</w:t>
            </w:r>
          </w:p>
        </w:tc>
        <w:tc>
          <w:tcPr>
            <w:tcW w:w="1000" w:type="dxa"/>
            <w:vAlign w:val="bottom"/>
          </w:tcPr>
          <w:p>
            <w:pPr>
              <w:spacing w:after="0"/>
              <w:rPr>
                <w:sz w:val="18"/>
                <w:szCs w:val="18"/>
                <w:color w:val="auto"/>
              </w:rPr>
            </w:pPr>
          </w:p>
        </w:tc>
      </w:tr>
      <w:tr>
        <w:trPr>
          <w:trHeight w:val="218"/>
        </w:trPr>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center"/>
              <w:ind w:left="52"/>
              <w:spacing w:after="0"/>
              <w:rPr>
                <w:sz w:val="20"/>
                <w:szCs w:val="20"/>
                <w:color w:val="auto"/>
              </w:rPr>
            </w:pPr>
            <w:r>
              <w:rPr>
                <w:rFonts w:ascii="Arial" w:cs="Arial" w:eastAsia="Arial" w:hAnsi="Arial"/>
                <w:sz w:val="12"/>
                <w:szCs w:val="12"/>
                <w:b w:val="1"/>
                <w:bCs w:val="1"/>
                <w:color w:val="auto"/>
              </w:rPr>
              <w:t>Awards:</w:t>
            </w:r>
          </w:p>
        </w:tc>
        <w:tc>
          <w:tcPr>
            <w:tcW w:w="920" w:type="dxa"/>
            <w:vAlign w:val="bottom"/>
          </w:tcPr>
          <w:p>
            <w:pPr>
              <w:ind w:left="200"/>
              <w:spacing w:after="0"/>
              <w:rPr>
                <w:sz w:val="20"/>
                <w:szCs w:val="20"/>
                <w:color w:val="auto"/>
              </w:rPr>
            </w:pPr>
            <w:r>
              <w:rPr>
                <w:rFonts w:ascii="Arial" w:cs="Arial" w:eastAsia="Arial" w:hAnsi="Arial"/>
                <w:sz w:val="12"/>
                <w:szCs w:val="12"/>
                <w:b w:val="1"/>
                <w:bCs w:val="1"/>
                <w:color w:val="auto"/>
              </w:rPr>
              <w:t>Awards:</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or Base</w:t>
            </w:r>
          </w:p>
        </w:tc>
        <w:tc>
          <w:tcPr>
            <w:tcW w:w="1000" w:type="dxa"/>
            <w:vAlign w:val="bottom"/>
          </w:tcPr>
          <w:p>
            <w:pPr>
              <w:spacing w:after="0"/>
              <w:rPr>
                <w:sz w:val="18"/>
                <w:szCs w:val="18"/>
                <w:color w:val="auto"/>
              </w:rPr>
            </w:pPr>
          </w:p>
        </w:tc>
      </w:tr>
      <w:tr>
        <w:trPr>
          <w:trHeight w:val="218"/>
        </w:trPr>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4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9"/>
              </w:rPr>
              <w:t>Estimated Possible Payouts</w:t>
            </w:r>
          </w:p>
        </w:tc>
        <w:tc>
          <w:tcPr>
            <w:tcW w:w="20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Estimated Future Payouts</w:t>
            </w:r>
          </w:p>
        </w:tc>
        <w:tc>
          <w:tcPr>
            <w:tcW w:w="960" w:type="dxa"/>
            <w:vAlign w:val="bottom"/>
          </w:tcPr>
          <w:p>
            <w:pPr>
              <w:jc w:val="center"/>
              <w:ind w:left="52"/>
              <w:spacing w:after="0"/>
              <w:rPr>
                <w:sz w:val="20"/>
                <w:szCs w:val="20"/>
                <w:color w:val="auto"/>
              </w:rPr>
            </w:pPr>
            <w:r>
              <w:rPr>
                <w:rFonts w:ascii="Arial" w:cs="Arial" w:eastAsia="Arial" w:hAnsi="Arial"/>
                <w:sz w:val="12"/>
                <w:szCs w:val="12"/>
                <w:b w:val="1"/>
                <w:bCs w:val="1"/>
                <w:color w:val="auto"/>
                <w:w w:val="99"/>
              </w:rPr>
              <w:t>Number of</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Price of</w:t>
            </w:r>
          </w:p>
        </w:tc>
        <w:tc>
          <w:tcPr>
            <w:tcW w:w="1000" w:type="dxa"/>
            <w:vAlign w:val="bottom"/>
          </w:tcPr>
          <w:p>
            <w:pPr>
              <w:jc w:val="center"/>
              <w:ind w:left="27"/>
              <w:spacing w:after="0"/>
              <w:rPr>
                <w:sz w:val="20"/>
                <w:szCs w:val="20"/>
                <w:color w:val="auto"/>
              </w:rPr>
            </w:pPr>
            <w:r>
              <w:rPr>
                <w:rFonts w:ascii="Arial" w:cs="Arial" w:eastAsia="Arial" w:hAnsi="Arial"/>
                <w:sz w:val="12"/>
                <w:szCs w:val="12"/>
                <w:b w:val="1"/>
                <w:bCs w:val="1"/>
                <w:color w:val="auto"/>
              </w:rPr>
              <w:t>Grant Date</w:t>
            </w:r>
          </w:p>
        </w:tc>
      </w:tr>
      <w:tr>
        <w:trPr>
          <w:trHeight w:val="218"/>
        </w:trPr>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4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9"/>
              </w:rPr>
              <w:t>under Non-Equity Incentive</w:t>
            </w:r>
          </w:p>
        </w:tc>
        <w:tc>
          <w:tcPr>
            <w:tcW w:w="2040" w:type="dxa"/>
            <w:vAlign w:val="bottom"/>
            <w:gridSpan w:val="3"/>
          </w:tcPr>
          <w:p>
            <w:pPr>
              <w:jc w:val="center"/>
              <w:spacing w:after="0"/>
              <w:rPr>
                <w:sz w:val="20"/>
                <w:szCs w:val="20"/>
                <w:color w:val="auto"/>
              </w:rPr>
            </w:pPr>
            <w:r>
              <w:rPr>
                <w:rFonts w:ascii="Arial" w:cs="Arial" w:eastAsia="Arial" w:hAnsi="Arial"/>
                <w:sz w:val="12"/>
                <w:szCs w:val="12"/>
                <w:b w:val="1"/>
                <w:bCs w:val="1"/>
                <w:color w:val="auto"/>
              </w:rPr>
              <w:t>under Equity Incentive</w:t>
            </w:r>
          </w:p>
        </w:tc>
        <w:tc>
          <w:tcPr>
            <w:tcW w:w="960" w:type="dxa"/>
            <w:vAlign w:val="bottom"/>
          </w:tcPr>
          <w:p>
            <w:pPr>
              <w:jc w:val="center"/>
              <w:ind w:left="52"/>
              <w:spacing w:after="0"/>
              <w:rPr>
                <w:sz w:val="20"/>
                <w:szCs w:val="20"/>
                <w:color w:val="auto"/>
              </w:rPr>
            </w:pPr>
            <w:r>
              <w:rPr>
                <w:rFonts w:ascii="Arial" w:cs="Arial" w:eastAsia="Arial" w:hAnsi="Arial"/>
                <w:sz w:val="12"/>
                <w:szCs w:val="12"/>
                <w:b w:val="1"/>
                <w:bCs w:val="1"/>
                <w:color w:val="auto"/>
              </w:rPr>
              <w:t>Shares of</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1000" w:type="dxa"/>
            <w:vAlign w:val="bottom"/>
          </w:tcPr>
          <w:p>
            <w:pPr>
              <w:jc w:val="center"/>
              <w:ind w:left="27"/>
              <w:spacing w:after="0"/>
              <w:rPr>
                <w:sz w:val="20"/>
                <w:szCs w:val="20"/>
                <w:color w:val="auto"/>
              </w:rPr>
            </w:pPr>
            <w:r>
              <w:rPr>
                <w:rFonts w:ascii="Arial" w:cs="Arial" w:eastAsia="Arial" w:hAnsi="Arial"/>
                <w:sz w:val="12"/>
                <w:szCs w:val="12"/>
                <w:b w:val="1"/>
                <w:bCs w:val="1"/>
                <w:color w:val="auto"/>
              </w:rPr>
              <w:t>Fair Value</w:t>
            </w:r>
          </w:p>
        </w:tc>
      </w:tr>
      <w:tr>
        <w:trPr>
          <w:trHeight w:val="218"/>
        </w:trPr>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jc w:val="center"/>
              <w:ind w:right="65"/>
              <w:spacing w:after="0"/>
              <w:rPr>
                <w:sz w:val="20"/>
                <w:szCs w:val="20"/>
                <w:color w:val="auto"/>
              </w:rPr>
            </w:pPr>
            <w:r>
              <w:rPr>
                <w:rFonts w:ascii="Arial" w:cs="Arial" w:eastAsia="Arial" w:hAnsi="Arial"/>
                <w:sz w:val="12"/>
                <w:szCs w:val="12"/>
                <w:b w:val="1"/>
                <w:bCs w:val="1"/>
                <w:color w:val="auto"/>
              </w:rPr>
              <w:t>Date of</w:t>
            </w:r>
          </w:p>
        </w:tc>
        <w:tc>
          <w:tcPr>
            <w:tcW w:w="6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9"/>
              </w:rPr>
              <w:t>Plan Awards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9"/>
              </w:rPr>
              <w:t>Plan Awards</w:t>
            </w:r>
          </w:p>
        </w:tc>
        <w:tc>
          <w:tcPr>
            <w:tcW w:w="620" w:type="dxa"/>
            <w:vAlign w:val="bottom"/>
          </w:tcPr>
          <w:p>
            <w:pPr>
              <w:spacing w:after="0"/>
              <w:rPr>
                <w:sz w:val="18"/>
                <w:szCs w:val="18"/>
                <w:color w:val="auto"/>
              </w:rPr>
            </w:pPr>
          </w:p>
        </w:tc>
        <w:tc>
          <w:tcPr>
            <w:tcW w:w="960" w:type="dxa"/>
            <w:vAlign w:val="bottom"/>
          </w:tcPr>
          <w:p>
            <w:pPr>
              <w:jc w:val="center"/>
              <w:ind w:left="52"/>
              <w:spacing w:after="0"/>
              <w:rPr>
                <w:sz w:val="20"/>
                <w:szCs w:val="20"/>
                <w:color w:val="auto"/>
              </w:rPr>
            </w:pPr>
            <w:r>
              <w:rPr>
                <w:rFonts w:ascii="Arial" w:cs="Arial" w:eastAsia="Arial" w:hAnsi="Arial"/>
                <w:sz w:val="12"/>
                <w:szCs w:val="12"/>
                <w:b w:val="1"/>
                <w:bCs w:val="1"/>
                <w:color w:val="auto"/>
                <w:w w:val="99"/>
              </w:rPr>
              <w:t>Stock or</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1000" w:type="dxa"/>
            <w:vAlign w:val="bottom"/>
          </w:tcPr>
          <w:p>
            <w:pPr>
              <w:jc w:val="center"/>
              <w:ind w:left="47"/>
              <w:spacing w:after="0"/>
              <w:rPr>
                <w:sz w:val="20"/>
                <w:szCs w:val="20"/>
                <w:color w:val="auto"/>
              </w:rPr>
            </w:pPr>
            <w:r>
              <w:rPr>
                <w:rFonts w:ascii="Arial" w:cs="Arial" w:eastAsia="Arial" w:hAnsi="Arial"/>
                <w:sz w:val="12"/>
                <w:szCs w:val="12"/>
                <w:b w:val="1"/>
                <w:bCs w:val="1"/>
                <w:color w:val="auto"/>
              </w:rPr>
              <w:t>of Stock</w:t>
            </w:r>
          </w:p>
        </w:tc>
      </w:tr>
      <w:tr>
        <w:trPr>
          <w:trHeight w:val="37"/>
        </w:trPr>
        <w:tc>
          <w:tcPr>
            <w:tcW w:w="1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c>
          <w:tcPr>
            <w:tcW w:w="600" w:type="dxa"/>
            <w:vAlign w:val="bottom"/>
            <w:tcBorders>
              <w:bottom w:val="single" w:sz="8" w:color="808285"/>
            </w:tcBorders>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c>
          <w:tcPr>
            <w:tcW w:w="620" w:type="dxa"/>
            <w:vAlign w:val="bottom"/>
            <w:tcBorders>
              <w:bottom w:val="single" w:sz="8" w:color="808285"/>
            </w:tcBorders>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74"/>
        </w:trPr>
        <w:tc>
          <w:tcPr>
            <w:tcW w:w="1320" w:type="dxa"/>
            <w:vAlign w:val="bottom"/>
          </w:tcPr>
          <w:p>
            <w:pPr>
              <w:spacing w:after="0"/>
              <w:rPr>
                <w:sz w:val="15"/>
                <w:szCs w:val="15"/>
                <w:color w:val="auto"/>
              </w:rPr>
            </w:pPr>
          </w:p>
        </w:tc>
        <w:tc>
          <w:tcPr>
            <w:tcW w:w="1140" w:type="dxa"/>
            <w:vAlign w:val="bottom"/>
          </w:tcPr>
          <w:p>
            <w:pPr>
              <w:jc w:val="center"/>
              <w:ind w:left="64"/>
              <w:spacing w:after="0"/>
              <w:rPr>
                <w:sz w:val="20"/>
                <w:szCs w:val="20"/>
                <w:color w:val="auto"/>
              </w:rPr>
            </w:pPr>
            <w:r>
              <w:rPr>
                <w:rFonts w:ascii="Arial" w:cs="Arial" w:eastAsia="Arial" w:hAnsi="Arial"/>
                <w:sz w:val="12"/>
                <w:szCs w:val="12"/>
                <w:b w:val="1"/>
                <w:bCs w:val="1"/>
                <w:color w:val="auto"/>
                <w:w w:val="99"/>
              </w:rPr>
              <w:t>Grant</w:t>
            </w:r>
          </w:p>
        </w:tc>
        <w:tc>
          <w:tcPr>
            <w:tcW w:w="1000" w:type="dxa"/>
            <w:vAlign w:val="bottom"/>
          </w:tcPr>
          <w:p>
            <w:pPr>
              <w:jc w:val="center"/>
              <w:ind w:right="65"/>
              <w:spacing w:after="0"/>
              <w:rPr>
                <w:sz w:val="20"/>
                <w:szCs w:val="20"/>
                <w:color w:val="auto"/>
              </w:rPr>
            </w:pPr>
            <w:r>
              <w:rPr>
                <w:rFonts w:ascii="Arial" w:cs="Arial" w:eastAsia="Arial" w:hAnsi="Arial"/>
                <w:sz w:val="12"/>
                <w:szCs w:val="12"/>
                <w:b w:val="1"/>
                <w:bCs w:val="1"/>
                <w:color w:val="auto"/>
                <w:w w:val="99"/>
              </w:rPr>
              <w:t>Committee</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9"/>
              </w:rPr>
              <w:t>Threshold</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8"/>
              </w:rPr>
              <w:t>Target</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Maximum</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9"/>
              </w:rPr>
              <w:t>Threshold</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8"/>
              </w:rPr>
              <w:t>Target</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Maximum</w:t>
            </w:r>
          </w:p>
        </w:tc>
        <w:tc>
          <w:tcPr>
            <w:tcW w:w="960" w:type="dxa"/>
            <w:vAlign w:val="bottom"/>
          </w:tcPr>
          <w:p>
            <w:pPr>
              <w:jc w:val="center"/>
              <w:ind w:left="52"/>
              <w:spacing w:after="0"/>
              <w:rPr>
                <w:sz w:val="20"/>
                <w:szCs w:val="20"/>
                <w:color w:val="auto"/>
              </w:rPr>
            </w:pPr>
            <w:r>
              <w:rPr>
                <w:rFonts w:ascii="Arial" w:cs="Arial" w:eastAsia="Arial" w:hAnsi="Arial"/>
                <w:sz w:val="12"/>
                <w:szCs w:val="12"/>
                <w:b w:val="1"/>
                <w:bCs w:val="1"/>
                <w:color w:val="auto"/>
              </w:rPr>
              <w:t>Units</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($/Sh)</w:t>
            </w:r>
          </w:p>
        </w:tc>
        <w:tc>
          <w:tcPr>
            <w:tcW w:w="1000" w:type="dxa"/>
            <w:vAlign w:val="bottom"/>
          </w:tcPr>
          <w:p>
            <w:pPr>
              <w:jc w:val="center"/>
              <w:ind w:left="47"/>
              <w:spacing w:after="0"/>
              <w:rPr>
                <w:sz w:val="20"/>
                <w:szCs w:val="20"/>
                <w:color w:val="auto"/>
              </w:rPr>
            </w:pPr>
            <w:r>
              <w:rPr>
                <w:rFonts w:ascii="Arial" w:cs="Arial" w:eastAsia="Arial" w:hAnsi="Arial"/>
                <w:sz w:val="12"/>
                <w:szCs w:val="12"/>
                <w:b w:val="1"/>
                <w:bCs w:val="1"/>
                <w:color w:val="auto"/>
              </w:rPr>
              <w:t>and Option</w:t>
            </w:r>
          </w:p>
        </w:tc>
      </w:tr>
      <w:tr>
        <w:trPr>
          <w:trHeight w:val="218"/>
        </w:trPr>
        <w:tc>
          <w:tcPr>
            <w:tcW w:w="13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140" w:type="dxa"/>
            <w:vAlign w:val="bottom"/>
          </w:tcPr>
          <w:p>
            <w:pPr>
              <w:jc w:val="center"/>
              <w:ind w:left="44"/>
              <w:spacing w:after="0"/>
              <w:rPr>
                <w:sz w:val="20"/>
                <w:szCs w:val="20"/>
                <w:color w:val="auto"/>
              </w:rPr>
            </w:pPr>
            <w:r>
              <w:rPr>
                <w:rFonts w:ascii="Arial" w:cs="Arial" w:eastAsia="Arial" w:hAnsi="Arial"/>
                <w:sz w:val="12"/>
                <w:szCs w:val="12"/>
                <w:b w:val="1"/>
                <w:bCs w:val="1"/>
                <w:color w:val="auto"/>
                <w:w w:val="99"/>
              </w:rPr>
              <w:t>Date</w:t>
            </w:r>
          </w:p>
        </w:tc>
        <w:tc>
          <w:tcPr>
            <w:tcW w:w="1000" w:type="dxa"/>
            <w:vAlign w:val="bottom"/>
          </w:tcPr>
          <w:p>
            <w:pPr>
              <w:jc w:val="center"/>
              <w:ind w:right="65"/>
              <w:spacing w:after="0"/>
              <w:rPr>
                <w:sz w:val="20"/>
                <w:szCs w:val="20"/>
                <w:color w:val="auto"/>
              </w:rPr>
            </w:pPr>
            <w:r>
              <w:rPr>
                <w:rFonts w:ascii="Arial" w:cs="Arial" w:eastAsia="Arial" w:hAnsi="Arial"/>
                <w:sz w:val="12"/>
                <w:szCs w:val="12"/>
                <w:b w:val="1"/>
                <w:bCs w:val="1"/>
                <w:color w:val="auto"/>
              </w:rPr>
              <w:t>Action</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960" w:type="dxa"/>
            <w:vAlign w:val="bottom"/>
          </w:tcPr>
          <w:p>
            <w:pPr>
              <w:jc w:val="center"/>
              <w:ind w:left="52"/>
              <w:spacing w:after="0"/>
              <w:rPr>
                <w:sz w:val="20"/>
                <w:szCs w:val="20"/>
                <w:color w:val="auto"/>
              </w:rPr>
            </w:pPr>
            <w:r>
              <w:rPr>
                <w:rFonts w:ascii="Arial" w:cs="Arial" w:eastAsia="Arial" w:hAnsi="Arial"/>
                <w:sz w:val="12"/>
                <w:szCs w:val="12"/>
                <w:b w:val="1"/>
                <w:bCs w:val="1"/>
                <w:color w:val="auto"/>
                <w:w w:val="95"/>
              </w:rPr>
              <w:t>(#)(2)</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(#)(3)</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5"/>
              </w:rPr>
              <w:t>(4)</w:t>
            </w:r>
          </w:p>
        </w:tc>
        <w:tc>
          <w:tcPr>
            <w:tcW w:w="1000" w:type="dxa"/>
            <w:vAlign w:val="bottom"/>
          </w:tcPr>
          <w:p>
            <w:pPr>
              <w:jc w:val="center"/>
              <w:ind w:left="27"/>
              <w:spacing w:after="0"/>
              <w:rPr>
                <w:sz w:val="20"/>
                <w:szCs w:val="20"/>
                <w:color w:val="auto"/>
              </w:rPr>
            </w:pPr>
            <w:r>
              <w:rPr>
                <w:rFonts w:ascii="Arial" w:cs="Arial" w:eastAsia="Arial" w:hAnsi="Arial"/>
                <w:sz w:val="12"/>
                <w:szCs w:val="12"/>
                <w:b w:val="1"/>
                <w:bCs w:val="1"/>
                <w:color w:val="auto"/>
              </w:rPr>
              <w:t>Awards (5)</w:t>
            </w:r>
          </w:p>
        </w:tc>
      </w:tr>
      <w:tr>
        <w:trPr>
          <w:trHeight w:val="37"/>
        </w:trPr>
        <w:tc>
          <w:tcPr>
            <w:tcW w:w="1320" w:type="dxa"/>
            <w:vAlign w:val="bottom"/>
            <w:tcBorders>
              <w:bottom w:val="single" w:sz="8" w:color="808285"/>
            </w:tcBorders>
          </w:tcPr>
          <w:p>
            <w:pPr>
              <w:spacing w:after="0"/>
              <w:rPr>
                <w:sz w:val="3"/>
                <w:szCs w:val="3"/>
                <w:color w:val="auto"/>
              </w:rPr>
            </w:pPr>
          </w:p>
        </w:tc>
        <w:tc>
          <w:tcPr>
            <w:tcW w:w="1140" w:type="dxa"/>
            <w:vAlign w:val="bottom"/>
            <w:tcBorders>
              <w:bottom w:val="single" w:sz="8" w:color="808285"/>
            </w:tcBorders>
          </w:tcPr>
          <w:p>
            <w:pPr>
              <w:spacing w:after="0"/>
              <w:rPr>
                <w:sz w:val="3"/>
                <w:szCs w:val="3"/>
                <w:color w:val="auto"/>
              </w:rPr>
            </w:pPr>
          </w:p>
        </w:tc>
        <w:tc>
          <w:tcPr>
            <w:tcW w:w="1000" w:type="dxa"/>
            <w:vAlign w:val="bottom"/>
            <w:tcBorders>
              <w:bottom w:val="single" w:sz="8" w:color="808285"/>
            </w:tcBorders>
          </w:tcPr>
          <w:p>
            <w:pPr>
              <w:spacing w:after="0"/>
              <w:rPr>
                <w:sz w:val="3"/>
                <w:szCs w:val="3"/>
                <w:color w:val="auto"/>
              </w:rPr>
            </w:pPr>
          </w:p>
        </w:tc>
        <w:tc>
          <w:tcPr>
            <w:tcW w:w="60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c>
          <w:tcPr>
            <w:tcW w:w="60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62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c>
          <w:tcPr>
            <w:tcW w:w="620" w:type="dxa"/>
            <w:vAlign w:val="bottom"/>
            <w:tcBorders>
              <w:bottom w:val="single" w:sz="8" w:color="808285"/>
            </w:tcBorders>
          </w:tcPr>
          <w:p>
            <w:pPr>
              <w:spacing w:after="0"/>
              <w:rPr>
                <w:sz w:val="3"/>
                <w:szCs w:val="3"/>
                <w:color w:val="auto"/>
              </w:rPr>
            </w:pPr>
          </w:p>
        </w:tc>
        <w:tc>
          <w:tcPr>
            <w:tcW w:w="960" w:type="dxa"/>
            <w:vAlign w:val="bottom"/>
            <w:tcBorders>
              <w:bottom w:val="single" w:sz="8" w:color="808285"/>
            </w:tcBorders>
          </w:tcPr>
          <w:p>
            <w:pPr>
              <w:spacing w:after="0"/>
              <w:rPr>
                <w:sz w:val="3"/>
                <w:szCs w:val="3"/>
                <w:color w:val="auto"/>
              </w:rPr>
            </w:pPr>
          </w:p>
        </w:tc>
        <w:tc>
          <w:tcPr>
            <w:tcW w:w="92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1000" w:type="dxa"/>
            <w:vAlign w:val="bottom"/>
            <w:tcBorders>
              <w:bottom w:val="single" w:sz="8" w:color="808285"/>
            </w:tcBorders>
          </w:tcPr>
          <w:p>
            <w:pPr>
              <w:spacing w:after="0"/>
              <w:rPr>
                <w:sz w:val="3"/>
                <w:szCs w:val="3"/>
                <w:color w:val="auto"/>
              </w:rPr>
            </w:pPr>
          </w:p>
        </w:tc>
      </w:tr>
      <w:tr>
        <w:trPr>
          <w:trHeight w:val="196"/>
        </w:trPr>
        <w:tc>
          <w:tcPr>
            <w:tcW w:w="1320" w:type="dxa"/>
            <w:vAlign w:val="bottom"/>
            <w:shd w:val="clear" w:color="auto" w:fill="E9E9E9"/>
          </w:tcPr>
          <w:p>
            <w:pPr>
              <w:spacing w:after="0"/>
              <w:rPr>
                <w:sz w:val="20"/>
                <w:szCs w:val="20"/>
                <w:color w:val="auto"/>
              </w:rPr>
            </w:pPr>
            <w:r>
              <w:rPr>
                <w:rFonts w:ascii="Arial" w:cs="Arial" w:eastAsia="Arial" w:hAnsi="Arial"/>
                <w:sz w:val="16"/>
                <w:szCs w:val="16"/>
                <w:color w:val="auto"/>
              </w:rPr>
              <w:t>R. K. Templeton</w:t>
            </w:r>
          </w:p>
        </w:tc>
        <w:tc>
          <w:tcPr>
            <w:tcW w:w="1140" w:type="dxa"/>
            <w:vAlign w:val="bottom"/>
            <w:shd w:val="clear" w:color="auto" w:fill="E9E9E9"/>
          </w:tcPr>
          <w:p>
            <w:pPr>
              <w:jc w:val="center"/>
              <w:ind w:left="64"/>
              <w:spacing w:after="0"/>
              <w:rPr>
                <w:sz w:val="20"/>
                <w:szCs w:val="20"/>
                <w:color w:val="auto"/>
              </w:rPr>
            </w:pPr>
            <w:r>
              <w:rPr>
                <w:rFonts w:ascii="Arial" w:cs="Arial" w:eastAsia="Arial" w:hAnsi="Arial"/>
                <w:sz w:val="16"/>
                <w:szCs w:val="16"/>
                <w:color w:val="auto"/>
                <w:w w:val="98"/>
              </w:rPr>
              <w:t>1/27/11 (1)</w:t>
            </w:r>
          </w:p>
        </w:tc>
        <w:tc>
          <w:tcPr>
            <w:tcW w:w="1000" w:type="dxa"/>
            <w:vAlign w:val="bottom"/>
            <w:shd w:val="clear" w:color="auto" w:fill="E9E9E9"/>
          </w:tcPr>
          <w:p>
            <w:pPr>
              <w:jc w:val="center"/>
              <w:ind w:right="45"/>
              <w:spacing w:after="0"/>
              <w:rPr>
                <w:sz w:val="20"/>
                <w:szCs w:val="20"/>
                <w:color w:val="auto"/>
              </w:rPr>
            </w:pPr>
            <w:r>
              <w:rPr>
                <w:rFonts w:ascii="Arial" w:cs="Arial" w:eastAsia="Arial" w:hAnsi="Arial"/>
                <w:sz w:val="16"/>
                <w:szCs w:val="16"/>
                <w:color w:val="auto"/>
                <w:w w:val="97"/>
              </w:rPr>
              <w:t>1/20/11</w:t>
            </w:r>
          </w:p>
        </w:tc>
        <w:tc>
          <w:tcPr>
            <w:tcW w:w="6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6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7"/>
                <w:szCs w:val="17"/>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E9E9E9"/>
          </w:tcPr>
          <w:p>
            <w:pPr>
              <w:spacing w:after="0"/>
              <w:rPr>
                <w:sz w:val="17"/>
                <w:szCs w:val="17"/>
                <w:color w:val="auto"/>
              </w:rPr>
            </w:pPr>
          </w:p>
        </w:tc>
        <w:tc>
          <w:tcPr>
            <w:tcW w:w="920" w:type="dxa"/>
            <w:vAlign w:val="bottom"/>
            <w:shd w:val="clear" w:color="auto" w:fill="E9E9E9"/>
          </w:tcPr>
          <w:p>
            <w:pPr>
              <w:ind w:left="200"/>
              <w:spacing w:after="0"/>
              <w:rPr>
                <w:sz w:val="20"/>
                <w:szCs w:val="20"/>
                <w:color w:val="auto"/>
              </w:rPr>
            </w:pPr>
            <w:r>
              <w:rPr>
                <w:rFonts w:ascii="Arial" w:cs="Arial" w:eastAsia="Arial" w:hAnsi="Arial"/>
                <w:sz w:val="16"/>
                <w:szCs w:val="16"/>
                <w:color w:val="auto"/>
              </w:rPr>
              <w:t>450,000</w:t>
            </w: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$34.63</w:t>
            </w:r>
          </w:p>
        </w:tc>
        <w:tc>
          <w:tcPr>
            <w:tcW w:w="1000" w:type="dxa"/>
            <w:vAlign w:val="bottom"/>
            <w:shd w:val="clear" w:color="auto" w:fill="E9E9E9"/>
          </w:tcPr>
          <w:p>
            <w:pPr>
              <w:jc w:val="center"/>
              <w:ind w:left="7"/>
              <w:spacing w:after="0"/>
              <w:rPr>
                <w:sz w:val="20"/>
                <w:szCs w:val="20"/>
                <w:color w:val="auto"/>
              </w:rPr>
            </w:pPr>
            <w:r>
              <w:rPr>
                <w:rFonts w:ascii="Arial" w:cs="Arial" w:eastAsia="Arial" w:hAnsi="Arial"/>
                <w:sz w:val="16"/>
                <w:szCs w:val="16"/>
                <w:color w:val="auto"/>
                <w:w w:val="99"/>
              </w:rPr>
              <w:t>$4,689,075</w:t>
            </w:r>
          </w:p>
        </w:tc>
      </w:tr>
      <w:tr>
        <w:trPr>
          <w:trHeight w:val="233"/>
        </w:trPr>
        <w:tc>
          <w:tcPr>
            <w:tcW w:w="1320" w:type="dxa"/>
            <w:vAlign w:val="bottom"/>
            <w:shd w:val="clear" w:color="auto" w:fill="E9E9E9"/>
          </w:tcPr>
          <w:p>
            <w:pPr>
              <w:spacing w:after="0"/>
              <w:rPr>
                <w:sz w:val="20"/>
                <w:szCs w:val="20"/>
                <w:color w:val="auto"/>
              </w:rPr>
            </w:pPr>
          </w:p>
        </w:tc>
        <w:tc>
          <w:tcPr>
            <w:tcW w:w="1140" w:type="dxa"/>
            <w:vAlign w:val="bottom"/>
            <w:shd w:val="clear" w:color="auto" w:fill="E9E9E9"/>
          </w:tcPr>
          <w:p>
            <w:pPr>
              <w:jc w:val="center"/>
              <w:ind w:left="64"/>
              <w:spacing w:after="0"/>
              <w:rPr>
                <w:sz w:val="20"/>
                <w:szCs w:val="20"/>
                <w:color w:val="auto"/>
              </w:rPr>
            </w:pPr>
            <w:r>
              <w:rPr>
                <w:rFonts w:ascii="Arial" w:cs="Arial" w:eastAsia="Arial" w:hAnsi="Arial"/>
                <w:sz w:val="16"/>
                <w:szCs w:val="16"/>
                <w:color w:val="auto"/>
                <w:w w:val="98"/>
              </w:rPr>
              <w:t>1/27/11 (1)</w:t>
            </w:r>
          </w:p>
        </w:tc>
        <w:tc>
          <w:tcPr>
            <w:tcW w:w="1000" w:type="dxa"/>
            <w:vAlign w:val="bottom"/>
            <w:shd w:val="clear" w:color="auto" w:fill="E9E9E9"/>
          </w:tcPr>
          <w:p>
            <w:pPr>
              <w:jc w:val="center"/>
              <w:ind w:right="45"/>
              <w:spacing w:after="0"/>
              <w:rPr>
                <w:sz w:val="20"/>
                <w:szCs w:val="20"/>
                <w:color w:val="auto"/>
              </w:rPr>
            </w:pPr>
            <w:r>
              <w:rPr>
                <w:rFonts w:ascii="Arial" w:cs="Arial" w:eastAsia="Arial" w:hAnsi="Arial"/>
                <w:sz w:val="16"/>
                <w:szCs w:val="16"/>
                <w:color w:val="auto"/>
                <w:w w:val="97"/>
              </w:rPr>
              <w:t>1/20/11</w:t>
            </w:r>
          </w:p>
        </w:tc>
        <w:tc>
          <w:tcPr>
            <w:tcW w:w="60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60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62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620" w:type="dxa"/>
            <w:vAlign w:val="bottom"/>
            <w:shd w:val="clear" w:color="auto" w:fill="E9E9E9"/>
          </w:tcPr>
          <w:p>
            <w:pPr>
              <w:spacing w:after="0"/>
              <w:rPr>
                <w:sz w:val="20"/>
                <w:szCs w:val="20"/>
                <w:color w:val="auto"/>
              </w:rPr>
            </w:pPr>
          </w:p>
        </w:tc>
        <w:tc>
          <w:tcPr>
            <w:tcW w:w="96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150,000</w:t>
            </w:r>
          </w:p>
        </w:tc>
        <w:tc>
          <w:tcPr>
            <w:tcW w:w="920" w:type="dxa"/>
            <w:vAlign w:val="bottom"/>
            <w:shd w:val="clear" w:color="auto" w:fill="E9E9E9"/>
          </w:tcPr>
          <w:p>
            <w:pPr>
              <w:spacing w:after="0"/>
              <w:rPr>
                <w:sz w:val="20"/>
                <w:szCs w:val="20"/>
                <w:color w:val="auto"/>
              </w:rPr>
            </w:pPr>
          </w:p>
        </w:tc>
        <w:tc>
          <w:tcPr>
            <w:tcW w:w="820" w:type="dxa"/>
            <w:vAlign w:val="bottom"/>
            <w:shd w:val="clear" w:color="auto" w:fill="E9E9E9"/>
          </w:tcPr>
          <w:p>
            <w:pPr>
              <w:spacing w:after="0"/>
              <w:rPr>
                <w:sz w:val="20"/>
                <w:szCs w:val="20"/>
                <w:color w:val="auto"/>
              </w:rPr>
            </w:pPr>
          </w:p>
        </w:tc>
        <w:tc>
          <w:tcPr>
            <w:tcW w:w="1000" w:type="dxa"/>
            <w:vAlign w:val="bottom"/>
            <w:shd w:val="clear" w:color="auto" w:fill="E9E9E9"/>
          </w:tcPr>
          <w:p>
            <w:pPr>
              <w:jc w:val="center"/>
              <w:ind w:left="7"/>
              <w:spacing w:after="0"/>
              <w:rPr>
                <w:sz w:val="20"/>
                <w:szCs w:val="20"/>
                <w:color w:val="auto"/>
              </w:rPr>
            </w:pPr>
            <w:r>
              <w:rPr>
                <w:rFonts w:ascii="Arial" w:cs="Arial" w:eastAsia="Arial" w:hAnsi="Arial"/>
                <w:sz w:val="16"/>
                <w:szCs w:val="16"/>
                <w:color w:val="auto"/>
                <w:w w:val="99"/>
              </w:rPr>
              <w:t>$5,194,500</w:t>
            </w:r>
          </w:p>
        </w:tc>
      </w:tr>
      <w:tr>
        <w:trPr>
          <w:trHeight w:val="204"/>
        </w:trPr>
        <w:tc>
          <w:tcPr>
            <w:tcW w:w="1320" w:type="dxa"/>
            <w:vAlign w:val="bottom"/>
          </w:tcPr>
          <w:p>
            <w:pPr>
              <w:spacing w:after="0"/>
              <w:rPr>
                <w:sz w:val="20"/>
                <w:szCs w:val="20"/>
                <w:color w:val="auto"/>
              </w:rPr>
            </w:pPr>
            <w:r>
              <w:rPr>
                <w:rFonts w:ascii="Arial" w:cs="Arial" w:eastAsia="Arial" w:hAnsi="Arial"/>
                <w:sz w:val="16"/>
                <w:szCs w:val="16"/>
                <w:color w:val="auto"/>
              </w:rPr>
              <w:t>K. P. March</w:t>
            </w:r>
          </w:p>
        </w:tc>
        <w:tc>
          <w:tcPr>
            <w:tcW w:w="1140" w:type="dxa"/>
            <w:vAlign w:val="bottom"/>
          </w:tcPr>
          <w:p>
            <w:pPr>
              <w:jc w:val="center"/>
              <w:ind w:left="64"/>
              <w:spacing w:after="0"/>
              <w:rPr>
                <w:sz w:val="20"/>
                <w:szCs w:val="20"/>
                <w:color w:val="auto"/>
              </w:rPr>
            </w:pPr>
            <w:r>
              <w:rPr>
                <w:rFonts w:ascii="Arial" w:cs="Arial" w:eastAsia="Arial" w:hAnsi="Arial"/>
                <w:sz w:val="16"/>
                <w:szCs w:val="16"/>
                <w:color w:val="auto"/>
                <w:w w:val="98"/>
              </w:rPr>
              <w:t>1/27/11 (1)</w:t>
            </w:r>
          </w:p>
        </w:tc>
        <w:tc>
          <w:tcPr>
            <w:tcW w:w="1000" w:type="dxa"/>
            <w:vAlign w:val="bottom"/>
          </w:tcPr>
          <w:p>
            <w:pPr>
              <w:jc w:val="center"/>
              <w:ind w:right="45"/>
              <w:spacing w:after="0"/>
              <w:rPr>
                <w:sz w:val="20"/>
                <w:szCs w:val="20"/>
                <w:color w:val="auto"/>
              </w:rPr>
            </w:pPr>
            <w:r>
              <w:rPr>
                <w:rFonts w:ascii="Arial" w:cs="Arial" w:eastAsia="Arial" w:hAnsi="Arial"/>
                <w:sz w:val="16"/>
                <w:szCs w:val="16"/>
                <w:color w:val="auto"/>
                <w:w w:val="97"/>
              </w:rPr>
              <w:t>1/20/11</w:t>
            </w: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Arial" w:cs="Arial" w:eastAsia="Arial" w:hAnsi="Arial"/>
                <w:sz w:val="16"/>
                <w:szCs w:val="16"/>
                <w:color w:val="auto"/>
              </w:rPr>
              <w:t>137,500</w:t>
            </w:r>
          </w:p>
        </w:tc>
        <w:tc>
          <w:tcPr>
            <w:tcW w:w="820" w:type="dxa"/>
            <w:vAlign w:val="bottom"/>
          </w:tcPr>
          <w:p>
            <w:pPr>
              <w:jc w:val="right"/>
              <w:ind w:right="52"/>
              <w:spacing w:after="0"/>
              <w:rPr>
                <w:sz w:val="20"/>
                <w:szCs w:val="20"/>
                <w:color w:val="auto"/>
              </w:rPr>
            </w:pPr>
            <w:r>
              <w:rPr>
                <w:rFonts w:ascii="Arial" w:cs="Arial" w:eastAsia="Arial" w:hAnsi="Arial"/>
                <w:sz w:val="16"/>
                <w:szCs w:val="16"/>
                <w:color w:val="auto"/>
              </w:rPr>
              <w:t>$34.63</w:t>
            </w:r>
          </w:p>
        </w:tc>
        <w:tc>
          <w:tcPr>
            <w:tcW w:w="1000" w:type="dxa"/>
            <w:vAlign w:val="bottom"/>
          </w:tcPr>
          <w:p>
            <w:pPr>
              <w:jc w:val="center"/>
              <w:ind w:left="7"/>
              <w:spacing w:after="0"/>
              <w:rPr>
                <w:sz w:val="20"/>
                <w:szCs w:val="20"/>
                <w:color w:val="auto"/>
              </w:rPr>
            </w:pPr>
            <w:r>
              <w:rPr>
                <w:rFonts w:ascii="Arial" w:cs="Arial" w:eastAsia="Arial" w:hAnsi="Arial"/>
                <w:sz w:val="16"/>
                <w:szCs w:val="16"/>
                <w:color w:val="auto"/>
                <w:w w:val="99"/>
              </w:rPr>
              <w:t>$1,432,773</w:t>
            </w:r>
          </w:p>
        </w:tc>
      </w:tr>
      <w:tr>
        <w:trPr>
          <w:trHeight w:val="226"/>
        </w:trPr>
        <w:tc>
          <w:tcPr>
            <w:tcW w:w="1320" w:type="dxa"/>
            <w:vAlign w:val="bottom"/>
          </w:tcPr>
          <w:p>
            <w:pPr>
              <w:spacing w:after="0"/>
              <w:rPr>
                <w:sz w:val="19"/>
                <w:szCs w:val="19"/>
                <w:color w:val="auto"/>
              </w:rPr>
            </w:pPr>
          </w:p>
        </w:tc>
        <w:tc>
          <w:tcPr>
            <w:tcW w:w="1140" w:type="dxa"/>
            <w:vAlign w:val="bottom"/>
          </w:tcPr>
          <w:p>
            <w:pPr>
              <w:jc w:val="center"/>
              <w:ind w:left="64"/>
              <w:spacing w:after="0"/>
              <w:rPr>
                <w:sz w:val="20"/>
                <w:szCs w:val="20"/>
                <w:color w:val="auto"/>
              </w:rPr>
            </w:pPr>
            <w:r>
              <w:rPr>
                <w:rFonts w:ascii="Arial" w:cs="Arial" w:eastAsia="Arial" w:hAnsi="Arial"/>
                <w:sz w:val="16"/>
                <w:szCs w:val="16"/>
                <w:color w:val="auto"/>
                <w:w w:val="98"/>
              </w:rPr>
              <w:t>1/27/11 (1)</w:t>
            </w:r>
          </w:p>
        </w:tc>
        <w:tc>
          <w:tcPr>
            <w:tcW w:w="1000" w:type="dxa"/>
            <w:vAlign w:val="bottom"/>
          </w:tcPr>
          <w:p>
            <w:pPr>
              <w:jc w:val="center"/>
              <w:ind w:right="45"/>
              <w:spacing w:after="0"/>
              <w:rPr>
                <w:sz w:val="20"/>
                <w:szCs w:val="20"/>
                <w:color w:val="auto"/>
              </w:rPr>
            </w:pPr>
            <w:r>
              <w:rPr>
                <w:rFonts w:ascii="Arial" w:cs="Arial" w:eastAsia="Arial" w:hAnsi="Arial"/>
                <w:sz w:val="16"/>
                <w:szCs w:val="16"/>
                <w:color w:val="auto"/>
                <w:w w:val="97"/>
              </w:rPr>
              <w:t>1/20/11</w:t>
            </w: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6"/>
                <w:szCs w:val="16"/>
                <w:color w:val="auto"/>
              </w:rPr>
              <w:t>45,834</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jc w:val="center"/>
              <w:ind w:left="7"/>
              <w:spacing w:after="0"/>
              <w:rPr>
                <w:sz w:val="20"/>
                <w:szCs w:val="20"/>
                <w:color w:val="auto"/>
              </w:rPr>
            </w:pPr>
            <w:r>
              <w:rPr>
                <w:rFonts w:ascii="Arial" w:cs="Arial" w:eastAsia="Arial" w:hAnsi="Arial"/>
                <w:sz w:val="16"/>
                <w:szCs w:val="16"/>
                <w:color w:val="auto"/>
                <w:w w:val="99"/>
              </w:rPr>
              <w:t>$1,587,231</w:t>
            </w:r>
          </w:p>
        </w:tc>
      </w:tr>
      <w:tr>
        <w:trPr>
          <w:trHeight w:val="211"/>
        </w:trPr>
        <w:tc>
          <w:tcPr>
            <w:tcW w:w="1320" w:type="dxa"/>
            <w:vAlign w:val="bottom"/>
            <w:shd w:val="clear" w:color="auto" w:fill="E9E9E9"/>
          </w:tcPr>
          <w:p>
            <w:pPr>
              <w:spacing w:after="0"/>
              <w:rPr>
                <w:sz w:val="20"/>
                <w:szCs w:val="20"/>
                <w:color w:val="auto"/>
              </w:rPr>
            </w:pPr>
            <w:r>
              <w:rPr>
                <w:rFonts w:ascii="Arial" w:cs="Arial" w:eastAsia="Arial" w:hAnsi="Arial"/>
                <w:sz w:val="16"/>
                <w:szCs w:val="16"/>
                <w:color w:val="auto"/>
              </w:rPr>
              <w:t>G. A. Lowe</w:t>
            </w:r>
          </w:p>
        </w:tc>
        <w:tc>
          <w:tcPr>
            <w:tcW w:w="1140" w:type="dxa"/>
            <w:vAlign w:val="bottom"/>
            <w:shd w:val="clear" w:color="auto" w:fill="E9E9E9"/>
          </w:tcPr>
          <w:p>
            <w:pPr>
              <w:jc w:val="center"/>
              <w:ind w:left="64"/>
              <w:spacing w:after="0"/>
              <w:rPr>
                <w:sz w:val="20"/>
                <w:szCs w:val="20"/>
                <w:color w:val="auto"/>
              </w:rPr>
            </w:pPr>
            <w:r>
              <w:rPr>
                <w:rFonts w:ascii="Arial" w:cs="Arial" w:eastAsia="Arial" w:hAnsi="Arial"/>
                <w:sz w:val="16"/>
                <w:szCs w:val="16"/>
                <w:color w:val="auto"/>
                <w:w w:val="98"/>
              </w:rPr>
              <w:t>1/27/11 (1)</w:t>
            </w:r>
          </w:p>
        </w:tc>
        <w:tc>
          <w:tcPr>
            <w:tcW w:w="1000" w:type="dxa"/>
            <w:vAlign w:val="bottom"/>
            <w:shd w:val="clear" w:color="auto" w:fill="E9E9E9"/>
          </w:tcPr>
          <w:p>
            <w:pPr>
              <w:jc w:val="center"/>
              <w:ind w:right="45"/>
              <w:spacing w:after="0"/>
              <w:rPr>
                <w:sz w:val="20"/>
                <w:szCs w:val="20"/>
                <w:color w:val="auto"/>
              </w:rPr>
            </w:pPr>
            <w:r>
              <w:rPr>
                <w:rFonts w:ascii="Arial" w:cs="Arial" w:eastAsia="Arial" w:hAnsi="Arial"/>
                <w:sz w:val="16"/>
                <w:szCs w:val="16"/>
                <w:color w:val="auto"/>
                <w:w w:val="97"/>
              </w:rPr>
              <w:t>1/20/11</w:t>
            </w:r>
          </w:p>
        </w:tc>
        <w:tc>
          <w:tcPr>
            <w:tcW w:w="6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6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8"/>
                <w:szCs w:val="18"/>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E9E9E9"/>
          </w:tcPr>
          <w:p>
            <w:pPr>
              <w:spacing w:after="0"/>
              <w:rPr>
                <w:sz w:val="18"/>
                <w:szCs w:val="18"/>
                <w:color w:val="auto"/>
              </w:rPr>
            </w:pPr>
          </w:p>
        </w:tc>
        <w:tc>
          <w:tcPr>
            <w:tcW w:w="920" w:type="dxa"/>
            <w:vAlign w:val="bottom"/>
            <w:shd w:val="clear" w:color="auto" w:fill="E9E9E9"/>
          </w:tcPr>
          <w:p>
            <w:pPr>
              <w:ind w:left="200"/>
              <w:spacing w:after="0"/>
              <w:rPr>
                <w:sz w:val="20"/>
                <w:szCs w:val="20"/>
                <w:color w:val="auto"/>
              </w:rPr>
            </w:pPr>
            <w:r>
              <w:rPr>
                <w:rFonts w:ascii="Arial" w:cs="Arial" w:eastAsia="Arial" w:hAnsi="Arial"/>
                <w:sz w:val="16"/>
                <w:szCs w:val="16"/>
                <w:color w:val="auto"/>
              </w:rPr>
              <w:t>185,000</w:t>
            </w: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$34.63</w:t>
            </w:r>
          </w:p>
        </w:tc>
        <w:tc>
          <w:tcPr>
            <w:tcW w:w="1000" w:type="dxa"/>
            <w:vAlign w:val="bottom"/>
            <w:shd w:val="clear" w:color="auto" w:fill="E9E9E9"/>
          </w:tcPr>
          <w:p>
            <w:pPr>
              <w:jc w:val="center"/>
              <w:ind w:left="7"/>
              <w:spacing w:after="0"/>
              <w:rPr>
                <w:sz w:val="20"/>
                <w:szCs w:val="20"/>
                <w:color w:val="auto"/>
              </w:rPr>
            </w:pPr>
            <w:r>
              <w:rPr>
                <w:rFonts w:ascii="Arial" w:cs="Arial" w:eastAsia="Arial" w:hAnsi="Arial"/>
                <w:sz w:val="16"/>
                <w:szCs w:val="16"/>
                <w:color w:val="auto"/>
                <w:w w:val="99"/>
              </w:rPr>
              <w:t>$1,927,731</w:t>
            </w:r>
          </w:p>
        </w:tc>
      </w:tr>
      <w:tr>
        <w:trPr>
          <w:trHeight w:val="233"/>
        </w:trPr>
        <w:tc>
          <w:tcPr>
            <w:tcW w:w="1320" w:type="dxa"/>
            <w:vAlign w:val="bottom"/>
            <w:shd w:val="clear" w:color="auto" w:fill="E9E9E9"/>
          </w:tcPr>
          <w:p>
            <w:pPr>
              <w:spacing w:after="0"/>
              <w:rPr>
                <w:sz w:val="20"/>
                <w:szCs w:val="20"/>
                <w:color w:val="auto"/>
              </w:rPr>
            </w:pPr>
          </w:p>
        </w:tc>
        <w:tc>
          <w:tcPr>
            <w:tcW w:w="1140" w:type="dxa"/>
            <w:vAlign w:val="bottom"/>
            <w:shd w:val="clear" w:color="auto" w:fill="E9E9E9"/>
          </w:tcPr>
          <w:p>
            <w:pPr>
              <w:jc w:val="center"/>
              <w:ind w:left="64"/>
              <w:spacing w:after="0"/>
              <w:rPr>
                <w:sz w:val="20"/>
                <w:szCs w:val="20"/>
                <w:color w:val="auto"/>
              </w:rPr>
            </w:pPr>
            <w:r>
              <w:rPr>
                <w:rFonts w:ascii="Arial" w:cs="Arial" w:eastAsia="Arial" w:hAnsi="Arial"/>
                <w:sz w:val="16"/>
                <w:szCs w:val="16"/>
                <w:color w:val="auto"/>
                <w:w w:val="98"/>
              </w:rPr>
              <w:t>1/27/11 (1)</w:t>
            </w:r>
          </w:p>
        </w:tc>
        <w:tc>
          <w:tcPr>
            <w:tcW w:w="1000" w:type="dxa"/>
            <w:vAlign w:val="bottom"/>
            <w:shd w:val="clear" w:color="auto" w:fill="E9E9E9"/>
          </w:tcPr>
          <w:p>
            <w:pPr>
              <w:jc w:val="center"/>
              <w:ind w:right="45"/>
              <w:spacing w:after="0"/>
              <w:rPr>
                <w:sz w:val="20"/>
                <w:szCs w:val="20"/>
                <w:color w:val="auto"/>
              </w:rPr>
            </w:pPr>
            <w:r>
              <w:rPr>
                <w:rFonts w:ascii="Arial" w:cs="Arial" w:eastAsia="Arial" w:hAnsi="Arial"/>
                <w:sz w:val="16"/>
                <w:szCs w:val="16"/>
                <w:color w:val="auto"/>
                <w:w w:val="97"/>
              </w:rPr>
              <w:t>1/20/11</w:t>
            </w:r>
          </w:p>
        </w:tc>
        <w:tc>
          <w:tcPr>
            <w:tcW w:w="60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60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62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620" w:type="dxa"/>
            <w:vAlign w:val="bottom"/>
            <w:shd w:val="clear" w:color="auto" w:fill="E9E9E9"/>
          </w:tcPr>
          <w:p>
            <w:pPr>
              <w:spacing w:after="0"/>
              <w:rPr>
                <w:sz w:val="20"/>
                <w:szCs w:val="20"/>
                <w:color w:val="auto"/>
              </w:rPr>
            </w:pPr>
          </w:p>
        </w:tc>
        <w:tc>
          <w:tcPr>
            <w:tcW w:w="96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61,667</w:t>
            </w:r>
          </w:p>
        </w:tc>
        <w:tc>
          <w:tcPr>
            <w:tcW w:w="920" w:type="dxa"/>
            <w:vAlign w:val="bottom"/>
            <w:shd w:val="clear" w:color="auto" w:fill="E9E9E9"/>
          </w:tcPr>
          <w:p>
            <w:pPr>
              <w:spacing w:after="0"/>
              <w:rPr>
                <w:sz w:val="20"/>
                <w:szCs w:val="20"/>
                <w:color w:val="auto"/>
              </w:rPr>
            </w:pPr>
          </w:p>
        </w:tc>
        <w:tc>
          <w:tcPr>
            <w:tcW w:w="820" w:type="dxa"/>
            <w:vAlign w:val="bottom"/>
            <w:shd w:val="clear" w:color="auto" w:fill="E9E9E9"/>
          </w:tcPr>
          <w:p>
            <w:pPr>
              <w:spacing w:after="0"/>
              <w:rPr>
                <w:sz w:val="20"/>
                <w:szCs w:val="20"/>
                <w:color w:val="auto"/>
              </w:rPr>
            </w:pPr>
          </w:p>
        </w:tc>
        <w:tc>
          <w:tcPr>
            <w:tcW w:w="1000" w:type="dxa"/>
            <w:vAlign w:val="bottom"/>
            <w:shd w:val="clear" w:color="auto" w:fill="E9E9E9"/>
          </w:tcPr>
          <w:p>
            <w:pPr>
              <w:jc w:val="center"/>
              <w:ind w:left="7"/>
              <w:spacing w:after="0"/>
              <w:rPr>
                <w:sz w:val="20"/>
                <w:szCs w:val="20"/>
                <w:color w:val="auto"/>
              </w:rPr>
            </w:pPr>
            <w:r>
              <w:rPr>
                <w:rFonts w:ascii="Arial" w:cs="Arial" w:eastAsia="Arial" w:hAnsi="Arial"/>
                <w:sz w:val="16"/>
                <w:szCs w:val="16"/>
                <w:color w:val="auto"/>
                <w:w w:val="99"/>
              </w:rPr>
              <w:t>$2,135,528</w:t>
            </w:r>
          </w:p>
        </w:tc>
      </w:tr>
      <w:tr>
        <w:trPr>
          <w:trHeight w:val="204"/>
        </w:trPr>
        <w:tc>
          <w:tcPr>
            <w:tcW w:w="1320" w:type="dxa"/>
            <w:vAlign w:val="bottom"/>
          </w:tcPr>
          <w:p>
            <w:pPr>
              <w:spacing w:after="0"/>
              <w:rPr>
                <w:sz w:val="20"/>
                <w:szCs w:val="20"/>
                <w:color w:val="auto"/>
              </w:rPr>
            </w:pPr>
            <w:r>
              <w:rPr>
                <w:rFonts w:ascii="Arial" w:cs="Arial" w:eastAsia="Arial" w:hAnsi="Arial"/>
                <w:sz w:val="16"/>
                <w:szCs w:val="16"/>
                <w:color w:val="auto"/>
              </w:rPr>
              <w:t>K. J. Ritchie</w:t>
            </w:r>
          </w:p>
        </w:tc>
        <w:tc>
          <w:tcPr>
            <w:tcW w:w="1140" w:type="dxa"/>
            <w:vAlign w:val="bottom"/>
          </w:tcPr>
          <w:p>
            <w:pPr>
              <w:jc w:val="center"/>
              <w:ind w:left="64"/>
              <w:spacing w:after="0"/>
              <w:rPr>
                <w:sz w:val="20"/>
                <w:szCs w:val="20"/>
                <w:color w:val="auto"/>
              </w:rPr>
            </w:pPr>
            <w:r>
              <w:rPr>
                <w:rFonts w:ascii="Arial" w:cs="Arial" w:eastAsia="Arial" w:hAnsi="Arial"/>
                <w:sz w:val="16"/>
                <w:szCs w:val="16"/>
                <w:color w:val="auto"/>
                <w:w w:val="98"/>
              </w:rPr>
              <w:t>1/27/11 (1)</w:t>
            </w:r>
          </w:p>
        </w:tc>
        <w:tc>
          <w:tcPr>
            <w:tcW w:w="1000" w:type="dxa"/>
            <w:vAlign w:val="bottom"/>
          </w:tcPr>
          <w:p>
            <w:pPr>
              <w:jc w:val="center"/>
              <w:ind w:right="45"/>
              <w:spacing w:after="0"/>
              <w:rPr>
                <w:sz w:val="20"/>
                <w:szCs w:val="20"/>
                <w:color w:val="auto"/>
              </w:rPr>
            </w:pPr>
            <w:r>
              <w:rPr>
                <w:rFonts w:ascii="Arial" w:cs="Arial" w:eastAsia="Arial" w:hAnsi="Arial"/>
                <w:sz w:val="16"/>
                <w:szCs w:val="16"/>
                <w:color w:val="auto"/>
                <w:w w:val="97"/>
              </w:rPr>
              <w:t>1/20/11</w:t>
            </w: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Arial" w:cs="Arial" w:eastAsia="Arial" w:hAnsi="Arial"/>
                <w:sz w:val="16"/>
                <w:szCs w:val="16"/>
                <w:color w:val="auto"/>
              </w:rPr>
              <w:t>162,500</w:t>
            </w:r>
          </w:p>
        </w:tc>
        <w:tc>
          <w:tcPr>
            <w:tcW w:w="820" w:type="dxa"/>
            <w:vAlign w:val="bottom"/>
          </w:tcPr>
          <w:p>
            <w:pPr>
              <w:jc w:val="right"/>
              <w:ind w:right="52"/>
              <w:spacing w:after="0"/>
              <w:rPr>
                <w:sz w:val="20"/>
                <w:szCs w:val="20"/>
                <w:color w:val="auto"/>
              </w:rPr>
            </w:pPr>
            <w:r>
              <w:rPr>
                <w:rFonts w:ascii="Arial" w:cs="Arial" w:eastAsia="Arial" w:hAnsi="Arial"/>
                <w:sz w:val="16"/>
                <w:szCs w:val="16"/>
                <w:color w:val="auto"/>
              </w:rPr>
              <w:t>$34.63</w:t>
            </w:r>
          </w:p>
        </w:tc>
        <w:tc>
          <w:tcPr>
            <w:tcW w:w="1000" w:type="dxa"/>
            <w:vAlign w:val="bottom"/>
          </w:tcPr>
          <w:p>
            <w:pPr>
              <w:jc w:val="center"/>
              <w:ind w:left="7"/>
              <w:spacing w:after="0"/>
              <w:rPr>
                <w:sz w:val="20"/>
                <w:szCs w:val="20"/>
                <w:color w:val="auto"/>
              </w:rPr>
            </w:pPr>
            <w:r>
              <w:rPr>
                <w:rFonts w:ascii="Arial" w:cs="Arial" w:eastAsia="Arial" w:hAnsi="Arial"/>
                <w:sz w:val="16"/>
                <w:szCs w:val="16"/>
                <w:color w:val="auto"/>
                <w:w w:val="99"/>
              </w:rPr>
              <w:t>$1,693,277</w:t>
            </w:r>
          </w:p>
        </w:tc>
      </w:tr>
      <w:tr>
        <w:trPr>
          <w:trHeight w:val="226"/>
        </w:trPr>
        <w:tc>
          <w:tcPr>
            <w:tcW w:w="1320" w:type="dxa"/>
            <w:vAlign w:val="bottom"/>
          </w:tcPr>
          <w:p>
            <w:pPr>
              <w:spacing w:after="0"/>
              <w:rPr>
                <w:sz w:val="19"/>
                <w:szCs w:val="19"/>
                <w:color w:val="auto"/>
              </w:rPr>
            </w:pPr>
          </w:p>
        </w:tc>
        <w:tc>
          <w:tcPr>
            <w:tcW w:w="1140" w:type="dxa"/>
            <w:vAlign w:val="bottom"/>
          </w:tcPr>
          <w:p>
            <w:pPr>
              <w:jc w:val="center"/>
              <w:ind w:left="64"/>
              <w:spacing w:after="0"/>
              <w:rPr>
                <w:sz w:val="20"/>
                <w:szCs w:val="20"/>
                <w:color w:val="auto"/>
              </w:rPr>
            </w:pPr>
            <w:r>
              <w:rPr>
                <w:rFonts w:ascii="Arial" w:cs="Arial" w:eastAsia="Arial" w:hAnsi="Arial"/>
                <w:sz w:val="16"/>
                <w:szCs w:val="16"/>
                <w:color w:val="auto"/>
                <w:w w:val="98"/>
              </w:rPr>
              <w:t>1/27/11 (1)</w:t>
            </w:r>
          </w:p>
        </w:tc>
        <w:tc>
          <w:tcPr>
            <w:tcW w:w="1000" w:type="dxa"/>
            <w:vAlign w:val="bottom"/>
          </w:tcPr>
          <w:p>
            <w:pPr>
              <w:jc w:val="center"/>
              <w:ind w:right="45"/>
              <w:spacing w:after="0"/>
              <w:rPr>
                <w:sz w:val="20"/>
                <w:szCs w:val="20"/>
                <w:color w:val="auto"/>
              </w:rPr>
            </w:pPr>
            <w:r>
              <w:rPr>
                <w:rFonts w:ascii="Arial" w:cs="Arial" w:eastAsia="Arial" w:hAnsi="Arial"/>
                <w:sz w:val="16"/>
                <w:szCs w:val="16"/>
                <w:color w:val="auto"/>
                <w:w w:val="97"/>
              </w:rPr>
              <w:t>1/20/11</w:t>
            </w: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6"/>
                <w:szCs w:val="16"/>
                <w:color w:val="auto"/>
              </w:rPr>
              <w:t>54,167</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jc w:val="center"/>
              <w:ind w:left="7"/>
              <w:spacing w:after="0"/>
              <w:rPr>
                <w:sz w:val="20"/>
                <w:szCs w:val="20"/>
                <w:color w:val="auto"/>
              </w:rPr>
            </w:pPr>
            <w:r>
              <w:rPr>
                <w:rFonts w:ascii="Arial" w:cs="Arial" w:eastAsia="Arial" w:hAnsi="Arial"/>
                <w:sz w:val="16"/>
                <w:szCs w:val="16"/>
                <w:color w:val="auto"/>
                <w:w w:val="99"/>
              </w:rPr>
              <w:t>$1,875,803</w:t>
            </w:r>
          </w:p>
        </w:tc>
      </w:tr>
      <w:tr>
        <w:trPr>
          <w:trHeight w:val="211"/>
        </w:trPr>
        <w:tc>
          <w:tcPr>
            <w:tcW w:w="132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1140" w:type="dxa"/>
            <w:vAlign w:val="bottom"/>
            <w:shd w:val="clear" w:color="auto" w:fill="E9E9E9"/>
          </w:tcPr>
          <w:p>
            <w:pPr>
              <w:jc w:val="center"/>
              <w:ind w:left="64"/>
              <w:spacing w:after="0"/>
              <w:rPr>
                <w:sz w:val="20"/>
                <w:szCs w:val="20"/>
                <w:color w:val="auto"/>
              </w:rPr>
            </w:pPr>
            <w:r>
              <w:rPr>
                <w:rFonts w:ascii="Arial" w:cs="Arial" w:eastAsia="Arial" w:hAnsi="Arial"/>
                <w:sz w:val="16"/>
                <w:szCs w:val="16"/>
                <w:color w:val="auto"/>
                <w:w w:val="98"/>
              </w:rPr>
              <w:t>1/27/11 (1)</w:t>
            </w:r>
          </w:p>
        </w:tc>
        <w:tc>
          <w:tcPr>
            <w:tcW w:w="1000" w:type="dxa"/>
            <w:vAlign w:val="bottom"/>
            <w:shd w:val="clear" w:color="auto" w:fill="E9E9E9"/>
          </w:tcPr>
          <w:p>
            <w:pPr>
              <w:jc w:val="center"/>
              <w:ind w:right="45"/>
              <w:spacing w:after="0"/>
              <w:rPr>
                <w:sz w:val="20"/>
                <w:szCs w:val="20"/>
                <w:color w:val="auto"/>
              </w:rPr>
            </w:pPr>
            <w:r>
              <w:rPr>
                <w:rFonts w:ascii="Arial" w:cs="Arial" w:eastAsia="Arial" w:hAnsi="Arial"/>
                <w:sz w:val="16"/>
                <w:szCs w:val="16"/>
                <w:color w:val="auto"/>
                <w:w w:val="97"/>
              </w:rPr>
              <w:t>1/20/11</w:t>
            </w:r>
          </w:p>
        </w:tc>
        <w:tc>
          <w:tcPr>
            <w:tcW w:w="6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5"/>
              </w:rPr>
              <w:t>*</w:t>
            </w:r>
          </w:p>
        </w:tc>
        <w:tc>
          <w:tcPr>
            <w:tcW w:w="60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8"/>
                <w:szCs w:val="18"/>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E9E9E9"/>
          </w:tcPr>
          <w:p>
            <w:pPr>
              <w:spacing w:after="0"/>
              <w:rPr>
                <w:sz w:val="18"/>
                <w:szCs w:val="18"/>
                <w:color w:val="auto"/>
              </w:rPr>
            </w:pPr>
          </w:p>
        </w:tc>
        <w:tc>
          <w:tcPr>
            <w:tcW w:w="920" w:type="dxa"/>
            <w:vAlign w:val="bottom"/>
            <w:shd w:val="clear" w:color="auto" w:fill="E9E9E9"/>
          </w:tcPr>
          <w:p>
            <w:pPr>
              <w:ind w:left="200"/>
              <w:spacing w:after="0"/>
              <w:rPr>
                <w:sz w:val="20"/>
                <w:szCs w:val="20"/>
                <w:color w:val="auto"/>
              </w:rPr>
            </w:pPr>
            <w:r>
              <w:rPr>
                <w:rFonts w:ascii="Arial" w:cs="Arial" w:eastAsia="Arial" w:hAnsi="Arial"/>
                <w:sz w:val="16"/>
                <w:szCs w:val="16"/>
                <w:color w:val="auto"/>
              </w:rPr>
              <w:t>162,500</w:t>
            </w: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$34.63</w:t>
            </w:r>
          </w:p>
        </w:tc>
        <w:tc>
          <w:tcPr>
            <w:tcW w:w="1000" w:type="dxa"/>
            <w:vAlign w:val="bottom"/>
            <w:shd w:val="clear" w:color="auto" w:fill="E9E9E9"/>
          </w:tcPr>
          <w:p>
            <w:pPr>
              <w:jc w:val="center"/>
              <w:ind w:left="7"/>
              <w:spacing w:after="0"/>
              <w:rPr>
                <w:sz w:val="20"/>
                <w:szCs w:val="20"/>
                <w:color w:val="auto"/>
              </w:rPr>
            </w:pPr>
            <w:r>
              <w:rPr>
                <w:rFonts w:ascii="Arial" w:cs="Arial" w:eastAsia="Arial" w:hAnsi="Arial"/>
                <w:sz w:val="16"/>
                <w:szCs w:val="16"/>
                <w:color w:val="auto"/>
                <w:w w:val="99"/>
              </w:rPr>
              <w:t>$1,693,277</w:t>
            </w:r>
          </w:p>
        </w:tc>
      </w:tr>
      <w:tr>
        <w:trPr>
          <w:trHeight w:val="233"/>
        </w:trPr>
        <w:tc>
          <w:tcPr>
            <w:tcW w:w="1320" w:type="dxa"/>
            <w:vAlign w:val="bottom"/>
            <w:shd w:val="clear" w:color="auto" w:fill="E9E9E9"/>
          </w:tcPr>
          <w:p>
            <w:pPr>
              <w:spacing w:after="0"/>
              <w:rPr>
                <w:sz w:val="20"/>
                <w:szCs w:val="20"/>
                <w:color w:val="auto"/>
              </w:rPr>
            </w:pPr>
          </w:p>
        </w:tc>
        <w:tc>
          <w:tcPr>
            <w:tcW w:w="1140" w:type="dxa"/>
            <w:vAlign w:val="bottom"/>
            <w:shd w:val="clear" w:color="auto" w:fill="E9E9E9"/>
          </w:tcPr>
          <w:p>
            <w:pPr>
              <w:jc w:val="center"/>
              <w:ind w:left="64"/>
              <w:spacing w:after="0"/>
              <w:rPr>
                <w:sz w:val="20"/>
                <w:szCs w:val="20"/>
                <w:color w:val="auto"/>
              </w:rPr>
            </w:pPr>
            <w:r>
              <w:rPr>
                <w:rFonts w:ascii="Arial" w:cs="Arial" w:eastAsia="Arial" w:hAnsi="Arial"/>
                <w:sz w:val="16"/>
                <w:szCs w:val="16"/>
                <w:color w:val="auto"/>
                <w:w w:val="98"/>
              </w:rPr>
              <w:t>1/27/11 (1)</w:t>
            </w:r>
          </w:p>
        </w:tc>
        <w:tc>
          <w:tcPr>
            <w:tcW w:w="1000" w:type="dxa"/>
            <w:vAlign w:val="bottom"/>
            <w:shd w:val="clear" w:color="auto" w:fill="E9E9E9"/>
          </w:tcPr>
          <w:p>
            <w:pPr>
              <w:jc w:val="center"/>
              <w:ind w:right="45"/>
              <w:spacing w:after="0"/>
              <w:rPr>
                <w:sz w:val="20"/>
                <w:szCs w:val="20"/>
                <w:color w:val="auto"/>
              </w:rPr>
            </w:pPr>
            <w:r>
              <w:rPr>
                <w:rFonts w:ascii="Arial" w:cs="Arial" w:eastAsia="Arial" w:hAnsi="Arial"/>
                <w:sz w:val="16"/>
                <w:szCs w:val="16"/>
                <w:color w:val="auto"/>
                <w:w w:val="97"/>
              </w:rPr>
              <w:t>1/20/11</w:t>
            </w:r>
          </w:p>
        </w:tc>
        <w:tc>
          <w:tcPr>
            <w:tcW w:w="60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60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62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620" w:type="dxa"/>
            <w:vAlign w:val="bottom"/>
            <w:shd w:val="clear" w:color="auto" w:fill="E9E9E9"/>
          </w:tcPr>
          <w:p>
            <w:pPr>
              <w:spacing w:after="0"/>
              <w:rPr>
                <w:sz w:val="20"/>
                <w:szCs w:val="20"/>
                <w:color w:val="auto"/>
              </w:rPr>
            </w:pPr>
          </w:p>
        </w:tc>
        <w:tc>
          <w:tcPr>
            <w:tcW w:w="96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54,167</w:t>
            </w:r>
          </w:p>
        </w:tc>
        <w:tc>
          <w:tcPr>
            <w:tcW w:w="920" w:type="dxa"/>
            <w:vAlign w:val="bottom"/>
            <w:shd w:val="clear" w:color="auto" w:fill="E9E9E9"/>
          </w:tcPr>
          <w:p>
            <w:pPr>
              <w:spacing w:after="0"/>
              <w:rPr>
                <w:sz w:val="20"/>
                <w:szCs w:val="20"/>
                <w:color w:val="auto"/>
              </w:rPr>
            </w:pPr>
          </w:p>
        </w:tc>
        <w:tc>
          <w:tcPr>
            <w:tcW w:w="820" w:type="dxa"/>
            <w:vAlign w:val="bottom"/>
            <w:shd w:val="clear" w:color="auto" w:fill="E9E9E9"/>
          </w:tcPr>
          <w:p>
            <w:pPr>
              <w:spacing w:after="0"/>
              <w:rPr>
                <w:sz w:val="20"/>
                <w:szCs w:val="20"/>
                <w:color w:val="auto"/>
              </w:rPr>
            </w:pPr>
          </w:p>
        </w:tc>
        <w:tc>
          <w:tcPr>
            <w:tcW w:w="1000" w:type="dxa"/>
            <w:vAlign w:val="bottom"/>
            <w:shd w:val="clear" w:color="auto" w:fill="E9E9E9"/>
          </w:tcPr>
          <w:p>
            <w:pPr>
              <w:jc w:val="center"/>
              <w:ind w:left="7"/>
              <w:spacing w:after="0"/>
              <w:rPr>
                <w:sz w:val="20"/>
                <w:szCs w:val="20"/>
                <w:color w:val="auto"/>
              </w:rPr>
            </w:pPr>
            <w:r>
              <w:rPr>
                <w:rFonts w:ascii="Arial" w:cs="Arial" w:eastAsia="Arial" w:hAnsi="Arial"/>
                <w:sz w:val="16"/>
                <w:szCs w:val="16"/>
                <w:color w:val="auto"/>
                <w:w w:val="99"/>
              </w:rPr>
              <w:t>$1,875,803</w:t>
            </w:r>
          </w:p>
        </w:tc>
      </w:tr>
    </w:tbl>
    <w:p>
      <w:pPr>
        <w:spacing w:after="0" w:line="221" w:lineRule="exact"/>
        <w:rPr>
          <w:sz w:val="20"/>
          <w:szCs w:val="20"/>
          <w:color w:val="auto"/>
        </w:rPr>
      </w:pPr>
    </w:p>
    <w:p>
      <w:pPr>
        <w:ind w:left="443" w:right="140" w:hanging="443"/>
        <w:spacing w:after="0" w:line="264" w:lineRule="auto"/>
        <w:tabs>
          <w:tab w:leader="none" w:pos="443" w:val="left"/>
        </w:tabs>
        <w:numPr>
          <w:ilvl w:val="0"/>
          <w:numId w:val="27"/>
        </w:numPr>
        <w:rPr>
          <w:rFonts w:ascii="Arial" w:cs="Arial" w:eastAsia="Arial" w:hAnsi="Arial"/>
          <w:sz w:val="15"/>
          <w:szCs w:val="15"/>
          <w:color w:val="auto"/>
        </w:rPr>
      </w:pPr>
      <w:r>
        <w:rPr>
          <w:rFonts w:ascii="Arial" w:cs="Arial" w:eastAsia="Arial" w:hAnsi="Arial"/>
          <w:sz w:val="15"/>
          <w:szCs w:val="15"/>
          <w:color w:val="auto"/>
        </w:rPr>
        <w:t>TI did not use formulas or pre-set thresholds or multiples to determine incentive awards. Under the terms of the Executive Officer Performance Plan, each named executive officer is eligible to receive a cash bonus equal to 0.5 percent of the company’s consolidated income (as defined in the plan). However, the Compensation Committee has the discretion to set bonuses at a lower level if it decides it is appropriate to do so. The committee decided to do so for 2011.</w:t>
      </w:r>
    </w:p>
    <w:p>
      <w:pPr>
        <w:spacing w:after="0" w:line="195" w:lineRule="exact"/>
        <w:rPr>
          <w:sz w:val="20"/>
          <w:szCs w:val="20"/>
          <w:color w:val="auto"/>
        </w:rPr>
      </w:pPr>
    </w:p>
    <w:p>
      <w:pPr>
        <w:ind w:left="443" w:right="40" w:hanging="443"/>
        <w:spacing w:after="0" w:line="243" w:lineRule="auto"/>
        <w:tabs>
          <w:tab w:leader="none" w:pos="4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accordance with the grant policy of the Compensation Committee of the board (described on page 76), the grants became effective on the third trading day after the company released its financial results for the fourth quarter and year 2010. The company released these results on January 24, 2011.</w:t>
      </w:r>
    </w:p>
    <w:p>
      <w:pPr>
        <w:spacing w:after="0" w:line="209" w:lineRule="exact"/>
        <w:rPr>
          <w:rFonts w:ascii="Arial" w:cs="Arial" w:eastAsia="Arial" w:hAnsi="Arial"/>
          <w:sz w:val="16"/>
          <w:szCs w:val="16"/>
          <w:color w:val="auto"/>
        </w:rPr>
      </w:pPr>
    </w:p>
    <w:p>
      <w:pPr>
        <w:ind w:left="443" w:right="500" w:hanging="443"/>
        <w:spacing w:after="0" w:line="243" w:lineRule="auto"/>
        <w:tabs>
          <w:tab w:leader="none" w:pos="4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stock awards granted to the named executive officers in 2011 were RSU awards. These awards were made under the company’s 2009 Long-Term Incentive Plan. For information on the terms and conditions of these RSU awards, please see the discussion beginning on page 84.</w:t>
      </w:r>
    </w:p>
    <w:p>
      <w:pPr>
        <w:spacing w:after="0" w:line="209" w:lineRule="exact"/>
        <w:rPr>
          <w:rFonts w:ascii="Arial" w:cs="Arial" w:eastAsia="Arial" w:hAnsi="Arial"/>
          <w:sz w:val="16"/>
          <w:szCs w:val="16"/>
          <w:color w:val="auto"/>
        </w:rPr>
      </w:pPr>
    </w:p>
    <w:p>
      <w:pPr>
        <w:ind w:left="443" w:right="100" w:hanging="443"/>
        <w:spacing w:after="0" w:line="243" w:lineRule="auto"/>
        <w:tabs>
          <w:tab w:leader="none" w:pos="4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options were granted under the company’s 2009 Long-Term Incentive Plan. For information on the terms and conditions of these options, please see the discussion on page 84.</w:t>
      </w:r>
    </w:p>
    <w:p>
      <w:pPr>
        <w:spacing w:after="0" w:line="209" w:lineRule="exact"/>
        <w:rPr>
          <w:rFonts w:ascii="Arial" w:cs="Arial" w:eastAsia="Arial" w:hAnsi="Arial"/>
          <w:sz w:val="16"/>
          <w:szCs w:val="16"/>
          <w:color w:val="auto"/>
        </w:rPr>
      </w:pPr>
    </w:p>
    <w:p>
      <w:pPr>
        <w:ind w:left="443" w:hanging="443"/>
        <w:spacing w:after="0"/>
        <w:tabs>
          <w:tab w:leader="none" w:pos="4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exercise price of the options is the closing price of TI common stock on January 27, 2011.</w:t>
      </w:r>
    </w:p>
    <w:p>
      <w:pPr>
        <w:spacing w:after="0" w:line="216" w:lineRule="exact"/>
        <w:rPr>
          <w:rFonts w:ascii="Arial" w:cs="Arial" w:eastAsia="Arial" w:hAnsi="Arial"/>
          <w:sz w:val="16"/>
          <w:szCs w:val="16"/>
          <w:color w:val="auto"/>
        </w:rPr>
      </w:pPr>
    </w:p>
    <w:p>
      <w:pPr>
        <w:ind w:left="443" w:right="120" w:hanging="443"/>
        <w:spacing w:after="0" w:line="275" w:lineRule="auto"/>
        <w:tabs>
          <w:tab w:leader="none" w:pos="443" w:val="left"/>
        </w:tabs>
        <w:numPr>
          <w:ilvl w:val="0"/>
          <w:numId w:val="28"/>
        </w:numPr>
        <w:rPr>
          <w:rFonts w:ascii="Arial" w:cs="Arial" w:eastAsia="Arial" w:hAnsi="Arial"/>
          <w:sz w:val="15"/>
          <w:szCs w:val="15"/>
          <w:color w:val="auto"/>
        </w:rPr>
      </w:pPr>
      <w:r>
        <w:rPr>
          <w:rFonts w:ascii="Arial" w:cs="Arial" w:eastAsia="Arial" w:hAnsi="Arial"/>
          <w:sz w:val="15"/>
          <w:szCs w:val="15"/>
          <w:color w:val="auto"/>
        </w:rPr>
        <w:t>Shown is the aggregate grant date fair value computed in accordance with ASC 718 for stock and option awards in 2011. The discussion of the assumptions used for purposes of the valuation appears in note 5 of Exhibit 13 to TI’s annual report on Form 10-K for the year ended December 31, 2011.</w:t>
      </w:r>
    </w:p>
    <w:p>
      <w:pPr>
        <w:spacing w:after="0" w:line="187" w:lineRule="exact"/>
        <w:rPr>
          <w:sz w:val="20"/>
          <w:szCs w:val="20"/>
          <w:color w:val="auto"/>
        </w:rPr>
      </w:pPr>
    </w:p>
    <w:p>
      <w:pPr>
        <w:ind w:left="243"/>
        <w:spacing w:after="0"/>
        <w:rPr>
          <w:sz w:val="20"/>
          <w:szCs w:val="20"/>
          <w:color w:val="auto"/>
        </w:rPr>
      </w:pPr>
      <w:r>
        <w:rPr>
          <w:rFonts w:ascii="Arial" w:cs="Arial" w:eastAsia="Arial" w:hAnsi="Arial"/>
          <w:sz w:val="16"/>
          <w:szCs w:val="16"/>
          <w:color w:val="auto"/>
        </w:rPr>
        <w:t>None of the options or other equity awards granted to the named executive officers was repriced or modified by the company.</w:t>
      </w:r>
    </w:p>
    <w:p>
      <w:pPr>
        <w:spacing w:after="0" w:line="228"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For additional information regarding TI’s equity compensation grant practices, please see the Compensation Discussion and Analysis on pages 70, 72-73 and</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76.</w:t>
      </w:r>
    </w:p>
    <w:p>
      <w:pPr>
        <w:spacing w:after="0" w:line="211" w:lineRule="exact"/>
        <w:rPr>
          <w:sz w:val="20"/>
          <w:szCs w:val="20"/>
          <w:color w:val="auto"/>
        </w:rPr>
      </w:pPr>
    </w:p>
    <w:p>
      <w:pPr>
        <w:ind w:left="3"/>
        <w:spacing w:after="0"/>
        <w:tabs>
          <w:tab w:leader="none" w:pos="960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35" w:right="21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Outstanding equity awards at fiscal year-end 2011</w:t>
      </w:r>
    </w:p>
    <w:p>
      <w:pPr>
        <w:spacing w:after="0" w:line="23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shows the outstanding equity awards for each of the named executive officers as of December 31, 2011.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ind w:left="40"/>
              <w:spacing w:after="0"/>
              <w:rPr>
                <w:sz w:val="20"/>
                <w:szCs w:val="20"/>
                <w:color w:val="auto"/>
              </w:rPr>
            </w:pPr>
            <w:r>
              <w:rPr>
                <w:rFonts w:ascii="Arial" w:cs="Arial" w:eastAsia="Arial" w:hAnsi="Arial"/>
                <w:sz w:val="12"/>
                <w:szCs w:val="12"/>
                <w:b w:val="1"/>
                <w:bCs w:val="1"/>
                <w:color w:val="auto"/>
              </w:rPr>
              <w:t>Option Awards</w:t>
            </w: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80" w:type="dxa"/>
            <w:vAlign w:val="bottom"/>
            <w:gridSpan w:val="2"/>
          </w:tcPr>
          <w:p>
            <w:pPr>
              <w:ind w:left="580"/>
              <w:spacing w:after="0"/>
              <w:rPr>
                <w:sz w:val="20"/>
                <w:szCs w:val="20"/>
                <w:color w:val="auto"/>
              </w:rPr>
            </w:pPr>
            <w:r>
              <w:rPr>
                <w:rFonts w:ascii="Arial" w:cs="Arial" w:eastAsia="Arial" w:hAnsi="Arial"/>
                <w:sz w:val="12"/>
                <w:szCs w:val="12"/>
                <w:b w:val="1"/>
                <w:bCs w:val="1"/>
                <w:color w:val="auto"/>
              </w:rPr>
              <w:t>Stock Awards</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
        </w:trPr>
        <w:tc>
          <w:tcPr>
            <w:tcW w:w="2520" w:type="dxa"/>
            <w:vAlign w:val="bottom"/>
          </w:tcPr>
          <w:p>
            <w:pPr>
              <w:spacing w:after="0"/>
              <w:rPr>
                <w:sz w:val="3"/>
                <w:szCs w:val="3"/>
                <w:color w:val="auto"/>
              </w:rPr>
            </w:pPr>
          </w:p>
        </w:tc>
        <w:tc>
          <w:tcPr>
            <w:tcW w:w="1000" w:type="dxa"/>
            <w:vAlign w:val="bottom"/>
            <w:tcBorders>
              <w:bottom w:val="single" w:sz="8" w:color="808285"/>
            </w:tcBorders>
          </w:tcPr>
          <w:p>
            <w:pPr>
              <w:spacing w:after="0"/>
              <w:rPr>
                <w:sz w:val="3"/>
                <w:szCs w:val="3"/>
                <w:color w:val="auto"/>
              </w:rPr>
            </w:pPr>
          </w:p>
        </w:tc>
        <w:tc>
          <w:tcPr>
            <w:tcW w:w="64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940" w:type="dxa"/>
            <w:vAlign w:val="bottom"/>
            <w:tcBorders>
              <w:bottom w:val="single" w:sz="8" w:color="808285"/>
            </w:tcBorders>
          </w:tcPr>
          <w:p>
            <w:pPr>
              <w:spacing w:after="0"/>
              <w:rPr>
                <w:sz w:val="3"/>
                <w:szCs w:val="3"/>
                <w:color w:val="auto"/>
              </w:rPr>
            </w:pPr>
          </w:p>
        </w:tc>
        <w:tc>
          <w:tcPr>
            <w:tcW w:w="1000" w:type="dxa"/>
            <w:vAlign w:val="bottom"/>
            <w:tcBorders>
              <w:bottom w:val="single" w:sz="8" w:color="808285"/>
            </w:tcBorders>
          </w:tcPr>
          <w:p>
            <w:pPr>
              <w:spacing w:after="0"/>
              <w:rPr>
                <w:sz w:val="3"/>
                <w:szCs w:val="3"/>
                <w:color w:val="auto"/>
              </w:rPr>
            </w:pPr>
          </w:p>
        </w:tc>
        <w:tc>
          <w:tcPr>
            <w:tcW w:w="880" w:type="dxa"/>
            <w:vAlign w:val="bottom"/>
            <w:tcBorders>
              <w:bottom w:val="single" w:sz="8" w:color="808285"/>
            </w:tcBorders>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Borders>
              <w:bottom w:val="single" w:sz="8" w:color="808285"/>
            </w:tcBorders>
          </w:tcPr>
          <w:p>
            <w:pPr>
              <w:spacing w:after="0"/>
              <w:rPr>
                <w:sz w:val="3"/>
                <w:szCs w:val="3"/>
                <w:color w:val="auto"/>
              </w:rPr>
            </w:pPr>
          </w:p>
        </w:tc>
        <w:tc>
          <w:tcPr>
            <w:tcW w:w="360" w:type="dxa"/>
            <w:vAlign w:val="bottom"/>
            <w:tcBorders>
              <w:bottom w:val="single" w:sz="8" w:color="808285"/>
            </w:tcBorders>
          </w:tcPr>
          <w:p>
            <w:pPr>
              <w:spacing w:after="0"/>
              <w:rPr>
                <w:sz w:val="3"/>
                <w:szCs w:val="3"/>
                <w:color w:val="auto"/>
              </w:rPr>
            </w:pPr>
          </w:p>
        </w:tc>
        <w:tc>
          <w:tcPr>
            <w:tcW w:w="1140" w:type="dxa"/>
            <w:vAlign w:val="bottom"/>
            <w:tcBorders>
              <w:bottom w:val="single" w:sz="8" w:color="808285"/>
            </w:tcBorders>
          </w:tcPr>
          <w:p>
            <w:pPr>
              <w:spacing w:after="0"/>
              <w:rPr>
                <w:sz w:val="3"/>
                <w:szCs w:val="3"/>
                <w:color w:val="auto"/>
              </w:rPr>
            </w:pPr>
          </w:p>
        </w:tc>
        <w:tc>
          <w:tcPr>
            <w:tcW w:w="940" w:type="dxa"/>
            <w:vAlign w:val="bottom"/>
            <w:tcBorders>
              <w:bottom w:val="single" w:sz="8" w:color="808285"/>
            </w:tcBorders>
          </w:tcPr>
          <w:p>
            <w:pPr>
              <w:spacing w:after="0"/>
              <w:rPr>
                <w:sz w:val="3"/>
                <w:szCs w:val="3"/>
                <w:color w:val="auto"/>
              </w:rPr>
            </w:pPr>
          </w:p>
        </w:tc>
        <w:tc>
          <w:tcPr>
            <w:tcW w:w="900" w:type="dxa"/>
            <w:vAlign w:val="bottom"/>
            <w:tcBorders>
              <w:bottom w:val="single" w:sz="8" w:color="808285"/>
            </w:tcBorders>
          </w:tcPr>
          <w:p>
            <w:pPr>
              <w:spacing w:after="0"/>
              <w:rPr>
                <w:sz w:val="3"/>
                <w:szCs w:val="3"/>
                <w:color w:val="auto"/>
              </w:rPr>
            </w:pPr>
          </w:p>
        </w:tc>
        <w:tc>
          <w:tcPr>
            <w:tcW w:w="20" w:type="dxa"/>
            <w:vAlign w:val="bottom"/>
          </w:tcPr>
          <w:p>
            <w:pPr>
              <w:spacing w:after="0"/>
              <w:rPr>
                <w:sz w:val="3"/>
                <w:szCs w:val="3"/>
                <w:color w:val="auto"/>
              </w:rPr>
            </w:pPr>
          </w:p>
        </w:tc>
      </w:tr>
      <w:tr>
        <w:trPr>
          <w:trHeight w:val="174"/>
        </w:trPr>
        <w:tc>
          <w:tcPr>
            <w:tcW w:w="2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8"/>
              </w:rPr>
              <w:t>Equity</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8"/>
        </w:trPr>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Incentive</w:t>
            </w:r>
          </w:p>
        </w:tc>
        <w:tc>
          <w:tcPr>
            <w:tcW w:w="920" w:type="dxa"/>
            <w:vAlign w:val="bottom"/>
            <w:gridSpan w:val="2"/>
          </w:tcPr>
          <w:p>
            <w:pPr>
              <w:jc w:val="center"/>
              <w:ind w:left="7"/>
              <w:spacing w:after="0"/>
              <w:rPr>
                <w:sz w:val="20"/>
                <w:szCs w:val="20"/>
                <w:color w:val="auto"/>
              </w:rPr>
            </w:pPr>
            <w:r>
              <w:rPr>
                <w:rFonts w:ascii="Arial" w:cs="Arial" w:eastAsia="Arial" w:hAnsi="Arial"/>
                <w:sz w:val="12"/>
                <w:szCs w:val="12"/>
                <w:b w:val="1"/>
                <w:bCs w:val="1"/>
                <w:color w:val="auto"/>
                <w:w w:val="98"/>
              </w:rPr>
              <w:t>Equity</w:t>
            </w:r>
          </w:p>
        </w:tc>
      </w:tr>
      <w:tr>
        <w:trPr>
          <w:trHeight w:val="218"/>
        </w:trPr>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center"/>
              <w:ind w:left="147"/>
              <w:spacing w:after="0"/>
              <w:rPr>
                <w:sz w:val="20"/>
                <w:szCs w:val="20"/>
                <w:color w:val="auto"/>
              </w:rPr>
            </w:pPr>
            <w:r>
              <w:rPr>
                <w:rFonts w:ascii="Arial" w:cs="Arial" w:eastAsia="Arial" w:hAnsi="Arial"/>
                <w:sz w:val="12"/>
                <w:szCs w:val="12"/>
                <w:b w:val="1"/>
                <w:bCs w:val="1"/>
                <w:color w:val="auto"/>
                <w:w w:val="98"/>
              </w:rPr>
              <w:t>Equity</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4"/>
              </w:rPr>
              <w:t>Plan</w:t>
            </w:r>
          </w:p>
        </w:tc>
        <w:tc>
          <w:tcPr>
            <w:tcW w:w="920" w:type="dxa"/>
            <w:vAlign w:val="bottom"/>
            <w:gridSpan w:val="2"/>
          </w:tcPr>
          <w:p>
            <w:pPr>
              <w:jc w:val="center"/>
              <w:ind w:left="7"/>
              <w:spacing w:after="0"/>
              <w:rPr>
                <w:sz w:val="20"/>
                <w:szCs w:val="20"/>
                <w:color w:val="auto"/>
              </w:rPr>
            </w:pPr>
            <w:r>
              <w:rPr>
                <w:rFonts w:ascii="Arial" w:cs="Arial" w:eastAsia="Arial" w:hAnsi="Arial"/>
                <w:sz w:val="12"/>
                <w:szCs w:val="12"/>
                <w:b w:val="1"/>
                <w:bCs w:val="1"/>
                <w:color w:val="auto"/>
                <w:w w:val="99"/>
              </w:rPr>
              <w:t>Incentive</w:t>
            </w:r>
          </w:p>
        </w:tc>
      </w:tr>
      <w:tr>
        <w:trPr>
          <w:trHeight w:val="218"/>
        </w:trPr>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center"/>
              <w:ind w:left="147"/>
              <w:spacing w:after="0"/>
              <w:rPr>
                <w:sz w:val="20"/>
                <w:szCs w:val="20"/>
                <w:color w:val="auto"/>
              </w:rPr>
            </w:pPr>
            <w:r>
              <w:rPr>
                <w:rFonts w:ascii="Arial" w:cs="Arial" w:eastAsia="Arial" w:hAnsi="Arial"/>
                <w:sz w:val="12"/>
                <w:szCs w:val="12"/>
                <w:b w:val="1"/>
                <w:bCs w:val="1"/>
                <w:color w:val="auto"/>
                <w:w w:val="99"/>
              </w:rPr>
              <w:t>Incentive</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920" w:type="dxa"/>
            <w:vAlign w:val="bottom"/>
            <w:gridSpan w:val="2"/>
          </w:tcPr>
          <w:p>
            <w:pPr>
              <w:jc w:val="center"/>
              <w:ind w:left="7"/>
              <w:spacing w:after="0"/>
              <w:rPr>
                <w:sz w:val="20"/>
                <w:szCs w:val="20"/>
                <w:color w:val="auto"/>
              </w:rPr>
            </w:pPr>
            <w:r>
              <w:rPr>
                <w:rFonts w:ascii="Arial" w:cs="Arial" w:eastAsia="Arial" w:hAnsi="Arial"/>
                <w:sz w:val="12"/>
                <w:szCs w:val="12"/>
                <w:b w:val="1"/>
                <w:bCs w:val="1"/>
                <w:color w:val="auto"/>
                <w:w w:val="99"/>
              </w:rPr>
              <w:t>Plan Awards:</w:t>
            </w:r>
          </w:p>
        </w:tc>
      </w:tr>
      <w:tr>
        <w:trPr>
          <w:trHeight w:val="218"/>
        </w:trPr>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center"/>
              <w:ind w:left="147"/>
              <w:spacing w:after="0"/>
              <w:rPr>
                <w:sz w:val="20"/>
                <w:szCs w:val="20"/>
                <w:color w:val="auto"/>
              </w:rPr>
            </w:pPr>
            <w:r>
              <w:rPr>
                <w:rFonts w:ascii="Arial" w:cs="Arial" w:eastAsia="Arial" w:hAnsi="Arial"/>
                <w:sz w:val="12"/>
                <w:szCs w:val="12"/>
                <w:b w:val="1"/>
                <w:bCs w:val="1"/>
                <w:color w:val="auto"/>
                <w:w w:val="94"/>
              </w:rPr>
              <w:t>Plan</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920" w:type="dxa"/>
            <w:vAlign w:val="bottom"/>
            <w:gridSpan w:val="2"/>
          </w:tcPr>
          <w:p>
            <w:pPr>
              <w:jc w:val="center"/>
              <w:ind w:left="27"/>
              <w:spacing w:after="0"/>
              <w:rPr>
                <w:sz w:val="20"/>
                <w:szCs w:val="20"/>
                <w:color w:val="auto"/>
              </w:rPr>
            </w:pPr>
            <w:r>
              <w:rPr>
                <w:rFonts w:ascii="Arial" w:cs="Arial" w:eastAsia="Arial" w:hAnsi="Arial"/>
                <w:sz w:val="12"/>
                <w:szCs w:val="12"/>
                <w:b w:val="1"/>
                <w:bCs w:val="1"/>
                <w:color w:val="auto"/>
                <w:w w:val="99"/>
              </w:rPr>
              <w:t>Market or</w:t>
            </w:r>
          </w:p>
        </w:tc>
      </w:tr>
      <w:tr>
        <w:trPr>
          <w:trHeight w:val="218"/>
        </w:trPr>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center"/>
              <w:ind w:left="147"/>
              <w:spacing w:after="0"/>
              <w:rPr>
                <w:sz w:val="20"/>
                <w:szCs w:val="20"/>
                <w:color w:val="auto"/>
              </w:rPr>
            </w:pPr>
            <w:r>
              <w:rPr>
                <w:rFonts w:ascii="Arial" w:cs="Arial" w:eastAsia="Arial" w:hAnsi="Arial"/>
                <w:sz w:val="12"/>
                <w:szCs w:val="12"/>
                <w:b w:val="1"/>
                <w:bCs w:val="1"/>
                <w:color w:val="auto"/>
              </w:rPr>
              <w:t>Awards:</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Unearned</w:t>
            </w:r>
          </w:p>
        </w:tc>
        <w:tc>
          <w:tcPr>
            <w:tcW w:w="920" w:type="dxa"/>
            <w:vAlign w:val="bottom"/>
            <w:gridSpan w:val="2"/>
          </w:tcPr>
          <w:p>
            <w:pPr>
              <w:jc w:val="center"/>
              <w:ind w:left="7"/>
              <w:spacing w:after="0"/>
              <w:rPr>
                <w:sz w:val="20"/>
                <w:szCs w:val="20"/>
                <w:color w:val="auto"/>
              </w:rPr>
            </w:pPr>
            <w:r>
              <w:rPr>
                <w:rFonts w:ascii="Arial" w:cs="Arial" w:eastAsia="Arial" w:hAnsi="Arial"/>
                <w:sz w:val="12"/>
                <w:szCs w:val="12"/>
                <w:b w:val="1"/>
                <w:bCs w:val="1"/>
                <w:color w:val="auto"/>
              </w:rPr>
              <w:t>Payout Value</w:t>
            </w:r>
          </w:p>
        </w:tc>
      </w:tr>
      <w:tr>
        <w:trPr>
          <w:trHeight w:val="218"/>
        </w:trPr>
        <w:tc>
          <w:tcPr>
            <w:tcW w:w="2520" w:type="dxa"/>
            <w:vAlign w:val="bottom"/>
          </w:tcPr>
          <w:p>
            <w:pPr>
              <w:spacing w:after="0"/>
              <w:rPr>
                <w:sz w:val="18"/>
                <w:szCs w:val="18"/>
                <w:color w:val="auto"/>
              </w:rPr>
            </w:pPr>
          </w:p>
        </w:tc>
        <w:tc>
          <w:tcPr>
            <w:tcW w:w="1000" w:type="dxa"/>
            <w:vAlign w:val="bottom"/>
          </w:tcPr>
          <w:p>
            <w:pPr>
              <w:jc w:val="center"/>
              <w:ind w:right="205"/>
              <w:spacing w:after="0"/>
              <w:rPr>
                <w:sz w:val="20"/>
                <w:szCs w:val="20"/>
                <w:color w:val="auto"/>
              </w:rPr>
            </w:pPr>
            <w:r>
              <w:rPr>
                <w:rFonts w:ascii="Arial" w:cs="Arial" w:eastAsia="Arial" w:hAnsi="Arial"/>
                <w:sz w:val="12"/>
                <w:szCs w:val="12"/>
                <w:b w:val="1"/>
                <w:bCs w:val="1"/>
                <w:color w:val="auto"/>
                <w:w w:val="99"/>
              </w:rPr>
              <w:t>Number of</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940" w:type="dxa"/>
            <w:vAlign w:val="bottom"/>
          </w:tcPr>
          <w:p>
            <w:pPr>
              <w:jc w:val="center"/>
              <w:ind w:left="147"/>
              <w:spacing w:after="0"/>
              <w:rPr>
                <w:sz w:val="20"/>
                <w:szCs w:val="20"/>
                <w:color w:val="auto"/>
              </w:rPr>
            </w:pPr>
            <w:r>
              <w:rPr>
                <w:rFonts w:ascii="Arial" w:cs="Arial" w:eastAsia="Arial" w:hAnsi="Arial"/>
                <w:sz w:val="12"/>
                <w:szCs w:val="12"/>
                <w:b w:val="1"/>
                <w:bCs w:val="1"/>
                <w:color w:val="auto"/>
                <w:w w:val="99"/>
              </w:rPr>
              <w:t>Number of</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9"/>
              </w:rPr>
              <w:t>Market Value</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Shares,</w:t>
            </w:r>
          </w:p>
        </w:tc>
        <w:tc>
          <w:tcPr>
            <w:tcW w:w="920" w:type="dxa"/>
            <w:vAlign w:val="bottom"/>
            <w:gridSpan w:val="2"/>
          </w:tcPr>
          <w:p>
            <w:pPr>
              <w:jc w:val="center"/>
              <w:ind w:left="7"/>
              <w:spacing w:after="0"/>
              <w:rPr>
                <w:sz w:val="20"/>
                <w:szCs w:val="20"/>
                <w:color w:val="auto"/>
              </w:rPr>
            </w:pPr>
            <w:r>
              <w:rPr>
                <w:rFonts w:ascii="Arial" w:cs="Arial" w:eastAsia="Arial" w:hAnsi="Arial"/>
                <w:sz w:val="12"/>
                <w:szCs w:val="12"/>
                <w:b w:val="1"/>
                <w:bCs w:val="1"/>
                <w:color w:val="auto"/>
              </w:rPr>
              <w:t>of Unearned</w:t>
            </w:r>
          </w:p>
        </w:tc>
      </w:tr>
      <w:tr>
        <w:trPr>
          <w:trHeight w:val="218"/>
        </w:trPr>
        <w:tc>
          <w:tcPr>
            <w:tcW w:w="2520" w:type="dxa"/>
            <w:vAlign w:val="bottom"/>
          </w:tcPr>
          <w:p>
            <w:pPr>
              <w:spacing w:after="0"/>
              <w:rPr>
                <w:sz w:val="18"/>
                <w:szCs w:val="18"/>
                <w:color w:val="auto"/>
              </w:rPr>
            </w:pPr>
          </w:p>
        </w:tc>
        <w:tc>
          <w:tcPr>
            <w:tcW w:w="1000" w:type="dxa"/>
            <w:vAlign w:val="bottom"/>
          </w:tcPr>
          <w:p>
            <w:pPr>
              <w:jc w:val="center"/>
              <w:ind w:right="185"/>
              <w:spacing w:after="0"/>
              <w:rPr>
                <w:sz w:val="20"/>
                <w:szCs w:val="20"/>
                <w:color w:val="auto"/>
              </w:rPr>
            </w:pPr>
            <w:r>
              <w:rPr>
                <w:rFonts w:ascii="Arial" w:cs="Arial" w:eastAsia="Arial" w:hAnsi="Arial"/>
                <w:sz w:val="12"/>
                <w:szCs w:val="12"/>
                <w:b w:val="1"/>
                <w:bCs w:val="1"/>
                <w:color w:val="auto"/>
              </w:rPr>
              <w:t>Securities</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rPr>
              <w:t>Securities</w:t>
            </w:r>
          </w:p>
        </w:tc>
        <w:tc>
          <w:tcPr>
            <w:tcW w:w="940" w:type="dxa"/>
            <w:vAlign w:val="bottom"/>
          </w:tcPr>
          <w:p>
            <w:pPr>
              <w:jc w:val="center"/>
              <w:ind w:left="167"/>
              <w:spacing w:after="0"/>
              <w:rPr>
                <w:sz w:val="20"/>
                <w:szCs w:val="20"/>
                <w:color w:val="auto"/>
              </w:rPr>
            </w:pPr>
            <w:r>
              <w:rPr>
                <w:rFonts w:ascii="Arial" w:cs="Arial" w:eastAsia="Arial" w:hAnsi="Arial"/>
                <w:sz w:val="12"/>
                <w:szCs w:val="12"/>
                <w:b w:val="1"/>
                <w:bCs w:val="1"/>
                <w:color w:val="auto"/>
              </w:rPr>
              <w:t>Securities</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81"/>
              <w:spacing w:after="0"/>
              <w:rPr>
                <w:sz w:val="20"/>
                <w:szCs w:val="20"/>
                <w:color w:val="auto"/>
              </w:rPr>
            </w:pPr>
            <w:r>
              <w:rPr>
                <w:rFonts w:ascii="Arial" w:cs="Arial" w:eastAsia="Arial" w:hAnsi="Arial"/>
                <w:sz w:val="12"/>
                <w:szCs w:val="12"/>
                <w:b w:val="1"/>
                <w:bCs w:val="1"/>
                <w:color w:val="auto"/>
                <w:w w:val="99"/>
              </w:rPr>
              <w:t>Number of</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9"/>
              </w:rPr>
              <w:t>of Shares or</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6"/>
              </w:rPr>
              <w:t>Units or</w:t>
            </w:r>
          </w:p>
        </w:tc>
        <w:tc>
          <w:tcPr>
            <w:tcW w:w="920" w:type="dxa"/>
            <w:vAlign w:val="bottom"/>
            <w:gridSpan w:val="2"/>
          </w:tcPr>
          <w:p>
            <w:pPr>
              <w:jc w:val="center"/>
              <w:ind w:left="27"/>
              <w:spacing w:after="0"/>
              <w:rPr>
                <w:sz w:val="20"/>
                <w:szCs w:val="20"/>
                <w:color w:val="auto"/>
              </w:rPr>
            </w:pPr>
            <w:r>
              <w:rPr>
                <w:rFonts w:ascii="Arial" w:cs="Arial" w:eastAsia="Arial" w:hAnsi="Arial"/>
                <w:sz w:val="12"/>
                <w:szCs w:val="12"/>
                <w:b w:val="1"/>
                <w:bCs w:val="1"/>
                <w:color w:val="auto"/>
              </w:rPr>
              <w:t>Shares, Units</w:t>
            </w:r>
          </w:p>
        </w:tc>
      </w:tr>
      <w:tr>
        <w:trPr>
          <w:trHeight w:val="218"/>
        </w:trPr>
        <w:tc>
          <w:tcPr>
            <w:tcW w:w="2520" w:type="dxa"/>
            <w:vAlign w:val="bottom"/>
          </w:tcPr>
          <w:p>
            <w:pPr>
              <w:spacing w:after="0"/>
              <w:rPr>
                <w:sz w:val="18"/>
                <w:szCs w:val="18"/>
                <w:color w:val="auto"/>
              </w:rPr>
            </w:pPr>
          </w:p>
        </w:tc>
        <w:tc>
          <w:tcPr>
            <w:tcW w:w="1000" w:type="dxa"/>
            <w:vAlign w:val="bottom"/>
          </w:tcPr>
          <w:p>
            <w:pPr>
              <w:jc w:val="center"/>
              <w:ind w:right="205"/>
              <w:spacing w:after="0"/>
              <w:rPr>
                <w:sz w:val="20"/>
                <w:szCs w:val="20"/>
                <w:color w:val="auto"/>
              </w:rPr>
            </w:pPr>
            <w:r>
              <w:rPr>
                <w:rFonts w:ascii="Arial" w:cs="Arial" w:eastAsia="Arial" w:hAnsi="Arial"/>
                <w:sz w:val="12"/>
                <w:szCs w:val="12"/>
                <w:b w:val="1"/>
                <w:bCs w:val="1"/>
                <w:color w:val="auto"/>
              </w:rPr>
              <w:t>Underlying</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Underlying</w:t>
            </w:r>
          </w:p>
        </w:tc>
        <w:tc>
          <w:tcPr>
            <w:tcW w:w="940" w:type="dxa"/>
            <w:vAlign w:val="bottom"/>
          </w:tcPr>
          <w:p>
            <w:pPr>
              <w:jc w:val="center"/>
              <w:ind w:left="147"/>
              <w:spacing w:after="0"/>
              <w:rPr>
                <w:sz w:val="20"/>
                <w:szCs w:val="20"/>
                <w:color w:val="auto"/>
              </w:rPr>
            </w:pPr>
            <w:r>
              <w:rPr>
                <w:rFonts w:ascii="Arial" w:cs="Arial" w:eastAsia="Arial" w:hAnsi="Arial"/>
                <w:sz w:val="12"/>
                <w:szCs w:val="12"/>
                <w:b w:val="1"/>
                <w:bCs w:val="1"/>
                <w:color w:val="auto"/>
              </w:rPr>
              <w:t>Underlying</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81"/>
              <w:spacing w:after="0"/>
              <w:rPr>
                <w:sz w:val="20"/>
                <w:szCs w:val="20"/>
                <w:color w:val="auto"/>
              </w:rPr>
            </w:pPr>
            <w:r>
              <w:rPr>
                <w:rFonts w:ascii="Arial" w:cs="Arial" w:eastAsia="Arial" w:hAnsi="Arial"/>
                <w:sz w:val="12"/>
                <w:szCs w:val="12"/>
                <w:b w:val="1"/>
                <w:bCs w:val="1"/>
                <w:color w:val="auto"/>
              </w:rPr>
              <w:t>Shares or</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Units of Stock</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Other</w:t>
            </w:r>
          </w:p>
        </w:tc>
        <w:tc>
          <w:tcPr>
            <w:tcW w:w="920" w:type="dxa"/>
            <w:vAlign w:val="bottom"/>
            <w:gridSpan w:val="2"/>
          </w:tcPr>
          <w:p>
            <w:pPr>
              <w:jc w:val="center"/>
              <w:ind w:left="7"/>
              <w:spacing w:after="0"/>
              <w:rPr>
                <w:sz w:val="20"/>
                <w:szCs w:val="20"/>
                <w:color w:val="auto"/>
              </w:rPr>
            </w:pPr>
            <w:r>
              <w:rPr>
                <w:rFonts w:ascii="Arial" w:cs="Arial" w:eastAsia="Arial" w:hAnsi="Arial"/>
                <w:sz w:val="12"/>
                <w:szCs w:val="12"/>
                <w:b w:val="1"/>
                <w:bCs w:val="1"/>
                <w:color w:val="auto"/>
              </w:rPr>
              <w:t>or Other</w:t>
            </w:r>
          </w:p>
        </w:tc>
      </w:tr>
      <w:tr>
        <w:trPr>
          <w:trHeight w:val="218"/>
        </w:trPr>
        <w:tc>
          <w:tcPr>
            <w:tcW w:w="2520" w:type="dxa"/>
            <w:vAlign w:val="bottom"/>
          </w:tcPr>
          <w:p>
            <w:pPr>
              <w:spacing w:after="0"/>
              <w:rPr>
                <w:sz w:val="18"/>
                <w:szCs w:val="18"/>
                <w:color w:val="auto"/>
              </w:rPr>
            </w:pPr>
          </w:p>
        </w:tc>
        <w:tc>
          <w:tcPr>
            <w:tcW w:w="1000" w:type="dxa"/>
            <w:vAlign w:val="bottom"/>
          </w:tcPr>
          <w:p>
            <w:pPr>
              <w:jc w:val="center"/>
              <w:ind w:right="205"/>
              <w:spacing w:after="0"/>
              <w:rPr>
                <w:sz w:val="20"/>
                <w:szCs w:val="20"/>
                <w:color w:val="auto"/>
              </w:rPr>
            </w:pPr>
            <w:r>
              <w:rPr>
                <w:rFonts w:ascii="Arial" w:cs="Arial" w:eastAsia="Arial" w:hAnsi="Arial"/>
                <w:sz w:val="12"/>
                <w:szCs w:val="12"/>
                <w:b w:val="1"/>
                <w:bCs w:val="1"/>
                <w:color w:val="auto"/>
              </w:rPr>
              <w:t>Unexercised</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Unexercised</w:t>
            </w:r>
          </w:p>
        </w:tc>
        <w:tc>
          <w:tcPr>
            <w:tcW w:w="940" w:type="dxa"/>
            <w:vAlign w:val="bottom"/>
          </w:tcPr>
          <w:p>
            <w:pPr>
              <w:jc w:val="center"/>
              <w:ind w:left="147"/>
              <w:spacing w:after="0"/>
              <w:rPr>
                <w:sz w:val="20"/>
                <w:szCs w:val="20"/>
                <w:color w:val="auto"/>
              </w:rPr>
            </w:pPr>
            <w:r>
              <w:rPr>
                <w:rFonts w:ascii="Arial" w:cs="Arial" w:eastAsia="Arial" w:hAnsi="Arial"/>
                <w:sz w:val="12"/>
                <w:szCs w:val="12"/>
                <w:b w:val="1"/>
                <w:bCs w:val="1"/>
                <w:color w:val="auto"/>
              </w:rPr>
              <w:t>Unexercised</w:t>
            </w:r>
          </w:p>
        </w:tc>
        <w:tc>
          <w:tcPr>
            <w:tcW w:w="1000" w:type="dxa"/>
            <w:vAlign w:val="bottom"/>
          </w:tcPr>
          <w:p>
            <w:pPr>
              <w:jc w:val="center"/>
              <w:ind w:left="103"/>
              <w:spacing w:after="0"/>
              <w:rPr>
                <w:sz w:val="20"/>
                <w:szCs w:val="20"/>
                <w:color w:val="auto"/>
              </w:rPr>
            </w:pPr>
            <w:r>
              <w:rPr>
                <w:rFonts w:ascii="Arial" w:cs="Arial" w:eastAsia="Arial" w:hAnsi="Arial"/>
                <w:sz w:val="12"/>
                <w:szCs w:val="12"/>
                <w:b w:val="1"/>
                <w:bCs w:val="1"/>
                <w:color w:val="auto"/>
                <w:w w:val="98"/>
              </w:rPr>
              <w:t>Option</w:t>
            </w:r>
          </w:p>
        </w:tc>
        <w:tc>
          <w:tcPr>
            <w:tcW w:w="11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Option</w:t>
            </w:r>
          </w:p>
        </w:tc>
        <w:tc>
          <w:tcPr>
            <w:tcW w:w="1000" w:type="dxa"/>
            <w:vAlign w:val="bottom"/>
            <w:gridSpan w:val="2"/>
          </w:tcPr>
          <w:p>
            <w:pPr>
              <w:jc w:val="center"/>
              <w:ind w:right="61"/>
              <w:spacing w:after="0"/>
              <w:rPr>
                <w:sz w:val="20"/>
                <w:szCs w:val="20"/>
                <w:color w:val="auto"/>
              </w:rPr>
            </w:pPr>
            <w:r>
              <w:rPr>
                <w:rFonts w:ascii="Arial" w:cs="Arial" w:eastAsia="Arial" w:hAnsi="Arial"/>
                <w:sz w:val="12"/>
                <w:szCs w:val="12"/>
                <w:b w:val="1"/>
                <w:bCs w:val="1"/>
                <w:color w:val="auto"/>
              </w:rPr>
              <w:t>Units of Stock</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That Have Not</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Rights That</w:t>
            </w:r>
          </w:p>
        </w:tc>
        <w:tc>
          <w:tcPr>
            <w:tcW w:w="920" w:type="dxa"/>
            <w:vAlign w:val="bottom"/>
            <w:gridSpan w:val="2"/>
          </w:tcPr>
          <w:p>
            <w:pPr>
              <w:jc w:val="center"/>
              <w:ind w:left="7"/>
              <w:spacing w:after="0"/>
              <w:rPr>
                <w:sz w:val="20"/>
                <w:szCs w:val="20"/>
                <w:color w:val="auto"/>
              </w:rPr>
            </w:pPr>
            <w:r>
              <w:rPr>
                <w:rFonts w:ascii="Arial" w:cs="Arial" w:eastAsia="Arial" w:hAnsi="Arial"/>
                <w:sz w:val="12"/>
                <w:szCs w:val="12"/>
                <w:b w:val="1"/>
                <w:bCs w:val="1"/>
                <w:color w:val="auto"/>
              </w:rPr>
              <w:t>Rights That</w:t>
            </w:r>
          </w:p>
        </w:tc>
      </w:tr>
      <w:tr>
        <w:trPr>
          <w:trHeight w:val="218"/>
        </w:trPr>
        <w:tc>
          <w:tcPr>
            <w:tcW w:w="2520" w:type="dxa"/>
            <w:vAlign w:val="bottom"/>
          </w:tcPr>
          <w:p>
            <w:pPr>
              <w:spacing w:after="0"/>
              <w:rPr>
                <w:sz w:val="18"/>
                <w:szCs w:val="18"/>
                <w:color w:val="auto"/>
              </w:rPr>
            </w:pPr>
          </w:p>
        </w:tc>
        <w:tc>
          <w:tcPr>
            <w:tcW w:w="1000" w:type="dxa"/>
            <w:vAlign w:val="bottom"/>
          </w:tcPr>
          <w:p>
            <w:pPr>
              <w:jc w:val="center"/>
              <w:ind w:right="205"/>
              <w:spacing w:after="0"/>
              <w:rPr>
                <w:sz w:val="20"/>
                <w:szCs w:val="20"/>
                <w:color w:val="auto"/>
              </w:rPr>
            </w:pPr>
            <w:r>
              <w:rPr>
                <w:rFonts w:ascii="Arial" w:cs="Arial" w:eastAsia="Arial" w:hAnsi="Arial"/>
                <w:sz w:val="12"/>
                <w:szCs w:val="12"/>
                <w:b w:val="1"/>
                <w:bCs w:val="1"/>
                <w:color w:val="auto"/>
              </w:rPr>
              <w:t>Options (#)</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rPr>
              <w:t>Options (#)</w:t>
            </w:r>
          </w:p>
        </w:tc>
        <w:tc>
          <w:tcPr>
            <w:tcW w:w="940" w:type="dxa"/>
            <w:vAlign w:val="bottom"/>
          </w:tcPr>
          <w:p>
            <w:pPr>
              <w:jc w:val="center"/>
              <w:ind w:left="147"/>
              <w:spacing w:after="0"/>
              <w:rPr>
                <w:sz w:val="20"/>
                <w:szCs w:val="20"/>
                <w:color w:val="auto"/>
              </w:rPr>
            </w:pPr>
            <w:r>
              <w:rPr>
                <w:rFonts w:ascii="Arial" w:cs="Arial" w:eastAsia="Arial" w:hAnsi="Arial"/>
                <w:sz w:val="12"/>
                <w:szCs w:val="12"/>
                <w:b w:val="1"/>
                <w:bCs w:val="1"/>
                <w:color w:val="auto"/>
              </w:rPr>
              <w:t>Unearned</w:t>
            </w:r>
          </w:p>
        </w:tc>
        <w:tc>
          <w:tcPr>
            <w:tcW w:w="1000" w:type="dxa"/>
            <w:vAlign w:val="bottom"/>
          </w:tcPr>
          <w:p>
            <w:pPr>
              <w:jc w:val="center"/>
              <w:ind w:left="103"/>
              <w:spacing w:after="0"/>
              <w:rPr>
                <w:sz w:val="20"/>
                <w:szCs w:val="20"/>
                <w:color w:val="auto"/>
              </w:rPr>
            </w:pPr>
            <w:r>
              <w:rPr>
                <w:rFonts w:ascii="Arial" w:cs="Arial" w:eastAsia="Arial" w:hAnsi="Arial"/>
                <w:sz w:val="12"/>
                <w:szCs w:val="12"/>
                <w:b w:val="1"/>
                <w:bCs w:val="1"/>
                <w:color w:val="auto"/>
              </w:rPr>
              <w:t>Exercise</w:t>
            </w:r>
          </w:p>
        </w:tc>
        <w:tc>
          <w:tcPr>
            <w:tcW w:w="11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jc w:val="center"/>
              <w:ind w:right="61"/>
              <w:spacing w:after="0"/>
              <w:rPr>
                <w:sz w:val="20"/>
                <w:szCs w:val="20"/>
                <w:color w:val="auto"/>
              </w:rPr>
            </w:pPr>
            <w:r>
              <w:rPr>
                <w:rFonts w:ascii="Arial" w:cs="Arial" w:eastAsia="Arial" w:hAnsi="Arial"/>
                <w:sz w:val="12"/>
                <w:szCs w:val="12"/>
                <w:b w:val="1"/>
                <w:bCs w:val="1"/>
                <w:color w:val="auto"/>
              </w:rPr>
              <w:t>That Have Not</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6"/>
              </w:rPr>
              <w:t>Vested</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Have Not</w:t>
            </w:r>
          </w:p>
        </w:tc>
        <w:tc>
          <w:tcPr>
            <w:tcW w:w="920" w:type="dxa"/>
            <w:vAlign w:val="bottom"/>
            <w:gridSpan w:val="2"/>
          </w:tcPr>
          <w:p>
            <w:pPr>
              <w:jc w:val="center"/>
              <w:ind w:left="7"/>
              <w:spacing w:after="0"/>
              <w:rPr>
                <w:sz w:val="20"/>
                <w:szCs w:val="20"/>
                <w:color w:val="auto"/>
              </w:rPr>
            </w:pPr>
            <w:r>
              <w:rPr>
                <w:rFonts w:ascii="Arial" w:cs="Arial" w:eastAsia="Arial" w:hAnsi="Arial"/>
                <w:sz w:val="12"/>
                <w:szCs w:val="12"/>
                <w:b w:val="1"/>
                <w:bCs w:val="1"/>
                <w:color w:val="auto"/>
                <w:w w:val="99"/>
              </w:rPr>
              <w:t>Have Not</w:t>
            </w:r>
          </w:p>
        </w:tc>
      </w:tr>
      <w:tr>
        <w:trPr>
          <w:trHeight w:val="218"/>
        </w:trPr>
        <w:tc>
          <w:tcPr>
            <w:tcW w:w="25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000" w:type="dxa"/>
            <w:vAlign w:val="bottom"/>
          </w:tcPr>
          <w:p>
            <w:pPr>
              <w:jc w:val="center"/>
              <w:ind w:right="205"/>
              <w:spacing w:after="0"/>
              <w:rPr>
                <w:sz w:val="20"/>
                <w:szCs w:val="20"/>
                <w:color w:val="auto"/>
              </w:rPr>
            </w:pPr>
            <w:r>
              <w:rPr>
                <w:rFonts w:ascii="Arial" w:cs="Arial" w:eastAsia="Arial" w:hAnsi="Arial"/>
                <w:sz w:val="12"/>
                <w:szCs w:val="12"/>
                <w:b w:val="1"/>
                <w:bCs w:val="1"/>
                <w:color w:val="auto"/>
              </w:rPr>
              <w:t>Exercisable</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Unexercisable</w:t>
            </w:r>
          </w:p>
        </w:tc>
        <w:tc>
          <w:tcPr>
            <w:tcW w:w="940" w:type="dxa"/>
            <w:vAlign w:val="bottom"/>
          </w:tcPr>
          <w:p>
            <w:pPr>
              <w:jc w:val="center"/>
              <w:ind w:left="147"/>
              <w:spacing w:after="0"/>
              <w:rPr>
                <w:sz w:val="20"/>
                <w:szCs w:val="20"/>
                <w:color w:val="auto"/>
              </w:rPr>
            </w:pPr>
            <w:r>
              <w:rPr>
                <w:rFonts w:ascii="Arial" w:cs="Arial" w:eastAsia="Arial" w:hAnsi="Arial"/>
                <w:sz w:val="12"/>
                <w:szCs w:val="12"/>
                <w:b w:val="1"/>
                <w:bCs w:val="1"/>
                <w:color w:val="auto"/>
              </w:rPr>
              <w:t>Options (#)</w:t>
            </w:r>
          </w:p>
        </w:tc>
        <w:tc>
          <w:tcPr>
            <w:tcW w:w="1000" w:type="dxa"/>
            <w:vAlign w:val="bottom"/>
          </w:tcPr>
          <w:p>
            <w:pPr>
              <w:jc w:val="center"/>
              <w:ind w:left="83"/>
              <w:spacing w:after="0"/>
              <w:rPr>
                <w:sz w:val="20"/>
                <w:szCs w:val="20"/>
                <w:color w:val="auto"/>
              </w:rPr>
            </w:pPr>
            <w:r>
              <w:rPr>
                <w:rFonts w:ascii="Arial" w:cs="Arial" w:eastAsia="Arial" w:hAnsi="Arial"/>
                <w:sz w:val="12"/>
                <w:szCs w:val="12"/>
                <w:b w:val="1"/>
                <w:bCs w:val="1"/>
                <w:color w:val="auto"/>
              </w:rPr>
              <w:t>Price ($)</w:t>
            </w:r>
          </w:p>
        </w:tc>
        <w:tc>
          <w:tcPr>
            <w:tcW w:w="11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jc w:val="center"/>
              <w:ind w:right="61"/>
              <w:spacing w:after="0"/>
              <w:rPr>
                <w:sz w:val="20"/>
                <w:szCs w:val="20"/>
                <w:color w:val="auto"/>
              </w:rPr>
            </w:pPr>
            <w:r>
              <w:rPr>
                <w:rFonts w:ascii="Arial" w:cs="Arial" w:eastAsia="Arial" w:hAnsi="Arial"/>
                <w:sz w:val="12"/>
                <w:szCs w:val="12"/>
                <w:b w:val="1"/>
                <w:bCs w:val="1"/>
                <w:color w:val="auto"/>
              </w:rPr>
              <w:t>Vested (#)</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($)(1)</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7"/>
              </w:rPr>
              <w:t>Vested (#)</w:t>
            </w:r>
          </w:p>
        </w:tc>
        <w:tc>
          <w:tcPr>
            <w:tcW w:w="920" w:type="dxa"/>
            <w:vAlign w:val="bottom"/>
            <w:gridSpan w:val="2"/>
          </w:tcPr>
          <w:p>
            <w:pPr>
              <w:jc w:val="center"/>
              <w:ind w:left="7"/>
              <w:spacing w:after="0"/>
              <w:rPr>
                <w:sz w:val="20"/>
                <w:szCs w:val="20"/>
                <w:color w:val="auto"/>
              </w:rPr>
            </w:pPr>
            <w:r>
              <w:rPr>
                <w:rFonts w:ascii="Arial" w:cs="Arial" w:eastAsia="Arial" w:hAnsi="Arial"/>
                <w:sz w:val="12"/>
                <w:szCs w:val="12"/>
                <w:b w:val="1"/>
                <w:bCs w:val="1"/>
                <w:color w:val="auto"/>
                <w:w w:val="97"/>
              </w:rPr>
              <w:t>Vested ($)</w:t>
            </w:r>
          </w:p>
        </w:tc>
      </w:tr>
      <w:tr>
        <w:trPr>
          <w:trHeight w:val="37"/>
        </w:trPr>
        <w:tc>
          <w:tcPr>
            <w:tcW w:w="2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tcPr>
          <w:p>
            <w:pPr>
              <w:spacing w:after="0"/>
              <w:rPr>
                <w:sz w:val="3"/>
                <w:szCs w:val="3"/>
                <w:color w:val="auto"/>
              </w:rPr>
            </w:pPr>
          </w:p>
        </w:tc>
      </w:tr>
      <w:tr>
        <w:trPr>
          <w:trHeight w:val="196"/>
        </w:trPr>
        <w:tc>
          <w:tcPr>
            <w:tcW w:w="2520" w:type="dxa"/>
            <w:vAlign w:val="bottom"/>
            <w:tcBorders>
              <w:top w:val="single" w:sz="8" w:color="808285"/>
            </w:tcBorders>
            <w:shd w:val="clear" w:color="auto" w:fill="E9E9E9"/>
          </w:tcPr>
          <w:p>
            <w:pPr>
              <w:spacing w:after="0"/>
              <w:rPr>
                <w:sz w:val="20"/>
                <w:szCs w:val="20"/>
                <w:color w:val="auto"/>
              </w:rPr>
            </w:pPr>
            <w:r>
              <w:rPr>
                <w:rFonts w:ascii="Arial" w:cs="Arial" w:eastAsia="Arial" w:hAnsi="Arial"/>
                <w:sz w:val="16"/>
                <w:szCs w:val="16"/>
                <w:color w:val="auto"/>
              </w:rPr>
              <w:t>R. K. Templeton</w:t>
            </w:r>
          </w:p>
        </w:tc>
        <w:tc>
          <w:tcPr>
            <w:tcW w:w="1000" w:type="dxa"/>
            <w:vAlign w:val="bottom"/>
            <w:tcBorders>
              <w:top w:val="single" w:sz="8" w:color="808285"/>
            </w:tcBorders>
            <w:shd w:val="clear" w:color="auto" w:fill="E9E9E9"/>
          </w:tcPr>
          <w:p>
            <w:pPr>
              <w:jc w:val="right"/>
              <w:ind w:right="205"/>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808285"/>
            </w:tcBorders>
            <w:shd w:val="clear" w:color="auto" w:fill="E9E9E9"/>
          </w:tcPr>
          <w:p>
            <w:pPr>
              <w:jc w:val="right"/>
              <w:spacing w:after="0"/>
              <w:rPr>
                <w:sz w:val="20"/>
                <w:szCs w:val="20"/>
                <w:color w:val="auto"/>
              </w:rPr>
            </w:pPr>
            <w:r>
              <w:rPr>
                <w:rFonts w:ascii="Arial" w:cs="Arial" w:eastAsia="Arial" w:hAnsi="Arial"/>
                <w:sz w:val="16"/>
                <w:szCs w:val="16"/>
                <w:color w:val="auto"/>
              </w:rPr>
              <w:t>450,000</w:t>
            </w:r>
          </w:p>
        </w:tc>
        <w:tc>
          <w:tcPr>
            <w:tcW w:w="240" w:type="dxa"/>
            <w:vAlign w:val="bottom"/>
            <w:tcBorders>
              <w:top w:val="single" w:sz="8" w:color="808285"/>
            </w:tcBorders>
            <w:shd w:val="clear" w:color="auto" w:fill="E9E9E9"/>
          </w:tcPr>
          <w:p>
            <w:pPr>
              <w:jc w:val="right"/>
              <w:spacing w:after="0"/>
              <w:rPr>
                <w:sz w:val="20"/>
                <w:szCs w:val="20"/>
                <w:color w:val="auto"/>
              </w:rPr>
            </w:pPr>
            <w:r>
              <w:rPr>
                <w:rFonts w:ascii="Arial" w:cs="Arial" w:eastAsia="Arial" w:hAnsi="Arial"/>
                <w:sz w:val="16"/>
                <w:szCs w:val="16"/>
                <w:color w:val="auto"/>
              </w:rPr>
              <w:t>(2)</w:t>
            </w:r>
          </w:p>
        </w:tc>
        <w:tc>
          <w:tcPr>
            <w:tcW w:w="940" w:type="dxa"/>
            <w:vAlign w:val="bottom"/>
            <w:tcBorders>
              <w:top w:val="single" w:sz="8" w:color="808285"/>
            </w:tcBorders>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tcBorders>
              <w:top w:val="single" w:sz="8" w:color="808285"/>
            </w:tcBorders>
            <w:shd w:val="clear" w:color="auto" w:fill="E9E9E9"/>
          </w:tcPr>
          <w:p>
            <w:pPr>
              <w:jc w:val="center"/>
              <w:ind w:left="83"/>
              <w:spacing w:after="0"/>
              <w:rPr>
                <w:sz w:val="20"/>
                <w:szCs w:val="20"/>
                <w:color w:val="auto"/>
              </w:rPr>
            </w:pPr>
            <w:r>
              <w:rPr>
                <w:rFonts w:ascii="Arial" w:cs="Arial" w:eastAsia="Arial" w:hAnsi="Arial"/>
                <w:sz w:val="16"/>
                <w:szCs w:val="16"/>
                <w:color w:val="auto"/>
                <w:w w:val="98"/>
              </w:rPr>
              <w:t>$34.63</w:t>
            </w:r>
          </w:p>
        </w:tc>
        <w:tc>
          <w:tcPr>
            <w:tcW w:w="880" w:type="dxa"/>
            <w:vAlign w:val="bottom"/>
            <w:tcBorders>
              <w:top w:val="single" w:sz="8" w:color="808285"/>
            </w:tcBorders>
            <w:shd w:val="clear" w:color="auto" w:fill="E9E9E9"/>
          </w:tcPr>
          <w:p>
            <w:pPr>
              <w:jc w:val="center"/>
              <w:ind w:left="83"/>
              <w:spacing w:after="0"/>
              <w:rPr>
                <w:sz w:val="20"/>
                <w:szCs w:val="20"/>
                <w:color w:val="auto"/>
              </w:rPr>
            </w:pPr>
            <w:r>
              <w:rPr>
                <w:rFonts w:ascii="Arial" w:cs="Arial" w:eastAsia="Arial" w:hAnsi="Arial"/>
                <w:sz w:val="16"/>
                <w:szCs w:val="16"/>
                <w:color w:val="auto"/>
              </w:rPr>
              <w:t>1/27/2021</w:t>
            </w:r>
          </w:p>
        </w:tc>
        <w:tc>
          <w:tcPr>
            <w:tcW w:w="240" w:type="dxa"/>
            <w:vAlign w:val="bottom"/>
            <w:tcBorders>
              <w:top w:val="single" w:sz="8" w:color="808285"/>
            </w:tcBorders>
            <w:shd w:val="clear" w:color="auto" w:fill="E9E9E9"/>
          </w:tcPr>
          <w:p>
            <w:pPr>
              <w:spacing w:after="0"/>
              <w:rPr>
                <w:sz w:val="17"/>
                <w:szCs w:val="17"/>
                <w:color w:val="auto"/>
              </w:rPr>
            </w:pPr>
          </w:p>
        </w:tc>
        <w:tc>
          <w:tcPr>
            <w:tcW w:w="640" w:type="dxa"/>
            <w:vAlign w:val="bottom"/>
            <w:tcBorders>
              <w:top w:val="single" w:sz="8" w:color="808285"/>
            </w:tcBorders>
            <w:shd w:val="clear" w:color="auto" w:fill="E9E9E9"/>
          </w:tcPr>
          <w:p>
            <w:pPr>
              <w:jc w:val="right"/>
              <w:spacing w:after="0"/>
              <w:rPr>
                <w:sz w:val="20"/>
                <w:szCs w:val="20"/>
                <w:color w:val="auto"/>
              </w:rPr>
            </w:pPr>
            <w:r>
              <w:rPr>
                <w:rFonts w:ascii="Arial" w:cs="Arial" w:eastAsia="Arial" w:hAnsi="Arial"/>
                <w:sz w:val="16"/>
                <w:szCs w:val="16"/>
                <w:color w:val="auto"/>
              </w:rPr>
              <w:t>150,000</w:t>
            </w:r>
          </w:p>
        </w:tc>
        <w:tc>
          <w:tcPr>
            <w:tcW w:w="360" w:type="dxa"/>
            <w:vAlign w:val="bottom"/>
            <w:tcBorders>
              <w:top w:val="single" w:sz="8" w:color="808285"/>
            </w:tcBorders>
            <w:shd w:val="clear" w:color="auto" w:fill="E9E9E9"/>
          </w:tcPr>
          <w:p>
            <w:pPr>
              <w:jc w:val="right"/>
              <w:ind w:right="61"/>
              <w:spacing w:after="0"/>
              <w:rPr>
                <w:sz w:val="20"/>
                <w:szCs w:val="20"/>
                <w:color w:val="auto"/>
              </w:rPr>
            </w:pPr>
            <w:r>
              <w:rPr>
                <w:rFonts w:ascii="Arial" w:cs="Arial" w:eastAsia="Arial" w:hAnsi="Arial"/>
                <w:sz w:val="16"/>
                <w:szCs w:val="16"/>
                <w:color w:val="auto"/>
              </w:rPr>
              <w:t>(6)</w:t>
            </w:r>
          </w:p>
        </w:tc>
        <w:tc>
          <w:tcPr>
            <w:tcW w:w="1140" w:type="dxa"/>
            <w:vAlign w:val="bottom"/>
            <w:tcBorders>
              <w:top w:val="single" w:sz="8" w:color="808285"/>
            </w:tcBorders>
            <w:shd w:val="clear" w:color="auto" w:fill="E9E9E9"/>
          </w:tcPr>
          <w:p>
            <w:pPr>
              <w:jc w:val="right"/>
              <w:ind w:right="125"/>
              <w:spacing w:after="0"/>
              <w:rPr>
                <w:sz w:val="20"/>
                <w:szCs w:val="20"/>
                <w:color w:val="auto"/>
              </w:rPr>
            </w:pPr>
            <w:r>
              <w:rPr>
                <w:rFonts w:ascii="Arial" w:cs="Arial" w:eastAsia="Arial" w:hAnsi="Arial"/>
                <w:sz w:val="16"/>
                <w:szCs w:val="16"/>
                <w:color w:val="auto"/>
              </w:rPr>
              <w:t>$4,366,500</w:t>
            </w:r>
          </w:p>
        </w:tc>
        <w:tc>
          <w:tcPr>
            <w:tcW w:w="940" w:type="dxa"/>
            <w:vAlign w:val="bottom"/>
            <w:tcBorders>
              <w:top w:val="single" w:sz="8" w:color="808285"/>
            </w:tcBorders>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top w:val="single" w:sz="8" w:color="808285"/>
            </w:tcBorders>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7"/>
                <w:szCs w:val="17"/>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135,000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405,000</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w:t>
            </w: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$23.05</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1/28/2020</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180,000</w:t>
            </w:r>
          </w:p>
        </w:tc>
        <w:tc>
          <w:tcPr>
            <w:tcW w:w="36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(7)</w:t>
            </w: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$5,239,800</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332,230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332,231</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w:t>
            </w: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$14.95</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1/29/2019</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221,487</w:t>
            </w:r>
          </w:p>
        </w:tc>
        <w:tc>
          <w:tcPr>
            <w:tcW w:w="36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(8)</w:t>
            </w: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$6,447,487</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202,500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67,500</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w:t>
            </w: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$29.79</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1/25/2018</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150,000</w:t>
            </w:r>
          </w:p>
        </w:tc>
        <w:tc>
          <w:tcPr>
            <w:tcW w:w="36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(9)</w:t>
            </w: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$4,366,500</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270,000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8"/>
                <w:szCs w:val="18"/>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$28.32</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1/18/2017</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8"/>
                <w:szCs w:val="18"/>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350,000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8"/>
                <w:szCs w:val="18"/>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$32.55</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1/19/2016</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8"/>
                <w:szCs w:val="18"/>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500,000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8"/>
                <w:szCs w:val="18"/>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$21.55</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1/20/2015</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8"/>
                <w:szCs w:val="18"/>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700,000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8"/>
                <w:szCs w:val="18"/>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$32.39</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1/14/2014</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8"/>
                <w:szCs w:val="18"/>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375,000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8"/>
                <w:szCs w:val="18"/>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$16.25</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2/20/2013</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8"/>
                <w:szCs w:val="18"/>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33"/>
        </w:trPr>
        <w:tc>
          <w:tcPr>
            <w:tcW w:w="2520" w:type="dxa"/>
            <w:vAlign w:val="bottom"/>
            <w:shd w:val="clear" w:color="auto" w:fill="E9E9E9"/>
          </w:tcPr>
          <w:p>
            <w:pPr>
              <w:spacing w:after="0"/>
              <w:rPr>
                <w:sz w:val="20"/>
                <w:szCs w:val="20"/>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625,000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20"/>
                <w:szCs w:val="20"/>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$16.11</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1/15/2013</w:t>
            </w:r>
          </w:p>
        </w:tc>
        <w:tc>
          <w:tcPr>
            <w:tcW w:w="24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20"/>
                <w:szCs w:val="20"/>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20"/>
                <w:szCs w:val="20"/>
                <w:color w:val="auto"/>
              </w:rPr>
            </w:pPr>
          </w:p>
        </w:tc>
      </w:tr>
      <w:tr>
        <w:trPr>
          <w:trHeight w:val="218"/>
        </w:trPr>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04"/>
        </w:trPr>
        <w:tc>
          <w:tcPr>
            <w:tcW w:w="2520" w:type="dxa"/>
            <w:vAlign w:val="bottom"/>
            <w:shd w:val="clear" w:color="auto" w:fill="E9E9E9"/>
          </w:tcPr>
          <w:p>
            <w:pPr>
              <w:spacing w:after="0"/>
              <w:rPr>
                <w:sz w:val="20"/>
                <w:szCs w:val="20"/>
                <w:color w:val="auto"/>
              </w:rPr>
            </w:pPr>
            <w:r>
              <w:rPr>
                <w:rFonts w:ascii="Arial" w:cs="Arial" w:eastAsia="Arial" w:hAnsi="Arial"/>
                <w:sz w:val="16"/>
                <w:szCs w:val="16"/>
                <w:color w:val="auto"/>
              </w:rPr>
              <w:t>K. P. March</w:t>
            </w: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137,500</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w:t>
            </w: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$34.63</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1/27/2021</w:t>
            </w:r>
          </w:p>
        </w:tc>
        <w:tc>
          <w:tcPr>
            <w:tcW w:w="240" w:type="dxa"/>
            <w:vAlign w:val="bottom"/>
            <w:shd w:val="clear" w:color="auto" w:fill="E9E9E9"/>
          </w:tcPr>
          <w:p>
            <w:pPr>
              <w:spacing w:after="0"/>
              <w:rPr>
                <w:sz w:val="17"/>
                <w:szCs w:val="17"/>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45,834</w:t>
            </w:r>
          </w:p>
        </w:tc>
        <w:tc>
          <w:tcPr>
            <w:tcW w:w="36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(6)</w:t>
            </w: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$1,334,228</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7"/>
                <w:szCs w:val="17"/>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40,312</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120,938</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w:t>
            </w: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$23.05</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1/28/2020</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53,751</w:t>
            </w:r>
          </w:p>
        </w:tc>
        <w:tc>
          <w:tcPr>
            <w:tcW w:w="36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(7)</w:t>
            </w: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$1,564,692</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95,000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95,000</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w:t>
            </w: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$14.95</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1/29/2019</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63,334</w:t>
            </w:r>
          </w:p>
        </w:tc>
        <w:tc>
          <w:tcPr>
            <w:tcW w:w="36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(8)</w:t>
            </w: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$1,843,653</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63,750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21,250</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w:t>
            </w: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$29.79</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1/25/2018</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35,000</w:t>
            </w:r>
          </w:p>
        </w:tc>
        <w:tc>
          <w:tcPr>
            <w:tcW w:w="36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(9)</w:t>
            </w: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$1,018,850</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85,000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8"/>
                <w:szCs w:val="18"/>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$28.32</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1/18/2017</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8"/>
                <w:szCs w:val="18"/>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85,000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8"/>
                <w:szCs w:val="18"/>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$32.55</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1/19/2016</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8"/>
                <w:szCs w:val="18"/>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80,000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8"/>
                <w:szCs w:val="18"/>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$21.55</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1/20/2015</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8"/>
                <w:szCs w:val="18"/>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33"/>
        </w:trPr>
        <w:tc>
          <w:tcPr>
            <w:tcW w:w="2520" w:type="dxa"/>
            <w:vAlign w:val="bottom"/>
            <w:shd w:val="clear" w:color="auto" w:fill="E9E9E9"/>
          </w:tcPr>
          <w:p>
            <w:pPr>
              <w:spacing w:after="0"/>
              <w:rPr>
                <w:sz w:val="20"/>
                <w:szCs w:val="20"/>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120,000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20"/>
                <w:szCs w:val="20"/>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$32.39</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1/14/2014</w:t>
            </w:r>
          </w:p>
        </w:tc>
        <w:tc>
          <w:tcPr>
            <w:tcW w:w="24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20"/>
                <w:szCs w:val="20"/>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20"/>
                <w:szCs w:val="20"/>
                <w:color w:val="auto"/>
              </w:rPr>
            </w:pPr>
          </w:p>
        </w:tc>
      </w:tr>
      <w:tr>
        <w:trPr>
          <w:trHeight w:val="218"/>
        </w:trPr>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04"/>
        </w:trPr>
        <w:tc>
          <w:tcPr>
            <w:tcW w:w="2520" w:type="dxa"/>
            <w:vAlign w:val="bottom"/>
            <w:shd w:val="clear" w:color="auto" w:fill="E9E9E9"/>
          </w:tcPr>
          <w:p>
            <w:pPr>
              <w:spacing w:after="0"/>
              <w:rPr>
                <w:sz w:val="20"/>
                <w:szCs w:val="20"/>
                <w:color w:val="auto"/>
              </w:rPr>
            </w:pPr>
            <w:r>
              <w:rPr>
                <w:rFonts w:ascii="Arial" w:cs="Arial" w:eastAsia="Arial" w:hAnsi="Arial"/>
                <w:sz w:val="16"/>
                <w:szCs w:val="16"/>
                <w:color w:val="auto"/>
              </w:rPr>
              <w:t>G. A. Lowe</w:t>
            </w: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185,000</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w:t>
            </w: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$34.63</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1/27/2021</w:t>
            </w:r>
          </w:p>
        </w:tc>
        <w:tc>
          <w:tcPr>
            <w:tcW w:w="240" w:type="dxa"/>
            <w:vAlign w:val="bottom"/>
            <w:shd w:val="clear" w:color="auto" w:fill="E9E9E9"/>
          </w:tcPr>
          <w:p>
            <w:pPr>
              <w:spacing w:after="0"/>
              <w:rPr>
                <w:sz w:val="17"/>
                <w:szCs w:val="17"/>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61,667</w:t>
            </w:r>
          </w:p>
        </w:tc>
        <w:tc>
          <w:tcPr>
            <w:tcW w:w="36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(6)</w:t>
            </w: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$1,795,126</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7"/>
                <w:szCs w:val="17"/>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69,375</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208,125</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w:t>
            </w: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$23.05</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1/28/2020</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92,501</w:t>
            </w:r>
          </w:p>
        </w:tc>
        <w:tc>
          <w:tcPr>
            <w:tcW w:w="36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(7)</w:t>
            </w: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$2,692,704</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70,000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140,000</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w:t>
            </w: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$14.95</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1/29/2019</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93,334</w:t>
            </w:r>
          </w:p>
        </w:tc>
        <w:tc>
          <w:tcPr>
            <w:tcW w:w="36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(8)</w:t>
            </w: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$2,716,953</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75,000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25,000</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w:t>
            </w: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$29.79</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1/25/2018</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60,000</w:t>
            </w:r>
          </w:p>
        </w:tc>
        <w:tc>
          <w:tcPr>
            <w:tcW w:w="36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rPr>
              <w:t>(9)</w:t>
            </w: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$1,746,600</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100,000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8"/>
                <w:szCs w:val="18"/>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$28.32</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1/18/2017</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8"/>
                <w:szCs w:val="18"/>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100,000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8"/>
                <w:szCs w:val="18"/>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$32.55</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1/19/2016</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8"/>
                <w:szCs w:val="18"/>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18"/>
        </w:trPr>
        <w:tc>
          <w:tcPr>
            <w:tcW w:w="252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100,000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8"/>
                <w:szCs w:val="18"/>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$21.55</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1/20/2015</w:t>
            </w:r>
          </w:p>
        </w:tc>
        <w:tc>
          <w:tcPr>
            <w:tcW w:w="240" w:type="dxa"/>
            <w:vAlign w:val="bottom"/>
            <w:shd w:val="clear" w:color="auto" w:fill="E9E9E9"/>
          </w:tcPr>
          <w:p>
            <w:pPr>
              <w:spacing w:after="0"/>
              <w:rPr>
                <w:sz w:val="18"/>
                <w:szCs w:val="18"/>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18"/>
                <w:szCs w:val="18"/>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r>
      <w:tr>
        <w:trPr>
          <w:trHeight w:val="233"/>
        </w:trPr>
        <w:tc>
          <w:tcPr>
            <w:tcW w:w="2520" w:type="dxa"/>
            <w:vAlign w:val="bottom"/>
            <w:shd w:val="clear" w:color="auto" w:fill="E9E9E9"/>
          </w:tcPr>
          <w:p>
            <w:pPr>
              <w:spacing w:after="0"/>
              <w:rPr>
                <w:sz w:val="20"/>
                <w:szCs w:val="20"/>
                <w:color w:val="auto"/>
              </w:rPr>
            </w:pPr>
          </w:p>
        </w:tc>
        <w:tc>
          <w:tcPr>
            <w:tcW w:w="1000" w:type="dxa"/>
            <w:vAlign w:val="bottom"/>
            <w:shd w:val="clear" w:color="auto" w:fill="E9E9E9"/>
          </w:tcPr>
          <w:p>
            <w:pPr>
              <w:jc w:val="right"/>
              <w:ind w:right="205"/>
              <w:spacing w:after="0"/>
              <w:rPr>
                <w:sz w:val="20"/>
                <w:szCs w:val="20"/>
                <w:color w:val="auto"/>
              </w:rPr>
            </w:pPr>
            <w:r>
              <w:rPr>
                <w:rFonts w:ascii="Arial" w:cs="Arial" w:eastAsia="Arial" w:hAnsi="Arial"/>
                <w:sz w:val="16"/>
                <w:szCs w:val="16"/>
                <w:color w:val="auto"/>
              </w:rPr>
              <w:t>150,000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20"/>
                <w:szCs w:val="20"/>
                <w:color w:val="auto"/>
              </w:rPr>
            </w:pPr>
          </w:p>
        </w:tc>
        <w:tc>
          <w:tcPr>
            <w:tcW w:w="940" w:type="dxa"/>
            <w:vAlign w:val="bottom"/>
            <w:shd w:val="clear" w:color="auto" w:fill="E9E9E9"/>
          </w:tcPr>
          <w:p>
            <w:pPr>
              <w:jc w:val="center"/>
              <w:ind w:left="147"/>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w w:val="98"/>
              </w:rPr>
              <w:t>$32.39</w:t>
            </w:r>
          </w:p>
        </w:tc>
        <w:tc>
          <w:tcPr>
            <w:tcW w:w="880" w:type="dxa"/>
            <w:vAlign w:val="bottom"/>
            <w:shd w:val="clear" w:color="auto" w:fill="E9E9E9"/>
          </w:tcPr>
          <w:p>
            <w:pPr>
              <w:jc w:val="center"/>
              <w:ind w:left="83"/>
              <w:spacing w:after="0"/>
              <w:rPr>
                <w:sz w:val="20"/>
                <w:szCs w:val="20"/>
                <w:color w:val="auto"/>
              </w:rPr>
            </w:pPr>
            <w:r>
              <w:rPr>
                <w:rFonts w:ascii="Arial" w:cs="Arial" w:eastAsia="Arial" w:hAnsi="Arial"/>
                <w:sz w:val="16"/>
                <w:szCs w:val="16"/>
                <w:color w:val="auto"/>
              </w:rPr>
              <w:t>1/14/2014</w:t>
            </w:r>
          </w:p>
        </w:tc>
        <w:tc>
          <w:tcPr>
            <w:tcW w:w="24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9E9E9"/>
          </w:tcPr>
          <w:p>
            <w:pPr>
              <w:spacing w:after="0"/>
              <w:rPr>
                <w:sz w:val="20"/>
                <w:szCs w:val="20"/>
                <w:color w:val="auto"/>
              </w:rPr>
            </w:pPr>
          </w:p>
        </w:tc>
        <w:tc>
          <w:tcPr>
            <w:tcW w:w="1140" w:type="dxa"/>
            <w:vAlign w:val="bottom"/>
            <w:shd w:val="clear" w:color="auto" w:fill="E9E9E9"/>
          </w:tcPr>
          <w:p>
            <w:pPr>
              <w:jc w:val="right"/>
              <w:ind w:right="125"/>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7"/>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20"/>
                <w:szCs w:val="20"/>
                <w:color w:val="auto"/>
              </w:rPr>
            </w:pPr>
          </w:p>
        </w:tc>
      </w:tr>
      <w:tr>
        <w:trPr>
          <w:trHeight w:val="400"/>
        </w:trPr>
        <w:tc>
          <w:tcPr>
            <w:tcW w:w="2520" w:type="dxa"/>
            <w:vAlign w:val="bottom"/>
          </w:tcPr>
          <w:p>
            <w:pPr>
              <w:spacing w:after="0"/>
              <w:rPr>
                <w:sz w:val="20"/>
                <w:szCs w:val="20"/>
                <w:color w:val="auto"/>
              </w:rPr>
            </w:pPr>
            <w:r>
              <w:rPr>
                <w:rFonts w:ascii="Arial" w:cs="Arial" w:eastAsia="Arial" w:hAnsi="Arial"/>
                <w:sz w:val="12"/>
                <w:szCs w:val="12"/>
                <w:b w:val="1"/>
                <w:bCs w:val="1"/>
                <w:color w:val="auto"/>
              </w:rPr>
              <w:t xml:space="preserve">82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60" w:type="dxa"/>
            <w:vAlign w:val="bottom"/>
            <w:gridSpan w:val="3"/>
          </w:tcPr>
          <w:p>
            <w:pPr>
              <w:ind w:left="520"/>
              <w:spacing w:after="0"/>
              <w:rPr>
                <w:sz w:val="20"/>
                <w:szCs w:val="20"/>
                <w:color w:val="auto"/>
              </w:rPr>
            </w:pPr>
            <w:r>
              <w:rPr>
                <w:rFonts w:ascii="Arial" w:cs="Arial" w:eastAsia="Arial" w:hAnsi="Arial"/>
                <w:sz w:val="12"/>
                <w:szCs w:val="12"/>
                <w:b w:val="1"/>
                <w:bCs w:val="1"/>
                <w:color w:val="808285"/>
              </w:rPr>
              <w:t>TEXAS INSTRUMENTS</w:t>
            </w:r>
          </w:p>
        </w:tc>
      </w:tr>
      <w:tr>
        <w:trPr>
          <w:trHeight w:val="360"/>
        </w:trPr>
        <w:tc>
          <w:tcPr>
            <w:tcW w:w="25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35" w:right="199" w:bottom="1440" w:gutter="0" w:footer="0" w:header="0"/>
        </w:sectPr>
      </w:pPr>
    </w:p>
    <w:bookmarkStart w:id="29" w:name="page30"/>
    <w:bookmarkEnd w:id="29"/>
    <w:p>
      <w:pPr>
        <w:ind w:left="3"/>
        <w:spacing w:after="0"/>
        <w:rPr>
          <w:sz w:val="20"/>
          <w:szCs w:val="20"/>
          <w:color w:val="auto"/>
        </w:rPr>
      </w:pPr>
      <w:r>
        <w:rPr>
          <w:rFonts w:ascii="Arial" w:cs="Arial" w:eastAsia="Arial" w:hAnsi="Arial"/>
          <w:sz w:val="16"/>
          <w:szCs w:val="16"/>
          <w:b w:val="1"/>
          <w:bCs w:val="1"/>
          <w:color w:val="auto"/>
        </w:rPr>
        <w:t>Outstanding equity awards at fiscal year-end 2011 (cont’d)</w:t>
      </w:r>
    </w:p>
    <w:p>
      <w:pPr>
        <w:spacing w:after="0" w:line="231"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2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Option Awards</w:t>
            </w: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2"/>
          </w:tcPr>
          <w:p>
            <w:pPr>
              <w:ind w:left="320"/>
              <w:spacing w:after="0"/>
              <w:rPr>
                <w:sz w:val="20"/>
                <w:szCs w:val="20"/>
                <w:color w:val="auto"/>
              </w:rPr>
            </w:pPr>
            <w:r>
              <w:rPr>
                <w:rFonts w:ascii="Arial" w:cs="Arial" w:eastAsia="Arial" w:hAnsi="Arial"/>
                <w:sz w:val="12"/>
                <w:szCs w:val="12"/>
                <w:b w:val="1"/>
                <w:bCs w:val="1"/>
                <w:color w:val="auto"/>
              </w:rPr>
              <w:t>Stock Awards</w:t>
            </w:r>
          </w:p>
        </w:tc>
        <w:tc>
          <w:tcPr>
            <w:tcW w:w="900" w:type="dxa"/>
            <w:vAlign w:val="bottom"/>
          </w:tcPr>
          <w:p>
            <w:pPr>
              <w:spacing w:after="0"/>
              <w:rPr>
                <w:sz w:val="13"/>
                <w:szCs w:val="13"/>
                <w:color w:val="auto"/>
              </w:rPr>
            </w:pPr>
          </w:p>
        </w:tc>
      </w:tr>
      <w:tr>
        <w:trPr>
          <w:trHeight w:val="37"/>
        </w:trPr>
        <w:tc>
          <w:tcPr>
            <w:tcW w:w="2380" w:type="dxa"/>
            <w:vAlign w:val="bottom"/>
          </w:tcPr>
          <w:p>
            <w:pPr>
              <w:spacing w:after="0"/>
              <w:rPr>
                <w:sz w:val="3"/>
                <w:szCs w:val="3"/>
                <w:color w:val="auto"/>
              </w:rPr>
            </w:pPr>
          </w:p>
        </w:tc>
        <w:tc>
          <w:tcPr>
            <w:tcW w:w="980" w:type="dxa"/>
            <w:vAlign w:val="bottom"/>
            <w:tcBorders>
              <w:bottom w:val="single" w:sz="8" w:color="808285"/>
            </w:tcBorders>
          </w:tcPr>
          <w:p>
            <w:pPr>
              <w:spacing w:after="0"/>
              <w:rPr>
                <w:sz w:val="3"/>
                <w:szCs w:val="3"/>
                <w:color w:val="auto"/>
              </w:rPr>
            </w:pPr>
          </w:p>
        </w:tc>
        <w:tc>
          <w:tcPr>
            <w:tcW w:w="580" w:type="dxa"/>
            <w:vAlign w:val="bottom"/>
            <w:tcBorders>
              <w:bottom w:val="single" w:sz="8" w:color="808285"/>
            </w:tcBorders>
          </w:tcPr>
          <w:p>
            <w:pPr>
              <w:spacing w:after="0"/>
              <w:rPr>
                <w:sz w:val="3"/>
                <w:szCs w:val="3"/>
                <w:color w:val="auto"/>
              </w:rPr>
            </w:pPr>
          </w:p>
        </w:tc>
        <w:tc>
          <w:tcPr>
            <w:tcW w:w="400" w:type="dxa"/>
            <w:vAlign w:val="bottom"/>
            <w:tcBorders>
              <w:bottom w:val="single" w:sz="8" w:color="808285"/>
            </w:tcBorders>
          </w:tcPr>
          <w:p>
            <w:pPr>
              <w:spacing w:after="0"/>
              <w:rPr>
                <w:sz w:val="3"/>
                <w:szCs w:val="3"/>
                <w:color w:val="auto"/>
              </w:rPr>
            </w:pPr>
          </w:p>
        </w:tc>
        <w:tc>
          <w:tcPr>
            <w:tcW w:w="960" w:type="dxa"/>
            <w:vAlign w:val="bottom"/>
            <w:tcBorders>
              <w:bottom w:val="single" w:sz="8" w:color="808285"/>
            </w:tcBorders>
          </w:tcPr>
          <w:p>
            <w:pPr>
              <w:spacing w:after="0"/>
              <w:rPr>
                <w:sz w:val="3"/>
                <w:szCs w:val="3"/>
                <w:color w:val="auto"/>
              </w:rPr>
            </w:pPr>
          </w:p>
        </w:tc>
        <w:tc>
          <w:tcPr>
            <w:tcW w:w="1000" w:type="dxa"/>
            <w:vAlign w:val="bottom"/>
            <w:tcBorders>
              <w:bottom w:val="single" w:sz="8" w:color="808285"/>
            </w:tcBorders>
          </w:tcPr>
          <w:p>
            <w:pPr>
              <w:spacing w:after="0"/>
              <w:rPr>
                <w:sz w:val="3"/>
                <w:szCs w:val="3"/>
                <w:color w:val="auto"/>
              </w:rPr>
            </w:pPr>
          </w:p>
        </w:tc>
        <w:tc>
          <w:tcPr>
            <w:tcW w:w="880" w:type="dxa"/>
            <w:vAlign w:val="bottom"/>
            <w:tcBorders>
              <w:bottom w:val="single" w:sz="8" w:color="808285"/>
            </w:tcBorders>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Borders>
              <w:bottom w:val="single" w:sz="8" w:color="808285"/>
            </w:tcBorders>
          </w:tcPr>
          <w:p>
            <w:pPr>
              <w:spacing w:after="0"/>
              <w:rPr>
                <w:sz w:val="3"/>
                <w:szCs w:val="3"/>
                <w:color w:val="auto"/>
              </w:rPr>
            </w:pPr>
          </w:p>
        </w:tc>
        <w:tc>
          <w:tcPr>
            <w:tcW w:w="46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900" w:type="dxa"/>
            <w:vAlign w:val="bottom"/>
            <w:tcBorders>
              <w:bottom w:val="single" w:sz="8" w:color="808285"/>
            </w:tcBorders>
          </w:tcPr>
          <w:p>
            <w:pPr>
              <w:spacing w:after="0"/>
              <w:rPr>
                <w:sz w:val="3"/>
                <w:szCs w:val="3"/>
                <w:color w:val="auto"/>
              </w:rPr>
            </w:pPr>
          </w:p>
        </w:tc>
        <w:tc>
          <w:tcPr>
            <w:tcW w:w="940" w:type="dxa"/>
            <w:vAlign w:val="bottom"/>
            <w:tcBorders>
              <w:bottom w:val="single" w:sz="8" w:color="808285"/>
            </w:tcBorders>
          </w:tcPr>
          <w:p>
            <w:pPr>
              <w:spacing w:after="0"/>
              <w:rPr>
                <w:sz w:val="3"/>
                <w:szCs w:val="3"/>
                <w:color w:val="auto"/>
              </w:rPr>
            </w:pPr>
          </w:p>
        </w:tc>
        <w:tc>
          <w:tcPr>
            <w:tcW w:w="900" w:type="dxa"/>
            <w:vAlign w:val="bottom"/>
            <w:tcBorders>
              <w:bottom w:val="single" w:sz="8" w:color="808285"/>
            </w:tcBorders>
          </w:tcPr>
          <w:p>
            <w:pPr>
              <w:spacing w:after="0"/>
              <w:rPr>
                <w:sz w:val="3"/>
                <w:szCs w:val="3"/>
                <w:color w:val="auto"/>
              </w:rPr>
            </w:pPr>
          </w:p>
        </w:tc>
      </w:tr>
      <w:tr>
        <w:trPr>
          <w:trHeight w:val="174"/>
        </w:trPr>
        <w:tc>
          <w:tcPr>
            <w:tcW w:w="2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8"/>
              </w:rPr>
              <w:t>Equity</w:t>
            </w:r>
          </w:p>
        </w:tc>
        <w:tc>
          <w:tcPr>
            <w:tcW w:w="900" w:type="dxa"/>
            <w:vAlign w:val="bottom"/>
          </w:tcPr>
          <w:p>
            <w:pPr>
              <w:spacing w:after="0"/>
              <w:rPr>
                <w:sz w:val="15"/>
                <w:szCs w:val="15"/>
                <w:color w:val="auto"/>
              </w:rPr>
            </w:pPr>
          </w:p>
        </w:tc>
      </w:tr>
      <w:tr>
        <w:trPr>
          <w:trHeight w:val="218"/>
        </w:trPr>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Incentive</w:t>
            </w:r>
          </w:p>
        </w:tc>
        <w:tc>
          <w:tcPr>
            <w:tcW w:w="900" w:type="dxa"/>
            <w:vAlign w:val="bottom"/>
          </w:tcPr>
          <w:p>
            <w:pPr>
              <w:jc w:val="center"/>
              <w:ind w:left="29"/>
              <w:spacing w:after="0"/>
              <w:rPr>
                <w:sz w:val="20"/>
                <w:szCs w:val="20"/>
                <w:color w:val="auto"/>
              </w:rPr>
            </w:pPr>
            <w:r>
              <w:rPr>
                <w:rFonts w:ascii="Arial" w:cs="Arial" w:eastAsia="Arial" w:hAnsi="Arial"/>
                <w:sz w:val="12"/>
                <w:szCs w:val="12"/>
                <w:b w:val="1"/>
                <w:bCs w:val="1"/>
                <w:color w:val="auto"/>
                <w:w w:val="98"/>
              </w:rPr>
              <w:t>Equity</w:t>
            </w:r>
          </w:p>
        </w:tc>
      </w:tr>
      <w:tr>
        <w:trPr>
          <w:trHeight w:val="218"/>
        </w:trPr>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center"/>
              <w:ind w:left="169"/>
              <w:spacing w:after="0"/>
              <w:rPr>
                <w:sz w:val="20"/>
                <w:szCs w:val="20"/>
                <w:color w:val="auto"/>
              </w:rPr>
            </w:pPr>
            <w:r>
              <w:rPr>
                <w:rFonts w:ascii="Arial" w:cs="Arial" w:eastAsia="Arial" w:hAnsi="Arial"/>
                <w:sz w:val="12"/>
                <w:szCs w:val="12"/>
                <w:b w:val="1"/>
                <w:bCs w:val="1"/>
                <w:color w:val="auto"/>
                <w:w w:val="98"/>
              </w:rPr>
              <w:t>Equity</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4"/>
              </w:rPr>
              <w:t>Plan</w:t>
            </w:r>
          </w:p>
        </w:tc>
        <w:tc>
          <w:tcPr>
            <w:tcW w:w="900" w:type="dxa"/>
            <w:vAlign w:val="bottom"/>
          </w:tcPr>
          <w:p>
            <w:pPr>
              <w:jc w:val="center"/>
              <w:ind w:left="29"/>
              <w:spacing w:after="0"/>
              <w:rPr>
                <w:sz w:val="20"/>
                <w:szCs w:val="20"/>
                <w:color w:val="auto"/>
              </w:rPr>
            </w:pPr>
            <w:r>
              <w:rPr>
                <w:rFonts w:ascii="Arial" w:cs="Arial" w:eastAsia="Arial" w:hAnsi="Arial"/>
                <w:sz w:val="12"/>
                <w:szCs w:val="12"/>
                <w:b w:val="1"/>
                <w:bCs w:val="1"/>
                <w:color w:val="auto"/>
                <w:w w:val="99"/>
              </w:rPr>
              <w:t>Incentive</w:t>
            </w:r>
          </w:p>
        </w:tc>
      </w:tr>
      <w:tr>
        <w:trPr>
          <w:trHeight w:val="218"/>
        </w:trPr>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center"/>
              <w:ind w:left="169"/>
              <w:spacing w:after="0"/>
              <w:rPr>
                <w:sz w:val="20"/>
                <w:szCs w:val="20"/>
                <w:color w:val="auto"/>
              </w:rPr>
            </w:pPr>
            <w:r>
              <w:rPr>
                <w:rFonts w:ascii="Arial" w:cs="Arial" w:eastAsia="Arial" w:hAnsi="Arial"/>
                <w:sz w:val="12"/>
                <w:szCs w:val="12"/>
                <w:b w:val="1"/>
                <w:bCs w:val="1"/>
                <w:color w:val="auto"/>
                <w:w w:val="99"/>
              </w:rPr>
              <w:t>Incentive</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900" w:type="dxa"/>
            <w:vAlign w:val="bottom"/>
          </w:tcPr>
          <w:p>
            <w:pPr>
              <w:jc w:val="center"/>
              <w:ind w:left="29"/>
              <w:spacing w:after="0"/>
              <w:rPr>
                <w:sz w:val="20"/>
                <w:szCs w:val="20"/>
                <w:color w:val="auto"/>
              </w:rPr>
            </w:pPr>
            <w:r>
              <w:rPr>
                <w:rFonts w:ascii="Arial" w:cs="Arial" w:eastAsia="Arial" w:hAnsi="Arial"/>
                <w:sz w:val="12"/>
                <w:szCs w:val="12"/>
                <w:b w:val="1"/>
                <w:bCs w:val="1"/>
                <w:color w:val="auto"/>
                <w:w w:val="99"/>
              </w:rPr>
              <w:t>Plan Awards:</w:t>
            </w:r>
          </w:p>
        </w:tc>
      </w:tr>
      <w:tr>
        <w:trPr>
          <w:trHeight w:val="218"/>
        </w:trPr>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center"/>
              <w:ind w:left="189"/>
              <w:spacing w:after="0"/>
              <w:rPr>
                <w:sz w:val="20"/>
                <w:szCs w:val="20"/>
                <w:color w:val="auto"/>
              </w:rPr>
            </w:pPr>
            <w:r>
              <w:rPr>
                <w:rFonts w:ascii="Arial" w:cs="Arial" w:eastAsia="Arial" w:hAnsi="Arial"/>
                <w:sz w:val="12"/>
                <w:szCs w:val="12"/>
                <w:b w:val="1"/>
                <w:bCs w:val="1"/>
                <w:color w:val="auto"/>
              </w:rPr>
              <w:t>Plan</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900" w:type="dxa"/>
            <w:vAlign w:val="bottom"/>
          </w:tcPr>
          <w:p>
            <w:pPr>
              <w:jc w:val="center"/>
              <w:ind w:left="49"/>
              <w:spacing w:after="0"/>
              <w:rPr>
                <w:sz w:val="20"/>
                <w:szCs w:val="20"/>
                <w:color w:val="auto"/>
              </w:rPr>
            </w:pPr>
            <w:r>
              <w:rPr>
                <w:rFonts w:ascii="Arial" w:cs="Arial" w:eastAsia="Arial" w:hAnsi="Arial"/>
                <w:sz w:val="12"/>
                <w:szCs w:val="12"/>
                <w:b w:val="1"/>
                <w:bCs w:val="1"/>
                <w:color w:val="auto"/>
                <w:w w:val="99"/>
              </w:rPr>
              <w:t>Market or</w:t>
            </w:r>
          </w:p>
        </w:tc>
      </w:tr>
      <w:tr>
        <w:trPr>
          <w:trHeight w:val="218"/>
        </w:trPr>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center"/>
              <w:ind w:left="169"/>
              <w:spacing w:after="0"/>
              <w:rPr>
                <w:sz w:val="20"/>
                <w:szCs w:val="20"/>
                <w:color w:val="auto"/>
              </w:rPr>
            </w:pPr>
            <w:r>
              <w:rPr>
                <w:rFonts w:ascii="Arial" w:cs="Arial" w:eastAsia="Arial" w:hAnsi="Arial"/>
                <w:sz w:val="12"/>
                <w:szCs w:val="12"/>
                <w:b w:val="1"/>
                <w:bCs w:val="1"/>
                <w:color w:val="auto"/>
              </w:rPr>
              <w:t>Awards:</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Unearned</w:t>
            </w:r>
          </w:p>
        </w:tc>
        <w:tc>
          <w:tcPr>
            <w:tcW w:w="900" w:type="dxa"/>
            <w:vAlign w:val="bottom"/>
          </w:tcPr>
          <w:p>
            <w:pPr>
              <w:jc w:val="center"/>
              <w:ind w:left="29"/>
              <w:spacing w:after="0"/>
              <w:rPr>
                <w:sz w:val="20"/>
                <w:szCs w:val="20"/>
                <w:color w:val="auto"/>
              </w:rPr>
            </w:pPr>
            <w:r>
              <w:rPr>
                <w:rFonts w:ascii="Arial" w:cs="Arial" w:eastAsia="Arial" w:hAnsi="Arial"/>
                <w:sz w:val="12"/>
                <w:szCs w:val="12"/>
                <w:b w:val="1"/>
                <w:bCs w:val="1"/>
                <w:color w:val="auto"/>
              </w:rPr>
              <w:t>Payout Value</w:t>
            </w:r>
          </w:p>
        </w:tc>
      </w:tr>
      <w:tr>
        <w:trPr>
          <w:trHeight w:val="218"/>
        </w:trPr>
        <w:tc>
          <w:tcPr>
            <w:tcW w:w="2380" w:type="dxa"/>
            <w:vAlign w:val="bottom"/>
          </w:tcPr>
          <w:p>
            <w:pPr>
              <w:spacing w:after="0"/>
              <w:rPr>
                <w:sz w:val="18"/>
                <w:szCs w:val="18"/>
                <w:color w:val="auto"/>
              </w:rPr>
            </w:pPr>
          </w:p>
        </w:tc>
        <w:tc>
          <w:tcPr>
            <w:tcW w:w="980" w:type="dxa"/>
            <w:vAlign w:val="bottom"/>
          </w:tcPr>
          <w:p>
            <w:pPr>
              <w:jc w:val="center"/>
              <w:ind w:right="166"/>
              <w:spacing w:after="0"/>
              <w:rPr>
                <w:sz w:val="20"/>
                <w:szCs w:val="20"/>
                <w:color w:val="auto"/>
              </w:rPr>
            </w:pPr>
            <w:r>
              <w:rPr>
                <w:rFonts w:ascii="Arial" w:cs="Arial" w:eastAsia="Arial" w:hAnsi="Arial"/>
                <w:sz w:val="12"/>
                <w:szCs w:val="12"/>
                <w:b w:val="1"/>
                <w:bCs w:val="1"/>
                <w:color w:val="auto"/>
              </w:rPr>
              <w:t>Number of</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960" w:type="dxa"/>
            <w:vAlign w:val="bottom"/>
          </w:tcPr>
          <w:p>
            <w:pPr>
              <w:jc w:val="center"/>
              <w:ind w:left="169"/>
              <w:spacing w:after="0"/>
              <w:rPr>
                <w:sz w:val="20"/>
                <w:szCs w:val="20"/>
                <w:color w:val="auto"/>
              </w:rPr>
            </w:pPr>
            <w:r>
              <w:rPr>
                <w:rFonts w:ascii="Arial" w:cs="Arial" w:eastAsia="Arial" w:hAnsi="Arial"/>
                <w:sz w:val="12"/>
                <w:szCs w:val="12"/>
                <w:b w:val="1"/>
                <w:bCs w:val="1"/>
                <w:color w:val="auto"/>
                <w:w w:val="99"/>
              </w:rPr>
              <w:t>Number of</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Market Value</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Shares,</w:t>
            </w:r>
          </w:p>
        </w:tc>
        <w:tc>
          <w:tcPr>
            <w:tcW w:w="900" w:type="dxa"/>
            <w:vAlign w:val="bottom"/>
          </w:tcPr>
          <w:p>
            <w:pPr>
              <w:jc w:val="center"/>
              <w:ind w:left="29"/>
              <w:spacing w:after="0"/>
              <w:rPr>
                <w:sz w:val="20"/>
                <w:szCs w:val="20"/>
                <w:color w:val="auto"/>
              </w:rPr>
            </w:pPr>
            <w:r>
              <w:rPr>
                <w:rFonts w:ascii="Arial" w:cs="Arial" w:eastAsia="Arial" w:hAnsi="Arial"/>
                <w:sz w:val="12"/>
                <w:szCs w:val="12"/>
                <w:b w:val="1"/>
                <w:bCs w:val="1"/>
                <w:color w:val="auto"/>
              </w:rPr>
              <w:t>of Unearned</w:t>
            </w:r>
          </w:p>
        </w:tc>
      </w:tr>
      <w:tr>
        <w:trPr>
          <w:trHeight w:val="218"/>
        </w:trPr>
        <w:tc>
          <w:tcPr>
            <w:tcW w:w="2380" w:type="dxa"/>
            <w:vAlign w:val="bottom"/>
          </w:tcPr>
          <w:p>
            <w:pPr>
              <w:spacing w:after="0"/>
              <w:rPr>
                <w:sz w:val="18"/>
                <w:szCs w:val="18"/>
                <w:color w:val="auto"/>
              </w:rPr>
            </w:pPr>
          </w:p>
        </w:tc>
        <w:tc>
          <w:tcPr>
            <w:tcW w:w="980" w:type="dxa"/>
            <w:vAlign w:val="bottom"/>
          </w:tcPr>
          <w:p>
            <w:pPr>
              <w:jc w:val="center"/>
              <w:ind w:right="166"/>
              <w:spacing w:after="0"/>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rPr>
              <w:t>Securities</w:t>
            </w:r>
          </w:p>
        </w:tc>
        <w:tc>
          <w:tcPr>
            <w:tcW w:w="960" w:type="dxa"/>
            <w:vAlign w:val="bottom"/>
          </w:tcPr>
          <w:p>
            <w:pPr>
              <w:jc w:val="center"/>
              <w:ind w:left="189"/>
              <w:spacing w:after="0"/>
              <w:rPr>
                <w:sz w:val="20"/>
                <w:szCs w:val="20"/>
                <w:color w:val="auto"/>
              </w:rPr>
            </w:pPr>
            <w:r>
              <w:rPr>
                <w:rFonts w:ascii="Arial" w:cs="Arial" w:eastAsia="Arial" w:hAnsi="Arial"/>
                <w:sz w:val="12"/>
                <w:szCs w:val="12"/>
                <w:b w:val="1"/>
                <w:bCs w:val="1"/>
                <w:color w:val="auto"/>
              </w:rPr>
              <w:t>Securities</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81"/>
              <w:spacing w:after="0"/>
              <w:rPr>
                <w:sz w:val="20"/>
                <w:szCs w:val="20"/>
                <w:color w:val="auto"/>
              </w:rPr>
            </w:pPr>
            <w:r>
              <w:rPr>
                <w:rFonts w:ascii="Arial" w:cs="Arial" w:eastAsia="Arial" w:hAnsi="Arial"/>
                <w:sz w:val="12"/>
                <w:szCs w:val="12"/>
                <w:b w:val="1"/>
                <w:bCs w:val="1"/>
                <w:color w:val="auto"/>
                <w:w w:val="99"/>
              </w:rPr>
              <w:t>Number of</w:t>
            </w:r>
          </w:p>
        </w:tc>
        <w:tc>
          <w:tcPr>
            <w:tcW w:w="11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of Shares or</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6"/>
              </w:rPr>
              <w:t>Units or</w:t>
            </w:r>
          </w:p>
        </w:tc>
        <w:tc>
          <w:tcPr>
            <w:tcW w:w="900" w:type="dxa"/>
            <w:vAlign w:val="bottom"/>
          </w:tcPr>
          <w:p>
            <w:pPr>
              <w:jc w:val="center"/>
              <w:ind w:left="49"/>
              <w:spacing w:after="0"/>
              <w:rPr>
                <w:sz w:val="20"/>
                <w:szCs w:val="20"/>
                <w:color w:val="auto"/>
              </w:rPr>
            </w:pPr>
            <w:r>
              <w:rPr>
                <w:rFonts w:ascii="Arial" w:cs="Arial" w:eastAsia="Arial" w:hAnsi="Arial"/>
                <w:sz w:val="12"/>
                <w:szCs w:val="12"/>
                <w:b w:val="1"/>
                <w:bCs w:val="1"/>
                <w:color w:val="auto"/>
              </w:rPr>
              <w:t>Shares, Units</w:t>
            </w:r>
          </w:p>
        </w:tc>
      </w:tr>
      <w:tr>
        <w:trPr>
          <w:trHeight w:val="218"/>
        </w:trPr>
        <w:tc>
          <w:tcPr>
            <w:tcW w:w="2380" w:type="dxa"/>
            <w:vAlign w:val="bottom"/>
          </w:tcPr>
          <w:p>
            <w:pPr>
              <w:spacing w:after="0"/>
              <w:rPr>
                <w:sz w:val="18"/>
                <w:szCs w:val="18"/>
                <w:color w:val="auto"/>
              </w:rPr>
            </w:pPr>
          </w:p>
        </w:tc>
        <w:tc>
          <w:tcPr>
            <w:tcW w:w="980" w:type="dxa"/>
            <w:vAlign w:val="bottom"/>
          </w:tcPr>
          <w:p>
            <w:pPr>
              <w:jc w:val="center"/>
              <w:ind w:right="166"/>
              <w:spacing w:after="0"/>
              <w:rPr>
                <w:sz w:val="20"/>
                <w:szCs w:val="20"/>
                <w:color w:val="auto"/>
              </w:rPr>
            </w:pPr>
            <w:r>
              <w:rPr>
                <w:rFonts w:ascii="Arial" w:cs="Arial" w:eastAsia="Arial" w:hAnsi="Arial"/>
                <w:sz w:val="12"/>
                <w:szCs w:val="12"/>
                <w:b w:val="1"/>
                <w:bCs w:val="1"/>
                <w:color w:val="auto"/>
                <w:w w:val="98"/>
              </w:rPr>
              <w:t>Underlying</w:t>
            </w:r>
          </w:p>
        </w:tc>
        <w:tc>
          <w:tcPr>
            <w:tcW w:w="980" w:type="dxa"/>
            <w:vAlign w:val="bottom"/>
            <w:gridSpan w:val="2"/>
          </w:tcPr>
          <w:p>
            <w:pPr>
              <w:jc w:val="right"/>
              <w:ind w:right="101"/>
              <w:spacing w:after="0"/>
              <w:rPr>
                <w:sz w:val="20"/>
                <w:szCs w:val="20"/>
                <w:color w:val="auto"/>
              </w:rPr>
            </w:pPr>
            <w:r>
              <w:rPr>
                <w:rFonts w:ascii="Arial" w:cs="Arial" w:eastAsia="Arial" w:hAnsi="Arial"/>
                <w:sz w:val="12"/>
                <w:szCs w:val="12"/>
                <w:b w:val="1"/>
                <w:bCs w:val="1"/>
                <w:color w:val="auto"/>
              </w:rPr>
              <w:t>Underlying</w:t>
            </w:r>
          </w:p>
        </w:tc>
        <w:tc>
          <w:tcPr>
            <w:tcW w:w="960" w:type="dxa"/>
            <w:vAlign w:val="bottom"/>
          </w:tcPr>
          <w:p>
            <w:pPr>
              <w:jc w:val="center"/>
              <w:ind w:left="169"/>
              <w:spacing w:after="0"/>
              <w:rPr>
                <w:sz w:val="20"/>
                <w:szCs w:val="20"/>
                <w:color w:val="auto"/>
              </w:rPr>
            </w:pPr>
            <w:r>
              <w:rPr>
                <w:rFonts w:ascii="Arial" w:cs="Arial" w:eastAsia="Arial" w:hAnsi="Arial"/>
                <w:sz w:val="12"/>
                <w:szCs w:val="12"/>
                <w:b w:val="1"/>
                <w:bCs w:val="1"/>
                <w:color w:val="auto"/>
              </w:rPr>
              <w:t>Underlying</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81"/>
              <w:spacing w:after="0"/>
              <w:rPr>
                <w:sz w:val="20"/>
                <w:szCs w:val="20"/>
                <w:color w:val="auto"/>
              </w:rPr>
            </w:pPr>
            <w:r>
              <w:rPr>
                <w:rFonts w:ascii="Arial" w:cs="Arial" w:eastAsia="Arial" w:hAnsi="Arial"/>
                <w:sz w:val="12"/>
                <w:szCs w:val="12"/>
                <w:b w:val="1"/>
                <w:bCs w:val="1"/>
                <w:color w:val="auto"/>
              </w:rPr>
              <w:t>Shares or</w:t>
            </w:r>
          </w:p>
        </w:tc>
        <w:tc>
          <w:tcPr>
            <w:tcW w:w="1140" w:type="dxa"/>
            <w:vAlign w:val="bottom"/>
            <w:gridSpan w:val="2"/>
          </w:tcPr>
          <w:p>
            <w:pPr>
              <w:ind w:left="160"/>
              <w:spacing w:after="0"/>
              <w:rPr>
                <w:sz w:val="20"/>
                <w:szCs w:val="20"/>
                <w:color w:val="auto"/>
              </w:rPr>
            </w:pPr>
            <w:r>
              <w:rPr>
                <w:rFonts w:ascii="Arial" w:cs="Arial" w:eastAsia="Arial" w:hAnsi="Arial"/>
                <w:sz w:val="12"/>
                <w:szCs w:val="12"/>
                <w:b w:val="1"/>
                <w:bCs w:val="1"/>
                <w:color w:val="auto"/>
              </w:rPr>
              <w:t>Units of Stock</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Other</w:t>
            </w:r>
          </w:p>
        </w:tc>
        <w:tc>
          <w:tcPr>
            <w:tcW w:w="900" w:type="dxa"/>
            <w:vAlign w:val="bottom"/>
          </w:tcPr>
          <w:p>
            <w:pPr>
              <w:jc w:val="center"/>
              <w:ind w:left="29"/>
              <w:spacing w:after="0"/>
              <w:rPr>
                <w:sz w:val="20"/>
                <w:szCs w:val="20"/>
                <w:color w:val="auto"/>
              </w:rPr>
            </w:pPr>
            <w:r>
              <w:rPr>
                <w:rFonts w:ascii="Arial" w:cs="Arial" w:eastAsia="Arial" w:hAnsi="Arial"/>
                <w:sz w:val="12"/>
                <w:szCs w:val="12"/>
                <w:b w:val="1"/>
                <w:bCs w:val="1"/>
                <w:color w:val="auto"/>
              </w:rPr>
              <w:t>or Other</w:t>
            </w:r>
          </w:p>
        </w:tc>
      </w:tr>
      <w:tr>
        <w:trPr>
          <w:trHeight w:val="218"/>
        </w:trPr>
        <w:tc>
          <w:tcPr>
            <w:tcW w:w="2380" w:type="dxa"/>
            <w:vAlign w:val="bottom"/>
          </w:tcPr>
          <w:p>
            <w:pPr>
              <w:spacing w:after="0"/>
              <w:rPr>
                <w:sz w:val="18"/>
                <w:szCs w:val="18"/>
                <w:color w:val="auto"/>
              </w:rPr>
            </w:pPr>
          </w:p>
        </w:tc>
        <w:tc>
          <w:tcPr>
            <w:tcW w:w="980" w:type="dxa"/>
            <w:vAlign w:val="bottom"/>
          </w:tcPr>
          <w:p>
            <w:pPr>
              <w:jc w:val="center"/>
              <w:ind w:right="166"/>
              <w:spacing w:after="0"/>
              <w:rPr>
                <w:sz w:val="20"/>
                <w:szCs w:val="20"/>
                <w:color w:val="auto"/>
              </w:rPr>
            </w:pPr>
            <w:r>
              <w:rPr>
                <w:rFonts w:ascii="Arial" w:cs="Arial" w:eastAsia="Arial" w:hAnsi="Arial"/>
                <w:sz w:val="12"/>
                <w:szCs w:val="12"/>
                <w:b w:val="1"/>
                <w:bCs w:val="1"/>
                <w:color w:val="auto"/>
              </w:rPr>
              <w:t>Unexercised</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Unexercised</w:t>
            </w:r>
          </w:p>
        </w:tc>
        <w:tc>
          <w:tcPr>
            <w:tcW w:w="960" w:type="dxa"/>
            <w:vAlign w:val="bottom"/>
          </w:tcPr>
          <w:p>
            <w:pPr>
              <w:jc w:val="center"/>
              <w:ind w:left="169"/>
              <w:spacing w:after="0"/>
              <w:rPr>
                <w:sz w:val="20"/>
                <w:szCs w:val="20"/>
                <w:color w:val="auto"/>
              </w:rPr>
            </w:pPr>
            <w:r>
              <w:rPr>
                <w:rFonts w:ascii="Arial" w:cs="Arial" w:eastAsia="Arial" w:hAnsi="Arial"/>
                <w:sz w:val="12"/>
                <w:szCs w:val="12"/>
                <w:b w:val="1"/>
                <w:bCs w:val="1"/>
                <w:color w:val="auto"/>
              </w:rPr>
              <w:t>Unexercised</w:t>
            </w:r>
          </w:p>
        </w:tc>
        <w:tc>
          <w:tcPr>
            <w:tcW w:w="1000" w:type="dxa"/>
            <w:vAlign w:val="bottom"/>
          </w:tcPr>
          <w:p>
            <w:pPr>
              <w:jc w:val="center"/>
              <w:ind w:left="104"/>
              <w:spacing w:after="0"/>
              <w:rPr>
                <w:sz w:val="20"/>
                <w:szCs w:val="20"/>
                <w:color w:val="auto"/>
              </w:rPr>
            </w:pPr>
            <w:r>
              <w:rPr>
                <w:rFonts w:ascii="Arial" w:cs="Arial" w:eastAsia="Arial" w:hAnsi="Arial"/>
                <w:sz w:val="12"/>
                <w:szCs w:val="12"/>
                <w:b w:val="1"/>
                <w:bCs w:val="1"/>
                <w:color w:val="auto"/>
                <w:w w:val="98"/>
              </w:rPr>
              <w:t>Option</w:t>
            </w:r>
          </w:p>
        </w:tc>
        <w:tc>
          <w:tcPr>
            <w:tcW w:w="11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Option</w:t>
            </w:r>
          </w:p>
        </w:tc>
        <w:tc>
          <w:tcPr>
            <w:tcW w:w="1040" w:type="dxa"/>
            <w:vAlign w:val="bottom"/>
            <w:gridSpan w:val="2"/>
          </w:tcPr>
          <w:p>
            <w:pPr>
              <w:jc w:val="center"/>
              <w:ind w:right="61"/>
              <w:spacing w:after="0"/>
              <w:rPr>
                <w:sz w:val="20"/>
                <w:szCs w:val="20"/>
                <w:color w:val="auto"/>
              </w:rPr>
            </w:pPr>
            <w:r>
              <w:rPr>
                <w:rFonts w:ascii="Arial" w:cs="Arial" w:eastAsia="Arial" w:hAnsi="Arial"/>
                <w:sz w:val="12"/>
                <w:szCs w:val="12"/>
                <w:b w:val="1"/>
                <w:bCs w:val="1"/>
                <w:color w:val="auto"/>
              </w:rPr>
              <w:t>Units of Stock</w:t>
            </w:r>
          </w:p>
        </w:tc>
        <w:tc>
          <w:tcPr>
            <w:tcW w:w="1140" w:type="dxa"/>
            <w:vAlign w:val="bottom"/>
            <w:gridSpan w:val="2"/>
          </w:tcPr>
          <w:p>
            <w:pPr>
              <w:ind w:left="160"/>
              <w:spacing w:after="0"/>
              <w:rPr>
                <w:sz w:val="20"/>
                <w:szCs w:val="20"/>
                <w:color w:val="auto"/>
              </w:rPr>
            </w:pPr>
            <w:r>
              <w:rPr>
                <w:rFonts w:ascii="Arial" w:cs="Arial" w:eastAsia="Arial" w:hAnsi="Arial"/>
                <w:sz w:val="12"/>
                <w:szCs w:val="12"/>
                <w:b w:val="1"/>
                <w:bCs w:val="1"/>
                <w:color w:val="auto"/>
              </w:rPr>
              <w:t>That Have Not</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Rights That</w:t>
            </w:r>
          </w:p>
        </w:tc>
        <w:tc>
          <w:tcPr>
            <w:tcW w:w="900" w:type="dxa"/>
            <w:vAlign w:val="bottom"/>
          </w:tcPr>
          <w:p>
            <w:pPr>
              <w:jc w:val="center"/>
              <w:ind w:left="29"/>
              <w:spacing w:after="0"/>
              <w:rPr>
                <w:sz w:val="20"/>
                <w:szCs w:val="20"/>
                <w:color w:val="auto"/>
              </w:rPr>
            </w:pPr>
            <w:r>
              <w:rPr>
                <w:rFonts w:ascii="Arial" w:cs="Arial" w:eastAsia="Arial" w:hAnsi="Arial"/>
                <w:sz w:val="12"/>
                <w:szCs w:val="12"/>
                <w:b w:val="1"/>
                <w:bCs w:val="1"/>
                <w:color w:val="auto"/>
              </w:rPr>
              <w:t>Rights That</w:t>
            </w:r>
          </w:p>
        </w:tc>
      </w:tr>
      <w:tr>
        <w:trPr>
          <w:trHeight w:val="218"/>
        </w:trPr>
        <w:tc>
          <w:tcPr>
            <w:tcW w:w="2380" w:type="dxa"/>
            <w:vAlign w:val="bottom"/>
          </w:tcPr>
          <w:p>
            <w:pPr>
              <w:spacing w:after="0"/>
              <w:rPr>
                <w:sz w:val="18"/>
                <w:szCs w:val="18"/>
                <w:color w:val="auto"/>
              </w:rPr>
            </w:pPr>
          </w:p>
        </w:tc>
        <w:tc>
          <w:tcPr>
            <w:tcW w:w="980" w:type="dxa"/>
            <w:vAlign w:val="bottom"/>
          </w:tcPr>
          <w:p>
            <w:pPr>
              <w:jc w:val="center"/>
              <w:ind w:right="186"/>
              <w:spacing w:after="0"/>
              <w:rPr>
                <w:sz w:val="20"/>
                <w:szCs w:val="20"/>
                <w:color w:val="auto"/>
              </w:rPr>
            </w:pPr>
            <w:r>
              <w:rPr>
                <w:rFonts w:ascii="Arial" w:cs="Arial" w:eastAsia="Arial" w:hAnsi="Arial"/>
                <w:sz w:val="12"/>
                <w:szCs w:val="12"/>
                <w:b w:val="1"/>
                <w:bCs w:val="1"/>
                <w:color w:val="auto"/>
              </w:rPr>
              <w:t>Options (#)</w:t>
            </w:r>
          </w:p>
        </w:tc>
        <w:tc>
          <w:tcPr>
            <w:tcW w:w="980" w:type="dxa"/>
            <w:vAlign w:val="bottom"/>
            <w:gridSpan w:val="2"/>
          </w:tcPr>
          <w:p>
            <w:pPr>
              <w:jc w:val="right"/>
              <w:ind w:right="101"/>
              <w:spacing w:after="0"/>
              <w:rPr>
                <w:sz w:val="20"/>
                <w:szCs w:val="20"/>
                <w:color w:val="auto"/>
              </w:rPr>
            </w:pPr>
            <w:r>
              <w:rPr>
                <w:rFonts w:ascii="Arial" w:cs="Arial" w:eastAsia="Arial" w:hAnsi="Arial"/>
                <w:sz w:val="12"/>
                <w:szCs w:val="12"/>
                <w:b w:val="1"/>
                <w:bCs w:val="1"/>
                <w:color w:val="auto"/>
              </w:rPr>
              <w:t>Options (#)</w:t>
            </w:r>
          </w:p>
        </w:tc>
        <w:tc>
          <w:tcPr>
            <w:tcW w:w="960" w:type="dxa"/>
            <w:vAlign w:val="bottom"/>
          </w:tcPr>
          <w:p>
            <w:pPr>
              <w:jc w:val="center"/>
              <w:ind w:left="169"/>
              <w:spacing w:after="0"/>
              <w:rPr>
                <w:sz w:val="20"/>
                <w:szCs w:val="20"/>
                <w:color w:val="auto"/>
              </w:rPr>
            </w:pPr>
            <w:r>
              <w:rPr>
                <w:rFonts w:ascii="Arial" w:cs="Arial" w:eastAsia="Arial" w:hAnsi="Arial"/>
                <w:sz w:val="12"/>
                <w:szCs w:val="12"/>
                <w:b w:val="1"/>
                <w:bCs w:val="1"/>
                <w:color w:val="auto"/>
              </w:rPr>
              <w:t>Unearned</w:t>
            </w:r>
          </w:p>
        </w:tc>
        <w:tc>
          <w:tcPr>
            <w:tcW w:w="1000" w:type="dxa"/>
            <w:vAlign w:val="bottom"/>
          </w:tcPr>
          <w:p>
            <w:pPr>
              <w:jc w:val="center"/>
              <w:ind w:left="104"/>
              <w:spacing w:after="0"/>
              <w:rPr>
                <w:sz w:val="20"/>
                <w:szCs w:val="20"/>
                <w:color w:val="auto"/>
              </w:rPr>
            </w:pPr>
            <w:r>
              <w:rPr>
                <w:rFonts w:ascii="Arial" w:cs="Arial" w:eastAsia="Arial" w:hAnsi="Arial"/>
                <w:sz w:val="12"/>
                <w:szCs w:val="12"/>
                <w:b w:val="1"/>
                <w:bCs w:val="1"/>
                <w:color w:val="auto"/>
              </w:rPr>
              <w:t>Exercise</w:t>
            </w:r>
          </w:p>
        </w:tc>
        <w:tc>
          <w:tcPr>
            <w:tcW w:w="11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Expiration</w:t>
            </w:r>
          </w:p>
        </w:tc>
        <w:tc>
          <w:tcPr>
            <w:tcW w:w="1040" w:type="dxa"/>
            <w:vAlign w:val="bottom"/>
            <w:gridSpan w:val="2"/>
          </w:tcPr>
          <w:p>
            <w:pPr>
              <w:jc w:val="center"/>
              <w:ind w:right="61"/>
              <w:spacing w:after="0"/>
              <w:rPr>
                <w:sz w:val="20"/>
                <w:szCs w:val="20"/>
                <w:color w:val="auto"/>
              </w:rPr>
            </w:pPr>
            <w:r>
              <w:rPr>
                <w:rFonts w:ascii="Arial" w:cs="Arial" w:eastAsia="Arial" w:hAnsi="Arial"/>
                <w:sz w:val="12"/>
                <w:szCs w:val="12"/>
                <w:b w:val="1"/>
                <w:bCs w:val="1"/>
                <w:color w:val="auto"/>
              </w:rPr>
              <w:t>That Have Not</w:t>
            </w:r>
          </w:p>
        </w:tc>
        <w:tc>
          <w:tcPr>
            <w:tcW w:w="240" w:type="dxa"/>
            <w:vAlign w:val="bottom"/>
          </w:tcPr>
          <w:p>
            <w:pPr>
              <w:spacing w:after="0"/>
              <w:rPr>
                <w:sz w:val="18"/>
                <w:szCs w:val="18"/>
                <w:color w:val="auto"/>
              </w:rPr>
            </w:pPr>
          </w:p>
        </w:tc>
        <w:tc>
          <w:tcPr>
            <w:tcW w:w="900" w:type="dxa"/>
            <w:vAlign w:val="bottom"/>
          </w:tcPr>
          <w:p>
            <w:pPr>
              <w:jc w:val="center"/>
              <w:ind w:right="164"/>
              <w:spacing w:after="0"/>
              <w:rPr>
                <w:sz w:val="20"/>
                <w:szCs w:val="20"/>
                <w:color w:val="auto"/>
              </w:rPr>
            </w:pPr>
            <w:r>
              <w:rPr>
                <w:rFonts w:ascii="Arial" w:cs="Arial" w:eastAsia="Arial" w:hAnsi="Arial"/>
                <w:sz w:val="12"/>
                <w:szCs w:val="12"/>
                <w:b w:val="1"/>
                <w:bCs w:val="1"/>
                <w:color w:val="auto"/>
                <w:w w:val="96"/>
              </w:rPr>
              <w:t>Vested</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Have Not</w:t>
            </w:r>
          </w:p>
        </w:tc>
        <w:tc>
          <w:tcPr>
            <w:tcW w:w="900" w:type="dxa"/>
            <w:vAlign w:val="bottom"/>
          </w:tcPr>
          <w:p>
            <w:pPr>
              <w:jc w:val="center"/>
              <w:ind w:left="29"/>
              <w:spacing w:after="0"/>
              <w:rPr>
                <w:sz w:val="20"/>
                <w:szCs w:val="20"/>
                <w:color w:val="auto"/>
              </w:rPr>
            </w:pPr>
            <w:r>
              <w:rPr>
                <w:rFonts w:ascii="Arial" w:cs="Arial" w:eastAsia="Arial" w:hAnsi="Arial"/>
                <w:sz w:val="12"/>
                <w:szCs w:val="12"/>
                <w:b w:val="1"/>
                <w:bCs w:val="1"/>
                <w:color w:val="auto"/>
                <w:w w:val="99"/>
              </w:rPr>
              <w:t>Have Not</w:t>
            </w:r>
          </w:p>
        </w:tc>
      </w:tr>
      <w:tr>
        <w:trPr>
          <w:trHeight w:val="218"/>
        </w:trPr>
        <w:tc>
          <w:tcPr>
            <w:tcW w:w="238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980" w:type="dxa"/>
            <w:vAlign w:val="bottom"/>
          </w:tcPr>
          <w:p>
            <w:pPr>
              <w:jc w:val="center"/>
              <w:ind w:right="166"/>
              <w:spacing w:after="0"/>
              <w:rPr>
                <w:sz w:val="20"/>
                <w:szCs w:val="20"/>
                <w:color w:val="auto"/>
              </w:rPr>
            </w:pPr>
            <w:r>
              <w:rPr>
                <w:rFonts w:ascii="Arial" w:cs="Arial" w:eastAsia="Arial" w:hAnsi="Arial"/>
                <w:sz w:val="12"/>
                <w:szCs w:val="12"/>
                <w:b w:val="1"/>
                <w:bCs w:val="1"/>
                <w:color w:val="auto"/>
                <w:w w:val="98"/>
              </w:rPr>
              <w:t>Exercisable</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Unexercisable</w:t>
            </w:r>
          </w:p>
        </w:tc>
        <w:tc>
          <w:tcPr>
            <w:tcW w:w="960" w:type="dxa"/>
            <w:vAlign w:val="bottom"/>
          </w:tcPr>
          <w:p>
            <w:pPr>
              <w:jc w:val="center"/>
              <w:ind w:left="169"/>
              <w:spacing w:after="0"/>
              <w:rPr>
                <w:sz w:val="20"/>
                <w:szCs w:val="20"/>
                <w:color w:val="auto"/>
              </w:rPr>
            </w:pPr>
            <w:r>
              <w:rPr>
                <w:rFonts w:ascii="Arial" w:cs="Arial" w:eastAsia="Arial" w:hAnsi="Arial"/>
                <w:sz w:val="12"/>
                <w:szCs w:val="12"/>
                <w:b w:val="1"/>
                <w:bCs w:val="1"/>
                <w:color w:val="auto"/>
              </w:rPr>
              <w:t>Options (#)</w:t>
            </w:r>
          </w:p>
        </w:tc>
        <w:tc>
          <w:tcPr>
            <w:tcW w:w="1000" w:type="dxa"/>
            <w:vAlign w:val="bottom"/>
          </w:tcPr>
          <w:p>
            <w:pPr>
              <w:jc w:val="center"/>
              <w:ind w:left="104"/>
              <w:spacing w:after="0"/>
              <w:rPr>
                <w:sz w:val="20"/>
                <w:szCs w:val="20"/>
                <w:color w:val="auto"/>
              </w:rPr>
            </w:pPr>
            <w:r>
              <w:rPr>
                <w:rFonts w:ascii="Arial" w:cs="Arial" w:eastAsia="Arial" w:hAnsi="Arial"/>
                <w:sz w:val="12"/>
                <w:szCs w:val="12"/>
                <w:b w:val="1"/>
                <w:bCs w:val="1"/>
                <w:color w:val="auto"/>
                <w:w w:val="97"/>
              </w:rPr>
              <w:t>Price ($)</w:t>
            </w:r>
          </w:p>
        </w:tc>
        <w:tc>
          <w:tcPr>
            <w:tcW w:w="11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9"/>
              </w:rPr>
              <w:t>Date</w:t>
            </w:r>
          </w:p>
        </w:tc>
        <w:tc>
          <w:tcPr>
            <w:tcW w:w="1040" w:type="dxa"/>
            <w:vAlign w:val="bottom"/>
            <w:gridSpan w:val="2"/>
          </w:tcPr>
          <w:p>
            <w:pPr>
              <w:jc w:val="center"/>
              <w:ind w:right="61"/>
              <w:spacing w:after="0"/>
              <w:rPr>
                <w:sz w:val="20"/>
                <w:szCs w:val="20"/>
                <w:color w:val="auto"/>
              </w:rPr>
            </w:pPr>
            <w:r>
              <w:rPr>
                <w:rFonts w:ascii="Arial" w:cs="Arial" w:eastAsia="Arial" w:hAnsi="Arial"/>
                <w:sz w:val="12"/>
                <w:szCs w:val="12"/>
                <w:b w:val="1"/>
                <w:bCs w:val="1"/>
                <w:color w:val="auto"/>
              </w:rPr>
              <w:t>Vested (#)</w:t>
            </w:r>
          </w:p>
        </w:tc>
        <w:tc>
          <w:tcPr>
            <w:tcW w:w="240" w:type="dxa"/>
            <w:vAlign w:val="bottom"/>
          </w:tcPr>
          <w:p>
            <w:pPr>
              <w:spacing w:after="0"/>
              <w:rPr>
                <w:sz w:val="18"/>
                <w:szCs w:val="18"/>
                <w:color w:val="auto"/>
              </w:rPr>
            </w:pPr>
          </w:p>
        </w:tc>
        <w:tc>
          <w:tcPr>
            <w:tcW w:w="900" w:type="dxa"/>
            <w:vAlign w:val="bottom"/>
          </w:tcPr>
          <w:p>
            <w:pPr>
              <w:jc w:val="center"/>
              <w:ind w:right="164"/>
              <w:spacing w:after="0"/>
              <w:rPr>
                <w:sz w:val="20"/>
                <w:szCs w:val="20"/>
                <w:color w:val="auto"/>
              </w:rPr>
            </w:pPr>
            <w:r>
              <w:rPr>
                <w:rFonts w:ascii="Arial" w:cs="Arial" w:eastAsia="Arial" w:hAnsi="Arial"/>
                <w:sz w:val="12"/>
                <w:szCs w:val="12"/>
                <w:b w:val="1"/>
                <w:bCs w:val="1"/>
                <w:color w:val="auto"/>
              </w:rPr>
              <w:t>($)(1)</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7"/>
              </w:rPr>
              <w:t>Vested (#)</w:t>
            </w:r>
          </w:p>
        </w:tc>
        <w:tc>
          <w:tcPr>
            <w:tcW w:w="900" w:type="dxa"/>
            <w:vAlign w:val="bottom"/>
          </w:tcPr>
          <w:p>
            <w:pPr>
              <w:jc w:val="center"/>
              <w:ind w:left="29"/>
              <w:spacing w:after="0"/>
              <w:rPr>
                <w:sz w:val="20"/>
                <w:szCs w:val="20"/>
                <w:color w:val="auto"/>
              </w:rPr>
            </w:pPr>
            <w:r>
              <w:rPr>
                <w:rFonts w:ascii="Arial" w:cs="Arial" w:eastAsia="Arial" w:hAnsi="Arial"/>
                <w:sz w:val="12"/>
                <w:szCs w:val="12"/>
                <w:b w:val="1"/>
                <w:bCs w:val="1"/>
                <w:color w:val="auto"/>
                <w:w w:val="97"/>
              </w:rPr>
              <w:t>Vested ($)</w:t>
            </w:r>
          </w:p>
        </w:tc>
      </w:tr>
      <w:tr>
        <w:trPr>
          <w:trHeight w:val="37"/>
        </w:trPr>
        <w:tc>
          <w:tcPr>
            <w:tcW w:w="2380" w:type="dxa"/>
            <w:vAlign w:val="bottom"/>
            <w:tcBorders>
              <w:bottom w:val="single" w:sz="8" w:color="808285"/>
            </w:tcBorders>
          </w:tcPr>
          <w:p>
            <w:pPr>
              <w:spacing w:after="0"/>
              <w:rPr>
                <w:sz w:val="3"/>
                <w:szCs w:val="3"/>
                <w:color w:val="auto"/>
              </w:rPr>
            </w:pPr>
          </w:p>
        </w:tc>
        <w:tc>
          <w:tcPr>
            <w:tcW w:w="980" w:type="dxa"/>
            <w:vAlign w:val="bottom"/>
            <w:tcBorders>
              <w:bottom w:val="single" w:sz="8" w:color="808285"/>
            </w:tcBorders>
          </w:tcPr>
          <w:p>
            <w:pPr>
              <w:spacing w:after="0"/>
              <w:rPr>
                <w:sz w:val="3"/>
                <w:szCs w:val="3"/>
                <w:color w:val="auto"/>
              </w:rPr>
            </w:pPr>
          </w:p>
        </w:tc>
        <w:tc>
          <w:tcPr>
            <w:tcW w:w="580" w:type="dxa"/>
            <w:vAlign w:val="bottom"/>
            <w:tcBorders>
              <w:bottom w:val="single" w:sz="8" w:color="808285"/>
            </w:tcBorders>
          </w:tcPr>
          <w:p>
            <w:pPr>
              <w:spacing w:after="0"/>
              <w:rPr>
                <w:sz w:val="3"/>
                <w:szCs w:val="3"/>
                <w:color w:val="auto"/>
              </w:rPr>
            </w:pPr>
          </w:p>
        </w:tc>
        <w:tc>
          <w:tcPr>
            <w:tcW w:w="400" w:type="dxa"/>
            <w:vAlign w:val="bottom"/>
            <w:tcBorders>
              <w:bottom w:val="single" w:sz="8" w:color="808285"/>
            </w:tcBorders>
          </w:tcPr>
          <w:p>
            <w:pPr>
              <w:spacing w:after="0"/>
              <w:rPr>
                <w:sz w:val="3"/>
                <w:szCs w:val="3"/>
                <w:color w:val="auto"/>
              </w:rPr>
            </w:pPr>
          </w:p>
        </w:tc>
        <w:tc>
          <w:tcPr>
            <w:tcW w:w="960" w:type="dxa"/>
            <w:vAlign w:val="bottom"/>
            <w:tcBorders>
              <w:bottom w:val="single" w:sz="8" w:color="808285"/>
            </w:tcBorders>
          </w:tcPr>
          <w:p>
            <w:pPr>
              <w:spacing w:after="0"/>
              <w:rPr>
                <w:sz w:val="3"/>
                <w:szCs w:val="3"/>
                <w:color w:val="auto"/>
              </w:rPr>
            </w:pPr>
          </w:p>
        </w:tc>
        <w:tc>
          <w:tcPr>
            <w:tcW w:w="1000" w:type="dxa"/>
            <w:vAlign w:val="bottom"/>
            <w:tcBorders>
              <w:bottom w:val="single" w:sz="8" w:color="808285"/>
            </w:tcBorders>
          </w:tcPr>
          <w:p>
            <w:pPr>
              <w:spacing w:after="0"/>
              <w:rPr>
                <w:sz w:val="3"/>
                <w:szCs w:val="3"/>
                <w:color w:val="auto"/>
              </w:rPr>
            </w:pPr>
          </w:p>
        </w:tc>
        <w:tc>
          <w:tcPr>
            <w:tcW w:w="88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580" w:type="dxa"/>
            <w:vAlign w:val="bottom"/>
            <w:tcBorders>
              <w:bottom w:val="single" w:sz="8" w:color="808285"/>
            </w:tcBorders>
          </w:tcPr>
          <w:p>
            <w:pPr>
              <w:spacing w:after="0"/>
              <w:rPr>
                <w:sz w:val="3"/>
                <w:szCs w:val="3"/>
                <w:color w:val="auto"/>
              </w:rPr>
            </w:pPr>
          </w:p>
        </w:tc>
        <w:tc>
          <w:tcPr>
            <w:tcW w:w="46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900" w:type="dxa"/>
            <w:vAlign w:val="bottom"/>
            <w:tcBorders>
              <w:bottom w:val="single" w:sz="8" w:color="808285"/>
            </w:tcBorders>
          </w:tcPr>
          <w:p>
            <w:pPr>
              <w:spacing w:after="0"/>
              <w:rPr>
                <w:sz w:val="3"/>
                <w:szCs w:val="3"/>
                <w:color w:val="auto"/>
              </w:rPr>
            </w:pPr>
          </w:p>
        </w:tc>
        <w:tc>
          <w:tcPr>
            <w:tcW w:w="940" w:type="dxa"/>
            <w:vAlign w:val="bottom"/>
            <w:tcBorders>
              <w:bottom w:val="single" w:sz="8" w:color="808285"/>
            </w:tcBorders>
          </w:tcPr>
          <w:p>
            <w:pPr>
              <w:spacing w:after="0"/>
              <w:rPr>
                <w:sz w:val="3"/>
                <w:szCs w:val="3"/>
                <w:color w:val="auto"/>
              </w:rPr>
            </w:pPr>
          </w:p>
        </w:tc>
        <w:tc>
          <w:tcPr>
            <w:tcW w:w="900" w:type="dxa"/>
            <w:vAlign w:val="bottom"/>
            <w:tcBorders>
              <w:bottom w:val="single" w:sz="8" w:color="808285"/>
            </w:tcBorders>
          </w:tcPr>
          <w:p>
            <w:pPr>
              <w:spacing w:after="0"/>
              <w:rPr>
                <w:sz w:val="3"/>
                <w:szCs w:val="3"/>
                <w:color w:val="auto"/>
              </w:rPr>
            </w:pPr>
          </w:p>
        </w:tc>
      </w:tr>
      <w:tr>
        <w:trPr>
          <w:trHeight w:val="196"/>
        </w:trPr>
        <w:tc>
          <w:tcPr>
            <w:tcW w:w="2380" w:type="dxa"/>
            <w:vAlign w:val="bottom"/>
            <w:shd w:val="clear" w:color="auto" w:fill="E9E9E9"/>
          </w:tcPr>
          <w:p>
            <w:pPr>
              <w:spacing w:after="0"/>
              <w:rPr>
                <w:sz w:val="20"/>
                <w:szCs w:val="20"/>
                <w:color w:val="auto"/>
              </w:rPr>
            </w:pPr>
            <w:r>
              <w:rPr>
                <w:rFonts w:ascii="Arial" w:cs="Arial" w:eastAsia="Arial" w:hAnsi="Arial"/>
                <w:sz w:val="16"/>
                <w:szCs w:val="16"/>
                <w:color w:val="auto"/>
              </w:rPr>
              <w:t>K. J. Ritchie</w:t>
            </w: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3"/>
              </w:rPr>
              <w:t>162,500</w:t>
            </w:r>
          </w:p>
        </w:tc>
        <w:tc>
          <w:tcPr>
            <w:tcW w:w="400" w:type="dxa"/>
            <w:vAlign w:val="bottom"/>
            <w:shd w:val="clear" w:color="auto" w:fill="E9E9E9"/>
          </w:tcPr>
          <w:p>
            <w:pPr>
              <w:jc w:val="right"/>
              <w:ind w:right="101"/>
              <w:spacing w:after="0"/>
              <w:rPr>
                <w:sz w:val="20"/>
                <w:szCs w:val="20"/>
                <w:color w:val="auto"/>
              </w:rPr>
            </w:pPr>
            <w:r>
              <w:rPr>
                <w:rFonts w:ascii="Arial" w:cs="Arial" w:eastAsia="Arial" w:hAnsi="Arial"/>
                <w:sz w:val="16"/>
                <w:szCs w:val="16"/>
                <w:color w:val="auto"/>
              </w:rPr>
              <w:t>(2)</w:t>
            </w: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$34.63</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1/27/2021</w:t>
            </w:r>
          </w:p>
        </w:tc>
        <w:tc>
          <w:tcPr>
            <w:tcW w:w="240" w:type="dxa"/>
            <w:vAlign w:val="bottom"/>
            <w:shd w:val="clear" w:color="auto" w:fill="E9E9E9"/>
          </w:tcPr>
          <w:p>
            <w:pPr>
              <w:spacing w:after="0"/>
              <w:rPr>
                <w:sz w:val="17"/>
                <w:szCs w:val="17"/>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54,167</w:t>
            </w:r>
          </w:p>
        </w:tc>
        <w:tc>
          <w:tcPr>
            <w:tcW w:w="460" w:type="dxa"/>
            <w:vAlign w:val="bottom"/>
            <w:shd w:val="clear" w:color="auto" w:fill="E9E9E9"/>
          </w:tcPr>
          <w:p>
            <w:pPr>
              <w:ind w:left="40"/>
              <w:spacing w:after="0"/>
              <w:rPr>
                <w:sz w:val="20"/>
                <w:szCs w:val="20"/>
                <w:color w:val="auto"/>
              </w:rPr>
            </w:pPr>
            <w:r>
              <w:rPr>
                <w:rFonts w:ascii="Arial" w:cs="Arial" w:eastAsia="Arial" w:hAnsi="Arial"/>
                <w:sz w:val="16"/>
                <w:szCs w:val="16"/>
                <w:color w:val="auto"/>
              </w:rPr>
              <w:t>(6)</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w w:val="95"/>
              </w:rPr>
              <w:t>1,576,801</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18"/>
        </w:trPr>
        <w:tc>
          <w:tcPr>
            <w:tcW w:w="2380" w:type="dxa"/>
            <w:vAlign w:val="bottom"/>
            <w:shd w:val="clear" w:color="auto" w:fill="E9E9E9"/>
          </w:tcPr>
          <w:p>
            <w:pPr>
              <w:spacing w:after="0"/>
              <w:rPr>
                <w:sz w:val="18"/>
                <w:szCs w:val="18"/>
                <w:color w:val="auto"/>
              </w:rPr>
            </w:pP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46,875</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3"/>
              </w:rPr>
              <w:t>140,625</w:t>
            </w:r>
          </w:p>
        </w:tc>
        <w:tc>
          <w:tcPr>
            <w:tcW w:w="400" w:type="dxa"/>
            <w:vAlign w:val="bottom"/>
            <w:shd w:val="clear" w:color="auto" w:fill="E9E9E9"/>
          </w:tcPr>
          <w:p>
            <w:pPr>
              <w:jc w:val="right"/>
              <w:ind w:right="101"/>
              <w:spacing w:after="0"/>
              <w:rPr>
                <w:sz w:val="20"/>
                <w:szCs w:val="20"/>
                <w:color w:val="auto"/>
              </w:rPr>
            </w:pPr>
            <w:r>
              <w:rPr>
                <w:rFonts w:ascii="Arial" w:cs="Arial" w:eastAsia="Arial" w:hAnsi="Arial"/>
                <w:sz w:val="16"/>
                <w:szCs w:val="16"/>
                <w:color w:val="auto"/>
              </w:rPr>
              <w:t>(3)</w:t>
            </w: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$23.05</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1/28/2020</w:t>
            </w:r>
          </w:p>
        </w:tc>
        <w:tc>
          <w:tcPr>
            <w:tcW w:w="24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62,501</w:t>
            </w:r>
          </w:p>
        </w:tc>
        <w:tc>
          <w:tcPr>
            <w:tcW w:w="460" w:type="dxa"/>
            <w:vAlign w:val="bottom"/>
            <w:shd w:val="clear" w:color="auto" w:fill="E9E9E9"/>
          </w:tcPr>
          <w:p>
            <w:pPr>
              <w:ind w:left="40"/>
              <w:spacing w:after="0"/>
              <w:rPr>
                <w:sz w:val="20"/>
                <w:szCs w:val="20"/>
                <w:color w:val="auto"/>
              </w:rPr>
            </w:pPr>
            <w:r>
              <w:rPr>
                <w:rFonts w:ascii="Arial" w:cs="Arial" w:eastAsia="Arial" w:hAnsi="Arial"/>
                <w:sz w:val="16"/>
                <w:szCs w:val="16"/>
                <w:color w:val="auto"/>
              </w:rPr>
              <w:t>(7)</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w w:val="95"/>
              </w:rPr>
              <w:t>1,819,404</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18"/>
        </w:trPr>
        <w:tc>
          <w:tcPr>
            <w:tcW w:w="2380" w:type="dxa"/>
            <w:vAlign w:val="bottom"/>
            <w:shd w:val="clear" w:color="auto" w:fill="E9E9E9"/>
          </w:tcPr>
          <w:p>
            <w:pPr>
              <w:spacing w:after="0"/>
              <w:rPr>
                <w:sz w:val="18"/>
                <w:szCs w:val="18"/>
                <w:color w:val="auto"/>
              </w:rPr>
            </w:pP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125,000</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3"/>
              </w:rPr>
              <w:t>125,000</w:t>
            </w:r>
          </w:p>
        </w:tc>
        <w:tc>
          <w:tcPr>
            <w:tcW w:w="400" w:type="dxa"/>
            <w:vAlign w:val="bottom"/>
            <w:shd w:val="clear" w:color="auto" w:fill="E9E9E9"/>
          </w:tcPr>
          <w:p>
            <w:pPr>
              <w:jc w:val="right"/>
              <w:ind w:right="101"/>
              <w:spacing w:after="0"/>
              <w:rPr>
                <w:sz w:val="20"/>
                <w:szCs w:val="20"/>
                <w:color w:val="auto"/>
              </w:rPr>
            </w:pPr>
            <w:r>
              <w:rPr>
                <w:rFonts w:ascii="Arial" w:cs="Arial" w:eastAsia="Arial" w:hAnsi="Arial"/>
                <w:sz w:val="16"/>
                <w:szCs w:val="16"/>
                <w:color w:val="auto"/>
              </w:rPr>
              <w:t>(4)</w:t>
            </w: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$14.95</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1/29/2019</w:t>
            </w:r>
          </w:p>
        </w:tc>
        <w:tc>
          <w:tcPr>
            <w:tcW w:w="24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83,334</w:t>
            </w:r>
          </w:p>
        </w:tc>
        <w:tc>
          <w:tcPr>
            <w:tcW w:w="460" w:type="dxa"/>
            <w:vAlign w:val="bottom"/>
            <w:shd w:val="clear" w:color="auto" w:fill="E9E9E9"/>
          </w:tcPr>
          <w:p>
            <w:pPr>
              <w:ind w:left="40"/>
              <w:spacing w:after="0"/>
              <w:rPr>
                <w:sz w:val="20"/>
                <w:szCs w:val="20"/>
                <w:color w:val="auto"/>
              </w:rPr>
            </w:pPr>
            <w:r>
              <w:rPr>
                <w:rFonts w:ascii="Arial" w:cs="Arial" w:eastAsia="Arial" w:hAnsi="Arial"/>
                <w:sz w:val="16"/>
                <w:szCs w:val="16"/>
                <w:color w:val="auto"/>
              </w:rPr>
              <w:t>(8)</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w w:val="95"/>
              </w:rPr>
              <w:t>2,425,853</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18"/>
        </w:trPr>
        <w:tc>
          <w:tcPr>
            <w:tcW w:w="2380" w:type="dxa"/>
            <w:vAlign w:val="bottom"/>
            <w:shd w:val="clear" w:color="auto" w:fill="E9E9E9"/>
          </w:tcPr>
          <w:p>
            <w:pPr>
              <w:spacing w:after="0"/>
              <w:rPr>
                <w:sz w:val="18"/>
                <w:szCs w:val="18"/>
                <w:color w:val="auto"/>
              </w:rPr>
            </w:pP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75,000</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25,000</w:t>
            </w:r>
          </w:p>
        </w:tc>
        <w:tc>
          <w:tcPr>
            <w:tcW w:w="400" w:type="dxa"/>
            <w:vAlign w:val="bottom"/>
            <w:shd w:val="clear" w:color="auto" w:fill="E9E9E9"/>
          </w:tcPr>
          <w:p>
            <w:pPr>
              <w:jc w:val="right"/>
              <w:ind w:right="101"/>
              <w:spacing w:after="0"/>
              <w:rPr>
                <w:sz w:val="20"/>
                <w:szCs w:val="20"/>
                <w:color w:val="auto"/>
              </w:rPr>
            </w:pPr>
            <w:r>
              <w:rPr>
                <w:rFonts w:ascii="Arial" w:cs="Arial" w:eastAsia="Arial" w:hAnsi="Arial"/>
                <w:sz w:val="16"/>
                <w:szCs w:val="16"/>
                <w:color w:val="auto"/>
              </w:rPr>
              <w:t>(5)</w:t>
            </w: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$29.79</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1/25/2018</w:t>
            </w:r>
          </w:p>
        </w:tc>
        <w:tc>
          <w:tcPr>
            <w:tcW w:w="24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50,000</w:t>
            </w:r>
          </w:p>
        </w:tc>
        <w:tc>
          <w:tcPr>
            <w:tcW w:w="460" w:type="dxa"/>
            <w:vAlign w:val="bottom"/>
            <w:shd w:val="clear" w:color="auto" w:fill="E9E9E9"/>
          </w:tcPr>
          <w:p>
            <w:pPr>
              <w:ind w:left="40"/>
              <w:spacing w:after="0"/>
              <w:rPr>
                <w:sz w:val="20"/>
                <w:szCs w:val="20"/>
                <w:color w:val="auto"/>
              </w:rPr>
            </w:pPr>
            <w:r>
              <w:rPr>
                <w:rFonts w:ascii="Arial" w:cs="Arial" w:eastAsia="Arial" w:hAnsi="Arial"/>
                <w:sz w:val="16"/>
                <w:szCs w:val="16"/>
                <w:color w:val="auto"/>
              </w:rPr>
              <w:t>(9)</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w w:val="95"/>
              </w:rPr>
              <w:t>1,455,500</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18"/>
        </w:trPr>
        <w:tc>
          <w:tcPr>
            <w:tcW w:w="2380" w:type="dxa"/>
            <w:vAlign w:val="bottom"/>
            <w:shd w:val="clear" w:color="auto" w:fill="E9E9E9"/>
          </w:tcPr>
          <w:p>
            <w:pPr>
              <w:spacing w:after="0"/>
              <w:rPr>
                <w:sz w:val="18"/>
                <w:szCs w:val="18"/>
                <w:color w:val="auto"/>
              </w:rPr>
            </w:pP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100,000</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9E9E9"/>
          </w:tcPr>
          <w:p>
            <w:pPr>
              <w:spacing w:after="0"/>
              <w:rPr>
                <w:sz w:val="18"/>
                <w:szCs w:val="18"/>
                <w:color w:val="auto"/>
              </w:rPr>
            </w:pP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$28.32</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1/18/2017</w:t>
            </w:r>
          </w:p>
        </w:tc>
        <w:tc>
          <w:tcPr>
            <w:tcW w:w="24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18"/>
                <w:szCs w:val="18"/>
                <w:color w:val="auto"/>
              </w:rPr>
            </w:pPr>
          </w:p>
        </w:tc>
        <w:tc>
          <w:tcPr>
            <w:tcW w:w="240" w:type="dxa"/>
            <w:vAlign w:val="bottom"/>
            <w:shd w:val="clear" w:color="auto" w:fill="E9E9E9"/>
          </w:tcPr>
          <w:p>
            <w:pPr>
              <w:spacing w:after="0"/>
              <w:rPr>
                <w:sz w:val="18"/>
                <w:szCs w:val="18"/>
                <w:color w:val="auto"/>
              </w:rPr>
            </w:pP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18"/>
        </w:trPr>
        <w:tc>
          <w:tcPr>
            <w:tcW w:w="2380" w:type="dxa"/>
            <w:vAlign w:val="bottom"/>
            <w:shd w:val="clear" w:color="auto" w:fill="E9E9E9"/>
          </w:tcPr>
          <w:p>
            <w:pPr>
              <w:spacing w:after="0"/>
              <w:rPr>
                <w:sz w:val="18"/>
                <w:szCs w:val="18"/>
                <w:color w:val="auto"/>
              </w:rPr>
            </w:pP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100,000</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9E9E9"/>
          </w:tcPr>
          <w:p>
            <w:pPr>
              <w:spacing w:after="0"/>
              <w:rPr>
                <w:sz w:val="18"/>
                <w:szCs w:val="18"/>
                <w:color w:val="auto"/>
              </w:rPr>
            </w:pP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$32.55</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1/19/2016</w:t>
            </w:r>
          </w:p>
        </w:tc>
        <w:tc>
          <w:tcPr>
            <w:tcW w:w="24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18"/>
                <w:szCs w:val="18"/>
                <w:color w:val="auto"/>
              </w:rPr>
            </w:pPr>
          </w:p>
        </w:tc>
        <w:tc>
          <w:tcPr>
            <w:tcW w:w="240" w:type="dxa"/>
            <w:vAlign w:val="bottom"/>
            <w:shd w:val="clear" w:color="auto" w:fill="E9E9E9"/>
          </w:tcPr>
          <w:p>
            <w:pPr>
              <w:spacing w:after="0"/>
              <w:rPr>
                <w:sz w:val="18"/>
                <w:szCs w:val="18"/>
                <w:color w:val="auto"/>
              </w:rPr>
            </w:pP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18"/>
        </w:trPr>
        <w:tc>
          <w:tcPr>
            <w:tcW w:w="2380" w:type="dxa"/>
            <w:vAlign w:val="bottom"/>
            <w:shd w:val="clear" w:color="auto" w:fill="E9E9E9"/>
          </w:tcPr>
          <w:p>
            <w:pPr>
              <w:spacing w:after="0"/>
              <w:rPr>
                <w:sz w:val="18"/>
                <w:szCs w:val="18"/>
                <w:color w:val="auto"/>
              </w:rPr>
            </w:pP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100,000</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9E9E9"/>
          </w:tcPr>
          <w:p>
            <w:pPr>
              <w:spacing w:after="0"/>
              <w:rPr>
                <w:sz w:val="18"/>
                <w:szCs w:val="18"/>
                <w:color w:val="auto"/>
              </w:rPr>
            </w:pP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$21.55</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1/20/2015</w:t>
            </w:r>
          </w:p>
        </w:tc>
        <w:tc>
          <w:tcPr>
            <w:tcW w:w="24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18"/>
                <w:szCs w:val="18"/>
                <w:color w:val="auto"/>
              </w:rPr>
            </w:pPr>
          </w:p>
        </w:tc>
        <w:tc>
          <w:tcPr>
            <w:tcW w:w="240" w:type="dxa"/>
            <w:vAlign w:val="bottom"/>
            <w:shd w:val="clear" w:color="auto" w:fill="E9E9E9"/>
          </w:tcPr>
          <w:p>
            <w:pPr>
              <w:spacing w:after="0"/>
              <w:rPr>
                <w:sz w:val="18"/>
                <w:szCs w:val="18"/>
                <w:color w:val="auto"/>
              </w:rPr>
            </w:pP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18"/>
        </w:trPr>
        <w:tc>
          <w:tcPr>
            <w:tcW w:w="2380" w:type="dxa"/>
            <w:vAlign w:val="bottom"/>
            <w:shd w:val="clear" w:color="auto" w:fill="E9E9E9"/>
          </w:tcPr>
          <w:p>
            <w:pPr>
              <w:spacing w:after="0"/>
              <w:rPr>
                <w:sz w:val="18"/>
                <w:szCs w:val="18"/>
                <w:color w:val="auto"/>
              </w:rPr>
            </w:pP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150,000</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9E9E9"/>
          </w:tcPr>
          <w:p>
            <w:pPr>
              <w:spacing w:after="0"/>
              <w:rPr>
                <w:sz w:val="18"/>
                <w:szCs w:val="18"/>
                <w:color w:val="auto"/>
              </w:rPr>
            </w:pP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$32.39</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1/14/2014</w:t>
            </w:r>
          </w:p>
        </w:tc>
        <w:tc>
          <w:tcPr>
            <w:tcW w:w="24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18"/>
                <w:szCs w:val="18"/>
                <w:color w:val="auto"/>
              </w:rPr>
            </w:pPr>
          </w:p>
        </w:tc>
        <w:tc>
          <w:tcPr>
            <w:tcW w:w="240" w:type="dxa"/>
            <w:vAlign w:val="bottom"/>
            <w:shd w:val="clear" w:color="auto" w:fill="E9E9E9"/>
          </w:tcPr>
          <w:p>
            <w:pPr>
              <w:spacing w:after="0"/>
              <w:rPr>
                <w:sz w:val="18"/>
                <w:szCs w:val="18"/>
                <w:color w:val="auto"/>
              </w:rPr>
            </w:pP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33"/>
        </w:trPr>
        <w:tc>
          <w:tcPr>
            <w:tcW w:w="238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100</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9E9E9"/>
          </w:tcPr>
          <w:p>
            <w:pPr>
              <w:spacing w:after="0"/>
              <w:rPr>
                <w:sz w:val="20"/>
                <w:szCs w:val="20"/>
                <w:color w:val="auto"/>
              </w:rPr>
            </w:pP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$29.19</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2/21/2012</w:t>
            </w:r>
          </w:p>
        </w:tc>
        <w:tc>
          <w:tcPr>
            <w:tcW w:w="240" w:type="dxa"/>
            <w:vAlign w:val="bottom"/>
            <w:shd w:val="clear" w:color="auto" w:fill="E9E9E9"/>
          </w:tcPr>
          <w:p>
            <w:pPr>
              <w:spacing w:after="0"/>
              <w:rPr>
                <w:sz w:val="20"/>
                <w:szCs w:val="20"/>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18"/>
        </w:trPr>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4"/>
        </w:trPr>
        <w:tc>
          <w:tcPr>
            <w:tcW w:w="238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3"/>
              </w:rPr>
              <w:t>162,500</w:t>
            </w:r>
          </w:p>
        </w:tc>
        <w:tc>
          <w:tcPr>
            <w:tcW w:w="400" w:type="dxa"/>
            <w:vAlign w:val="bottom"/>
            <w:shd w:val="clear" w:color="auto" w:fill="E9E9E9"/>
          </w:tcPr>
          <w:p>
            <w:pPr>
              <w:jc w:val="right"/>
              <w:ind w:right="101"/>
              <w:spacing w:after="0"/>
              <w:rPr>
                <w:sz w:val="20"/>
                <w:szCs w:val="20"/>
                <w:color w:val="auto"/>
              </w:rPr>
            </w:pPr>
            <w:r>
              <w:rPr>
                <w:rFonts w:ascii="Arial" w:cs="Arial" w:eastAsia="Arial" w:hAnsi="Arial"/>
                <w:sz w:val="16"/>
                <w:szCs w:val="16"/>
                <w:color w:val="auto"/>
              </w:rPr>
              <w:t>(2)</w:t>
            </w: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$34.63</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1/27/2021</w:t>
            </w:r>
          </w:p>
        </w:tc>
        <w:tc>
          <w:tcPr>
            <w:tcW w:w="240" w:type="dxa"/>
            <w:vAlign w:val="bottom"/>
            <w:shd w:val="clear" w:color="auto" w:fill="E9E9E9"/>
          </w:tcPr>
          <w:p>
            <w:pPr>
              <w:spacing w:after="0"/>
              <w:rPr>
                <w:sz w:val="17"/>
                <w:szCs w:val="17"/>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54,167</w:t>
            </w:r>
          </w:p>
        </w:tc>
        <w:tc>
          <w:tcPr>
            <w:tcW w:w="460" w:type="dxa"/>
            <w:vAlign w:val="bottom"/>
            <w:shd w:val="clear" w:color="auto" w:fill="E9E9E9"/>
          </w:tcPr>
          <w:p>
            <w:pPr>
              <w:ind w:left="40"/>
              <w:spacing w:after="0"/>
              <w:rPr>
                <w:sz w:val="20"/>
                <w:szCs w:val="20"/>
                <w:color w:val="auto"/>
              </w:rPr>
            </w:pPr>
            <w:r>
              <w:rPr>
                <w:rFonts w:ascii="Arial" w:cs="Arial" w:eastAsia="Arial" w:hAnsi="Arial"/>
                <w:sz w:val="16"/>
                <w:szCs w:val="16"/>
                <w:color w:val="auto"/>
              </w:rPr>
              <w:t>(6)</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w w:val="95"/>
              </w:rPr>
              <w:t>1,576,801</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18"/>
        </w:trPr>
        <w:tc>
          <w:tcPr>
            <w:tcW w:w="2380" w:type="dxa"/>
            <w:vAlign w:val="bottom"/>
            <w:shd w:val="clear" w:color="auto" w:fill="E9E9E9"/>
          </w:tcPr>
          <w:p>
            <w:pPr>
              <w:spacing w:after="0"/>
              <w:rPr>
                <w:sz w:val="18"/>
                <w:szCs w:val="18"/>
                <w:color w:val="auto"/>
              </w:rPr>
            </w:pP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37,500</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3"/>
              </w:rPr>
              <w:t>112,500</w:t>
            </w:r>
          </w:p>
        </w:tc>
        <w:tc>
          <w:tcPr>
            <w:tcW w:w="400" w:type="dxa"/>
            <w:vAlign w:val="bottom"/>
            <w:shd w:val="clear" w:color="auto" w:fill="E9E9E9"/>
          </w:tcPr>
          <w:p>
            <w:pPr>
              <w:jc w:val="right"/>
              <w:ind w:right="101"/>
              <w:spacing w:after="0"/>
              <w:rPr>
                <w:sz w:val="20"/>
                <w:szCs w:val="20"/>
                <w:color w:val="auto"/>
              </w:rPr>
            </w:pPr>
            <w:r>
              <w:rPr>
                <w:rFonts w:ascii="Arial" w:cs="Arial" w:eastAsia="Arial" w:hAnsi="Arial"/>
                <w:sz w:val="16"/>
                <w:szCs w:val="16"/>
                <w:color w:val="auto"/>
              </w:rPr>
              <w:t>(3)</w:t>
            </w: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$23.05</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1/28/2020</w:t>
            </w:r>
          </w:p>
        </w:tc>
        <w:tc>
          <w:tcPr>
            <w:tcW w:w="24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50,000</w:t>
            </w:r>
          </w:p>
        </w:tc>
        <w:tc>
          <w:tcPr>
            <w:tcW w:w="460" w:type="dxa"/>
            <w:vAlign w:val="bottom"/>
            <w:shd w:val="clear" w:color="auto" w:fill="E9E9E9"/>
          </w:tcPr>
          <w:p>
            <w:pPr>
              <w:ind w:left="40"/>
              <w:spacing w:after="0"/>
              <w:rPr>
                <w:sz w:val="20"/>
                <w:szCs w:val="20"/>
                <w:color w:val="auto"/>
              </w:rPr>
            </w:pPr>
            <w:r>
              <w:rPr>
                <w:rFonts w:ascii="Arial" w:cs="Arial" w:eastAsia="Arial" w:hAnsi="Arial"/>
                <w:sz w:val="16"/>
                <w:szCs w:val="16"/>
                <w:color w:val="auto"/>
              </w:rPr>
              <w:t>(7)</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w w:val="95"/>
              </w:rPr>
              <w:t>1,455,500</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18"/>
        </w:trPr>
        <w:tc>
          <w:tcPr>
            <w:tcW w:w="2380" w:type="dxa"/>
            <w:vAlign w:val="bottom"/>
            <w:shd w:val="clear" w:color="auto" w:fill="E9E9E9"/>
          </w:tcPr>
          <w:p>
            <w:pPr>
              <w:spacing w:after="0"/>
              <w:rPr>
                <w:sz w:val="18"/>
                <w:szCs w:val="18"/>
                <w:color w:val="auto"/>
              </w:rPr>
            </w:pP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50,000</w:t>
            </w:r>
          </w:p>
        </w:tc>
        <w:tc>
          <w:tcPr>
            <w:tcW w:w="400" w:type="dxa"/>
            <w:vAlign w:val="bottom"/>
            <w:shd w:val="clear" w:color="auto" w:fill="E9E9E9"/>
          </w:tcPr>
          <w:p>
            <w:pPr>
              <w:jc w:val="right"/>
              <w:ind w:right="101"/>
              <w:spacing w:after="0"/>
              <w:rPr>
                <w:sz w:val="20"/>
                <w:szCs w:val="20"/>
                <w:color w:val="auto"/>
              </w:rPr>
            </w:pPr>
            <w:r>
              <w:rPr>
                <w:rFonts w:ascii="Arial" w:cs="Arial" w:eastAsia="Arial" w:hAnsi="Arial"/>
                <w:sz w:val="16"/>
                <w:szCs w:val="16"/>
                <w:color w:val="auto"/>
              </w:rPr>
              <w:t>(4)</w:t>
            </w: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$14.95</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1/29/2019</w:t>
            </w:r>
          </w:p>
        </w:tc>
        <w:tc>
          <w:tcPr>
            <w:tcW w:w="24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33,334</w:t>
            </w:r>
          </w:p>
        </w:tc>
        <w:tc>
          <w:tcPr>
            <w:tcW w:w="460" w:type="dxa"/>
            <w:vAlign w:val="bottom"/>
            <w:shd w:val="clear" w:color="auto" w:fill="E9E9E9"/>
          </w:tcPr>
          <w:p>
            <w:pPr>
              <w:ind w:left="40"/>
              <w:spacing w:after="0"/>
              <w:rPr>
                <w:sz w:val="20"/>
                <w:szCs w:val="20"/>
                <w:color w:val="auto"/>
              </w:rPr>
            </w:pPr>
            <w:r>
              <w:rPr>
                <w:rFonts w:ascii="Arial" w:cs="Arial" w:eastAsia="Arial" w:hAnsi="Arial"/>
                <w:sz w:val="16"/>
                <w:szCs w:val="16"/>
                <w:color w:val="auto"/>
              </w:rPr>
              <w:t>(8)</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970,353</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18"/>
        </w:trPr>
        <w:tc>
          <w:tcPr>
            <w:tcW w:w="2380" w:type="dxa"/>
            <w:vAlign w:val="bottom"/>
            <w:shd w:val="clear" w:color="auto" w:fill="E9E9E9"/>
          </w:tcPr>
          <w:p>
            <w:pPr>
              <w:spacing w:after="0"/>
              <w:rPr>
                <w:sz w:val="18"/>
                <w:szCs w:val="18"/>
                <w:color w:val="auto"/>
              </w:rPr>
            </w:pP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22,500</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7,500</w:t>
            </w:r>
          </w:p>
        </w:tc>
        <w:tc>
          <w:tcPr>
            <w:tcW w:w="400" w:type="dxa"/>
            <w:vAlign w:val="bottom"/>
            <w:shd w:val="clear" w:color="auto" w:fill="E9E9E9"/>
          </w:tcPr>
          <w:p>
            <w:pPr>
              <w:jc w:val="right"/>
              <w:ind w:right="101"/>
              <w:spacing w:after="0"/>
              <w:rPr>
                <w:sz w:val="20"/>
                <w:szCs w:val="20"/>
                <w:color w:val="auto"/>
              </w:rPr>
            </w:pPr>
            <w:r>
              <w:rPr>
                <w:rFonts w:ascii="Arial" w:cs="Arial" w:eastAsia="Arial" w:hAnsi="Arial"/>
                <w:sz w:val="16"/>
                <w:szCs w:val="16"/>
                <w:color w:val="auto"/>
              </w:rPr>
              <w:t>(5)</w:t>
            </w: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$29.79</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1/25/2018</w:t>
            </w:r>
          </w:p>
        </w:tc>
        <w:tc>
          <w:tcPr>
            <w:tcW w:w="24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20,000</w:t>
            </w:r>
          </w:p>
        </w:tc>
        <w:tc>
          <w:tcPr>
            <w:tcW w:w="460" w:type="dxa"/>
            <w:vAlign w:val="bottom"/>
            <w:shd w:val="clear" w:color="auto" w:fill="E9E9E9"/>
          </w:tcPr>
          <w:p>
            <w:pPr>
              <w:ind w:left="40"/>
              <w:spacing w:after="0"/>
              <w:rPr>
                <w:sz w:val="20"/>
                <w:szCs w:val="20"/>
                <w:color w:val="auto"/>
              </w:rPr>
            </w:pPr>
            <w:r>
              <w:rPr>
                <w:rFonts w:ascii="Arial" w:cs="Arial" w:eastAsia="Arial" w:hAnsi="Arial"/>
                <w:sz w:val="16"/>
                <w:szCs w:val="16"/>
                <w:color w:val="auto"/>
              </w:rPr>
              <w:t>(9)</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582,200</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18"/>
        </w:trPr>
        <w:tc>
          <w:tcPr>
            <w:tcW w:w="2380" w:type="dxa"/>
            <w:vAlign w:val="bottom"/>
            <w:shd w:val="clear" w:color="auto" w:fill="E9E9E9"/>
          </w:tcPr>
          <w:p>
            <w:pPr>
              <w:spacing w:after="0"/>
              <w:rPr>
                <w:sz w:val="18"/>
                <w:szCs w:val="18"/>
                <w:color w:val="auto"/>
              </w:rPr>
            </w:pP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30,000</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9E9E9"/>
          </w:tcPr>
          <w:p>
            <w:pPr>
              <w:spacing w:after="0"/>
              <w:rPr>
                <w:sz w:val="18"/>
                <w:szCs w:val="18"/>
                <w:color w:val="auto"/>
              </w:rPr>
            </w:pP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$28.32</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1/18/2017</w:t>
            </w:r>
          </w:p>
        </w:tc>
        <w:tc>
          <w:tcPr>
            <w:tcW w:w="24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3"/>
              </w:rPr>
              <w:t>100,000</w:t>
            </w:r>
          </w:p>
        </w:tc>
        <w:tc>
          <w:tcPr>
            <w:tcW w:w="460" w:type="dxa"/>
            <w:vAlign w:val="bottom"/>
            <w:shd w:val="clear" w:color="auto" w:fill="E9E9E9"/>
          </w:tcPr>
          <w:p>
            <w:pPr>
              <w:ind w:left="40"/>
              <w:spacing w:after="0"/>
              <w:rPr>
                <w:sz w:val="20"/>
                <w:szCs w:val="20"/>
                <w:color w:val="auto"/>
              </w:rPr>
            </w:pPr>
            <w:r>
              <w:rPr>
                <w:rFonts w:ascii="Arial" w:cs="Arial" w:eastAsia="Arial" w:hAnsi="Arial"/>
                <w:sz w:val="16"/>
                <w:szCs w:val="16"/>
                <w:color w:val="auto"/>
              </w:rPr>
              <w:t>(10)</w:t>
            </w:r>
          </w:p>
        </w:tc>
        <w:tc>
          <w:tcPr>
            <w:tcW w:w="240" w:type="dxa"/>
            <w:vAlign w:val="bottom"/>
            <w:shd w:val="clear" w:color="auto" w:fill="E9E9E9"/>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w w:val="95"/>
              </w:rPr>
              <w:t>2,911,000</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r>
        <w:trPr>
          <w:trHeight w:val="233"/>
        </w:trPr>
        <w:tc>
          <w:tcPr>
            <w:tcW w:w="2380" w:type="dxa"/>
            <w:vAlign w:val="bottom"/>
            <w:shd w:val="clear" w:color="auto" w:fill="E9E9E9"/>
          </w:tcPr>
          <w:p>
            <w:pPr>
              <w:spacing w:after="0"/>
              <w:rPr>
                <w:sz w:val="20"/>
                <w:szCs w:val="20"/>
                <w:color w:val="auto"/>
              </w:rPr>
            </w:pPr>
          </w:p>
        </w:tc>
        <w:tc>
          <w:tcPr>
            <w:tcW w:w="980" w:type="dxa"/>
            <w:vAlign w:val="bottom"/>
            <w:shd w:val="clear" w:color="auto" w:fill="E9E9E9"/>
          </w:tcPr>
          <w:p>
            <w:pPr>
              <w:jc w:val="right"/>
              <w:ind w:right="166"/>
              <w:spacing w:after="0"/>
              <w:rPr>
                <w:sz w:val="20"/>
                <w:szCs w:val="20"/>
                <w:color w:val="auto"/>
              </w:rPr>
            </w:pPr>
            <w:r>
              <w:rPr>
                <w:rFonts w:ascii="Arial" w:cs="Arial" w:eastAsia="Arial" w:hAnsi="Arial"/>
                <w:sz w:val="16"/>
                <w:szCs w:val="16"/>
                <w:color w:val="auto"/>
              </w:rPr>
              <w:t>8,000</w:t>
            </w: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9E9E9"/>
          </w:tcPr>
          <w:p>
            <w:pPr>
              <w:spacing w:after="0"/>
              <w:rPr>
                <w:sz w:val="20"/>
                <w:szCs w:val="20"/>
                <w:color w:val="auto"/>
              </w:rPr>
            </w:pPr>
          </w:p>
        </w:tc>
        <w:tc>
          <w:tcPr>
            <w:tcW w:w="960" w:type="dxa"/>
            <w:vAlign w:val="bottom"/>
            <w:shd w:val="clear" w:color="auto" w:fill="E9E9E9"/>
          </w:tcPr>
          <w:p>
            <w:pPr>
              <w:jc w:val="center"/>
              <w:ind w:left="169"/>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rPr>
              <w:t>$32.55</w:t>
            </w:r>
          </w:p>
        </w:tc>
        <w:tc>
          <w:tcPr>
            <w:tcW w:w="880" w:type="dxa"/>
            <w:vAlign w:val="bottom"/>
            <w:shd w:val="clear" w:color="auto" w:fill="E9E9E9"/>
          </w:tcPr>
          <w:p>
            <w:pPr>
              <w:jc w:val="center"/>
              <w:ind w:left="104"/>
              <w:spacing w:after="0"/>
              <w:rPr>
                <w:sz w:val="20"/>
                <w:szCs w:val="20"/>
                <w:color w:val="auto"/>
              </w:rPr>
            </w:pPr>
            <w:r>
              <w:rPr>
                <w:rFonts w:ascii="Arial" w:cs="Arial" w:eastAsia="Arial" w:hAnsi="Arial"/>
                <w:sz w:val="16"/>
                <w:szCs w:val="16"/>
                <w:color w:val="auto"/>
                <w:w w:val="98"/>
              </w:rPr>
              <w:t>1/19/2016</w:t>
            </w:r>
          </w:p>
        </w:tc>
        <w:tc>
          <w:tcPr>
            <w:tcW w:w="240" w:type="dxa"/>
            <w:vAlign w:val="bottom"/>
            <w:shd w:val="clear" w:color="auto" w:fill="E9E9E9"/>
          </w:tcPr>
          <w:p>
            <w:pPr>
              <w:spacing w:after="0"/>
              <w:rPr>
                <w:sz w:val="20"/>
                <w:szCs w:val="20"/>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E9E9E9"/>
          </w:tcPr>
          <w:p>
            <w:pPr>
              <w:jc w:val="center"/>
              <w:ind w:left="29"/>
              <w:spacing w:after="0"/>
              <w:rPr>
                <w:sz w:val="20"/>
                <w:szCs w:val="20"/>
                <w:color w:val="auto"/>
              </w:rPr>
            </w:pPr>
            <w:r>
              <w:rPr>
                <w:rFonts w:ascii="Arial" w:cs="Arial" w:eastAsia="Arial" w:hAnsi="Arial"/>
                <w:sz w:val="16"/>
                <w:szCs w:val="16"/>
                <w:color w:val="auto"/>
                <w:w w:val="99"/>
              </w:rPr>
              <w:t>—</w:t>
            </w:r>
          </w:p>
        </w:tc>
      </w:tr>
    </w:tbl>
    <w:p>
      <w:pPr>
        <w:spacing w:after="0" w:line="221" w:lineRule="exact"/>
        <w:rPr>
          <w:sz w:val="20"/>
          <w:szCs w:val="20"/>
          <w:color w:val="auto"/>
        </w:rPr>
      </w:pPr>
    </w:p>
    <w:p>
      <w:pPr>
        <w:ind w:left="543" w:hanging="543"/>
        <w:spacing w:after="0"/>
        <w:tabs>
          <w:tab w:leader="none" w:pos="5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Calculated by multiplying the number of RSUs by the closing price of TI’s common stock on December 31, 2011 ($29.11).</w:t>
      </w:r>
    </w:p>
    <w:p>
      <w:pPr>
        <w:spacing w:after="0" w:line="216" w:lineRule="exact"/>
        <w:rPr>
          <w:rFonts w:ascii="Arial" w:cs="Arial" w:eastAsia="Arial" w:hAnsi="Arial"/>
          <w:sz w:val="16"/>
          <w:szCs w:val="16"/>
          <w:color w:val="auto"/>
        </w:rPr>
      </w:pPr>
    </w:p>
    <w:p>
      <w:pPr>
        <w:ind w:left="543" w:right="380" w:hanging="543"/>
        <w:spacing w:after="0" w:line="243" w:lineRule="auto"/>
        <w:tabs>
          <w:tab w:leader="none" w:pos="5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One-quarter of the shares became exercisable on January 27, 2012, and one-third of the remaining shares become exercisable on each of January 27, 2013, January 27, 2014, and January 27, 2015.</w:t>
      </w:r>
    </w:p>
    <w:p>
      <w:pPr>
        <w:spacing w:after="0" w:line="209" w:lineRule="exact"/>
        <w:rPr>
          <w:rFonts w:ascii="Arial" w:cs="Arial" w:eastAsia="Arial" w:hAnsi="Arial"/>
          <w:sz w:val="16"/>
          <w:szCs w:val="16"/>
          <w:color w:val="auto"/>
        </w:rPr>
      </w:pPr>
    </w:p>
    <w:p>
      <w:pPr>
        <w:ind w:left="543" w:right="180" w:hanging="543"/>
        <w:spacing w:after="0" w:line="243" w:lineRule="auto"/>
        <w:tabs>
          <w:tab w:leader="none" w:pos="5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One-third of the shares became exercisable on January 28, 2012, and one-half of the remaining shares become exercisable on each of January 28, 2013, and January 28, 2014.</w:t>
      </w:r>
    </w:p>
    <w:p>
      <w:pPr>
        <w:spacing w:after="0" w:line="209" w:lineRule="exact"/>
        <w:rPr>
          <w:rFonts w:ascii="Arial" w:cs="Arial" w:eastAsia="Arial" w:hAnsi="Arial"/>
          <w:sz w:val="16"/>
          <w:szCs w:val="16"/>
          <w:color w:val="auto"/>
        </w:rPr>
      </w:pPr>
    </w:p>
    <w:p>
      <w:pPr>
        <w:ind w:left="543" w:hanging="543"/>
        <w:spacing w:after="0"/>
        <w:tabs>
          <w:tab w:leader="none" w:pos="5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One-half of the shares became exercisable on January 29, 2012, and the remaining one-half become exercisable on January 29, 2013.</w:t>
      </w:r>
    </w:p>
    <w:p>
      <w:pPr>
        <w:spacing w:after="0" w:line="216" w:lineRule="exact"/>
        <w:rPr>
          <w:rFonts w:ascii="Arial" w:cs="Arial" w:eastAsia="Arial" w:hAnsi="Arial"/>
          <w:sz w:val="16"/>
          <w:szCs w:val="16"/>
          <w:color w:val="auto"/>
        </w:rPr>
      </w:pPr>
    </w:p>
    <w:p>
      <w:pPr>
        <w:ind w:left="543" w:hanging="543"/>
        <w:spacing w:after="0"/>
        <w:tabs>
          <w:tab w:leader="none" w:pos="5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Became fully exercisable on January 25, 2012.</w:t>
      </w:r>
    </w:p>
    <w:p>
      <w:pPr>
        <w:spacing w:after="0" w:line="216" w:lineRule="exact"/>
        <w:rPr>
          <w:rFonts w:ascii="Arial" w:cs="Arial" w:eastAsia="Arial" w:hAnsi="Arial"/>
          <w:sz w:val="16"/>
          <w:szCs w:val="16"/>
          <w:color w:val="auto"/>
        </w:rPr>
      </w:pPr>
    </w:p>
    <w:p>
      <w:pPr>
        <w:ind w:left="543" w:hanging="543"/>
        <w:spacing w:after="0"/>
        <w:tabs>
          <w:tab w:leader="none" w:pos="5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Vesting date is January 30, 2015.</w:t>
      </w:r>
    </w:p>
    <w:p>
      <w:pPr>
        <w:spacing w:after="0" w:line="216" w:lineRule="exact"/>
        <w:rPr>
          <w:rFonts w:ascii="Arial" w:cs="Arial" w:eastAsia="Arial" w:hAnsi="Arial"/>
          <w:sz w:val="16"/>
          <w:szCs w:val="16"/>
          <w:color w:val="auto"/>
        </w:rPr>
      </w:pPr>
    </w:p>
    <w:p>
      <w:pPr>
        <w:ind w:left="543" w:hanging="543"/>
        <w:spacing w:after="0"/>
        <w:tabs>
          <w:tab w:leader="none" w:pos="5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Vesting date is January 31, 2014.</w:t>
      </w:r>
    </w:p>
    <w:p>
      <w:pPr>
        <w:spacing w:after="0" w:line="216" w:lineRule="exact"/>
        <w:rPr>
          <w:rFonts w:ascii="Arial" w:cs="Arial" w:eastAsia="Arial" w:hAnsi="Arial"/>
          <w:sz w:val="16"/>
          <w:szCs w:val="16"/>
          <w:color w:val="auto"/>
        </w:rPr>
      </w:pPr>
    </w:p>
    <w:p>
      <w:pPr>
        <w:ind w:left="543" w:hanging="543"/>
        <w:spacing w:after="0"/>
        <w:tabs>
          <w:tab w:leader="none" w:pos="5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Vesting date is January 31, 2013.</w:t>
      </w:r>
    </w:p>
    <w:p>
      <w:pPr>
        <w:spacing w:after="0" w:line="216" w:lineRule="exact"/>
        <w:rPr>
          <w:rFonts w:ascii="Arial" w:cs="Arial" w:eastAsia="Arial" w:hAnsi="Arial"/>
          <w:sz w:val="16"/>
          <w:szCs w:val="16"/>
          <w:color w:val="auto"/>
        </w:rPr>
      </w:pPr>
    </w:p>
    <w:p>
      <w:pPr>
        <w:ind w:left="543" w:hanging="543"/>
        <w:spacing w:after="0"/>
        <w:tabs>
          <w:tab w:leader="none" w:pos="5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Vested on January 31, 2012.</w:t>
      </w:r>
    </w:p>
    <w:p>
      <w:pPr>
        <w:spacing w:after="0" w:line="216" w:lineRule="exact"/>
        <w:rPr>
          <w:rFonts w:ascii="Arial" w:cs="Arial" w:eastAsia="Arial" w:hAnsi="Arial"/>
          <w:sz w:val="16"/>
          <w:szCs w:val="16"/>
          <w:color w:val="auto"/>
        </w:rPr>
      </w:pPr>
    </w:p>
    <w:p>
      <w:pPr>
        <w:ind w:left="543" w:hanging="543"/>
        <w:spacing w:after="0"/>
        <w:tabs>
          <w:tab w:leader="none" w:pos="5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Vesting date is October 31, 2014.</w:t>
      </w:r>
    </w:p>
    <w:p>
      <w:pPr>
        <w:spacing w:after="0" w:line="271" w:lineRule="exact"/>
        <w:rPr>
          <w:sz w:val="20"/>
          <w:szCs w:val="20"/>
          <w:color w:val="auto"/>
        </w:rPr>
      </w:pPr>
    </w:p>
    <w:p>
      <w:pPr>
        <w:ind w:left="3"/>
        <w:spacing w:after="0"/>
        <w:tabs>
          <w:tab w:leader="none" w:pos="960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35" w:right="219" w:bottom="1440" w:gutter="0" w:footer="0" w:header="0"/>
        </w:sectPr>
      </w:pPr>
    </w:p>
    <w:bookmarkStart w:id="30" w:name="page31"/>
    <w:bookmarkEnd w:id="30"/>
    <w:p>
      <w:pPr>
        <w:ind w:left="3" w:right="120"/>
        <w:spacing w:after="0" w:line="241"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Option Awards</w:t>
      </w:r>
      <w:r>
        <w:rPr>
          <w:rFonts w:ascii="Arial" w:cs="Arial" w:eastAsia="Arial" w:hAnsi="Arial"/>
          <w:sz w:val="16"/>
          <w:szCs w:val="16"/>
          <w:color w:val="auto"/>
        </w:rPr>
        <w:t>” shown in the table above are non-qualified stock options, each of which represents the right to purchase shares of TI common stock at the stated exercise price. For grants before 2007, the exercise price is the average of the high and low price of TI common stock on the grant date. For grants after 2006, the exercise price is the closing price of TI common stock on the grant date. The term of each option is 10 years unless the option is terminated earlier pursuant to provisions summarized in the chart below and in the paragraph following the chart. Options vest (become exercisable) in increments of 25 percent per year beginning on the first anniversary of the date of the grant. The chart below shows the termination provisions relating to outstanding stock options as of December 31, 2011. The Compensation Committee of the board of directors established these termination provisions to promote employee retention while offering competitive terms.</w:t>
      </w:r>
    </w:p>
    <w:p>
      <w:pPr>
        <w:spacing w:after="0" w:line="209"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2320" w:type="dxa"/>
            <w:vAlign w:val="bottom"/>
          </w:tcPr>
          <w:p>
            <w:pPr>
              <w:spacing w:after="0"/>
              <w:rPr>
                <w:sz w:val="13"/>
                <w:szCs w:val="13"/>
                <w:color w:val="auto"/>
              </w:rPr>
            </w:pPr>
          </w:p>
        </w:tc>
        <w:tc>
          <w:tcPr>
            <w:tcW w:w="2360" w:type="dxa"/>
            <w:vAlign w:val="bottom"/>
          </w:tcPr>
          <w:p>
            <w:pPr>
              <w:jc w:val="center"/>
              <w:ind w:left="453"/>
              <w:spacing w:after="0"/>
              <w:rPr>
                <w:sz w:val="20"/>
                <w:szCs w:val="20"/>
                <w:color w:val="auto"/>
              </w:rPr>
            </w:pPr>
            <w:r>
              <w:rPr>
                <w:rFonts w:ascii="Arial" w:cs="Arial" w:eastAsia="Arial" w:hAnsi="Arial"/>
                <w:sz w:val="12"/>
                <w:szCs w:val="12"/>
                <w:b w:val="1"/>
                <w:bCs w:val="1"/>
                <w:color w:val="auto"/>
                <w:w w:val="99"/>
              </w:rPr>
              <w:t>Employment</w:t>
            </w:r>
          </w:p>
        </w:tc>
        <w:tc>
          <w:tcPr>
            <w:tcW w:w="3380" w:type="dxa"/>
            <w:vAlign w:val="bottom"/>
          </w:tcPr>
          <w:p>
            <w:pPr>
              <w:jc w:val="center"/>
              <w:ind w:left="471"/>
              <w:spacing w:after="0"/>
              <w:rPr>
                <w:sz w:val="20"/>
                <w:szCs w:val="20"/>
                <w:color w:val="auto"/>
              </w:rPr>
            </w:pPr>
            <w:r>
              <w:rPr>
                <w:rFonts w:ascii="Arial" w:cs="Arial" w:eastAsia="Arial" w:hAnsi="Arial"/>
                <w:sz w:val="12"/>
                <w:szCs w:val="12"/>
                <w:b w:val="1"/>
                <w:bCs w:val="1"/>
                <w:color w:val="auto"/>
                <w:w w:val="99"/>
              </w:rPr>
              <w:t>Employment Termination</w:t>
            </w:r>
          </w:p>
        </w:tc>
        <w:tc>
          <w:tcPr>
            <w:tcW w:w="15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18"/>
        </w:trPr>
        <w:tc>
          <w:tcPr>
            <w:tcW w:w="2320" w:type="dxa"/>
            <w:vAlign w:val="bottom"/>
          </w:tcPr>
          <w:p>
            <w:pPr>
              <w:jc w:val="center"/>
              <w:ind w:left="232"/>
              <w:spacing w:after="0"/>
              <w:rPr>
                <w:sz w:val="20"/>
                <w:szCs w:val="20"/>
                <w:color w:val="auto"/>
              </w:rPr>
            </w:pPr>
            <w:r>
              <w:rPr>
                <w:rFonts w:ascii="Arial" w:cs="Arial" w:eastAsia="Arial" w:hAnsi="Arial"/>
                <w:sz w:val="12"/>
                <w:szCs w:val="12"/>
                <w:b w:val="1"/>
                <w:bCs w:val="1"/>
                <w:color w:val="auto"/>
              </w:rPr>
              <w:t>Employment</w:t>
            </w:r>
          </w:p>
        </w:tc>
        <w:tc>
          <w:tcPr>
            <w:tcW w:w="2360" w:type="dxa"/>
            <w:vAlign w:val="bottom"/>
          </w:tcPr>
          <w:p>
            <w:pPr>
              <w:jc w:val="center"/>
              <w:ind w:left="433"/>
              <w:spacing w:after="0"/>
              <w:rPr>
                <w:sz w:val="20"/>
                <w:szCs w:val="20"/>
                <w:color w:val="auto"/>
              </w:rPr>
            </w:pPr>
            <w:r>
              <w:rPr>
                <w:rFonts w:ascii="Arial" w:cs="Arial" w:eastAsia="Arial" w:hAnsi="Arial"/>
                <w:sz w:val="12"/>
                <w:szCs w:val="12"/>
                <w:b w:val="1"/>
                <w:bCs w:val="1"/>
                <w:color w:val="auto"/>
              </w:rPr>
              <w:t>Termination (at Least</w:t>
            </w:r>
          </w:p>
        </w:tc>
        <w:tc>
          <w:tcPr>
            <w:tcW w:w="3380" w:type="dxa"/>
            <w:vAlign w:val="bottom"/>
          </w:tcPr>
          <w:p>
            <w:pPr>
              <w:jc w:val="center"/>
              <w:ind w:left="471"/>
              <w:spacing w:after="0"/>
              <w:rPr>
                <w:sz w:val="20"/>
                <w:szCs w:val="20"/>
                <w:color w:val="auto"/>
              </w:rPr>
            </w:pPr>
            <w:r>
              <w:rPr>
                <w:rFonts w:ascii="Arial" w:cs="Arial" w:eastAsia="Arial" w:hAnsi="Arial"/>
                <w:sz w:val="12"/>
                <w:szCs w:val="12"/>
                <w:b w:val="1"/>
                <w:bCs w:val="1"/>
                <w:color w:val="auto"/>
              </w:rPr>
              <w:t>(at Least 6 Months after Grant)</w:t>
            </w:r>
          </w:p>
        </w:tc>
        <w:tc>
          <w:tcPr>
            <w:tcW w:w="15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2"/>
                <w:szCs w:val="12"/>
                <w:b w:val="1"/>
                <w:bCs w:val="1"/>
                <w:color w:val="auto"/>
                <w:w w:val="99"/>
              </w:rPr>
              <w:t>Other</w:t>
            </w:r>
          </w:p>
        </w:tc>
      </w:tr>
      <w:tr>
        <w:trPr>
          <w:trHeight w:val="218"/>
        </w:trPr>
        <w:tc>
          <w:tcPr>
            <w:tcW w:w="2320" w:type="dxa"/>
            <w:vAlign w:val="bottom"/>
          </w:tcPr>
          <w:p>
            <w:pPr>
              <w:jc w:val="center"/>
              <w:ind w:left="232"/>
              <w:spacing w:after="0"/>
              <w:rPr>
                <w:sz w:val="20"/>
                <w:szCs w:val="20"/>
                <w:color w:val="auto"/>
              </w:rPr>
            </w:pPr>
            <w:r>
              <w:rPr>
                <w:rFonts w:ascii="Arial" w:cs="Arial" w:eastAsia="Arial" w:hAnsi="Arial"/>
                <w:sz w:val="12"/>
                <w:szCs w:val="12"/>
                <w:b w:val="1"/>
                <w:bCs w:val="1"/>
                <w:color w:val="auto"/>
              </w:rPr>
              <w:t>Termination Due to</w:t>
            </w:r>
          </w:p>
        </w:tc>
        <w:tc>
          <w:tcPr>
            <w:tcW w:w="2360" w:type="dxa"/>
            <w:vAlign w:val="bottom"/>
          </w:tcPr>
          <w:p>
            <w:pPr>
              <w:jc w:val="center"/>
              <w:ind w:left="433"/>
              <w:spacing w:after="0"/>
              <w:rPr>
                <w:sz w:val="20"/>
                <w:szCs w:val="20"/>
                <w:color w:val="auto"/>
              </w:rPr>
            </w:pPr>
            <w:r>
              <w:rPr>
                <w:rFonts w:ascii="Arial" w:cs="Arial" w:eastAsia="Arial" w:hAnsi="Arial"/>
                <w:sz w:val="12"/>
                <w:szCs w:val="12"/>
                <w:b w:val="1"/>
                <w:bCs w:val="1"/>
                <w:color w:val="auto"/>
              </w:rPr>
              <w:t>6 Months after Grant)</w:t>
            </w:r>
          </w:p>
        </w:tc>
        <w:tc>
          <w:tcPr>
            <w:tcW w:w="3380" w:type="dxa"/>
            <w:vAlign w:val="bottom"/>
          </w:tcPr>
          <w:p>
            <w:pPr>
              <w:jc w:val="center"/>
              <w:ind w:left="471"/>
              <w:spacing w:after="0"/>
              <w:rPr>
                <w:sz w:val="20"/>
                <w:szCs w:val="20"/>
                <w:color w:val="auto"/>
              </w:rPr>
            </w:pPr>
            <w:r>
              <w:rPr>
                <w:rFonts w:ascii="Arial" w:cs="Arial" w:eastAsia="Arial" w:hAnsi="Arial"/>
                <w:sz w:val="12"/>
                <w:szCs w:val="12"/>
                <w:b w:val="1"/>
                <w:bCs w:val="1"/>
                <w:color w:val="auto"/>
              </w:rPr>
              <w:t>with 20 Years of Credited</w:t>
            </w:r>
          </w:p>
        </w:tc>
        <w:tc>
          <w:tcPr>
            <w:tcW w:w="1540" w:type="dxa"/>
            <w:vAlign w:val="bottom"/>
          </w:tcPr>
          <w:p>
            <w:pPr>
              <w:jc w:val="center"/>
              <w:ind w:left="315"/>
              <w:spacing w:after="0"/>
              <w:rPr>
                <w:sz w:val="20"/>
                <w:szCs w:val="20"/>
                <w:color w:val="auto"/>
              </w:rPr>
            </w:pPr>
            <w:r>
              <w:rPr>
                <w:rFonts w:ascii="Arial" w:cs="Arial" w:eastAsia="Arial" w:hAnsi="Arial"/>
                <w:sz w:val="12"/>
                <w:szCs w:val="12"/>
                <w:b w:val="1"/>
                <w:bCs w:val="1"/>
                <w:color w:val="auto"/>
                <w:w w:val="99"/>
              </w:rPr>
              <w:t>Employment</w:t>
            </w:r>
          </w:p>
        </w:tc>
        <w:tc>
          <w:tcPr>
            <w:tcW w:w="1840" w:type="dxa"/>
            <w:vAlign w:val="bottom"/>
          </w:tcPr>
          <w:p>
            <w:pPr>
              <w:jc w:val="center"/>
              <w:spacing w:after="0"/>
              <w:rPr>
                <w:sz w:val="20"/>
                <w:szCs w:val="20"/>
                <w:color w:val="auto"/>
              </w:rPr>
            </w:pPr>
            <w:r>
              <w:rPr>
                <w:rFonts w:ascii="Arial" w:cs="Arial" w:eastAsia="Arial" w:hAnsi="Arial"/>
                <w:sz w:val="12"/>
                <w:szCs w:val="12"/>
                <w:b w:val="1"/>
                <w:bCs w:val="1"/>
                <w:color w:val="auto"/>
              </w:rPr>
              <w:t>Circumstances</w:t>
            </w:r>
          </w:p>
        </w:tc>
      </w:tr>
      <w:tr>
        <w:trPr>
          <w:trHeight w:val="218"/>
        </w:trPr>
        <w:tc>
          <w:tcPr>
            <w:tcW w:w="2320" w:type="dxa"/>
            <w:vAlign w:val="bottom"/>
          </w:tcPr>
          <w:p>
            <w:pPr>
              <w:jc w:val="center"/>
              <w:ind w:left="232"/>
              <w:spacing w:after="0"/>
              <w:rPr>
                <w:sz w:val="20"/>
                <w:szCs w:val="20"/>
                <w:color w:val="auto"/>
              </w:rPr>
            </w:pPr>
            <w:r>
              <w:rPr>
                <w:rFonts w:ascii="Arial" w:cs="Arial" w:eastAsia="Arial" w:hAnsi="Arial"/>
                <w:sz w:val="12"/>
                <w:szCs w:val="12"/>
                <w:b w:val="1"/>
                <w:bCs w:val="1"/>
                <w:color w:val="auto"/>
                <w:w w:val="99"/>
              </w:rPr>
              <w:t>Death or Permanent</w:t>
            </w:r>
          </w:p>
        </w:tc>
        <w:tc>
          <w:tcPr>
            <w:tcW w:w="2360" w:type="dxa"/>
            <w:vAlign w:val="bottom"/>
          </w:tcPr>
          <w:p>
            <w:pPr>
              <w:jc w:val="center"/>
              <w:ind w:left="453"/>
              <w:spacing w:after="0"/>
              <w:rPr>
                <w:sz w:val="20"/>
                <w:szCs w:val="20"/>
                <w:color w:val="auto"/>
              </w:rPr>
            </w:pPr>
            <w:r>
              <w:rPr>
                <w:rFonts w:ascii="Arial" w:cs="Arial" w:eastAsia="Arial" w:hAnsi="Arial"/>
                <w:sz w:val="12"/>
                <w:szCs w:val="12"/>
                <w:b w:val="1"/>
                <w:bCs w:val="1"/>
                <w:color w:val="auto"/>
              </w:rPr>
              <w:t>When Retirement</w:t>
            </w:r>
          </w:p>
        </w:tc>
        <w:tc>
          <w:tcPr>
            <w:tcW w:w="3380" w:type="dxa"/>
            <w:vAlign w:val="bottom"/>
          </w:tcPr>
          <w:p>
            <w:pPr>
              <w:jc w:val="center"/>
              <w:ind w:left="471"/>
              <w:spacing w:after="0"/>
              <w:rPr>
                <w:sz w:val="20"/>
                <w:szCs w:val="20"/>
                <w:color w:val="auto"/>
              </w:rPr>
            </w:pPr>
            <w:r>
              <w:rPr>
                <w:rFonts w:ascii="Arial" w:cs="Arial" w:eastAsia="Arial" w:hAnsi="Arial"/>
                <w:sz w:val="12"/>
                <w:szCs w:val="12"/>
                <w:b w:val="1"/>
                <w:bCs w:val="1"/>
                <w:color w:val="auto"/>
              </w:rPr>
              <w:t>Service, but Not Retirement</w:t>
            </w:r>
          </w:p>
        </w:tc>
        <w:tc>
          <w:tcPr>
            <w:tcW w:w="1540" w:type="dxa"/>
            <w:vAlign w:val="bottom"/>
          </w:tcPr>
          <w:p>
            <w:pPr>
              <w:jc w:val="center"/>
              <w:ind w:left="315"/>
              <w:spacing w:after="0"/>
              <w:rPr>
                <w:sz w:val="20"/>
                <w:szCs w:val="20"/>
                <w:color w:val="auto"/>
              </w:rPr>
            </w:pPr>
            <w:r>
              <w:rPr>
                <w:rFonts w:ascii="Arial" w:cs="Arial" w:eastAsia="Arial" w:hAnsi="Arial"/>
                <w:sz w:val="12"/>
                <w:szCs w:val="12"/>
                <w:b w:val="1"/>
                <w:bCs w:val="1"/>
                <w:color w:val="auto"/>
                <w:w w:val="99"/>
              </w:rPr>
              <w:t>Termination for</w:t>
            </w:r>
          </w:p>
        </w:tc>
        <w:tc>
          <w:tcPr>
            <w:tcW w:w="1840" w:type="dxa"/>
            <w:vAlign w:val="bottom"/>
          </w:tcPr>
          <w:p>
            <w:pPr>
              <w:jc w:val="center"/>
              <w:spacing w:after="0"/>
              <w:rPr>
                <w:sz w:val="20"/>
                <w:szCs w:val="20"/>
                <w:color w:val="auto"/>
              </w:rPr>
            </w:pPr>
            <w:r>
              <w:rPr>
                <w:rFonts w:ascii="Arial" w:cs="Arial" w:eastAsia="Arial" w:hAnsi="Arial"/>
                <w:sz w:val="12"/>
                <w:szCs w:val="12"/>
                <w:b w:val="1"/>
                <w:bCs w:val="1"/>
                <w:color w:val="auto"/>
              </w:rPr>
              <w:t>of Employment</w:t>
            </w:r>
          </w:p>
        </w:tc>
      </w:tr>
      <w:tr>
        <w:trPr>
          <w:trHeight w:val="218"/>
        </w:trPr>
        <w:tc>
          <w:tcPr>
            <w:tcW w:w="2320" w:type="dxa"/>
            <w:vAlign w:val="bottom"/>
          </w:tcPr>
          <w:p>
            <w:pPr>
              <w:jc w:val="center"/>
              <w:ind w:left="232"/>
              <w:spacing w:after="0"/>
              <w:rPr>
                <w:sz w:val="20"/>
                <w:szCs w:val="20"/>
                <w:color w:val="auto"/>
              </w:rPr>
            </w:pPr>
            <w:r>
              <w:rPr>
                <w:rFonts w:ascii="Arial" w:cs="Arial" w:eastAsia="Arial" w:hAnsi="Arial"/>
                <w:sz w:val="12"/>
                <w:szCs w:val="12"/>
                <w:b w:val="1"/>
                <w:bCs w:val="1"/>
                <w:color w:val="auto"/>
              </w:rPr>
              <w:t>Disability</w:t>
            </w:r>
          </w:p>
        </w:tc>
        <w:tc>
          <w:tcPr>
            <w:tcW w:w="2360" w:type="dxa"/>
            <w:vAlign w:val="bottom"/>
          </w:tcPr>
          <w:p>
            <w:pPr>
              <w:jc w:val="center"/>
              <w:ind w:left="453"/>
              <w:spacing w:after="0"/>
              <w:rPr>
                <w:sz w:val="20"/>
                <w:szCs w:val="20"/>
                <w:color w:val="auto"/>
              </w:rPr>
            </w:pPr>
            <w:r>
              <w:rPr>
                <w:rFonts w:ascii="Arial" w:cs="Arial" w:eastAsia="Arial" w:hAnsi="Arial"/>
                <w:sz w:val="12"/>
                <w:szCs w:val="12"/>
                <w:b w:val="1"/>
                <w:bCs w:val="1"/>
                <w:color w:val="auto"/>
              </w:rPr>
              <w:t>Eligible</w:t>
            </w:r>
          </w:p>
        </w:tc>
        <w:tc>
          <w:tcPr>
            <w:tcW w:w="3380" w:type="dxa"/>
            <w:vAlign w:val="bottom"/>
          </w:tcPr>
          <w:p>
            <w:pPr>
              <w:jc w:val="center"/>
              <w:ind w:left="471"/>
              <w:spacing w:after="0"/>
              <w:rPr>
                <w:sz w:val="20"/>
                <w:szCs w:val="20"/>
                <w:color w:val="auto"/>
              </w:rPr>
            </w:pPr>
            <w:r>
              <w:rPr>
                <w:rFonts w:ascii="Arial" w:cs="Arial" w:eastAsia="Arial" w:hAnsi="Arial"/>
                <w:sz w:val="12"/>
                <w:szCs w:val="12"/>
                <w:b w:val="1"/>
                <w:bCs w:val="1"/>
                <w:color w:val="auto"/>
              </w:rPr>
              <w:t>Eligible</w:t>
            </w:r>
          </w:p>
        </w:tc>
        <w:tc>
          <w:tcPr>
            <w:tcW w:w="1540" w:type="dxa"/>
            <w:vAlign w:val="bottom"/>
          </w:tcPr>
          <w:p>
            <w:pPr>
              <w:jc w:val="center"/>
              <w:ind w:left="315"/>
              <w:spacing w:after="0"/>
              <w:rPr>
                <w:sz w:val="20"/>
                <w:szCs w:val="20"/>
                <w:color w:val="auto"/>
              </w:rPr>
            </w:pPr>
            <w:r>
              <w:rPr>
                <w:rFonts w:ascii="Arial" w:cs="Arial" w:eastAsia="Arial" w:hAnsi="Arial"/>
                <w:sz w:val="12"/>
                <w:szCs w:val="12"/>
                <w:b w:val="1"/>
                <w:bCs w:val="1"/>
                <w:color w:val="auto"/>
                <w:w w:val="99"/>
              </w:rPr>
              <w:t>Cause</w:t>
            </w:r>
          </w:p>
        </w:tc>
        <w:tc>
          <w:tcPr>
            <w:tcW w:w="1840" w:type="dxa"/>
            <w:vAlign w:val="bottom"/>
          </w:tcPr>
          <w:p>
            <w:pPr>
              <w:jc w:val="center"/>
              <w:spacing w:after="0"/>
              <w:rPr>
                <w:sz w:val="20"/>
                <w:szCs w:val="20"/>
                <w:color w:val="auto"/>
              </w:rPr>
            </w:pPr>
            <w:r>
              <w:rPr>
                <w:rFonts w:ascii="Arial" w:cs="Arial" w:eastAsia="Arial" w:hAnsi="Arial"/>
                <w:sz w:val="12"/>
                <w:szCs w:val="12"/>
                <w:b w:val="1"/>
                <w:bCs w:val="1"/>
                <w:color w:val="auto"/>
                <w:w w:val="98"/>
              </w:rPr>
              <w:t>Termination</w:t>
            </w:r>
          </w:p>
        </w:tc>
      </w:tr>
      <w:tr>
        <w:trPr>
          <w:trHeight w:val="37"/>
        </w:trPr>
        <w:tc>
          <w:tcPr>
            <w:tcW w:w="2320" w:type="dxa"/>
            <w:vAlign w:val="bottom"/>
            <w:tcBorders>
              <w:bottom w:val="single" w:sz="8" w:color="808285"/>
            </w:tcBorders>
          </w:tcPr>
          <w:p>
            <w:pPr>
              <w:spacing w:after="0"/>
              <w:rPr>
                <w:sz w:val="3"/>
                <w:szCs w:val="3"/>
                <w:color w:val="auto"/>
              </w:rPr>
            </w:pPr>
          </w:p>
        </w:tc>
        <w:tc>
          <w:tcPr>
            <w:tcW w:w="2360" w:type="dxa"/>
            <w:vAlign w:val="bottom"/>
            <w:tcBorders>
              <w:bottom w:val="single" w:sz="8" w:color="808285"/>
            </w:tcBorders>
          </w:tcPr>
          <w:p>
            <w:pPr>
              <w:spacing w:after="0"/>
              <w:rPr>
                <w:sz w:val="3"/>
                <w:szCs w:val="3"/>
                <w:color w:val="auto"/>
              </w:rPr>
            </w:pPr>
          </w:p>
        </w:tc>
        <w:tc>
          <w:tcPr>
            <w:tcW w:w="3380" w:type="dxa"/>
            <w:vAlign w:val="bottom"/>
            <w:tcBorders>
              <w:bottom w:val="single" w:sz="8" w:color="808285"/>
            </w:tcBorders>
          </w:tcPr>
          <w:p>
            <w:pPr>
              <w:spacing w:after="0"/>
              <w:rPr>
                <w:sz w:val="3"/>
                <w:szCs w:val="3"/>
                <w:color w:val="auto"/>
              </w:rPr>
            </w:pPr>
          </w:p>
        </w:tc>
        <w:tc>
          <w:tcPr>
            <w:tcW w:w="1540" w:type="dxa"/>
            <w:vAlign w:val="bottom"/>
            <w:tcBorders>
              <w:bottom w:val="single" w:sz="8" w:color="808285"/>
            </w:tcBorders>
          </w:tcPr>
          <w:p>
            <w:pPr>
              <w:spacing w:after="0"/>
              <w:rPr>
                <w:sz w:val="3"/>
                <w:szCs w:val="3"/>
                <w:color w:val="auto"/>
              </w:rPr>
            </w:pPr>
          </w:p>
        </w:tc>
        <w:tc>
          <w:tcPr>
            <w:tcW w:w="1840" w:type="dxa"/>
            <w:vAlign w:val="bottom"/>
            <w:tcBorders>
              <w:bottom w:val="single" w:sz="8" w:color="808285"/>
            </w:tcBorders>
          </w:tcPr>
          <w:p>
            <w:pPr>
              <w:spacing w:after="0"/>
              <w:rPr>
                <w:sz w:val="3"/>
                <w:szCs w:val="3"/>
                <w:color w:val="auto"/>
              </w:rPr>
            </w:pPr>
          </w:p>
        </w:tc>
      </w:tr>
      <w:tr>
        <w:trPr>
          <w:trHeight w:val="196"/>
        </w:trPr>
        <w:tc>
          <w:tcPr>
            <w:tcW w:w="2320" w:type="dxa"/>
            <w:vAlign w:val="bottom"/>
            <w:shd w:val="clear" w:color="auto" w:fill="E9E9E9"/>
          </w:tcPr>
          <w:p>
            <w:pPr>
              <w:spacing w:after="0"/>
              <w:rPr>
                <w:sz w:val="20"/>
                <w:szCs w:val="20"/>
                <w:color w:val="auto"/>
              </w:rPr>
            </w:pPr>
            <w:r>
              <w:rPr>
                <w:rFonts w:ascii="Arial" w:cs="Arial" w:eastAsia="Arial" w:hAnsi="Arial"/>
                <w:sz w:val="16"/>
                <w:szCs w:val="16"/>
                <w:color w:val="auto"/>
              </w:rPr>
              <w:t>Vesting continues;</w:t>
            </w:r>
          </w:p>
        </w:tc>
        <w:tc>
          <w:tcPr>
            <w:tcW w:w="2360" w:type="dxa"/>
            <w:vAlign w:val="bottom"/>
            <w:shd w:val="clear" w:color="auto" w:fill="E9E9E9"/>
          </w:tcPr>
          <w:p>
            <w:pPr>
              <w:ind w:left="420"/>
              <w:spacing w:after="0"/>
              <w:rPr>
                <w:sz w:val="20"/>
                <w:szCs w:val="20"/>
                <w:color w:val="auto"/>
              </w:rPr>
            </w:pPr>
            <w:r>
              <w:rPr>
                <w:rFonts w:ascii="Arial" w:cs="Arial" w:eastAsia="Arial" w:hAnsi="Arial"/>
                <w:sz w:val="16"/>
                <w:szCs w:val="16"/>
                <w:color w:val="auto"/>
              </w:rPr>
              <w:t>Vesting continues; option</w:t>
            </w:r>
          </w:p>
        </w:tc>
        <w:tc>
          <w:tcPr>
            <w:tcW w:w="33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Option remains in effect to the end of</w:t>
            </w:r>
          </w:p>
        </w:tc>
        <w:tc>
          <w:tcPr>
            <w:tcW w:w="1540" w:type="dxa"/>
            <w:vAlign w:val="bottom"/>
            <w:shd w:val="clear" w:color="auto" w:fill="E9E9E9"/>
          </w:tcPr>
          <w:p>
            <w:pPr>
              <w:jc w:val="center"/>
              <w:ind w:left="315"/>
              <w:spacing w:after="0"/>
              <w:rPr>
                <w:sz w:val="20"/>
                <w:szCs w:val="20"/>
                <w:color w:val="auto"/>
              </w:rPr>
            </w:pPr>
            <w:r>
              <w:rPr>
                <w:rFonts w:ascii="Arial" w:cs="Arial" w:eastAsia="Arial" w:hAnsi="Arial"/>
                <w:sz w:val="16"/>
                <w:szCs w:val="16"/>
                <w:color w:val="auto"/>
                <w:w w:val="98"/>
              </w:rPr>
              <w:t>Option cancels</w:t>
            </w:r>
          </w:p>
        </w:tc>
        <w:tc>
          <w:tcPr>
            <w:tcW w:w="1840" w:type="dxa"/>
            <w:vAlign w:val="bottom"/>
            <w:shd w:val="clear" w:color="auto" w:fill="E9E9E9"/>
          </w:tcPr>
          <w:p>
            <w:pPr>
              <w:ind w:left="40"/>
              <w:spacing w:after="0"/>
              <w:rPr>
                <w:sz w:val="20"/>
                <w:szCs w:val="20"/>
                <w:color w:val="auto"/>
              </w:rPr>
            </w:pPr>
            <w:r>
              <w:rPr>
                <w:rFonts w:ascii="Arial" w:cs="Arial" w:eastAsia="Arial" w:hAnsi="Arial"/>
                <w:sz w:val="16"/>
                <w:szCs w:val="16"/>
                <w:color w:val="auto"/>
              </w:rPr>
              <w:t>Option remains</w:t>
            </w:r>
          </w:p>
        </w:tc>
      </w:tr>
      <w:tr>
        <w:trPr>
          <w:trHeight w:val="218"/>
        </w:trPr>
        <w:tc>
          <w:tcPr>
            <w:tcW w:w="2320" w:type="dxa"/>
            <w:vAlign w:val="bottom"/>
            <w:shd w:val="clear" w:color="auto" w:fill="E9E9E9"/>
          </w:tcPr>
          <w:p>
            <w:pPr>
              <w:spacing w:after="0"/>
              <w:rPr>
                <w:sz w:val="20"/>
                <w:szCs w:val="20"/>
                <w:color w:val="auto"/>
              </w:rPr>
            </w:pPr>
            <w:r>
              <w:rPr>
                <w:rFonts w:ascii="Arial" w:cs="Arial" w:eastAsia="Arial" w:hAnsi="Arial"/>
                <w:sz w:val="16"/>
                <w:szCs w:val="16"/>
                <w:color w:val="auto"/>
              </w:rPr>
              <w:t>option remains in</w:t>
            </w:r>
          </w:p>
        </w:tc>
        <w:tc>
          <w:tcPr>
            <w:tcW w:w="2360" w:type="dxa"/>
            <w:vAlign w:val="bottom"/>
            <w:shd w:val="clear" w:color="auto" w:fill="E9E9E9"/>
          </w:tcPr>
          <w:p>
            <w:pPr>
              <w:ind w:left="420"/>
              <w:spacing w:after="0"/>
              <w:rPr>
                <w:sz w:val="20"/>
                <w:szCs w:val="20"/>
                <w:color w:val="auto"/>
              </w:rPr>
            </w:pPr>
            <w:r>
              <w:rPr>
                <w:rFonts w:ascii="Arial" w:cs="Arial" w:eastAsia="Arial" w:hAnsi="Arial"/>
                <w:sz w:val="16"/>
                <w:szCs w:val="16"/>
                <w:color w:val="auto"/>
              </w:rPr>
              <w:t>remains in effect to end</w:t>
            </w:r>
          </w:p>
        </w:tc>
        <w:tc>
          <w:tcPr>
            <w:tcW w:w="33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the term; for options granted on or after</w:t>
            </w:r>
          </w:p>
        </w:tc>
        <w:tc>
          <w:tcPr>
            <w:tcW w:w="1540" w:type="dxa"/>
            <w:vAlign w:val="bottom"/>
            <w:shd w:val="clear" w:color="auto" w:fill="E9E9E9"/>
          </w:tcPr>
          <w:p>
            <w:pPr>
              <w:spacing w:after="0"/>
              <w:rPr>
                <w:sz w:val="18"/>
                <w:szCs w:val="18"/>
                <w:color w:val="auto"/>
              </w:rPr>
            </w:pPr>
          </w:p>
        </w:tc>
        <w:tc>
          <w:tcPr>
            <w:tcW w:w="1840" w:type="dxa"/>
            <w:vAlign w:val="bottom"/>
            <w:shd w:val="clear" w:color="auto" w:fill="E9E9E9"/>
          </w:tcPr>
          <w:p>
            <w:pPr>
              <w:ind w:left="40"/>
              <w:spacing w:after="0"/>
              <w:rPr>
                <w:sz w:val="20"/>
                <w:szCs w:val="20"/>
                <w:color w:val="auto"/>
              </w:rPr>
            </w:pPr>
            <w:r>
              <w:rPr>
                <w:rFonts w:ascii="Arial" w:cs="Arial" w:eastAsia="Arial" w:hAnsi="Arial"/>
                <w:sz w:val="16"/>
                <w:szCs w:val="16"/>
                <w:color w:val="auto"/>
              </w:rPr>
              <w:t>exercisable for</w:t>
            </w:r>
          </w:p>
        </w:tc>
      </w:tr>
      <w:tr>
        <w:trPr>
          <w:trHeight w:val="218"/>
        </w:trPr>
        <w:tc>
          <w:tcPr>
            <w:tcW w:w="2320" w:type="dxa"/>
            <w:vAlign w:val="bottom"/>
            <w:shd w:val="clear" w:color="auto" w:fill="E9E9E9"/>
          </w:tcPr>
          <w:p>
            <w:pPr>
              <w:spacing w:after="0"/>
              <w:rPr>
                <w:sz w:val="20"/>
                <w:szCs w:val="20"/>
                <w:color w:val="auto"/>
              </w:rPr>
            </w:pPr>
            <w:r>
              <w:rPr>
                <w:rFonts w:ascii="Arial" w:cs="Arial" w:eastAsia="Arial" w:hAnsi="Arial"/>
                <w:sz w:val="16"/>
                <w:szCs w:val="16"/>
                <w:color w:val="auto"/>
              </w:rPr>
              <w:t>effect to end of term</w:t>
            </w:r>
          </w:p>
        </w:tc>
        <w:tc>
          <w:tcPr>
            <w:tcW w:w="2360" w:type="dxa"/>
            <w:vAlign w:val="bottom"/>
            <w:shd w:val="clear" w:color="auto" w:fill="E9E9E9"/>
          </w:tcPr>
          <w:p>
            <w:pPr>
              <w:ind w:left="420"/>
              <w:spacing w:after="0"/>
              <w:rPr>
                <w:sz w:val="20"/>
                <w:szCs w:val="20"/>
                <w:color w:val="auto"/>
              </w:rPr>
            </w:pPr>
            <w:r>
              <w:rPr>
                <w:rFonts w:ascii="Arial" w:cs="Arial" w:eastAsia="Arial" w:hAnsi="Arial"/>
                <w:sz w:val="16"/>
                <w:szCs w:val="16"/>
                <w:color w:val="auto"/>
              </w:rPr>
              <w:t>of term</w:t>
            </w:r>
          </w:p>
        </w:tc>
        <w:tc>
          <w:tcPr>
            <w:tcW w:w="33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February 20, 2003, vesting does not</w:t>
            </w:r>
          </w:p>
        </w:tc>
        <w:tc>
          <w:tcPr>
            <w:tcW w:w="1540" w:type="dxa"/>
            <w:vAlign w:val="bottom"/>
            <w:shd w:val="clear" w:color="auto" w:fill="E9E9E9"/>
          </w:tcPr>
          <w:p>
            <w:pPr>
              <w:spacing w:after="0"/>
              <w:rPr>
                <w:sz w:val="18"/>
                <w:szCs w:val="18"/>
                <w:color w:val="auto"/>
              </w:rPr>
            </w:pPr>
          </w:p>
        </w:tc>
        <w:tc>
          <w:tcPr>
            <w:tcW w:w="1840" w:type="dxa"/>
            <w:vAlign w:val="bottom"/>
            <w:shd w:val="clear" w:color="auto" w:fill="E9E9E9"/>
          </w:tcPr>
          <w:p>
            <w:pPr>
              <w:ind w:left="40"/>
              <w:spacing w:after="0"/>
              <w:rPr>
                <w:sz w:val="20"/>
                <w:szCs w:val="20"/>
                <w:color w:val="auto"/>
              </w:rPr>
            </w:pPr>
            <w:r>
              <w:rPr>
                <w:rFonts w:ascii="Arial" w:cs="Arial" w:eastAsia="Arial" w:hAnsi="Arial"/>
                <w:sz w:val="16"/>
                <w:szCs w:val="16"/>
                <w:color w:val="auto"/>
              </w:rPr>
              <w:t>30 days</w:t>
            </w:r>
          </w:p>
        </w:tc>
      </w:tr>
      <w:tr>
        <w:trPr>
          <w:trHeight w:val="233"/>
        </w:trPr>
        <w:tc>
          <w:tcPr>
            <w:tcW w:w="2320" w:type="dxa"/>
            <w:vAlign w:val="bottom"/>
            <w:shd w:val="clear" w:color="auto" w:fill="E9E9E9"/>
          </w:tcPr>
          <w:p>
            <w:pPr>
              <w:spacing w:after="0"/>
              <w:rPr>
                <w:sz w:val="20"/>
                <w:szCs w:val="20"/>
                <w:color w:val="auto"/>
              </w:rPr>
            </w:pPr>
          </w:p>
        </w:tc>
        <w:tc>
          <w:tcPr>
            <w:tcW w:w="2360" w:type="dxa"/>
            <w:vAlign w:val="bottom"/>
            <w:shd w:val="clear" w:color="auto" w:fill="E9E9E9"/>
          </w:tcPr>
          <w:p>
            <w:pPr>
              <w:spacing w:after="0"/>
              <w:rPr>
                <w:sz w:val="20"/>
                <w:szCs w:val="20"/>
                <w:color w:val="auto"/>
              </w:rPr>
            </w:pPr>
          </w:p>
        </w:tc>
        <w:tc>
          <w:tcPr>
            <w:tcW w:w="33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continue after employment termination</w:t>
            </w:r>
          </w:p>
        </w:tc>
        <w:tc>
          <w:tcPr>
            <w:tcW w:w="1540" w:type="dxa"/>
            <w:vAlign w:val="bottom"/>
            <w:shd w:val="clear" w:color="auto" w:fill="E9E9E9"/>
          </w:tcPr>
          <w:p>
            <w:pPr>
              <w:spacing w:after="0"/>
              <w:rPr>
                <w:sz w:val="20"/>
                <w:szCs w:val="20"/>
                <w:color w:val="auto"/>
              </w:rPr>
            </w:pPr>
          </w:p>
        </w:tc>
        <w:tc>
          <w:tcPr>
            <w:tcW w:w="1840" w:type="dxa"/>
            <w:vAlign w:val="bottom"/>
            <w:shd w:val="clear" w:color="auto" w:fill="E9E9E9"/>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left="3" w:right="220"/>
        <w:spacing w:after="0" w:line="264" w:lineRule="auto"/>
        <w:rPr>
          <w:sz w:val="20"/>
          <w:szCs w:val="20"/>
          <w:color w:val="auto"/>
        </w:rPr>
      </w:pPr>
      <w:r>
        <w:rPr>
          <w:rFonts w:ascii="Arial" w:cs="Arial" w:eastAsia="Arial" w:hAnsi="Arial"/>
          <w:sz w:val="15"/>
          <w:szCs w:val="15"/>
          <w:color w:val="auto"/>
        </w:rPr>
        <w:t>Options may be cancelled if the grantee competes with TI during the two years after employment termination or discloses TI trade secrets. In addition, for options received while the grantee was an executive officer, the company may reclaim (or “clawback”) profits earned under grants if the officer engages in such conduct. These provisions are intended to strengthen retention and provide a reasonable remedy to TI in case of competition or disclosure of our confidential information.</w:t>
      </w:r>
    </w:p>
    <w:p>
      <w:pPr>
        <w:spacing w:after="0" w:line="1" w:lineRule="exact"/>
        <w:rPr>
          <w:sz w:val="20"/>
          <w:szCs w:val="20"/>
          <w:color w:val="auto"/>
        </w:rPr>
      </w:pPr>
    </w:p>
    <w:p>
      <w:pPr>
        <w:ind w:left="3" w:right="60" w:firstLine="243"/>
        <w:spacing w:after="0" w:line="239" w:lineRule="auto"/>
        <w:rPr>
          <w:sz w:val="20"/>
          <w:szCs w:val="20"/>
          <w:color w:val="auto"/>
        </w:rPr>
      </w:pPr>
      <w:r>
        <w:rPr>
          <w:rFonts w:ascii="Arial" w:cs="Arial" w:eastAsia="Arial" w:hAnsi="Arial"/>
          <w:sz w:val="16"/>
          <w:szCs w:val="16"/>
          <w:color w:val="auto"/>
        </w:rPr>
        <w:t>Options granted after 2009 become fully vested if the grantee is involuntarily terminated from employment with TI (other than for cause) within 24 months after a change in control of TI. “Change in control” is defined as provided in the Texas Instruments 2009 Long-Term Incentive Plan and occurs upon (1) acquisition of more than 50 percent of the voting stock or at least 80 percent of the assets of TI or (2) change of a majority of the board of directors in a 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 For options granted before 2010, the stock option terms provide that upon a change in control of TI, the option becomes fully vested to the extent it is then outstanding; and if employment termination (except for cause) has occurred within 30 days before the change in control, the change in control is deemed to have occurred first. “Change in control” is defined in these pre-2010 options as (1) acquisition of 20 percent of TI common stock other than through a transaction approved by the board of directors, or (2) change of a majority of the board of directors in a 24-month period unless a majority of the directors then in office have elected or nominated the new directors (together, the “pre-2010 definition”).</w:t>
      </w:r>
    </w:p>
    <w:p>
      <w:pPr>
        <w:spacing w:after="0" w:line="177" w:lineRule="exact"/>
        <w:rPr>
          <w:sz w:val="20"/>
          <w:szCs w:val="20"/>
          <w:color w:val="auto"/>
        </w:rPr>
      </w:pPr>
    </w:p>
    <w:p>
      <w:pPr>
        <w:ind w:left="3" w:right="300"/>
        <w:spacing w:after="0" w:line="246"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Stock Awards</w:t>
      </w:r>
      <w:r>
        <w:rPr>
          <w:rFonts w:ascii="Arial" w:cs="Arial" w:eastAsia="Arial" w:hAnsi="Arial"/>
          <w:sz w:val="16"/>
          <w:szCs w:val="16"/>
          <w:color w:val="auto"/>
        </w:rPr>
        <w:t>” in the table of outstanding equity awards at fiscal year-end 2011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 The table below shows the termination provisions of outstanding RSUs as of December 31, 2011.</w:t>
      </w:r>
    </w:p>
    <w:p>
      <w:pPr>
        <w:spacing w:after="0" w:line="202"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32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260" w:type="dxa"/>
            <w:vAlign w:val="bottom"/>
          </w:tcPr>
          <w:p>
            <w:pPr>
              <w:jc w:val="center"/>
              <w:ind w:left="152"/>
              <w:spacing w:after="0"/>
              <w:rPr>
                <w:sz w:val="20"/>
                <w:szCs w:val="20"/>
                <w:color w:val="auto"/>
              </w:rPr>
            </w:pPr>
            <w:r>
              <w:rPr>
                <w:rFonts w:ascii="Arial" w:cs="Arial" w:eastAsia="Arial" w:hAnsi="Arial"/>
                <w:sz w:val="12"/>
                <w:szCs w:val="12"/>
                <w:b w:val="1"/>
                <w:bCs w:val="1"/>
                <w:color w:val="auto"/>
              </w:rPr>
              <w:t>Other Circumstances</w:t>
            </w:r>
          </w:p>
        </w:tc>
      </w:tr>
      <w:tr>
        <w:trPr>
          <w:trHeight w:val="218"/>
        </w:trPr>
        <w:tc>
          <w:tcPr>
            <w:tcW w:w="3220" w:type="dxa"/>
            <w:vAlign w:val="bottom"/>
          </w:tcPr>
          <w:p>
            <w:pPr>
              <w:jc w:val="center"/>
              <w:ind w:left="70"/>
              <w:spacing w:after="0"/>
              <w:rPr>
                <w:sz w:val="20"/>
                <w:szCs w:val="20"/>
                <w:color w:val="auto"/>
              </w:rPr>
            </w:pPr>
            <w:r>
              <w:rPr>
                <w:rFonts w:ascii="Arial" w:cs="Arial" w:eastAsia="Arial" w:hAnsi="Arial"/>
                <w:sz w:val="12"/>
                <w:szCs w:val="12"/>
                <w:b w:val="1"/>
                <w:bCs w:val="1"/>
                <w:color w:val="auto"/>
                <w:w w:val="99"/>
              </w:rPr>
              <w:t>Employment Termination</w:t>
            </w:r>
          </w:p>
        </w:tc>
        <w:tc>
          <w:tcPr>
            <w:tcW w:w="5960" w:type="dxa"/>
            <w:vAlign w:val="bottom"/>
          </w:tcPr>
          <w:p>
            <w:pPr>
              <w:ind w:left="2440"/>
              <w:spacing w:after="0"/>
              <w:rPr>
                <w:sz w:val="20"/>
                <w:szCs w:val="20"/>
                <w:color w:val="auto"/>
              </w:rPr>
            </w:pPr>
            <w:r>
              <w:rPr>
                <w:rFonts w:ascii="Arial" w:cs="Arial" w:eastAsia="Arial" w:hAnsi="Arial"/>
                <w:sz w:val="12"/>
                <w:szCs w:val="12"/>
                <w:b w:val="1"/>
                <w:bCs w:val="1"/>
                <w:color w:val="auto"/>
              </w:rPr>
              <w:t>Employment Termination</w:t>
            </w:r>
          </w:p>
        </w:tc>
        <w:tc>
          <w:tcPr>
            <w:tcW w:w="2260" w:type="dxa"/>
            <w:vAlign w:val="bottom"/>
          </w:tcPr>
          <w:p>
            <w:pPr>
              <w:jc w:val="center"/>
              <w:ind w:left="152"/>
              <w:spacing w:after="0"/>
              <w:rPr>
                <w:sz w:val="20"/>
                <w:szCs w:val="20"/>
                <w:color w:val="auto"/>
              </w:rPr>
            </w:pPr>
            <w:r>
              <w:rPr>
                <w:rFonts w:ascii="Arial" w:cs="Arial" w:eastAsia="Arial" w:hAnsi="Arial"/>
                <w:sz w:val="12"/>
                <w:szCs w:val="12"/>
                <w:b w:val="1"/>
                <w:bCs w:val="1"/>
                <w:color w:val="auto"/>
              </w:rPr>
              <w:t>of Employment</w:t>
            </w:r>
          </w:p>
        </w:tc>
      </w:tr>
      <w:tr>
        <w:trPr>
          <w:trHeight w:val="218"/>
        </w:trPr>
        <w:tc>
          <w:tcPr>
            <w:tcW w:w="3220" w:type="dxa"/>
            <w:vAlign w:val="bottom"/>
          </w:tcPr>
          <w:p>
            <w:pPr>
              <w:jc w:val="center"/>
              <w:ind w:left="90"/>
              <w:spacing w:after="0"/>
              <w:rPr>
                <w:sz w:val="20"/>
                <w:szCs w:val="20"/>
                <w:color w:val="auto"/>
              </w:rPr>
            </w:pPr>
            <w:r>
              <w:rPr>
                <w:rFonts w:ascii="Arial" w:cs="Arial" w:eastAsia="Arial" w:hAnsi="Arial"/>
                <w:sz w:val="12"/>
                <w:szCs w:val="12"/>
                <w:b w:val="1"/>
                <w:bCs w:val="1"/>
                <w:color w:val="auto"/>
              </w:rPr>
              <w:t>Due to Death or Permanent Disability</w:t>
            </w:r>
          </w:p>
        </w:tc>
        <w:tc>
          <w:tcPr>
            <w:tcW w:w="5960" w:type="dxa"/>
            <w:vAlign w:val="bottom"/>
          </w:tcPr>
          <w:p>
            <w:pPr>
              <w:ind w:left="2440"/>
              <w:spacing w:after="0"/>
              <w:rPr>
                <w:sz w:val="20"/>
                <w:szCs w:val="20"/>
                <w:color w:val="auto"/>
              </w:rPr>
            </w:pPr>
            <w:r>
              <w:rPr>
                <w:rFonts w:ascii="Arial" w:cs="Arial" w:eastAsia="Arial" w:hAnsi="Arial"/>
                <w:sz w:val="12"/>
                <w:szCs w:val="12"/>
                <w:b w:val="1"/>
                <w:bCs w:val="1"/>
                <w:color w:val="auto"/>
              </w:rPr>
              <w:t>When Retirement Eligible</w:t>
            </w:r>
          </w:p>
        </w:tc>
        <w:tc>
          <w:tcPr>
            <w:tcW w:w="2260" w:type="dxa"/>
            <w:vAlign w:val="bottom"/>
          </w:tcPr>
          <w:p>
            <w:pPr>
              <w:jc w:val="center"/>
              <w:ind w:left="152"/>
              <w:spacing w:after="0"/>
              <w:rPr>
                <w:sz w:val="20"/>
                <w:szCs w:val="20"/>
                <w:color w:val="auto"/>
              </w:rPr>
            </w:pPr>
            <w:r>
              <w:rPr>
                <w:rFonts w:ascii="Arial" w:cs="Arial" w:eastAsia="Arial" w:hAnsi="Arial"/>
                <w:sz w:val="12"/>
                <w:szCs w:val="12"/>
                <w:b w:val="1"/>
                <w:bCs w:val="1"/>
                <w:color w:val="auto"/>
                <w:w w:val="98"/>
              </w:rPr>
              <w:t>Termination</w:t>
            </w:r>
          </w:p>
        </w:tc>
      </w:tr>
      <w:tr>
        <w:trPr>
          <w:trHeight w:val="37"/>
        </w:trPr>
        <w:tc>
          <w:tcPr>
            <w:tcW w:w="3220" w:type="dxa"/>
            <w:vAlign w:val="bottom"/>
            <w:tcBorders>
              <w:bottom w:val="single" w:sz="8" w:color="808285"/>
            </w:tcBorders>
          </w:tcPr>
          <w:p>
            <w:pPr>
              <w:spacing w:after="0"/>
              <w:rPr>
                <w:sz w:val="3"/>
                <w:szCs w:val="3"/>
                <w:color w:val="auto"/>
              </w:rPr>
            </w:pPr>
          </w:p>
        </w:tc>
        <w:tc>
          <w:tcPr>
            <w:tcW w:w="5960" w:type="dxa"/>
            <w:vAlign w:val="bottom"/>
            <w:tcBorders>
              <w:bottom w:val="single" w:sz="8" w:color="808285"/>
            </w:tcBorders>
          </w:tcPr>
          <w:p>
            <w:pPr>
              <w:spacing w:after="0"/>
              <w:rPr>
                <w:sz w:val="3"/>
                <w:szCs w:val="3"/>
                <w:color w:val="auto"/>
              </w:rPr>
            </w:pPr>
          </w:p>
        </w:tc>
        <w:tc>
          <w:tcPr>
            <w:tcW w:w="2260" w:type="dxa"/>
            <w:vAlign w:val="bottom"/>
            <w:tcBorders>
              <w:bottom w:val="single" w:sz="8" w:color="808285"/>
            </w:tcBorders>
          </w:tcPr>
          <w:p>
            <w:pPr>
              <w:spacing w:after="0"/>
              <w:rPr>
                <w:sz w:val="3"/>
                <w:szCs w:val="3"/>
                <w:color w:val="auto"/>
              </w:rPr>
            </w:pPr>
          </w:p>
        </w:tc>
      </w:tr>
      <w:tr>
        <w:trPr>
          <w:trHeight w:val="196"/>
        </w:trPr>
        <w:tc>
          <w:tcPr>
            <w:tcW w:w="3220" w:type="dxa"/>
            <w:vAlign w:val="bottom"/>
            <w:shd w:val="clear" w:color="auto" w:fill="E9E9E9"/>
          </w:tcPr>
          <w:p>
            <w:pPr>
              <w:spacing w:after="0"/>
              <w:rPr>
                <w:sz w:val="20"/>
                <w:szCs w:val="20"/>
                <w:color w:val="auto"/>
              </w:rPr>
            </w:pPr>
            <w:r>
              <w:rPr>
                <w:rFonts w:ascii="Arial" w:cs="Arial" w:eastAsia="Arial" w:hAnsi="Arial"/>
                <w:sz w:val="16"/>
                <w:szCs w:val="16"/>
                <w:color w:val="auto"/>
              </w:rPr>
              <w:t>Vesting continues; shares are paid at the</w:t>
            </w:r>
          </w:p>
        </w:tc>
        <w:tc>
          <w:tcPr>
            <w:tcW w:w="5960" w:type="dxa"/>
            <w:vAlign w:val="bottom"/>
            <w:shd w:val="clear" w:color="auto" w:fill="E9E9E9"/>
          </w:tcPr>
          <w:p>
            <w:pPr>
              <w:ind w:left="400"/>
              <w:spacing w:after="0"/>
              <w:rPr>
                <w:sz w:val="20"/>
                <w:szCs w:val="20"/>
                <w:color w:val="auto"/>
              </w:rPr>
            </w:pPr>
            <w:r>
              <w:rPr>
                <w:rFonts w:ascii="Arial" w:cs="Arial" w:eastAsia="Arial" w:hAnsi="Arial"/>
                <w:sz w:val="16"/>
                <w:szCs w:val="16"/>
                <w:color w:val="auto"/>
              </w:rPr>
              <w:t>Grant stays in effect and pays out shares at the scheduled vesting date.</w:t>
            </w:r>
          </w:p>
        </w:tc>
        <w:tc>
          <w:tcPr>
            <w:tcW w:w="2260" w:type="dxa"/>
            <w:vAlign w:val="bottom"/>
            <w:shd w:val="clear" w:color="auto" w:fill="E9E9E9"/>
          </w:tcPr>
          <w:p>
            <w:pPr>
              <w:jc w:val="center"/>
              <w:ind w:left="132"/>
              <w:spacing w:after="0"/>
              <w:rPr>
                <w:sz w:val="20"/>
                <w:szCs w:val="20"/>
                <w:color w:val="auto"/>
              </w:rPr>
            </w:pPr>
            <w:r>
              <w:rPr>
                <w:rFonts w:ascii="Arial" w:cs="Arial" w:eastAsia="Arial" w:hAnsi="Arial"/>
                <w:sz w:val="16"/>
                <w:szCs w:val="16"/>
                <w:color w:val="auto"/>
                <w:w w:val="98"/>
              </w:rPr>
              <w:t>Grant cancels; no shares are</w:t>
            </w:r>
          </w:p>
        </w:tc>
      </w:tr>
      <w:tr>
        <w:trPr>
          <w:trHeight w:val="218"/>
        </w:trPr>
        <w:tc>
          <w:tcPr>
            <w:tcW w:w="3220" w:type="dxa"/>
            <w:vAlign w:val="bottom"/>
            <w:shd w:val="clear" w:color="auto" w:fill="E9E9E9"/>
          </w:tcPr>
          <w:p>
            <w:pPr>
              <w:spacing w:after="0"/>
              <w:rPr>
                <w:sz w:val="20"/>
                <w:szCs w:val="20"/>
                <w:color w:val="auto"/>
              </w:rPr>
            </w:pPr>
            <w:r>
              <w:rPr>
                <w:rFonts w:ascii="Arial" w:cs="Arial" w:eastAsia="Arial" w:hAnsi="Arial"/>
                <w:sz w:val="16"/>
                <w:szCs w:val="16"/>
                <w:color w:val="auto"/>
              </w:rPr>
              <w:t>scheduled vesting date</w:t>
            </w:r>
          </w:p>
        </w:tc>
        <w:tc>
          <w:tcPr>
            <w:tcW w:w="5960" w:type="dxa"/>
            <w:vAlign w:val="bottom"/>
            <w:shd w:val="clear" w:color="auto" w:fill="E9E9E9"/>
          </w:tcPr>
          <w:p>
            <w:pPr>
              <w:ind w:left="400"/>
              <w:spacing w:after="0"/>
              <w:rPr>
                <w:sz w:val="20"/>
                <w:szCs w:val="20"/>
                <w:color w:val="auto"/>
              </w:rPr>
            </w:pPr>
            <w:r>
              <w:rPr>
                <w:rFonts w:ascii="Arial" w:cs="Arial" w:eastAsia="Arial" w:hAnsi="Arial"/>
                <w:sz w:val="16"/>
                <w:szCs w:val="16"/>
                <w:color w:val="auto"/>
              </w:rPr>
              <w:t>Number of shares reduced according to the duration of employment over the</w:t>
            </w:r>
          </w:p>
        </w:tc>
        <w:tc>
          <w:tcPr>
            <w:tcW w:w="2260" w:type="dxa"/>
            <w:vAlign w:val="bottom"/>
            <w:shd w:val="clear" w:color="auto" w:fill="E9E9E9"/>
          </w:tcPr>
          <w:p>
            <w:pPr>
              <w:ind w:left="220"/>
              <w:spacing w:after="0"/>
              <w:rPr>
                <w:sz w:val="20"/>
                <w:szCs w:val="20"/>
                <w:color w:val="auto"/>
              </w:rPr>
            </w:pPr>
            <w:r>
              <w:rPr>
                <w:rFonts w:ascii="Arial" w:cs="Arial" w:eastAsia="Arial" w:hAnsi="Arial"/>
                <w:sz w:val="16"/>
                <w:szCs w:val="16"/>
                <w:color w:val="auto"/>
              </w:rPr>
              <w:t>issued</w:t>
            </w:r>
          </w:p>
        </w:tc>
      </w:tr>
      <w:tr>
        <w:trPr>
          <w:trHeight w:val="233"/>
        </w:trPr>
        <w:tc>
          <w:tcPr>
            <w:tcW w:w="3220" w:type="dxa"/>
            <w:vAlign w:val="bottom"/>
            <w:shd w:val="clear" w:color="auto" w:fill="E9E9E9"/>
          </w:tcPr>
          <w:p>
            <w:pPr>
              <w:spacing w:after="0"/>
              <w:rPr>
                <w:sz w:val="20"/>
                <w:szCs w:val="20"/>
                <w:color w:val="auto"/>
              </w:rPr>
            </w:pPr>
          </w:p>
        </w:tc>
        <w:tc>
          <w:tcPr>
            <w:tcW w:w="5960" w:type="dxa"/>
            <w:vAlign w:val="bottom"/>
            <w:shd w:val="clear" w:color="auto" w:fill="E9E9E9"/>
          </w:tcPr>
          <w:p>
            <w:pPr>
              <w:ind w:left="400"/>
              <w:spacing w:after="0"/>
              <w:rPr>
                <w:sz w:val="20"/>
                <w:szCs w:val="20"/>
                <w:color w:val="auto"/>
              </w:rPr>
            </w:pPr>
            <w:r>
              <w:rPr>
                <w:rFonts w:ascii="Arial" w:cs="Arial" w:eastAsia="Arial" w:hAnsi="Arial"/>
                <w:sz w:val="16"/>
                <w:szCs w:val="16"/>
                <w:color w:val="auto"/>
              </w:rPr>
              <w:t>vesting period*</w:t>
            </w:r>
          </w:p>
        </w:tc>
        <w:tc>
          <w:tcPr>
            <w:tcW w:w="2260" w:type="dxa"/>
            <w:vAlign w:val="bottom"/>
            <w:shd w:val="clear" w:color="auto" w:fill="E9E9E9"/>
          </w:tcPr>
          <w:p>
            <w:pPr>
              <w:spacing w:after="0"/>
              <w:rPr>
                <w:sz w:val="20"/>
                <w:szCs w:val="20"/>
                <w:color w:val="auto"/>
              </w:rPr>
            </w:pPr>
          </w:p>
        </w:tc>
      </w:tr>
    </w:tbl>
    <w:p>
      <w:pPr>
        <w:spacing w:after="0" w:line="221" w:lineRule="exact"/>
        <w:rPr>
          <w:sz w:val="20"/>
          <w:szCs w:val="20"/>
          <w:color w:val="auto"/>
        </w:rPr>
      </w:pPr>
    </w:p>
    <w:p>
      <w:pPr>
        <w:ind w:left="323" w:right="220" w:hanging="323"/>
        <w:spacing w:after="0" w:line="243" w:lineRule="auto"/>
        <w:tabs>
          <w:tab w:leader="none" w:pos="323"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Calculated by multiplying the number of RSUs by a fraction equal to the number of whole 365-day periods from the grant date to the employment termination date (or first day of any bridge leave of absence leading to retirement), divided by the number years in the vesting period.</w:t>
      </w:r>
    </w:p>
    <w:p>
      <w:pPr>
        <w:spacing w:after="0" w:line="185" w:lineRule="exact"/>
        <w:rPr>
          <w:sz w:val="20"/>
          <w:szCs w:val="20"/>
          <w:color w:val="auto"/>
        </w:rPr>
      </w:pPr>
    </w:p>
    <w:p>
      <w:pPr>
        <w:ind w:left="3" w:right="80"/>
        <w:spacing w:after="0" w:line="256" w:lineRule="auto"/>
        <w:rPr>
          <w:sz w:val="20"/>
          <w:szCs w:val="20"/>
          <w:color w:val="auto"/>
        </w:rPr>
      </w:pPr>
      <w:r>
        <w:rPr>
          <w:rFonts w:ascii="Arial" w:cs="Arial" w:eastAsia="Arial" w:hAnsi="Arial"/>
          <w:sz w:val="15"/>
          <w:szCs w:val="15"/>
          <w:color w:val="auto"/>
        </w:rPr>
        <w:t>These termination provisions are intended to promote retention. All RSU awards contain cancellation and clawback provisions like those described above for stock options. For awards granted after 2009, the terms provide that, to the extent permitted by Section 409A of the IRC, the award vests upon involuntary termination of TI employment within 24 months after a change in control. Change in control is the Plan definition. The terms of earlier RSU awards provide for full vesting of the award upon a change in control of TI. Change in control is the pre-2010 definition unless the grant is subject to Section 409A, in which event the definition under Section 409A applies. Section 409A defines a change in control as a change in the ownership or effective control of a corporation or a change in the ownership of a substantial portion of the assets of a corporation. These cancellation, clawback and change-in-control terms are intended to conform RSU terms with those of stock options (to the extent permitted by the IRC) and to achieve the objectives described above in the discussion of stock options.</w:t>
      </w:r>
    </w:p>
    <w:p>
      <w:pPr>
        <w:spacing w:after="0" w:line="198" w:lineRule="exact"/>
        <w:rPr>
          <w:sz w:val="20"/>
          <w:szCs w:val="20"/>
          <w:color w:val="auto"/>
        </w:rPr>
      </w:pPr>
    </w:p>
    <w:p>
      <w:pPr>
        <w:ind w:left="3"/>
        <w:spacing w:after="0"/>
        <w:tabs>
          <w:tab w:leader="none" w:pos="10103" w:val="left"/>
        </w:tabs>
        <w:rPr>
          <w:sz w:val="20"/>
          <w:szCs w:val="20"/>
          <w:color w:val="auto"/>
        </w:rPr>
      </w:pPr>
      <w:r>
        <w:rPr>
          <w:rFonts w:ascii="Arial" w:cs="Arial" w:eastAsia="Arial" w:hAnsi="Arial"/>
          <w:sz w:val="12"/>
          <w:szCs w:val="12"/>
          <w:b w:val="1"/>
          <w:bCs w:val="1"/>
          <w:color w:val="auto"/>
        </w:rPr>
        <w:t xml:space="preserve">84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39" w:right="219" w:bottom="1440" w:gutter="0" w:footer="0" w:header="0"/>
        </w:sectPr>
      </w:pPr>
    </w:p>
    <w:bookmarkStart w:id="31" w:name="page32"/>
    <w:bookmarkEnd w:id="31"/>
    <w:p>
      <w:pPr>
        <w:ind w:left="3" w:right="60" w:firstLine="243"/>
        <w:spacing w:after="0" w:line="242" w:lineRule="auto"/>
        <w:rPr>
          <w:sz w:val="20"/>
          <w:szCs w:val="20"/>
          <w:color w:val="auto"/>
        </w:rPr>
      </w:pPr>
      <w:r>
        <w:rPr>
          <w:rFonts w:ascii="Arial" w:cs="Arial" w:eastAsia="Arial" w:hAnsi="Arial"/>
          <w:sz w:val="16"/>
          <w:szCs w:val="16"/>
          <w:color w:val="auto"/>
        </w:rPr>
        <w:t>In addition to the “Stock Awards” shown in the outstanding equity awards at fiscal year-end 2011 table above,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2011 non-qualified deferred compensation table on page 87.</w:t>
      </w:r>
    </w:p>
    <w:p>
      <w:pPr>
        <w:spacing w:after="0" w:line="16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2011 option exercises and stock vested</w:t>
      </w:r>
    </w:p>
    <w:p>
      <w:pPr>
        <w:spacing w:after="0" w:line="212" w:lineRule="exact"/>
        <w:rPr>
          <w:sz w:val="20"/>
          <w:szCs w:val="20"/>
          <w:color w:val="auto"/>
        </w:rPr>
      </w:pPr>
    </w:p>
    <w:p>
      <w:pPr>
        <w:ind w:left="3" w:right="100"/>
        <w:spacing w:after="0" w:line="243" w:lineRule="auto"/>
        <w:rPr>
          <w:sz w:val="20"/>
          <w:szCs w:val="20"/>
          <w:color w:val="auto"/>
        </w:rPr>
      </w:pPr>
      <w:r>
        <w:rPr>
          <w:rFonts w:ascii="Arial" w:cs="Arial" w:eastAsia="Arial" w:hAnsi="Arial"/>
          <w:sz w:val="16"/>
          <w:szCs w:val="16"/>
          <w:color w:val="auto"/>
        </w:rPr>
        <w:t>The following table lists the number of shares acquired and the value realized as a result of option exercises by the named executive officers in 2011 and the value of any RSUs that vested in 2011.</w:t>
      </w:r>
    </w:p>
    <w:p>
      <w:pPr>
        <w:spacing w:after="0" w:line="204"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6540" w:type="dxa"/>
            <w:vAlign w:val="bottom"/>
          </w:tcPr>
          <w:p>
            <w:pPr>
              <w:spacing w:after="0"/>
              <w:rPr>
                <w:sz w:val="13"/>
                <w:szCs w:val="13"/>
                <w:color w:val="auto"/>
              </w:rPr>
            </w:pPr>
          </w:p>
        </w:tc>
        <w:tc>
          <w:tcPr>
            <w:tcW w:w="2680" w:type="dxa"/>
            <w:vAlign w:val="bottom"/>
            <w:gridSpan w:val="3"/>
          </w:tcPr>
          <w:p>
            <w:pPr>
              <w:ind w:left="800"/>
              <w:spacing w:after="0"/>
              <w:rPr>
                <w:sz w:val="20"/>
                <w:szCs w:val="20"/>
                <w:color w:val="auto"/>
              </w:rPr>
            </w:pPr>
            <w:r>
              <w:rPr>
                <w:rFonts w:ascii="Arial" w:cs="Arial" w:eastAsia="Arial" w:hAnsi="Arial"/>
                <w:sz w:val="12"/>
                <w:szCs w:val="12"/>
                <w:b w:val="1"/>
                <w:bCs w:val="1"/>
                <w:color w:val="auto"/>
              </w:rPr>
              <w:t>Option Awards</w:t>
            </w:r>
          </w:p>
        </w:tc>
        <w:tc>
          <w:tcPr>
            <w:tcW w:w="2220" w:type="dxa"/>
            <w:vAlign w:val="bottom"/>
            <w:gridSpan w:val="2"/>
          </w:tcPr>
          <w:p>
            <w:pPr>
              <w:ind w:left="700"/>
              <w:spacing w:after="0"/>
              <w:rPr>
                <w:sz w:val="20"/>
                <w:szCs w:val="20"/>
                <w:color w:val="auto"/>
              </w:rPr>
            </w:pPr>
            <w:r>
              <w:rPr>
                <w:rFonts w:ascii="Arial" w:cs="Arial" w:eastAsia="Arial" w:hAnsi="Arial"/>
                <w:sz w:val="12"/>
                <w:szCs w:val="12"/>
                <w:b w:val="1"/>
                <w:bCs w:val="1"/>
                <w:color w:val="auto"/>
              </w:rPr>
              <w:t>Stock Awards</w:t>
            </w:r>
          </w:p>
        </w:tc>
      </w:tr>
      <w:tr>
        <w:trPr>
          <w:trHeight w:val="37"/>
        </w:trPr>
        <w:tc>
          <w:tcPr>
            <w:tcW w:w="6540" w:type="dxa"/>
            <w:vAlign w:val="bottom"/>
          </w:tcPr>
          <w:p>
            <w:pPr>
              <w:spacing w:after="0"/>
              <w:rPr>
                <w:sz w:val="3"/>
                <w:szCs w:val="3"/>
                <w:color w:val="auto"/>
              </w:rPr>
            </w:pPr>
          </w:p>
        </w:tc>
        <w:tc>
          <w:tcPr>
            <w:tcW w:w="1220" w:type="dxa"/>
            <w:vAlign w:val="bottom"/>
            <w:tcBorders>
              <w:bottom w:val="single" w:sz="8" w:color="808285"/>
            </w:tcBorders>
          </w:tcPr>
          <w:p>
            <w:pPr>
              <w:spacing w:after="0"/>
              <w:rPr>
                <w:sz w:val="3"/>
                <w:szCs w:val="3"/>
                <w:color w:val="auto"/>
              </w:rPr>
            </w:pPr>
          </w:p>
        </w:tc>
        <w:tc>
          <w:tcPr>
            <w:tcW w:w="1220" w:type="dxa"/>
            <w:vAlign w:val="bottom"/>
            <w:tcBorders>
              <w:bottom w:val="single" w:sz="8" w:color="808285"/>
            </w:tcBorders>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Borders>
              <w:bottom w:val="single" w:sz="8" w:color="808285"/>
            </w:tcBorders>
          </w:tcPr>
          <w:p>
            <w:pPr>
              <w:spacing w:after="0"/>
              <w:rPr>
                <w:sz w:val="3"/>
                <w:szCs w:val="3"/>
                <w:color w:val="auto"/>
              </w:rPr>
            </w:pPr>
          </w:p>
        </w:tc>
        <w:tc>
          <w:tcPr>
            <w:tcW w:w="1080" w:type="dxa"/>
            <w:vAlign w:val="bottom"/>
            <w:tcBorders>
              <w:bottom w:val="single" w:sz="8" w:color="808285"/>
            </w:tcBorders>
          </w:tcPr>
          <w:p>
            <w:pPr>
              <w:spacing w:after="0"/>
              <w:rPr>
                <w:sz w:val="3"/>
                <w:szCs w:val="3"/>
                <w:color w:val="auto"/>
              </w:rPr>
            </w:pPr>
          </w:p>
        </w:tc>
      </w:tr>
      <w:tr>
        <w:trPr>
          <w:trHeight w:val="174"/>
        </w:trPr>
        <w:tc>
          <w:tcPr>
            <w:tcW w:w="6540" w:type="dxa"/>
            <w:vAlign w:val="bottom"/>
          </w:tcPr>
          <w:p>
            <w:pPr>
              <w:spacing w:after="0"/>
              <w:rPr>
                <w:sz w:val="15"/>
                <w:szCs w:val="15"/>
                <w:color w:val="auto"/>
              </w:rPr>
            </w:pPr>
          </w:p>
        </w:tc>
        <w:tc>
          <w:tcPr>
            <w:tcW w:w="1220" w:type="dxa"/>
            <w:vAlign w:val="bottom"/>
          </w:tcPr>
          <w:p>
            <w:pPr>
              <w:jc w:val="center"/>
              <w:ind w:right="89"/>
              <w:spacing w:after="0"/>
              <w:rPr>
                <w:sz w:val="20"/>
                <w:szCs w:val="20"/>
                <w:color w:val="auto"/>
              </w:rPr>
            </w:pPr>
            <w:r>
              <w:rPr>
                <w:rFonts w:ascii="Arial" w:cs="Arial" w:eastAsia="Arial" w:hAnsi="Arial"/>
                <w:sz w:val="12"/>
                <w:szCs w:val="12"/>
                <w:b w:val="1"/>
                <w:bCs w:val="1"/>
                <w:color w:val="auto"/>
              </w:rPr>
              <w:t>Number of</w:t>
            </w: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89"/>
              <w:spacing w:after="0"/>
              <w:rPr>
                <w:sz w:val="20"/>
                <w:szCs w:val="20"/>
                <w:color w:val="auto"/>
              </w:rPr>
            </w:pPr>
            <w:r>
              <w:rPr>
                <w:rFonts w:ascii="Arial" w:cs="Arial" w:eastAsia="Arial" w:hAnsi="Arial"/>
                <w:sz w:val="12"/>
                <w:szCs w:val="12"/>
                <w:b w:val="1"/>
                <w:bCs w:val="1"/>
                <w:color w:val="auto"/>
              </w:rPr>
              <w:t>Number of</w:t>
            </w:r>
          </w:p>
        </w:tc>
        <w:tc>
          <w:tcPr>
            <w:tcW w:w="1080" w:type="dxa"/>
            <w:vAlign w:val="bottom"/>
          </w:tcPr>
          <w:p>
            <w:pPr>
              <w:spacing w:after="0"/>
              <w:rPr>
                <w:sz w:val="15"/>
                <w:szCs w:val="15"/>
                <w:color w:val="auto"/>
              </w:rPr>
            </w:pPr>
          </w:p>
        </w:tc>
      </w:tr>
      <w:tr>
        <w:trPr>
          <w:trHeight w:val="218"/>
        </w:trPr>
        <w:tc>
          <w:tcPr>
            <w:tcW w:w="6540" w:type="dxa"/>
            <w:vAlign w:val="bottom"/>
          </w:tcPr>
          <w:p>
            <w:pPr>
              <w:spacing w:after="0"/>
              <w:rPr>
                <w:sz w:val="18"/>
                <w:szCs w:val="18"/>
                <w:color w:val="auto"/>
              </w:rPr>
            </w:pPr>
          </w:p>
        </w:tc>
        <w:tc>
          <w:tcPr>
            <w:tcW w:w="1220" w:type="dxa"/>
            <w:vAlign w:val="bottom"/>
          </w:tcPr>
          <w:p>
            <w:pPr>
              <w:jc w:val="center"/>
              <w:ind w:right="69"/>
              <w:spacing w:after="0"/>
              <w:rPr>
                <w:sz w:val="20"/>
                <w:szCs w:val="20"/>
                <w:color w:val="auto"/>
              </w:rPr>
            </w:pPr>
            <w:r>
              <w:rPr>
                <w:rFonts w:ascii="Arial" w:cs="Arial" w:eastAsia="Arial" w:hAnsi="Arial"/>
                <w:sz w:val="12"/>
                <w:szCs w:val="12"/>
                <w:b w:val="1"/>
                <w:bCs w:val="1"/>
                <w:color w:val="auto"/>
              </w:rPr>
              <w:t>Shares Acquired</w:t>
            </w:r>
          </w:p>
        </w:tc>
        <w:tc>
          <w:tcPr>
            <w:tcW w:w="14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Value Realized</w:t>
            </w:r>
          </w:p>
        </w:tc>
        <w:tc>
          <w:tcPr>
            <w:tcW w:w="1140" w:type="dxa"/>
            <w:vAlign w:val="bottom"/>
          </w:tcPr>
          <w:p>
            <w:pPr>
              <w:jc w:val="center"/>
              <w:ind w:right="89"/>
              <w:spacing w:after="0"/>
              <w:rPr>
                <w:sz w:val="20"/>
                <w:szCs w:val="20"/>
                <w:color w:val="auto"/>
              </w:rPr>
            </w:pPr>
            <w:r>
              <w:rPr>
                <w:rFonts w:ascii="Arial" w:cs="Arial" w:eastAsia="Arial" w:hAnsi="Arial"/>
                <w:sz w:val="12"/>
                <w:szCs w:val="12"/>
                <w:b w:val="1"/>
                <w:bCs w:val="1"/>
                <w:color w:val="auto"/>
              </w:rPr>
              <w:t>Shares Acquired</w:t>
            </w:r>
          </w:p>
        </w:tc>
        <w:tc>
          <w:tcPr>
            <w:tcW w:w="1080" w:type="dxa"/>
            <w:vAlign w:val="bottom"/>
          </w:tcPr>
          <w:p>
            <w:pPr>
              <w:jc w:val="center"/>
              <w:ind w:left="6"/>
              <w:spacing w:after="0"/>
              <w:rPr>
                <w:sz w:val="20"/>
                <w:szCs w:val="20"/>
                <w:color w:val="auto"/>
              </w:rPr>
            </w:pPr>
            <w:r>
              <w:rPr>
                <w:rFonts w:ascii="Arial" w:cs="Arial" w:eastAsia="Arial" w:hAnsi="Arial"/>
                <w:sz w:val="12"/>
                <w:szCs w:val="12"/>
                <w:b w:val="1"/>
                <w:bCs w:val="1"/>
                <w:color w:val="auto"/>
                <w:w w:val="99"/>
              </w:rPr>
              <w:t>Value Realized</w:t>
            </w:r>
          </w:p>
        </w:tc>
      </w:tr>
      <w:tr>
        <w:trPr>
          <w:trHeight w:val="218"/>
        </w:trPr>
        <w:tc>
          <w:tcPr>
            <w:tcW w:w="654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220" w:type="dxa"/>
            <w:vAlign w:val="bottom"/>
          </w:tcPr>
          <w:p>
            <w:pPr>
              <w:jc w:val="center"/>
              <w:ind w:right="89"/>
              <w:spacing w:after="0"/>
              <w:rPr>
                <w:sz w:val="20"/>
                <w:szCs w:val="20"/>
                <w:color w:val="auto"/>
              </w:rPr>
            </w:pPr>
            <w:r>
              <w:rPr>
                <w:rFonts w:ascii="Arial" w:cs="Arial" w:eastAsia="Arial" w:hAnsi="Arial"/>
                <w:sz w:val="12"/>
                <w:szCs w:val="12"/>
                <w:b w:val="1"/>
                <w:bCs w:val="1"/>
                <w:color w:val="auto"/>
              </w:rPr>
              <w:t>on Exercise (#)</w:t>
            </w:r>
          </w:p>
        </w:tc>
        <w:tc>
          <w:tcPr>
            <w:tcW w:w="14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on Exercise ($)</w:t>
            </w:r>
          </w:p>
        </w:tc>
        <w:tc>
          <w:tcPr>
            <w:tcW w:w="1140" w:type="dxa"/>
            <w:vAlign w:val="bottom"/>
          </w:tcPr>
          <w:p>
            <w:pPr>
              <w:jc w:val="center"/>
              <w:ind w:right="89"/>
              <w:spacing w:after="0"/>
              <w:rPr>
                <w:sz w:val="20"/>
                <w:szCs w:val="20"/>
                <w:color w:val="auto"/>
              </w:rPr>
            </w:pPr>
            <w:r>
              <w:rPr>
                <w:rFonts w:ascii="Arial" w:cs="Arial" w:eastAsia="Arial" w:hAnsi="Arial"/>
                <w:sz w:val="12"/>
                <w:szCs w:val="12"/>
                <w:b w:val="1"/>
                <w:bCs w:val="1"/>
                <w:color w:val="auto"/>
                <w:w w:val="98"/>
              </w:rPr>
              <w:t>on Vesting (#)</w:t>
            </w:r>
          </w:p>
        </w:tc>
        <w:tc>
          <w:tcPr>
            <w:tcW w:w="1080" w:type="dxa"/>
            <w:vAlign w:val="bottom"/>
          </w:tcPr>
          <w:p>
            <w:pPr>
              <w:jc w:val="center"/>
              <w:ind w:left="6"/>
              <w:spacing w:after="0"/>
              <w:rPr>
                <w:sz w:val="20"/>
                <w:szCs w:val="20"/>
                <w:color w:val="auto"/>
              </w:rPr>
            </w:pPr>
            <w:r>
              <w:rPr>
                <w:rFonts w:ascii="Arial" w:cs="Arial" w:eastAsia="Arial" w:hAnsi="Arial"/>
                <w:sz w:val="12"/>
                <w:szCs w:val="12"/>
                <w:b w:val="1"/>
                <w:bCs w:val="1"/>
                <w:color w:val="auto"/>
              </w:rPr>
              <w:t>on Vesting ($)</w:t>
            </w:r>
          </w:p>
        </w:tc>
      </w:tr>
      <w:tr>
        <w:trPr>
          <w:trHeight w:val="37"/>
        </w:trPr>
        <w:tc>
          <w:tcPr>
            <w:tcW w:w="6540" w:type="dxa"/>
            <w:vAlign w:val="bottom"/>
            <w:tcBorders>
              <w:bottom w:val="single" w:sz="8" w:color="808285"/>
            </w:tcBorders>
          </w:tcPr>
          <w:p>
            <w:pPr>
              <w:spacing w:after="0"/>
              <w:rPr>
                <w:sz w:val="3"/>
                <w:szCs w:val="3"/>
                <w:color w:val="auto"/>
              </w:rPr>
            </w:pPr>
          </w:p>
        </w:tc>
        <w:tc>
          <w:tcPr>
            <w:tcW w:w="1220" w:type="dxa"/>
            <w:vAlign w:val="bottom"/>
            <w:tcBorders>
              <w:bottom w:val="single" w:sz="8" w:color="808285"/>
            </w:tcBorders>
          </w:tcPr>
          <w:p>
            <w:pPr>
              <w:spacing w:after="0"/>
              <w:rPr>
                <w:sz w:val="3"/>
                <w:szCs w:val="3"/>
                <w:color w:val="auto"/>
              </w:rPr>
            </w:pPr>
          </w:p>
        </w:tc>
        <w:tc>
          <w:tcPr>
            <w:tcW w:w="122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1140" w:type="dxa"/>
            <w:vAlign w:val="bottom"/>
            <w:tcBorders>
              <w:bottom w:val="single" w:sz="8" w:color="808285"/>
            </w:tcBorders>
          </w:tcPr>
          <w:p>
            <w:pPr>
              <w:spacing w:after="0"/>
              <w:rPr>
                <w:sz w:val="3"/>
                <w:szCs w:val="3"/>
                <w:color w:val="auto"/>
              </w:rPr>
            </w:pPr>
          </w:p>
        </w:tc>
        <w:tc>
          <w:tcPr>
            <w:tcW w:w="1080" w:type="dxa"/>
            <w:vAlign w:val="bottom"/>
            <w:tcBorders>
              <w:bottom w:val="single" w:sz="8" w:color="808285"/>
            </w:tcBorders>
          </w:tcPr>
          <w:p>
            <w:pPr>
              <w:spacing w:after="0"/>
              <w:rPr>
                <w:sz w:val="3"/>
                <w:szCs w:val="3"/>
                <w:color w:val="auto"/>
              </w:rPr>
            </w:pPr>
          </w:p>
        </w:tc>
      </w:tr>
      <w:tr>
        <w:trPr>
          <w:trHeight w:val="210"/>
        </w:trPr>
        <w:tc>
          <w:tcPr>
            <w:tcW w:w="6540" w:type="dxa"/>
            <w:vAlign w:val="bottom"/>
            <w:shd w:val="clear" w:color="auto" w:fill="E9E9E9"/>
          </w:tcPr>
          <w:p>
            <w:pPr>
              <w:spacing w:after="0"/>
              <w:rPr>
                <w:sz w:val="20"/>
                <w:szCs w:val="20"/>
                <w:color w:val="auto"/>
              </w:rPr>
            </w:pPr>
            <w:r>
              <w:rPr>
                <w:rFonts w:ascii="Arial" w:cs="Arial" w:eastAsia="Arial" w:hAnsi="Arial"/>
                <w:sz w:val="16"/>
                <w:szCs w:val="16"/>
                <w:color w:val="auto"/>
              </w:rPr>
              <w:t>R. K. Templeton</w:t>
            </w:r>
          </w:p>
        </w:tc>
        <w:tc>
          <w:tcPr>
            <w:tcW w:w="1220" w:type="dxa"/>
            <w:vAlign w:val="bottom"/>
            <w:shd w:val="clear" w:color="auto" w:fill="E9E9E9"/>
          </w:tcPr>
          <w:p>
            <w:pPr>
              <w:jc w:val="right"/>
              <w:ind w:right="329"/>
              <w:spacing w:after="0"/>
              <w:rPr>
                <w:sz w:val="20"/>
                <w:szCs w:val="20"/>
                <w:color w:val="auto"/>
              </w:rPr>
            </w:pPr>
            <w:r>
              <w:rPr>
                <w:rFonts w:ascii="Arial" w:cs="Arial" w:eastAsia="Arial" w:hAnsi="Arial"/>
                <w:sz w:val="16"/>
                <w:szCs w:val="16"/>
                <w:color w:val="auto"/>
              </w:rPr>
              <w:t>835,000</w:t>
            </w:r>
          </w:p>
        </w:tc>
        <w:tc>
          <w:tcPr>
            <w:tcW w:w="1220" w:type="dxa"/>
            <w:vAlign w:val="bottom"/>
            <w:shd w:val="clear" w:color="auto" w:fill="E9E9E9"/>
          </w:tcPr>
          <w:p>
            <w:pPr>
              <w:jc w:val="right"/>
              <w:ind w:right="66"/>
              <w:spacing w:after="0"/>
              <w:rPr>
                <w:sz w:val="20"/>
                <w:szCs w:val="20"/>
                <w:color w:val="auto"/>
              </w:rPr>
            </w:pPr>
            <w:r>
              <w:rPr>
                <w:rFonts w:ascii="Arial" w:cs="Arial" w:eastAsia="Arial" w:hAnsi="Arial"/>
                <w:sz w:val="16"/>
                <w:szCs w:val="16"/>
                <w:color w:val="auto"/>
              </w:rPr>
              <w:t>$6,198,050</w:t>
            </w:r>
          </w:p>
        </w:tc>
        <w:tc>
          <w:tcPr>
            <w:tcW w:w="240" w:type="dxa"/>
            <w:vAlign w:val="bottom"/>
            <w:shd w:val="clear" w:color="auto" w:fill="E9E9E9"/>
          </w:tcPr>
          <w:p>
            <w:pPr>
              <w:spacing w:after="0"/>
              <w:rPr>
                <w:sz w:val="18"/>
                <w:szCs w:val="18"/>
                <w:color w:val="auto"/>
              </w:rPr>
            </w:pPr>
          </w:p>
        </w:tc>
        <w:tc>
          <w:tcPr>
            <w:tcW w:w="1140" w:type="dxa"/>
            <w:vAlign w:val="bottom"/>
            <w:shd w:val="clear" w:color="auto" w:fill="E9E9E9"/>
          </w:tcPr>
          <w:p>
            <w:pPr>
              <w:jc w:val="right"/>
              <w:ind w:right="289"/>
              <w:spacing w:after="0"/>
              <w:rPr>
                <w:sz w:val="20"/>
                <w:szCs w:val="20"/>
                <w:color w:val="auto"/>
              </w:rPr>
            </w:pPr>
            <w:r>
              <w:rPr>
                <w:rFonts w:ascii="Arial" w:cs="Arial" w:eastAsia="Arial" w:hAnsi="Arial"/>
                <w:sz w:val="16"/>
                <w:szCs w:val="16"/>
                <w:color w:val="auto"/>
              </w:rPr>
              <w:t>150,000</w:t>
            </w:r>
          </w:p>
        </w:tc>
        <w:tc>
          <w:tcPr>
            <w:tcW w:w="1080" w:type="dxa"/>
            <w:vAlign w:val="bottom"/>
            <w:shd w:val="clear" w:color="auto" w:fill="E9E9E9"/>
          </w:tcPr>
          <w:p>
            <w:pPr>
              <w:jc w:val="center"/>
              <w:ind w:left="6"/>
              <w:spacing w:after="0"/>
              <w:rPr>
                <w:sz w:val="20"/>
                <w:szCs w:val="20"/>
                <w:color w:val="auto"/>
              </w:rPr>
            </w:pPr>
            <w:r>
              <w:rPr>
                <w:rFonts w:ascii="Arial" w:cs="Arial" w:eastAsia="Arial" w:hAnsi="Arial"/>
                <w:sz w:val="16"/>
                <w:szCs w:val="16"/>
                <w:color w:val="auto"/>
                <w:w w:val="99"/>
              </w:rPr>
              <w:t>$5,140,500</w:t>
            </w:r>
          </w:p>
        </w:tc>
      </w:tr>
      <w:tr>
        <w:trPr>
          <w:trHeight w:val="211"/>
        </w:trPr>
        <w:tc>
          <w:tcPr>
            <w:tcW w:w="6540" w:type="dxa"/>
            <w:vAlign w:val="bottom"/>
          </w:tcPr>
          <w:p>
            <w:pPr>
              <w:spacing w:after="0"/>
              <w:rPr>
                <w:sz w:val="20"/>
                <w:szCs w:val="20"/>
                <w:color w:val="auto"/>
              </w:rPr>
            </w:pPr>
            <w:r>
              <w:rPr>
                <w:rFonts w:ascii="Arial" w:cs="Arial" w:eastAsia="Arial" w:hAnsi="Arial"/>
                <w:sz w:val="16"/>
                <w:szCs w:val="16"/>
                <w:color w:val="auto"/>
              </w:rPr>
              <w:t>K. P. March</w:t>
            </w:r>
          </w:p>
        </w:tc>
        <w:tc>
          <w:tcPr>
            <w:tcW w:w="1220" w:type="dxa"/>
            <w:vAlign w:val="bottom"/>
          </w:tcPr>
          <w:p>
            <w:pPr>
              <w:jc w:val="right"/>
              <w:ind w:right="329"/>
              <w:spacing w:after="0"/>
              <w:rPr>
                <w:sz w:val="20"/>
                <w:szCs w:val="20"/>
                <w:color w:val="auto"/>
              </w:rPr>
            </w:pPr>
            <w:r>
              <w:rPr>
                <w:rFonts w:ascii="Arial" w:cs="Arial" w:eastAsia="Arial" w:hAnsi="Arial"/>
                <w:sz w:val="16"/>
                <w:szCs w:val="16"/>
                <w:color w:val="auto"/>
              </w:rPr>
              <w:t>90,000</w:t>
            </w:r>
          </w:p>
        </w:tc>
        <w:tc>
          <w:tcPr>
            <w:tcW w:w="1220" w:type="dxa"/>
            <w:vAlign w:val="bottom"/>
          </w:tcPr>
          <w:p>
            <w:pPr>
              <w:jc w:val="right"/>
              <w:ind w:right="66"/>
              <w:spacing w:after="0"/>
              <w:rPr>
                <w:sz w:val="20"/>
                <w:szCs w:val="20"/>
                <w:color w:val="auto"/>
              </w:rPr>
            </w:pPr>
            <w:r>
              <w:rPr>
                <w:rFonts w:ascii="Arial" w:cs="Arial" w:eastAsia="Arial" w:hAnsi="Arial"/>
                <w:sz w:val="16"/>
                <w:szCs w:val="16"/>
                <w:color w:val="auto"/>
              </w:rPr>
              <w:t>$1,703,400</w:t>
            </w:r>
          </w:p>
        </w:tc>
        <w:tc>
          <w:tcPr>
            <w:tcW w:w="240" w:type="dxa"/>
            <w:vAlign w:val="bottom"/>
          </w:tcPr>
          <w:p>
            <w:pPr>
              <w:spacing w:after="0"/>
              <w:rPr>
                <w:sz w:val="18"/>
                <w:szCs w:val="18"/>
                <w:color w:val="auto"/>
              </w:rPr>
            </w:pPr>
          </w:p>
        </w:tc>
        <w:tc>
          <w:tcPr>
            <w:tcW w:w="1140" w:type="dxa"/>
            <w:vAlign w:val="bottom"/>
          </w:tcPr>
          <w:p>
            <w:pPr>
              <w:jc w:val="right"/>
              <w:ind w:right="289"/>
              <w:spacing w:after="0"/>
              <w:rPr>
                <w:sz w:val="20"/>
                <w:szCs w:val="20"/>
                <w:color w:val="auto"/>
              </w:rPr>
            </w:pPr>
            <w:r>
              <w:rPr>
                <w:rFonts w:ascii="Arial" w:cs="Arial" w:eastAsia="Arial" w:hAnsi="Arial"/>
                <w:sz w:val="16"/>
                <w:szCs w:val="16"/>
                <w:color w:val="auto"/>
              </w:rPr>
              <w:t>35,000</w:t>
            </w:r>
          </w:p>
        </w:tc>
        <w:tc>
          <w:tcPr>
            <w:tcW w:w="1080" w:type="dxa"/>
            <w:vAlign w:val="bottom"/>
          </w:tcPr>
          <w:p>
            <w:pPr>
              <w:jc w:val="center"/>
              <w:ind w:left="6"/>
              <w:spacing w:after="0"/>
              <w:rPr>
                <w:sz w:val="20"/>
                <w:szCs w:val="20"/>
                <w:color w:val="auto"/>
              </w:rPr>
            </w:pPr>
            <w:r>
              <w:rPr>
                <w:rFonts w:ascii="Arial" w:cs="Arial" w:eastAsia="Arial" w:hAnsi="Arial"/>
                <w:sz w:val="16"/>
                <w:szCs w:val="16"/>
                <w:color w:val="auto"/>
                <w:w w:val="99"/>
              </w:rPr>
              <w:t>$1,199,450</w:t>
            </w:r>
          </w:p>
        </w:tc>
      </w:tr>
      <w:tr>
        <w:trPr>
          <w:trHeight w:val="226"/>
        </w:trPr>
        <w:tc>
          <w:tcPr>
            <w:tcW w:w="6540" w:type="dxa"/>
            <w:vAlign w:val="bottom"/>
            <w:shd w:val="clear" w:color="auto" w:fill="E9E9E9"/>
          </w:tcPr>
          <w:p>
            <w:pPr>
              <w:spacing w:after="0"/>
              <w:rPr>
                <w:sz w:val="20"/>
                <w:szCs w:val="20"/>
                <w:color w:val="auto"/>
              </w:rPr>
            </w:pPr>
            <w:r>
              <w:rPr>
                <w:rFonts w:ascii="Arial" w:cs="Arial" w:eastAsia="Arial" w:hAnsi="Arial"/>
                <w:sz w:val="16"/>
                <w:szCs w:val="16"/>
                <w:color w:val="auto"/>
              </w:rPr>
              <w:t>G. A. Lowe</w:t>
            </w:r>
          </w:p>
        </w:tc>
        <w:tc>
          <w:tcPr>
            <w:tcW w:w="1220" w:type="dxa"/>
            <w:vAlign w:val="bottom"/>
            <w:shd w:val="clear" w:color="auto" w:fill="E9E9E9"/>
          </w:tcPr>
          <w:p>
            <w:pPr>
              <w:jc w:val="right"/>
              <w:ind w:right="329"/>
              <w:spacing w:after="0"/>
              <w:rPr>
                <w:sz w:val="20"/>
                <w:szCs w:val="20"/>
                <w:color w:val="auto"/>
              </w:rPr>
            </w:pPr>
            <w:r>
              <w:rPr>
                <w:rFonts w:ascii="Arial" w:cs="Arial" w:eastAsia="Arial" w:hAnsi="Arial"/>
                <w:sz w:val="16"/>
                <w:szCs w:val="16"/>
                <w:color w:val="auto"/>
              </w:rPr>
              <w:t>70,000</w:t>
            </w:r>
          </w:p>
        </w:tc>
        <w:tc>
          <w:tcPr>
            <w:tcW w:w="1220" w:type="dxa"/>
            <w:vAlign w:val="bottom"/>
            <w:shd w:val="clear" w:color="auto" w:fill="E9E9E9"/>
          </w:tcPr>
          <w:p>
            <w:pPr>
              <w:jc w:val="right"/>
              <w:ind w:right="66"/>
              <w:spacing w:after="0"/>
              <w:rPr>
                <w:sz w:val="20"/>
                <w:szCs w:val="20"/>
                <w:color w:val="auto"/>
              </w:rPr>
            </w:pPr>
            <w:r>
              <w:rPr>
                <w:rFonts w:ascii="Arial" w:cs="Arial" w:eastAsia="Arial" w:hAnsi="Arial"/>
                <w:sz w:val="16"/>
                <w:szCs w:val="16"/>
                <w:color w:val="auto"/>
              </w:rPr>
              <w:t>$  310,800</w:t>
            </w:r>
          </w:p>
        </w:tc>
        <w:tc>
          <w:tcPr>
            <w:tcW w:w="240" w:type="dxa"/>
            <w:vAlign w:val="bottom"/>
            <w:shd w:val="clear" w:color="auto" w:fill="E9E9E9"/>
          </w:tcPr>
          <w:p>
            <w:pPr>
              <w:spacing w:after="0"/>
              <w:rPr>
                <w:sz w:val="19"/>
                <w:szCs w:val="19"/>
                <w:color w:val="auto"/>
              </w:rPr>
            </w:pPr>
          </w:p>
        </w:tc>
        <w:tc>
          <w:tcPr>
            <w:tcW w:w="1140" w:type="dxa"/>
            <w:vAlign w:val="bottom"/>
            <w:shd w:val="clear" w:color="auto" w:fill="E9E9E9"/>
          </w:tcPr>
          <w:p>
            <w:pPr>
              <w:jc w:val="right"/>
              <w:ind w:right="289"/>
              <w:spacing w:after="0"/>
              <w:rPr>
                <w:sz w:val="20"/>
                <w:szCs w:val="20"/>
                <w:color w:val="auto"/>
              </w:rPr>
            </w:pPr>
            <w:r>
              <w:rPr>
                <w:rFonts w:ascii="Arial" w:cs="Arial" w:eastAsia="Arial" w:hAnsi="Arial"/>
                <w:sz w:val="16"/>
                <w:szCs w:val="16"/>
                <w:color w:val="auto"/>
              </w:rPr>
              <w:t>60,000</w:t>
            </w:r>
          </w:p>
        </w:tc>
        <w:tc>
          <w:tcPr>
            <w:tcW w:w="1080" w:type="dxa"/>
            <w:vAlign w:val="bottom"/>
            <w:shd w:val="clear" w:color="auto" w:fill="E9E9E9"/>
          </w:tcPr>
          <w:p>
            <w:pPr>
              <w:jc w:val="center"/>
              <w:ind w:left="6"/>
              <w:spacing w:after="0"/>
              <w:rPr>
                <w:sz w:val="20"/>
                <w:szCs w:val="20"/>
                <w:color w:val="auto"/>
              </w:rPr>
            </w:pPr>
            <w:r>
              <w:rPr>
                <w:rFonts w:ascii="Arial" w:cs="Arial" w:eastAsia="Arial" w:hAnsi="Arial"/>
                <w:sz w:val="16"/>
                <w:szCs w:val="16"/>
                <w:color w:val="auto"/>
                <w:w w:val="99"/>
              </w:rPr>
              <w:t>$2,056,200</w:t>
            </w:r>
          </w:p>
        </w:tc>
      </w:tr>
      <w:tr>
        <w:trPr>
          <w:trHeight w:val="211"/>
        </w:trPr>
        <w:tc>
          <w:tcPr>
            <w:tcW w:w="6540" w:type="dxa"/>
            <w:vAlign w:val="bottom"/>
          </w:tcPr>
          <w:p>
            <w:pPr>
              <w:spacing w:after="0"/>
              <w:rPr>
                <w:sz w:val="20"/>
                <w:szCs w:val="20"/>
                <w:color w:val="auto"/>
              </w:rPr>
            </w:pPr>
            <w:r>
              <w:rPr>
                <w:rFonts w:ascii="Arial" w:cs="Arial" w:eastAsia="Arial" w:hAnsi="Arial"/>
                <w:sz w:val="16"/>
                <w:szCs w:val="16"/>
                <w:color w:val="auto"/>
              </w:rPr>
              <w:t>K. J. Ritchie</w:t>
            </w:r>
          </w:p>
        </w:tc>
        <w:tc>
          <w:tcPr>
            <w:tcW w:w="1220" w:type="dxa"/>
            <w:vAlign w:val="bottom"/>
          </w:tcPr>
          <w:p>
            <w:pPr>
              <w:jc w:val="right"/>
              <w:ind w:right="329"/>
              <w:spacing w:after="0"/>
              <w:rPr>
                <w:sz w:val="20"/>
                <w:szCs w:val="20"/>
                <w:color w:val="auto"/>
              </w:rPr>
            </w:pPr>
            <w:r>
              <w:rPr>
                <w:rFonts w:ascii="Arial" w:cs="Arial" w:eastAsia="Arial" w:hAnsi="Arial"/>
                <w:sz w:val="16"/>
                <w:szCs w:val="16"/>
                <w:color w:val="auto"/>
              </w:rPr>
              <w:t>165,000</w:t>
            </w:r>
          </w:p>
        </w:tc>
        <w:tc>
          <w:tcPr>
            <w:tcW w:w="1220" w:type="dxa"/>
            <w:vAlign w:val="bottom"/>
          </w:tcPr>
          <w:p>
            <w:pPr>
              <w:jc w:val="right"/>
              <w:ind w:right="66"/>
              <w:spacing w:after="0"/>
              <w:rPr>
                <w:sz w:val="20"/>
                <w:szCs w:val="20"/>
                <w:color w:val="auto"/>
              </w:rPr>
            </w:pPr>
            <w:r>
              <w:rPr>
                <w:rFonts w:ascii="Arial" w:cs="Arial" w:eastAsia="Arial" w:hAnsi="Arial"/>
                <w:sz w:val="16"/>
                <w:szCs w:val="16"/>
                <w:color w:val="auto"/>
              </w:rPr>
              <w:t>$1,318,250</w:t>
            </w:r>
          </w:p>
        </w:tc>
        <w:tc>
          <w:tcPr>
            <w:tcW w:w="240" w:type="dxa"/>
            <w:vAlign w:val="bottom"/>
          </w:tcPr>
          <w:p>
            <w:pPr>
              <w:spacing w:after="0"/>
              <w:rPr>
                <w:sz w:val="18"/>
                <w:szCs w:val="18"/>
                <w:color w:val="auto"/>
              </w:rPr>
            </w:pPr>
          </w:p>
        </w:tc>
        <w:tc>
          <w:tcPr>
            <w:tcW w:w="1140" w:type="dxa"/>
            <w:vAlign w:val="bottom"/>
          </w:tcPr>
          <w:p>
            <w:pPr>
              <w:jc w:val="right"/>
              <w:ind w:right="289"/>
              <w:spacing w:after="0"/>
              <w:rPr>
                <w:sz w:val="20"/>
                <w:szCs w:val="20"/>
                <w:color w:val="auto"/>
              </w:rPr>
            </w:pPr>
            <w:r>
              <w:rPr>
                <w:rFonts w:ascii="Arial" w:cs="Arial" w:eastAsia="Arial" w:hAnsi="Arial"/>
                <w:sz w:val="16"/>
                <w:szCs w:val="16"/>
                <w:color w:val="auto"/>
              </w:rPr>
              <w:t>50,000</w:t>
            </w:r>
          </w:p>
        </w:tc>
        <w:tc>
          <w:tcPr>
            <w:tcW w:w="1080" w:type="dxa"/>
            <w:vAlign w:val="bottom"/>
          </w:tcPr>
          <w:p>
            <w:pPr>
              <w:jc w:val="center"/>
              <w:ind w:left="6"/>
              <w:spacing w:after="0"/>
              <w:rPr>
                <w:sz w:val="20"/>
                <w:szCs w:val="20"/>
                <w:color w:val="auto"/>
              </w:rPr>
            </w:pPr>
            <w:r>
              <w:rPr>
                <w:rFonts w:ascii="Arial" w:cs="Arial" w:eastAsia="Arial" w:hAnsi="Arial"/>
                <w:sz w:val="16"/>
                <w:szCs w:val="16"/>
                <w:color w:val="auto"/>
                <w:w w:val="99"/>
              </w:rPr>
              <w:t>$1,713,500</w:t>
            </w:r>
          </w:p>
        </w:tc>
      </w:tr>
      <w:tr>
        <w:trPr>
          <w:trHeight w:val="226"/>
        </w:trPr>
        <w:tc>
          <w:tcPr>
            <w:tcW w:w="654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1220" w:type="dxa"/>
            <w:vAlign w:val="bottom"/>
            <w:shd w:val="clear" w:color="auto" w:fill="E9E9E9"/>
          </w:tcPr>
          <w:p>
            <w:pPr>
              <w:jc w:val="right"/>
              <w:ind w:right="329"/>
              <w:spacing w:after="0"/>
              <w:rPr>
                <w:sz w:val="20"/>
                <w:szCs w:val="20"/>
                <w:color w:val="auto"/>
              </w:rPr>
            </w:pPr>
            <w:r>
              <w:rPr>
                <w:rFonts w:ascii="Arial" w:cs="Arial" w:eastAsia="Arial" w:hAnsi="Arial"/>
                <w:sz w:val="16"/>
                <w:szCs w:val="16"/>
                <w:color w:val="auto"/>
              </w:rPr>
              <w:t>103,600</w:t>
            </w:r>
          </w:p>
        </w:tc>
        <w:tc>
          <w:tcPr>
            <w:tcW w:w="1220" w:type="dxa"/>
            <w:vAlign w:val="bottom"/>
            <w:shd w:val="clear" w:color="auto" w:fill="E9E9E9"/>
          </w:tcPr>
          <w:p>
            <w:pPr>
              <w:jc w:val="right"/>
              <w:ind w:right="66"/>
              <w:spacing w:after="0"/>
              <w:rPr>
                <w:sz w:val="20"/>
                <w:szCs w:val="20"/>
                <w:color w:val="auto"/>
              </w:rPr>
            </w:pPr>
            <w:r>
              <w:rPr>
                <w:rFonts w:ascii="Arial" w:cs="Arial" w:eastAsia="Arial" w:hAnsi="Arial"/>
                <w:sz w:val="16"/>
                <w:szCs w:val="16"/>
                <w:color w:val="auto"/>
              </w:rPr>
              <w:t>$1,351,328</w:t>
            </w:r>
          </w:p>
        </w:tc>
        <w:tc>
          <w:tcPr>
            <w:tcW w:w="240" w:type="dxa"/>
            <w:vAlign w:val="bottom"/>
            <w:shd w:val="clear" w:color="auto" w:fill="E9E9E9"/>
          </w:tcPr>
          <w:p>
            <w:pPr>
              <w:spacing w:after="0"/>
              <w:rPr>
                <w:sz w:val="19"/>
                <w:szCs w:val="19"/>
                <w:color w:val="auto"/>
              </w:rPr>
            </w:pPr>
          </w:p>
        </w:tc>
        <w:tc>
          <w:tcPr>
            <w:tcW w:w="1140" w:type="dxa"/>
            <w:vAlign w:val="bottom"/>
            <w:shd w:val="clear" w:color="auto" w:fill="E9E9E9"/>
          </w:tcPr>
          <w:p>
            <w:pPr>
              <w:jc w:val="right"/>
              <w:ind w:right="289"/>
              <w:spacing w:after="0"/>
              <w:rPr>
                <w:sz w:val="20"/>
                <w:szCs w:val="20"/>
                <w:color w:val="auto"/>
              </w:rPr>
            </w:pPr>
            <w:r>
              <w:rPr>
                <w:rFonts w:ascii="Arial" w:cs="Arial" w:eastAsia="Arial" w:hAnsi="Arial"/>
                <w:sz w:val="16"/>
                <w:szCs w:val="16"/>
                <w:color w:val="auto"/>
              </w:rPr>
              <w:t>10,000</w:t>
            </w:r>
          </w:p>
        </w:tc>
        <w:tc>
          <w:tcPr>
            <w:tcW w:w="1080" w:type="dxa"/>
            <w:vAlign w:val="bottom"/>
            <w:shd w:val="clear" w:color="auto" w:fill="E9E9E9"/>
          </w:tcPr>
          <w:p>
            <w:pPr>
              <w:jc w:val="center"/>
              <w:ind w:left="6"/>
              <w:spacing w:after="0"/>
              <w:rPr>
                <w:sz w:val="20"/>
                <w:szCs w:val="20"/>
                <w:color w:val="auto"/>
              </w:rPr>
            </w:pPr>
            <w:r>
              <w:rPr>
                <w:rFonts w:ascii="Arial" w:cs="Arial" w:eastAsia="Arial" w:hAnsi="Arial"/>
                <w:sz w:val="16"/>
                <w:szCs w:val="16"/>
                <w:color w:val="auto"/>
              </w:rPr>
              <w:t>$  342,700</w:t>
            </w:r>
          </w:p>
        </w:tc>
      </w:tr>
    </w:tbl>
    <w:p>
      <w:pPr>
        <w:spacing w:after="0" w:line="39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2011 pension benefits</w:t>
      </w:r>
    </w:p>
    <w:p>
      <w:pPr>
        <w:spacing w:after="0" w:line="212" w:lineRule="exact"/>
        <w:rPr>
          <w:sz w:val="20"/>
          <w:szCs w:val="20"/>
          <w:color w:val="auto"/>
        </w:rPr>
      </w:pPr>
    </w:p>
    <w:p>
      <w:pPr>
        <w:ind w:left="3" w:right="300"/>
        <w:spacing w:after="0" w:line="239" w:lineRule="auto"/>
        <w:rPr>
          <w:sz w:val="20"/>
          <w:szCs w:val="20"/>
          <w:color w:val="auto"/>
        </w:rPr>
      </w:pPr>
      <w:r>
        <w:rPr>
          <w:rFonts w:ascii="Arial" w:cs="Arial" w:eastAsia="Arial" w:hAnsi="Arial"/>
          <w:sz w:val="16"/>
          <w:szCs w:val="16"/>
          <w:color w:val="auto"/>
        </w:rPr>
        <w:t>The following table shows the present value as of December 31, 2011,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2011.</w:t>
      </w:r>
    </w:p>
    <w:p>
      <w:pPr>
        <w:spacing w:after="0" w:line="206"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32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jc w:val="center"/>
              <w:ind w:left="66"/>
              <w:spacing w:after="0"/>
              <w:rPr>
                <w:sz w:val="20"/>
                <w:szCs w:val="20"/>
                <w:color w:val="auto"/>
              </w:rPr>
            </w:pPr>
            <w:r>
              <w:rPr>
                <w:rFonts w:ascii="Arial" w:cs="Arial" w:eastAsia="Arial" w:hAnsi="Arial"/>
                <w:sz w:val="12"/>
                <w:szCs w:val="12"/>
                <w:b w:val="1"/>
                <w:bCs w:val="1"/>
                <w:color w:val="auto"/>
                <w:w w:val="98"/>
              </w:rPr>
              <w:t>Payments</w:t>
            </w:r>
          </w:p>
        </w:tc>
      </w:tr>
      <w:tr>
        <w:trPr>
          <w:trHeight w:val="218"/>
        </w:trPr>
        <w:tc>
          <w:tcPr>
            <w:tcW w:w="32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84"/>
              <w:spacing w:after="0"/>
              <w:rPr>
                <w:sz w:val="20"/>
                <w:szCs w:val="20"/>
                <w:color w:val="auto"/>
              </w:rPr>
            </w:pPr>
            <w:r>
              <w:rPr>
                <w:rFonts w:ascii="Arial" w:cs="Arial" w:eastAsia="Arial" w:hAnsi="Arial"/>
                <w:sz w:val="12"/>
                <w:szCs w:val="12"/>
                <w:b w:val="1"/>
                <w:bCs w:val="1"/>
                <w:color w:val="auto"/>
              </w:rPr>
              <w:t>Present</w:t>
            </w:r>
          </w:p>
        </w:tc>
        <w:tc>
          <w:tcPr>
            <w:tcW w:w="740" w:type="dxa"/>
            <w:vAlign w:val="bottom"/>
          </w:tcPr>
          <w:p>
            <w:pPr>
              <w:jc w:val="center"/>
              <w:ind w:left="66"/>
              <w:spacing w:after="0"/>
              <w:rPr>
                <w:sz w:val="20"/>
                <w:szCs w:val="20"/>
                <w:color w:val="auto"/>
              </w:rPr>
            </w:pPr>
            <w:r>
              <w:rPr>
                <w:rFonts w:ascii="Arial" w:cs="Arial" w:eastAsia="Arial" w:hAnsi="Arial"/>
                <w:sz w:val="12"/>
                <w:szCs w:val="12"/>
                <w:b w:val="1"/>
                <w:bCs w:val="1"/>
                <w:color w:val="auto"/>
              </w:rPr>
              <w:t>During</w:t>
            </w:r>
          </w:p>
        </w:tc>
      </w:tr>
      <w:tr>
        <w:trPr>
          <w:trHeight w:val="218"/>
        </w:trPr>
        <w:tc>
          <w:tcPr>
            <w:tcW w:w="32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00" w:type="dxa"/>
            <w:vAlign w:val="bottom"/>
            <w:gridSpan w:val="2"/>
          </w:tcPr>
          <w:p>
            <w:pPr>
              <w:jc w:val="center"/>
              <w:ind w:left="45"/>
              <w:spacing w:after="0"/>
              <w:rPr>
                <w:sz w:val="20"/>
                <w:szCs w:val="20"/>
                <w:color w:val="auto"/>
              </w:rPr>
            </w:pPr>
            <w:r>
              <w:rPr>
                <w:rFonts w:ascii="Arial" w:cs="Arial" w:eastAsia="Arial" w:hAnsi="Arial"/>
                <w:sz w:val="12"/>
                <w:szCs w:val="12"/>
                <w:b w:val="1"/>
                <w:bCs w:val="1"/>
                <w:color w:val="auto"/>
                <w:w w:val="99"/>
              </w:rPr>
              <w:t>Number of</w:t>
            </w:r>
          </w:p>
        </w:tc>
        <w:tc>
          <w:tcPr>
            <w:tcW w:w="340" w:type="dxa"/>
            <w:vAlign w:val="bottom"/>
          </w:tcPr>
          <w:p>
            <w:pPr>
              <w:spacing w:after="0"/>
              <w:rPr>
                <w:sz w:val="18"/>
                <w:szCs w:val="18"/>
                <w:color w:val="auto"/>
              </w:rPr>
            </w:pPr>
          </w:p>
        </w:tc>
        <w:tc>
          <w:tcPr>
            <w:tcW w:w="840" w:type="dxa"/>
            <w:vAlign w:val="bottom"/>
          </w:tcPr>
          <w:p>
            <w:pPr>
              <w:jc w:val="right"/>
              <w:ind w:right="264"/>
              <w:spacing w:after="0"/>
              <w:rPr>
                <w:sz w:val="20"/>
                <w:szCs w:val="20"/>
                <w:color w:val="auto"/>
              </w:rPr>
            </w:pPr>
            <w:r>
              <w:rPr>
                <w:rFonts w:ascii="Arial" w:cs="Arial" w:eastAsia="Arial" w:hAnsi="Arial"/>
                <w:sz w:val="12"/>
                <w:szCs w:val="12"/>
                <w:b w:val="1"/>
                <w:bCs w:val="1"/>
                <w:color w:val="auto"/>
              </w:rPr>
              <w:t>Value of</w:t>
            </w:r>
          </w:p>
        </w:tc>
        <w:tc>
          <w:tcPr>
            <w:tcW w:w="740" w:type="dxa"/>
            <w:vAlign w:val="bottom"/>
          </w:tcPr>
          <w:p>
            <w:pPr>
              <w:jc w:val="center"/>
              <w:ind w:left="66"/>
              <w:spacing w:after="0"/>
              <w:rPr>
                <w:sz w:val="20"/>
                <w:szCs w:val="20"/>
                <w:color w:val="auto"/>
              </w:rPr>
            </w:pPr>
            <w:r>
              <w:rPr>
                <w:rFonts w:ascii="Arial" w:cs="Arial" w:eastAsia="Arial" w:hAnsi="Arial"/>
                <w:sz w:val="12"/>
                <w:szCs w:val="12"/>
                <w:b w:val="1"/>
                <w:bCs w:val="1"/>
                <w:color w:val="auto"/>
                <w:w w:val="97"/>
              </w:rPr>
              <w:t>Last</w:t>
            </w:r>
          </w:p>
        </w:tc>
      </w:tr>
      <w:tr>
        <w:trPr>
          <w:trHeight w:val="218"/>
        </w:trPr>
        <w:tc>
          <w:tcPr>
            <w:tcW w:w="32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00" w:type="dxa"/>
            <w:vAlign w:val="bottom"/>
            <w:gridSpan w:val="2"/>
          </w:tcPr>
          <w:p>
            <w:pPr>
              <w:jc w:val="center"/>
              <w:ind w:left="45"/>
              <w:spacing w:after="0"/>
              <w:rPr>
                <w:sz w:val="20"/>
                <w:szCs w:val="20"/>
                <w:color w:val="auto"/>
              </w:rPr>
            </w:pPr>
            <w:r>
              <w:rPr>
                <w:rFonts w:ascii="Arial" w:cs="Arial" w:eastAsia="Arial" w:hAnsi="Arial"/>
                <w:sz w:val="12"/>
                <w:szCs w:val="12"/>
                <w:b w:val="1"/>
                <w:bCs w:val="1"/>
                <w:color w:val="auto"/>
                <w:w w:val="99"/>
              </w:rPr>
              <w:t>Years Credited</w:t>
            </w:r>
          </w:p>
        </w:tc>
        <w:tc>
          <w:tcPr>
            <w:tcW w:w="1180" w:type="dxa"/>
            <w:vAlign w:val="bottom"/>
            <w:gridSpan w:val="2"/>
          </w:tcPr>
          <w:p>
            <w:pPr>
              <w:ind w:left="220"/>
              <w:spacing w:after="0"/>
              <w:rPr>
                <w:sz w:val="20"/>
                <w:szCs w:val="20"/>
                <w:color w:val="auto"/>
              </w:rPr>
            </w:pPr>
            <w:r>
              <w:rPr>
                <w:rFonts w:ascii="Arial" w:cs="Arial" w:eastAsia="Arial" w:hAnsi="Arial"/>
                <w:sz w:val="12"/>
                <w:szCs w:val="12"/>
                <w:b w:val="1"/>
                <w:bCs w:val="1"/>
                <w:color w:val="auto"/>
              </w:rPr>
              <w:t>Accumulated</w:t>
            </w:r>
          </w:p>
        </w:tc>
        <w:tc>
          <w:tcPr>
            <w:tcW w:w="740" w:type="dxa"/>
            <w:vAlign w:val="bottom"/>
          </w:tcPr>
          <w:p>
            <w:pPr>
              <w:jc w:val="center"/>
              <w:ind w:left="66"/>
              <w:spacing w:after="0"/>
              <w:rPr>
                <w:sz w:val="20"/>
                <w:szCs w:val="20"/>
                <w:color w:val="auto"/>
              </w:rPr>
            </w:pPr>
            <w:r>
              <w:rPr>
                <w:rFonts w:ascii="Arial" w:cs="Arial" w:eastAsia="Arial" w:hAnsi="Arial"/>
                <w:sz w:val="12"/>
                <w:szCs w:val="12"/>
                <w:b w:val="1"/>
                <w:bCs w:val="1"/>
                <w:color w:val="auto"/>
              </w:rPr>
              <w:t>Fiscal</w:t>
            </w:r>
          </w:p>
        </w:tc>
      </w:tr>
      <w:tr>
        <w:trPr>
          <w:trHeight w:val="218"/>
        </w:trPr>
        <w:tc>
          <w:tcPr>
            <w:tcW w:w="320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4920" w:type="dxa"/>
            <w:vAlign w:val="bottom"/>
          </w:tcPr>
          <w:p>
            <w:pPr>
              <w:ind w:left="3080"/>
              <w:spacing w:after="0"/>
              <w:rPr>
                <w:sz w:val="20"/>
                <w:szCs w:val="20"/>
                <w:color w:val="auto"/>
              </w:rPr>
            </w:pPr>
            <w:r>
              <w:rPr>
                <w:rFonts w:ascii="Arial" w:cs="Arial" w:eastAsia="Arial" w:hAnsi="Arial"/>
                <w:sz w:val="12"/>
                <w:szCs w:val="12"/>
                <w:b w:val="1"/>
                <w:bCs w:val="1"/>
                <w:color w:val="auto"/>
              </w:rPr>
              <w:t>Plan Name</w:t>
            </w:r>
          </w:p>
        </w:tc>
        <w:tc>
          <w:tcPr>
            <w:tcW w:w="1400" w:type="dxa"/>
            <w:vAlign w:val="bottom"/>
            <w:gridSpan w:val="2"/>
          </w:tcPr>
          <w:p>
            <w:pPr>
              <w:jc w:val="center"/>
              <w:ind w:left="65"/>
              <w:spacing w:after="0"/>
              <w:rPr>
                <w:sz w:val="20"/>
                <w:szCs w:val="20"/>
                <w:color w:val="auto"/>
              </w:rPr>
            </w:pPr>
            <w:r>
              <w:rPr>
                <w:rFonts w:ascii="Arial" w:cs="Arial" w:eastAsia="Arial" w:hAnsi="Arial"/>
                <w:sz w:val="12"/>
                <w:szCs w:val="12"/>
                <w:b w:val="1"/>
                <w:bCs w:val="1"/>
                <w:color w:val="auto"/>
              </w:rPr>
              <w:t>Service (#)</w:t>
            </w:r>
          </w:p>
        </w:tc>
        <w:tc>
          <w:tcPr>
            <w:tcW w:w="1180" w:type="dxa"/>
            <w:vAlign w:val="bottom"/>
            <w:gridSpan w:val="2"/>
          </w:tcPr>
          <w:p>
            <w:pPr>
              <w:ind w:left="240"/>
              <w:spacing w:after="0"/>
              <w:rPr>
                <w:sz w:val="20"/>
                <w:szCs w:val="20"/>
                <w:color w:val="auto"/>
              </w:rPr>
            </w:pPr>
            <w:r>
              <w:rPr>
                <w:rFonts w:ascii="Arial" w:cs="Arial" w:eastAsia="Arial" w:hAnsi="Arial"/>
                <w:sz w:val="12"/>
                <w:szCs w:val="12"/>
                <w:b w:val="1"/>
                <w:bCs w:val="1"/>
                <w:color w:val="auto"/>
              </w:rPr>
              <w:t>Benefit ($)(5)</w:t>
            </w:r>
          </w:p>
        </w:tc>
        <w:tc>
          <w:tcPr>
            <w:tcW w:w="740" w:type="dxa"/>
            <w:vAlign w:val="bottom"/>
          </w:tcPr>
          <w:p>
            <w:pPr>
              <w:jc w:val="center"/>
              <w:ind w:left="66"/>
              <w:spacing w:after="0"/>
              <w:rPr>
                <w:sz w:val="20"/>
                <w:szCs w:val="20"/>
                <w:color w:val="auto"/>
              </w:rPr>
            </w:pPr>
            <w:r>
              <w:rPr>
                <w:rFonts w:ascii="Arial" w:cs="Arial" w:eastAsia="Arial" w:hAnsi="Arial"/>
                <w:sz w:val="12"/>
                <w:szCs w:val="12"/>
                <w:b w:val="1"/>
                <w:bCs w:val="1"/>
                <w:color w:val="auto"/>
                <w:w w:val="99"/>
              </w:rPr>
              <w:t>Year ($)</w:t>
            </w:r>
          </w:p>
        </w:tc>
      </w:tr>
      <w:tr>
        <w:trPr>
          <w:trHeight w:val="37"/>
        </w:trPr>
        <w:tc>
          <w:tcPr>
            <w:tcW w:w="3200" w:type="dxa"/>
            <w:vAlign w:val="bottom"/>
            <w:tcBorders>
              <w:bottom w:val="single" w:sz="8" w:color="808285"/>
            </w:tcBorders>
          </w:tcPr>
          <w:p>
            <w:pPr>
              <w:spacing w:after="0"/>
              <w:rPr>
                <w:sz w:val="3"/>
                <w:szCs w:val="3"/>
                <w:color w:val="auto"/>
              </w:rPr>
            </w:pPr>
          </w:p>
        </w:tc>
        <w:tc>
          <w:tcPr>
            <w:tcW w:w="4920" w:type="dxa"/>
            <w:vAlign w:val="bottom"/>
            <w:tcBorders>
              <w:bottom w:val="single" w:sz="8" w:color="808285"/>
            </w:tcBorders>
          </w:tcPr>
          <w:p>
            <w:pPr>
              <w:spacing w:after="0"/>
              <w:rPr>
                <w:sz w:val="3"/>
                <w:szCs w:val="3"/>
                <w:color w:val="auto"/>
              </w:rPr>
            </w:pPr>
          </w:p>
        </w:tc>
        <w:tc>
          <w:tcPr>
            <w:tcW w:w="780" w:type="dxa"/>
            <w:vAlign w:val="bottom"/>
            <w:tcBorders>
              <w:bottom w:val="single" w:sz="8" w:color="808285"/>
            </w:tcBorders>
          </w:tcPr>
          <w:p>
            <w:pPr>
              <w:spacing w:after="0"/>
              <w:rPr>
                <w:sz w:val="3"/>
                <w:szCs w:val="3"/>
                <w:color w:val="auto"/>
              </w:rPr>
            </w:pPr>
          </w:p>
        </w:tc>
        <w:tc>
          <w:tcPr>
            <w:tcW w:w="620" w:type="dxa"/>
            <w:vAlign w:val="bottom"/>
            <w:tcBorders>
              <w:bottom w:val="single" w:sz="8" w:color="808285"/>
            </w:tcBorders>
          </w:tcPr>
          <w:p>
            <w:pPr>
              <w:spacing w:after="0"/>
              <w:rPr>
                <w:sz w:val="3"/>
                <w:szCs w:val="3"/>
                <w:color w:val="auto"/>
              </w:rPr>
            </w:pPr>
          </w:p>
        </w:tc>
        <w:tc>
          <w:tcPr>
            <w:tcW w:w="34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740" w:type="dxa"/>
            <w:vAlign w:val="bottom"/>
            <w:tcBorders>
              <w:bottom w:val="single" w:sz="8" w:color="808285"/>
            </w:tcBorders>
          </w:tcPr>
          <w:p>
            <w:pPr>
              <w:spacing w:after="0"/>
              <w:rPr>
                <w:sz w:val="3"/>
                <w:szCs w:val="3"/>
                <w:color w:val="auto"/>
              </w:rPr>
            </w:pPr>
          </w:p>
        </w:tc>
      </w:tr>
      <w:tr>
        <w:trPr>
          <w:trHeight w:val="196"/>
        </w:trPr>
        <w:tc>
          <w:tcPr>
            <w:tcW w:w="3200" w:type="dxa"/>
            <w:vAlign w:val="bottom"/>
            <w:shd w:val="clear" w:color="auto" w:fill="E9E9E9"/>
          </w:tcPr>
          <w:p>
            <w:pPr>
              <w:spacing w:after="0"/>
              <w:rPr>
                <w:sz w:val="20"/>
                <w:szCs w:val="20"/>
                <w:color w:val="auto"/>
              </w:rPr>
            </w:pPr>
            <w:r>
              <w:rPr>
                <w:rFonts w:ascii="Arial" w:cs="Arial" w:eastAsia="Arial" w:hAnsi="Arial"/>
                <w:sz w:val="16"/>
                <w:szCs w:val="16"/>
                <w:color w:val="auto"/>
              </w:rPr>
              <w:t>R. K. Templeton (1)</w:t>
            </w:r>
          </w:p>
        </w:tc>
        <w:tc>
          <w:tcPr>
            <w:tcW w:w="4920" w:type="dxa"/>
            <w:vAlign w:val="bottom"/>
            <w:shd w:val="clear" w:color="auto" w:fill="E9E9E9"/>
          </w:tcPr>
          <w:p>
            <w:pPr>
              <w:ind w:left="1840"/>
              <w:spacing w:after="0"/>
              <w:rPr>
                <w:sz w:val="20"/>
                <w:szCs w:val="20"/>
                <w:color w:val="auto"/>
              </w:rPr>
            </w:pPr>
            <w:r>
              <w:rPr>
                <w:rFonts w:ascii="Arial" w:cs="Arial" w:eastAsia="Arial" w:hAnsi="Arial"/>
                <w:sz w:val="16"/>
                <w:szCs w:val="16"/>
                <w:color w:val="auto"/>
              </w:rPr>
              <w:t>TI Employees Pension Plan</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16</w:t>
            </w:r>
          </w:p>
        </w:tc>
        <w:tc>
          <w:tcPr>
            <w:tcW w:w="620" w:type="dxa"/>
            <w:vAlign w:val="bottom"/>
            <w:shd w:val="clear" w:color="auto" w:fill="E9E9E9"/>
          </w:tcPr>
          <w:p>
            <w:pPr>
              <w:jc w:val="right"/>
              <w:ind w:right="341"/>
              <w:spacing w:after="0"/>
              <w:rPr>
                <w:sz w:val="20"/>
                <w:szCs w:val="20"/>
                <w:color w:val="auto"/>
              </w:rPr>
            </w:pPr>
            <w:r>
              <w:rPr>
                <w:rFonts w:ascii="Arial" w:cs="Arial" w:eastAsia="Arial" w:hAnsi="Arial"/>
                <w:sz w:val="16"/>
                <w:szCs w:val="16"/>
                <w:color w:val="auto"/>
                <w:w w:val="91"/>
              </w:rPr>
              <w:t>(2)</w:t>
            </w:r>
          </w:p>
        </w:tc>
        <w:tc>
          <w:tcPr>
            <w:tcW w:w="340" w:type="dxa"/>
            <w:vAlign w:val="bottom"/>
            <w:shd w:val="clear" w:color="auto" w:fill="E9E9E9"/>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496,801</w:t>
            </w:r>
          </w:p>
        </w:tc>
        <w:tc>
          <w:tcPr>
            <w:tcW w:w="740" w:type="dxa"/>
            <w:vAlign w:val="bottom"/>
            <w:shd w:val="clear" w:color="auto" w:fill="E9E9E9"/>
          </w:tcPr>
          <w:p>
            <w:pPr>
              <w:jc w:val="center"/>
              <w:ind w:left="66"/>
              <w:spacing w:after="0"/>
              <w:rPr>
                <w:sz w:val="20"/>
                <w:szCs w:val="20"/>
                <w:color w:val="auto"/>
              </w:rPr>
            </w:pPr>
            <w:r>
              <w:rPr>
                <w:rFonts w:ascii="Arial" w:cs="Arial" w:eastAsia="Arial" w:hAnsi="Arial"/>
                <w:sz w:val="16"/>
                <w:szCs w:val="16"/>
                <w:color w:val="auto"/>
                <w:w w:val="99"/>
              </w:rPr>
              <w:t>—</w:t>
            </w:r>
          </w:p>
        </w:tc>
      </w:tr>
      <w:tr>
        <w:trPr>
          <w:trHeight w:val="218"/>
        </w:trPr>
        <w:tc>
          <w:tcPr>
            <w:tcW w:w="3200" w:type="dxa"/>
            <w:vAlign w:val="bottom"/>
            <w:shd w:val="clear" w:color="auto" w:fill="E9E9E9"/>
          </w:tcPr>
          <w:p>
            <w:pPr>
              <w:spacing w:after="0"/>
              <w:rPr>
                <w:sz w:val="18"/>
                <w:szCs w:val="18"/>
                <w:color w:val="auto"/>
              </w:rPr>
            </w:pPr>
          </w:p>
        </w:tc>
        <w:tc>
          <w:tcPr>
            <w:tcW w:w="4920" w:type="dxa"/>
            <w:vAlign w:val="bottom"/>
            <w:shd w:val="clear" w:color="auto" w:fill="E9E9E9"/>
          </w:tcPr>
          <w:p>
            <w:pPr>
              <w:ind w:left="1840"/>
              <w:spacing w:after="0"/>
              <w:rPr>
                <w:sz w:val="20"/>
                <w:szCs w:val="20"/>
                <w:color w:val="auto"/>
              </w:rPr>
            </w:pPr>
            <w:r>
              <w:rPr>
                <w:rFonts w:ascii="Arial" w:cs="Arial" w:eastAsia="Arial" w:hAnsi="Arial"/>
                <w:sz w:val="16"/>
                <w:szCs w:val="16"/>
                <w:color w:val="auto"/>
              </w:rPr>
              <w:t>TI Employees Non-Qualified Pension Plan</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16</w:t>
            </w:r>
          </w:p>
        </w:tc>
        <w:tc>
          <w:tcPr>
            <w:tcW w:w="620" w:type="dxa"/>
            <w:vAlign w:val="bottom"/>
            <w:shd w:val="clear" w:color="auto" w:fill="E9E9E9"/>
          </w:tcPr>
          <w:p>
            <w:pPr>
              <w:jc w:val="right"/>
              <w:ind w:right="341"/>
              <w:spacing w:after="0"/>
              <w:rPr>
                <w:sz w:val="20"/>
                <w:szCs w:val="20"/>
                <w:color w:val="auto"/>
              </w:rPr>
            </w:pPr>
            <w:r>
              <w:rPr>
                <w:rFonts w:ascii="Arial" w:cs="Arial" w:eastAsia="Arial" w:hAnsi="Arial"/>
                <w:sz w:val="16"/>
                <w:szCs w:val="16"/>
                <w:color w:val="auto"/>
                <w:w w:val="91"/>
              </w:rPr>
              <w:t>(2)</w:t>
            </w:r>
          </w:p>
        </w:tc>
        <w:tc>
          <w:tcPr>
            <w:tcW w:w="340" w:type="dxa"/>
            <w:vAlign w:val="bottom"/>
            <w:shd w:val="clear" w:color="auto" w:fill="E9E9E9"/>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336,814</w:t>
            </w:r>
          </w:p>
        </w:tc>
        <w:tc>
          <w:tcPr>
            <w:tcW w:w="740" w:type="dxa"/>
            <w:vAlign w:val="bottom"/>
            <w:shd w:val="clear" w:color="auto" w:fill="E9E9E9"/>
          </w:tcPr>
          <w:p>
            <w:pPr>
              <w:jc w:val="center"/>
              <w:ind w:left="66"/>
              <w:spacing w:after="0"/>
              <w:rPr>
                <w:sz w:val="20"/>
                <w:szCs w:val="20"/>
                <w:color w:val="auto"/>
              </w:rPr>
            </w:pPr>
            <w:r>
              <w:rPr>
                <w:rFonts w:ascii="Arial" w:cs="Arial" w:eastAsia="Arial" w:hAnsi="Arial"/>
                <w:sz w:val="16"/>
                <w:szCs w:val="16"/>
                <w:color w:val="auto"/>
                <w:w w:val="99"/>
              </w:rPr>
              <w:t>—</w:t>
            </w:r>
          </w:p>
        </w:tc>
      </w:tr>
      <w:tr>
        <w:trPr>
          <w:trHeight w:val="233"/>
        </w:trPr>
        <w:tc>
          <w:tcPr>
            <w:tcW w:w="3200" w:type="dxa"/>
            <w:vAlign w:val="bottom"/>
            <w:shd w:val="clear" w:color="auto" w:fill="E9E9E9"/>
          </w:tcPr>
          <w:p>
            <w:pPr>
              <w:spacing w:after="0"/>
              <w:rPr>
                <w:sz w:val="20"/>
                <w:szCs w:val="20"/>
                <w:color w:val="auto"/>
              </w:rPr>
            </w:pPr>
          </w:p>
        </w:tc>
        <w:tc>
          <w:tcPr>
            <w:tcW w:w="4920" w:type="dxa"/>
            <w:vAlign w:val="bottom"/>
            <w:shd w:val="clear" w:color="auto" w:fill="E9E9E9"/>
          </w:tcPr>
          <w:p>
            <w:pPr>
              <w:ind w:left="1840"/>
              <w:spacing w:after="0"/>
              <w:rPr>
                <w:sz w:val="20"/>
                <w:szCs w:val="20"/>
                <w:color w:val="auto"/>
              </w:rPr>
            </w:pPr>
            <w:r>
              <w:rPr>
                <w:rFonts w:ascii="Arial" w:cs="Arial" w:eastAsia="Arial" w:hAnsi="Arial"/>
                <w:sz w:val="16"/>
                <w:szCs w:val="16"/>
                <w:color w:val="auto"/>
                <w:w w:val="98"/>
              </w:rPr>
              <w:t>TI Employees Non-Qualified Pension Plan II</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16</w:t>
            </w:r>
          </w:p>
        </w:tc>
        <w:tc>
          <w:tcPr>
            <w:tcW w:w="620" w:type="dxa"/>
            <w:vAlign w:val="bottom"/>
            <w:shd w:val="clear" w:color="auto" w:fill="E9E9E9"/>
          </w:tcPr>
          <w:p>
            <w:pPr>
              <w:jc w:val="right"/>
              <w:ind w:right="341"/>
              <w:spacing w:after="0"/>
              <w:rPr>
                <w:sz w:val="20"/>
                <w:szCs w:val="20"/>
                <w:color w:val="auto"/>
              </w:rPr>
            </w:pPr>
            <w:r>
              <w:rPr>
                <w:rFonts w:ascii="Arial" w:cs="Arial" w:eastAsia="Arial" w:hAnsi="Arial"/>
                <w:sz w:val="16"/>
                <w:szCs w:val="16"/>
                <w:color w:val="auto"/>
                <w:w w:val="91"/>
              </w:rPr>
              <w:t>(4)</w:t>
            </w:r>
          </w:p>
        </w:tc>
        <w:tc>
          <w:tcPr>
            <w:tcW w:w="340" w:type="dxa"/>
            <w:vAlign w:val="bottom"/>
            <w:shd w:val="clear" w:color="auto" w:fill="E9E9E9"/>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31,029</w:t>
            </w:r>
          </w:p>
        </w:tc>
        <w:tc>
          <w:tcPr>
            <w:tcW w:w="740" w:type="dxa"/>
            <w:vAlign w:val="bottom"/>
            <w:shd w:val="clear" w:color="auto" w:fill="E9E9E9"/>
          </w:tcPr>
          <w:p>
            <w:pPr>
              <w:jc w:val="center"/>
              <w:ind w:left="66"/>
              <w:spacing w:after="0"/>
              <w:rPr>
                <w:sz w:val="20"/>
                <w:szCs w:val="20"/>
                <w:color w:val="auto"/>
              </w:rPr>
            </w:pPr>
            <w:r>
              <w:rPr>
                <w:rFonts w:ascii="Arial" w:cs="Arial" w:eastAsia="Arial" w:hAnsi="Arial"/>
                <w:sz w:val="16"/>
                <w:szCs w:val="16"/>
                <w:color w:val="auto"/>
                <w:w w:val="99"/>
              </w:rPr>
              <w:t>—</w:t>
            </w:r>
          </w:p>
        </w:tc>
      </w:tr>
      <w:tr>
        <w:trPr>
          <w:trHeight w:val="218"/>
        </w:trPr>
        <w:tc>
          <w:tcPr>
            <w:tcW w:w="32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4"/>
        </w:trPr>
        <w:tc>
          <w:tcPr>
            <w:tcW w:w="3200" w:type="dxa"/>
            <w:vAlign w:val="bottom"/>
            <w:shd w:val="clear" w:color="auto" w:fill="E9E9E9"/>
          </w:tcPr>
          <w:p>
            <w:pPr>
              <w:spacing w:after="0"/>
              <w:rPr>
                <w:sz w:val="20"/>
                <w:szCs w:val="20"/>
                <w:color w:val="auto"/>
              </w:rPr>
            </w:pPr>
            <w:r>
              <w:rPr>
                <w:rFonts w:ascii="Arial" w:cs="Arial" w:eastAsia="Arial" w:hAnsi="Arial"/>
                <w:sz w:val="16"/>
                <w:szCs w:val="16"/>
                <w:color w:val="auto"/>
              </w:rPr>
              <w:t>K. P. March</w:t>
            </w:r>
          </w:p>
        </w:tc>
        <w:tc>
          <w:tcPr>
            <w:tcW w:w="4920" w:type="dxa"/>
            <w:vAlign w:val="bottom"/>
            <w:shd w:val="clear" w:color="auto" w:fill="E9E9E9"/>
          </w:tcPr>
          <w:p>
            <w:pPr>
              <w:ind w:left="1840"/>
              <w:spacing w:after="0"/>
              <w:rPr>
                <w:sz w:val="20"/>
                <w:szCs w:val="20"/>
                <w:color w:val="auto"/>
              </w:rPr>
            </w:pPr>
            <w:r>
              <w:rPr>
                <w:rFonts w:ascii="Arial" w:cs="Arial" w:eastAsia="Arial" w:hAnsi="Arial"/>
                <w:sz w:val="16"/>
                <w:szCs w:val="16"/>
                <w:color w:val="auto"/>
              </w:rPr>
              <w:t>TI Employees Pension Plan</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26</w:t>
            </w:r>
          </w:p>
        </w:tc>
        <w:tc>
          <w:tcPr>
            <w:tcW w:w="620" w:type="dxa"/>
            <w:vAlign w:val="bottom"/>
            <w:shd w:val="clear" w:color="auto" w:fill="E9E9E9"/>
          </w:tcPr>
          <w:p>
            <w:pPr>
              <w:jc w:val="right"/>
              <w:ind w:right="341"/>
              <w:spacing w:after="0"/>
              <w:rPr>
                <w:sz w:val="20"/>
                <w:szCs w:val="20"/>
                <w:color w:val="auto"/>
              </w:rPr>
            </w:pPr>
            <w:r>
              <w:rPr>
                <w:rFonts w:ascii="Arial" w:cs="Arial" w:eastAsia="Arial" w:hAnsi="Arial"/>
                <w:sz w:val="16"/>
                <w:szCs w:val="16"/>
                <w:color w:val="auto"/>
                <w:w w:val="91"/>
              </w:rPr>
              <w:t>(2)</w:t>
            </w:r>
          </w:p>
        </w:tc>
        <w:tc>
          <w:tcPr>
            <w:tcW w:w="340" w:type="dxa"/>
            <w:vAlign w:val="bottom"/>
            <w:shd w:val="clear" w:color="auto" w:fill="E9E9E9"/>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573,462</w:t>
            </w:r>
          </w:p>
        </w:tc>
        <w:tc>
          <w:tcPr>
            <w:tcW w:w="740" w:type="dxa"/>
            <w:vAlign w:val="bottom"/>
            <w:shd w:val="clear" w:color="auto" w:fill="E9E9E9"/>
          </w:tcPr>
          <w:p>
            <w:pPr>
              <w:jc w:val="center"/>
              <w:ind w:left="66"/>
              <w:spacing w:after="0"/>
              <w:rPr>
                <w:sz w:val="20"/>
                <w:szCs w:val="20"/>
                <w:color w:val="auto"/>
              </w:rPr>
            </w:pPr>
            <w:r>
              <w:rPr>
                <w:rFonts w:ascii="Arial" w:cs="Arial" w:eastAsia="Arial" w:hAnsi="Arial"/>
                <w:sz w:val="16"/>
                <w:szCs w:val="16"/>
                <w:color w:val="auto"/>
                <w:w w:val="99"/>
              </w:rPr>
              <w:t>—</w:t>
            </w:r>
          </w:p>
        </w:tc>
      </w:tr>
      <w:tr>
        <w:trPr>
          <w:trHeight w:val="218"/>
        </w:trPr>
        <w:tc>
          <w:tcPr>
            <w:tcW w:w="3200" w:type="dxa"/>
            <w:vAlign w:val="bottom"/>
            <w:shd w:val="clear" w:color="auto" w:fill="E9E9E9"/>
          </w:tcPr>
          <w:p>
            <w:pPr>
              <w:spacing w:after="0"/>
              <w:rPr>
                <w:sz w:val="18"/>
                <w:szCs w:val="18"/>
                <w:color w:val="auto"/>
              </w:rPr>
            </w:pPr>
          </w:p>
        </w:tc>
        <w:tc>
          <w:tcPr>
            <w:tcW w:w="4920" w:type="dxa"/>
            <w:vAlign w:val="bottom"/>
            <w:shd w:val="clear" w:color="auto" w:fill="E9E9E9"/>
          </w:tcPr>
          <w:p>
            <w:pPr>
              <w:ind w:left="1840"/>
              <w:spacing w:after="0"/>
              <w:rPr>
                <w:sz w:val="20"/>
                <w:szCs w:val="20"/>
                <w:color w:val="auto"/>
              </w:rPr>
            </w:pPr>
            <w:r>
              <w:rPr>
                <w:rFonts w:ascii="Arial" w:cs="Arial" w:eastAsia="Arial" w:hAnsi="Arial"/>
                <w:sz w:val="16"/>
                <w:szCs w:val="16"/>
                <w:color w:val="auto"/>
              </w:rPr>
              <w:t>TI Employees Non-Qualified Pension Plan</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19</w:t>
            </w:r>
          </w:p>
        </w:tc>
        <w:tc>
          <w:tcPr>
            <w:tcW w:w="620" w:type="dxa"/>
            <w:vAlign w:val="bottom"/>
            <w:shd w:val="clear" w:color="auto" w:fill="E9E9E9"/>
          </w:tcPr>
          <w:p>
            <w:pPr>
              <w:jc w:val="right"/>
              <w:ind w:right="341"/>
              <w:spacing w:after="0"/>
              <w:rPr>
                <w:sz w:val="20"/>
                <w:szCs w:val="20"/>
                <w:color w:val="auto"/>
              </w:rPr>
            </w:pPr>
            <w:r>
              <w:rPr>
                <w:rFonts w:ascii="Arial" w:cs="Arial" w:eastAsia="Arial" w:hAnsi="Arial"/>
                <w:sz w:val="16"/>
                <w:szCs w:val="16"/>
                <w:color w:val="auto"/>
                <w:w w:val="91"/>
              </w:rPr>
              <w:t>(3)</w:t>
            </w:r>
          </w:p>
        </w:tc>
        <w:tc>
          <w:tcPr>
            <w:tcW w:w="340" w:type="dxa"/>
            <w:vAlign w:val="bottom"/>
            <w:shd w:val="clear" w:color="auto" w:fill="E9E9E9"/>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202,132</w:t>
            </w:r>
          </w:p>
        </w:tc>
        <w:tc>
          <w:tcPr>
            <w:tcW w:w="740" w:type="dxa"/>
            <w:vAlign w:val="bottom"/>
            <w:shd w:val="clear" w:color="auto" w:fill="E9E9E9"/>
          </w:tcPr>
          <w:p>
            <w:pPr>
              <w:jc w:val="center"/>
              <w:ind w:left="66"/>
              <w:spacing w:after="0"/>
              <w:rPr>
                <w:sz w:val="20"/>
                <w:szCs w:val="20"/>
                <w:color w:val="auto"/>
              </w:rPr>
            </w:pPr>
            <w:r>
              <w:rPr>
                <w:rFonts w:ascii="Arial" w:cs="Arial" w:eastAsia="Arial" w:hAnsi="Arial"/>
                <w:sz w:val="16"/>
                <w:szCs w:val="16"/>
                <w:color w:val="auto"/>
                <w:w w:val="99"/>
              </w:rPr>
              <w:t>—</w:t>
            </w:r>
          </w:p>
        </w:tc>
      </w:tr>
      <w:tr>
        <w:trPr>
          <w:trHeight w:val="233"/>
        </w:trPr>
        <w:tc>
          <w:tcPr>
            <w:tcW w:w="3200" w:type="dxa"/>
            <w:vAlign w:val="bottom"/>
            <w:shd w:val="clear" w:color="auto" w:fill="E9E9E9"/>
          </w:tcPr>
          <w:p>
            <w:pPr>
              <w:spacing w:after="0"/>
              <w:rPr>
                <w:sz w:val="20"/>
                <w:szCs w:val="20"/>
                <w:color w:val="auto"/>
              </w:rPr>
            </w:pPr>
          </w:p>
        </w:tc>
        <w:tc>
          <w:tcPr>
            <w:tcW w:w="4920" w:type="dxa"/>
            <w:vAlign w:val="bottom"/>
            <w:shd w:val="clear" w:color="auto" w:fill="E9E9E9"/>
          </w:tcPr>
          <w:p>
            <w:pPr>
              <w:ind w:left="1840"/>
              <w:spacing w:after="0"/>
              <w:rPr>
                <w:sz w:val="20"/>
                <w:szCs w:val="20"/>
                <w:color w:val="auto"/>
              </w:rPr>
            </w:pPr>
            <w:r>
              <w:rPr>
                <w:rFonts w:ascii="Arial" w:cs="Arial" w:eastAsia="Arial" w:hAnsi="Arial"/>
                <w:sz w:val="16"/>
                <w:szCs w:val="16"/>
                <w:color w:val="auto"/>
                <w:w w:val="98"/>
              </w:rPr>
              <w:t>TI Employees Non-Qualified Pension Plan II</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26</w:t>
            </w:r>
          </w:p>
        </w:tc>
        <w:tc>
          <w:tcPr>
            <w:tcW w:w="620" w:type="dxa"/>
            <w:vAlign w:val="bottom"/>
            <w:shd w:val="clear" w:color="auto" w:fill="E9E9E9"/>
          </w:tcPr>
          <w:p>
            <w:pPr>
              <w:jc w:val="right"/>
              <w:ind w:right="341"/>
              <w:spacing w:after="0"/>
              <w:rPr>
                <w:sz w:val="20"/>
                <w:szCs w:val="20"/>
                <w:color w:val="auto"/>
              </w:rPr>
            </w:pPr>
            <w:r>
              <w:rPr>
                <w:rFonts w:ascii="Arial" w:cs="Arial" w:eastAsia="Arial" w:hAnsi="Arial"/>
                <w:sz w:val="16"/>
                <w:szCs w:val="16"/>
                <w:color w:val="auto"/>
                <w:w w:val="91"/>
              </w:rPr>
              <w:t>(4)</w:t>
            </w:r>
          </w:p>
        </w:tc>
        <w:tc>
          <w:tcPr>
            <w:tcW w:w="1180" w:type="dxa"/>
            <w:vAlign w:val="bottom"/>
            <w:gridSpan w:val="2"/>
            <w:shd w:val="clear" w:color="auto" w:fill="E9E9E9"/>
          </w:tcPr>
          <w:p>
            <w:pPr>
              <w:jc w:val="right"/>
              <w:ind w:right="84"/>
              <w:spacing w:after="0"/>
              <w:rPr>
                <w:sz w:val="20"/>
                <w:szCs w:val="20"/>
                <w:color w:val="auto"/>
              </w:rPr>
            </w:pPr>
            <w:r>
              <w:rPr>
                <w:rFonts w:ascii="Arial" w:cs="Arial" w:eastAsia="Arial" w:hAnsi="Arial"/>
                <w:sz w:val="16"/>
                <w:szCs w:val="16"/>
                <w:color w:val="auto"/>
              </w:rPr>
              <w:t>$2,388,487</w:t>
            </w:r>
          </w:p>
        </w:tc>
        <w:tc>
          <w:tcPr>
            <w:tcW w:w="740" w:type="dxa"/>
            <w:vAlign w:val="bottom"/>
            <w:shd w:val="clear" w:color="auto" w:fill="E9E9E9"/>
          </w:tcPr>
          <w:p>
            <w:pPr>
              <w:jc w:val="center"/>
              <w:ind w:left="66"/>
              <w:spacing w:after="0"/>
              <w:rPr>
                <w:sz w:val="20"/>
                <w:szCs w:val="20"/>
                <w:color w:val="auto"/>
              </w:rPr>
            </w:pPr>
            <w:r>
              <w:rPr>
                <w:rFonts w:ascii="Arial" w:cs="Arial" w:eastAsia="Arial" w:hAnsi="Arial"/>
                <w:sz w:val="16"/>
                <w:szCs w:val="16"/>
                <w:color w:val="auto"/>
                <w:w w:val="99"/>
              </w:rPr>
              <w:t>—</w:t>
            </w:r>
          </w:p>
        </w:tc>
      </w:tr>
      <w:tr>
        <w:trPr>
          <w:trHeight w:val="218"/>
        </w:trPr>
        <w:tc>
          <w:tcPr>
            <w:tcW w:w="32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4"/>
        </w:trPr>
        <w:tc>
          <w:tcPr>
            <w:tcW w:w="3200" w:type="dxa"/>
            <w:vAlign w:val="bottom"/>
            <w:shd w:val="clear" w:color="auto" w:fill="E9E9E9"/>
          </w:tcPr>
          <w:p>
            <w:pPr>
              <w:spacing w:after="0"/>
              <w:rPr>
                <w:sz w:val="20"/>
                <w:szCs w:val="20"/>
                <w:color w:val="auto"/>
              </w:rPr>
            </w:pPr>
            <w:r>
              <w:rPr>
                <w:rFonts w:ascii="Arial" w:cs="Arial" w:eastAsia="Arial" w:hAnsi="Arial"/>
                <w:sz w:val="16"/>
                <w:szCs w:val="16"/>
                <w:color w:val="auto"/>
              </w:rPr>
              <w:t>G. A. Lowe</w:t>
            </w:r>
          </w:p>
        </w:tc>
        <w:tc>
          <w:tcPr>
            <w:tcW w:w="4920" w:type="dxa"/>
            <w:vAlign w:val="bottom"/>
            <w:shd w:val="clear" w:color="auto" w:fill="E9E9E9"/>
          </w:tcPr>
          <w:p>
            <w:pPr>
              <w:ind w:left="1840"/>
              <w:spacing w:after="0"/>
              <w:rPr>
                <w:sz w:val="20"/>
                <w:szCs w:val="20"/>
                <w:color w:val="auto"/>
              </w:rPr>
            </w:pPr>
            <w:r>
              <w:rPr>
                <w:rFonts w:ascii="Arial" w:cs="Arial" w:eastAsia="Arial" w:hAnsi="Arial"/>
                <w:sz w:val="16"/>
                <w:szCs w:val="16"/>
                <w:color w:val="auto"/>
              </w:rPr>
              <w:t>TI Employees Pension Plan</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26</w:t>
            </w:r>
          </w:p>
        </w:tc>
        <w:tc>
          <w:tcPr>
            <w:tcW w:w="620" w:type="dxa"/>
            <w:vAlign w:val="bottom"/>
            <w:shd w:val="clear" w:color="auto" w:fill="E9E9E9"/>
          </w:tcPr>
          <w:p>
            <w:pPr>
              <w:jc w:val="right"/>
              <w:ind w:right="341"/>
              <w:spacing w:after="0"/>
              <w:rPr>
                <w:sz w:val="20"/>
                <w:szCs w:val="20"/>
                <w:color w:val="auto"/>
              </w:rPr>
            </w:pPr>
            <w:r>
              <w:rPr>
                <w:rFonts w:ascii="Arial" w:cs="Arial" w:eastAsia="Arial" w:hAnsi="Arial"/>
                <w:sz w:val="16"/>
                <w:szCs w:val="16"/>
                <w:color w:val="auto"/>
                <w:w w:val="91"/>
              </w:rPr>
              <w:t>(2)</w:t>
            </w:r>
          </w:p>
        </w:tc>
        <w:tc>
          <w:tcPr>
            <w:tcW w:w="340" w:type="dxa"/>
            <w:vAlign w:val="bottom"/>
            <w:shd w:val="clear" w:color="auto" w:fill="E9E9E9"/>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576,809</w:t>
            </w:r>
          </w:p>
        </w:tc>
        <w:tc>
          <w:tcPr>
            <w:tcW w:w="740" w:type="dxa"/>
            <w:vAlign w:val="bottom"/>
            <w:shd w:val="clear" w:color="auto" w:fill="E9E9E9"/>
          </w:tcPr>
          <w:p>
            <w:pPr>
              <w:jc w:val="center"/>
              <w:ind w:left="66"/>
              <w:spacing w:after="0"/>
              <w:rPr>
                <w:sz w:val="20"/>
                <w:szCs w:val="20"/>
                <w:color w:val="auto"/>
              </w:rPr>
            </w:pPr>
            <w:r>
              <w:rPr>
                <w:rFonts w:ascii="Arial" w:cs="Arial" w:eastAsia="Arial" w:hAnsi="Arial"/>
                <w:sz w:val="16"/>
                <w:szCs w:val="16"/>
                <w:color w:val="auto"/>
                <w:w w:val="99"/>
              </w:rPr>
              <w:t>—</w:t>
            </w:r>
          </w:p>
        </w:tc>
      </w:tr>
      <w:tr>
        <w:trPr>
          <w:trHeight w:val="218"/>
        </w:trPr>
        <w:tc>
          <w:tcPr>
            <w:tcW w:w="3200" w:type="dxa"/>
            <w:vAlign w:val="bottom"/>
            <w:shd w:val="clear" w:color="auto" w:fill="E9E9E9"/>
          </w:tcPr>
          <w:p>
            <w:pPr>
              <w:spacing w:after="0"/>
              <w:rPr>
                <w:sz w:val="18"/>
                <w:szCs w:val="18"/>
                <w:color w:val="auto"/>
              </w:rPr>
            </w:pPr>
          </w:p>
        </w:tc>
        <w:tc>
          <w:tcPr>
            <w:tcW w:w="4920" w:type="dxa"/>
            <w:vAlign w:val="bottom"/>
            <w:shd w:val="clear" w:color="auto" w:fill="E9E9E9"/>
          </w:tcPr>
          <w:p>
            <w:pPr>
              <w:ind w:left="1840"/>
              <w:spacing w:after="0"/>
              <w:rPr>
                <w:sz w:val="20"/>
                <w:szCs w:val="20"/>
                <w:color w:val="auto"/>
              </w:rPr>
            </w:pPr>
            <w:r>
              <w:rPr>
                <w:rFonts w:ascii="Arial" w:cs="Arial" w:eastAsia="Arial" w:hAnsi="Arial"/>
                <w:sz w:val="16"/>
                <w:szCs w:val="16"/>
                <w:color w:val="auto"/>
              </w:rPr>
              <w:t>TI Employees Non-Qualified Pension Plan</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19</w:t>
            </w:r>
          </w:p>
        </w:tc>
        <w:tc>
          <w:tcPr>
            <w:tcW w:w="620" w:type="dxa"/>
            <w:vAlign w:val="bottom"/>
            <w:shd w:val="clear" w:color="auto" w:fill="E9E9E9"/>
          </w:tcPr>
          <w:p>
            <w:pPr>
              <w:jc w:val="right"/>
              <w:ind w:right="341"/>
              <w:spacing w:after="0"/>
              <w:rPr>
                <w:sz w:val="20"/>
                <w:szCs w:val="20"/>
                <w:color w:val="auto"/>
              </w:rPr>
            </w:pPr>
            <w:r>
              <w:rPr>
                <w:rFonts w:ascii="Arial" w:cs="Arial" w:eastAsia="Arial" w:hAnsi="Arial"/>
                <w:sz w:val="16"/>
                <w:szCs w:val="16"/>
                <w:color w:val="auto"/>
                <w:w w:val="91"/>
              </w:rPr>
              <w:t>(3)</w:t>
            </w:r>
          </w:p>
        </w:tc>
        <w:tc>
          <w:tcPr>
            <w:tcW w:w="340" w:type="dxa"/>
            <w:vAlign w:val="bottom"/>
            <w:shd w:val="clear" w:color="auto" w:fill="E9E9E9"/>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305,673</w:t>
            </w:r>
          </w:p>
        </w:tc>
        <w:tc>
          <w:tcPr>
            <w:tcW w:w="740" w:type="dxa"/>
            <w:vAlign w:val="bottom"/>
            <w:shd w:val="clear" w:color="auto" w:fill="E9E9E9"/>
          </w:tcPr>
          <w:p>
            <w:pPr>
              <w:jc w:val="center"/>
              <w:ind w:left="66"/>
              <w:spacing w:after="0"/>
              <w:rPr>
                <w:sz w:val="20"/>
                <w:szCs w:val="20"/>
                <w:color w:val="auto"/>
              </w:rPr>
            </w:pPr>
            <w:r>
              <w:rPr>
                <w:rFonts w:ascii="Arial" w:cs="Arial" w:eastAsia="Arial" w:hAnsi="Arial"/>
                <w:sz w:val="16"/>
                <w:szCs w:val="16"/>
                <w:color w:val="auto"/>
                <w:w w:val="99"/>
              </w:rPr>
              <w:t>—</w:t>
            </w:r>
          </w:p>
        </w:tc>
      </w:tr>
      <w:tr>
        <w:trPr>
          <w:trHeight w:val="233"/>
        </w:trPr>
        <w:tc>
          <w:tcPr>
            <w:tcW w:w="3200" w:type="dxa"/>
            <w:vAlign w:val="bottom"/>
            <w:shd w:val="clear" w:color="auto" w:fill="E9E9E9"/>
          </w:tcPr>
          <w:p>
            <w:pPr>
              <w:spacing w:after="0"/>
              <w:rPr>
                <w:sz w:val="20"/>
                <w:szCs w:val="20"/>
                <w:color w:val="auto"/>
              </w:rPr>
            </w:pPr>
          </w:p>
        </w:tc>
        <w:tc>
          <w:tcPr>
            <w:tcW w:w="4920" w:type="dxa"/>
            <w:vAlign w:val="bottom"/>
            <w:shd w:val="clear" w:color="auto" w:fill="E9E9E9"/>
          </w:tcPr>
          <w:p>
            <w:pPr>
              <w:ind w:left="1840"/>
              <w:spacing w:after="0"/>
              <w:rPr>
                <w:sz w:val="20"/>
                <w:szCs w:val="20"/>
                <w:color w:val="auto"/>
              </w:rPr>
            </w:pPr>
            <w:r>
              <w:rPr>
                <w:rFonts w:ascii="Arial" w:cs="Arial" w:eastAsia="Arial" w:hAnsi="Arial"/>
                <w:sz w:val="16"/>
                <w:szCs w:val="16"/>
                <w:color w:val="auto"/>
                <w:w w:val="98"/>
              </w:rPr>
              <w:t>TI Employees Non-Qualified Pension Plan II</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26</w:t>
            </w:r>
          </w:p>
        </w:tc>
        <w:tc>
          <w:tcPr>
            <w:tcW w:w="620" w:type="dxa"/>
            <w:vAlign w:val="bottom"/>
            <w:shd w:val="clear" w:color="auto" w:fill="E9E9E9"/>
          </w:tcPr>
          <w:p>
            <w:pPr>
              <w:jc w:val="right"/>
              <w:ind w:right="341"/>
              <w:spacing w:after="0"/>
              <w:rPr>
                <w:sz w:val="20"/>
                <w:szCs w:val="20"/>
                <w:color w:val="auto"/>
              </w:rPr>
            </w:pPr>
            <w:r>
              <w:rPr>
                <w:rFonts w:ascii="Arial" w:cs="Arial" w:eastAsia="Arial" w:hAnsi="Arial"/>
                <w:sz w:val="16"/>
                <w:szCs w:val="16"/>
                <w:color w:val="auto"/>
                <w:w w:val="91"/>
              </w:rPr>
              <w:t>(4)</w:t>
            </w:r>
          </w:p>
        </w:tc>
        <w:tc>
          <w:tcPr>
            <w:tcW w:w="1180" w:type="dxa"/>
            <w:vAlign w:val="bottom"/>
            <w:gridSpan w:val="2"/>
            <w:shd w:val="clear" w:color="auto" w:fill="E9E9E9"/>
          </w:tcPr>
          <w:p>
            <w:pPr>
              <w:jc w:val="right"/>
              <w:ind w:right="84"/>
              <w:spacing w:after="0"/>
              <w:rPr>
                <w:sz w:val="20"/>
                <w:szCs w:val="20"/>
                <w:color w:val="auto"/>
              </w:rPr>
            </w:pPr>
            <w:r>
              <w:rPr>
                <w:rFonts w:ascii="Arial" w:cs="Arial" w:eastAsia="Arial" w:hAnsi="Arial"/>
                <w:sz w:val="16"/>
                <w:szCs w:val="16"/>
                <w:color w:val="auto"/>
              </w:rPr>
              <w:t>$2,639,864</w:t>
            </w:r>
          </w:p>
        </w:tc>
        <w:tc>
          <w:tcPr>
            <w:tcW w:w="740" w:type="dxa"/>
            <w:vAlign w:val="bottom"/>
            <w:shd w:val="clear" w:color="auto" w:fill="E9E9E9"/>
          </w:tcPr>
          <w:p>
            <w:pPr>
              <w:jc w:val="center"/>
              <w:ind w:left="66"/>
              <w:spacing w:after="0"/>
              <w:rPr>
                <w:sz w:val="20"/>
                <w:szCs w:val="20"/>
                <w:color w:val="auto"/>
              </w:rPr>
            </w:pPr>
            <w:r>
              <w:rPr>
                <w:rFonts w:ascii="Arial" w:cs="Arial" w:eastAsia="Arial" w:hAnsi="Arial"/>
                <w:sz w:val="16"/>
                <w:szCs w:val="16"/>
                <w:color w:val="auto"/>
                <w:w w:val="99"/>
              </w:rPr>
              <w:t>—</w:t>
            </w:r>
          </w:p>
        </w:tc>
      </w:tr>
      <w:tr>
        <w:trPr>
          <w:trHeight w:val="218"/>
        </w:trPr>
        <w:tc>
          <w:tcPr>
            <w:tcW w:w="32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4"/>
        </w:trPr>
        <w:tc>
          <w:tcPr>
            <w:tcW w:w="3200" w:type="dxa"/>
            <w:vAlign w:val="bottom"/>
            <w:shd w:val="clear" w:color="auto" w:fill="E9E9E9"/>
          </w:tcPr>
          <w:p>
            <w:pPr>
              <w:spacing w:after="0"/>
              <w:rPr>
                <w:sz w:val="20"/>
                <w:szCs w:val="20"/>
                <w:color w:val="auto"/>
              </w:rPr>
            </w:pPr>
            <w:r>
              <w:rPr>
                <w:rFonts w:ascii="Arial" w:cs="Arial" w:eastAsia="Arial" w:hAnsi="Arial"/>
                <w:sz w:val="16"/>
                <w:szCs w:val="16"/>
                <w:color w:val="auto"/>
              </w:rPr>
              <w:t>K. J. Ritchie</w:t>
            </w:r>
          </w:p>
        </w:tc>
        <w:tc>
          <w:tcPr>
            <w:tcW w:w="4920" w:type="dxa"/>
            <w:vAlign w:val="bottom"/>
            <w:shd w:val="clear" w:color="auto" w:fill="E9E9E9"/>
          </w:tcPr>
          <w:p>
            <w:pPr>
              <w:ind w:left="1840"/>
              <w:spacing w:after="0"/>
              <w:rPr>
                <w:sz w:val="20"/>
                <w:szCs w:val="20"/>
                <w:color w:val="auto"/>
              </w:rPr>
            </w:pPr>
            <w:r>
              <w:rPr>
                <w:rFonts w:ascii="Arial" w:cs="Arial" w:eastAsia="Arial" w:hAnsi="Arial"/>
                <w:sz w:val="16"/>
                <w:szCs w:val="16"/>
                <w:color w:val="auto"/>
              </w:rPr>
              <w:t>TI Employees Pension Plan</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32</w:t>
            </w:r>
          </w:p>
        </w:tc>
        <w:tc>
          <w:tcPr>
            <w:tcW w:w="620" w:type="dxa"/>
            <w:vAlign w:val="bottom"/>
            <w:shd w:val="clear" w:color="auto" w:fill="E9E9E9"/>
          </w:tcPr>
          <w:p>
            <w:pPr>
              <w:jc w:val="right"/>
              <w:ind w:right="341"/>
              <w:spacing w:after="0"/>
              <w:rPr>
                <w:sz w:val="20"/>
                <w:szCs w:val="20"/>
                <w:color w:val="auto"/>
              </w:rPr>
            </w:pPr>
            <w:r>
              <w:rPr>
                <w:rFonts w:ascii="Arial" w:cs="Arial" w:eastAsia="Arial" w:hAnsi="Arial"/>
                <w:sz w:val="16"/>
                <w:szCs w:val="16"/>
                <w:color w:val="auto"/>
                <w:w w:val="91"/>
              </w:rPr>
              <w:t>(2)</w:t>
            </w:r>
          </w:p>
        </w:tc>
        <w:tc>
          <w:tcPr>
            <w:tcW w:w="340" w:type="dxa"/>
            <w:vAlign w:val="bottom"/>
            <w:shd w:val="clear" w:color="auto" w:fill="E9E9E9"/>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931,854</w:t>
            </w:r>
          </w:p>
        </w:tc>
        <w:tc>
          <w:tcPr>
            <w:tcW w:w="740" w:type="dxa"/>
            <w:vAlign w:val="bottom"/>
            <w:shd w:val="clear" w:color="auto" w:fill="E9E9E9"/>
          </w:tcPr>
          <w:p>
            <w:pPr>
              <w:jc w:val="center"/>
              <w:ind w:left="66"/>
              <w:spacing w:after="0"/>
              <w:rPr>
                <w:sz w:val="20"/>
                <w:szCs w:val="20"/>
                <w:color w:val="auto"/>
              </w:rPr>
            </w:pPr>
            <w:r>
              <w:rPr>
                <w:rFonts w:ascii="Arial" w:cs="Arial" w:eastAsia="Arial" w:hAnsi="Arial"/>
                <w:sz w:val="16"/>
                <w:szCs w:val="16"/>
                <w:color w:val="auto"/>
                <w:w w:val="99"/>
              </w:rPr>
              <w:t>—</w:t>
            </w:r>
          </w:p>
        </w:tc>
      </w:tr>
      <w:tr>
        <w:trPr>
          <w:trHeight w:val="218"/>
        </w:trPr>
        <w:tc>
          <w:tcPr>
            <w:tcW w:w="3200" w:type="dxa"/>
            <w:vAlign w:val="bottom"/>
            <w:shd w:val="clear" w:color="auto" w:fill="E9E9E9"/>
          </w:tcPr>
          <w:p>
            <w:pPr>
              <w:spacing w:after="0"/>
              <w:rPr>
                <w:sz w:val="18"/>
                <w:szCs w:val="18"/>
                <w:color w:val="auto"/>
              </w:rPr>
            </w:pPr>
          </w:p>
        </w:tc>
        <w:tc>
          <w:tcPr>
            <w:tcW w:w="4920" w:type="dxa"/>
            <w:vAlign w:val="bottom"/>
            <w:shd w:val="clear" w:color="auto" w:fill="E9E9E9"/>
          </w:tcPr>
          <w:p>
            <w:pPr>
              <w:ind w:left="1840"/>
              <w:spacing w:after="0"/>
              <w:rPr>
                <w:sz w:val="20"/>
                <w:szCs w:val="20"/>
                <w:color w:val="auto"/>
              </w:rPr>
            </w:pPr>
            <w:r>
              <w:rPr>
                <w:rFonts w:ascii="Arial" w:cs="Arial" w:eastAsia="Arial" w:hAnsi="Arial"/>
                <w:sz w:val="16"/>
                <w:szCs w:val="16"/>
                <w:color w:val="auto"/>
              </w:rPr>
              <w:t>TI Employees Non-Qualified Pension Plan</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25</w:t>
            </w:r>
          </w:p>
        </w:tc>
        <w:tc>
          <w:tcPr>
            <w:tcW w:w="620" w:type="dxa"/>
            <w:vAlign w:val="bottom"/>
            <w:shd w:val="clear" w:color="auto" w:fill="E9E9E9"/>
          </w:tcPr>
          <w:p>
            <w:pPr>
              <w:jc w:val="right"/>
              <w:ind w:right="341"/>
              <w:spacing w:after="0"/>
              <w:rPr>
                <w:sz w:val="20"/>
                <w:szCs w:val="20"/>
                <w:color w:val="auto"/>
              </w:rPr>
            </w:pPr>
            <w:r>
              <w:rPr>
                <w:rFonts w:ascii="Arial" w:cs="Arial" w:eastAsia="Arial" w:hAnsi="Arial"/>
                <w:sz w:val="16"/>
                <w:szCs w:val="16"/>
                <w:color w:val="auto"/>
                <w:w w:val="91"/>
              </w:rPr>
              <w:t>(3)</w:t>
            </w:r>
          </w:p>
        </w:tc>
        <w:tc>
          <w:tcPr>
            <w:tcW w:w="340" w:type="dxa"/>
            <w:vAlign w:val="bottom"/>
            <w:shd w:val="clear" w:color="auto" w:fill="E9E9E9"/>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397,733</w:t>
            </w:r>
          </w:p>
        </w:tc>
        <w:tc>
          <w:tcPr>
            <w:tcW w:w="740" w:type="dxa"/>
            <w:vAlign w:val="bottom"/>
            <w:shd w:val="clear" w:color="auto" w:fill="E9E9E9"/>
          </w:tcPr>
          <w:p>
            <w:pPr>
              <w:jc w:val="center"/>
              <w:ind w:left="66"/>
              <w:spacing w:after="0"/>
              <w:rPr>
                <w:sz w:val="20"/>
                <w:szCs w:val="20"/>
                <w:color w:val="auto"/>
              </w:rPr>
            </w:pPr>
            <w:r>
              <w:rPr>
                <w:rFonts w:ascii="Arial" w:cs="Arial" w:eastAsia="Arial" w:hAnsi="Arial"/>
                <w:sz w:val="16"/>
                <w:szCs w:val="16"/>
                <w:color w:val="auto"/>
                <w:w w:val="99"/>
              </w:rPr>
              <w:t>—</w:t>
            </w:r>
          </w:p>
        </w:tc>
      </w:tr>
      <w:tr>
        <w:trPr>
          <w:trHeight w:val="233"/>
        </w:trPr>
        <w:tc>
          <w:tcPr>
            <w:tcW w:w="3200" w:type="dxa"/>
            <w:vAlign w:val="bottom"/>
            <w:shd w:val="clear" w:color="auto" w:fill="E9E9E9"/>
          </w:tcPr>
          <w:p>
            <w:pPr>
              <w:spacing w:after="0"/>
              <w:rPr>
                <w:sz w:val="20"/>
                <w:szCs w:val="20"/>
                <w:color w:val="auto"/>
              </w:rPr>
            </w:pPr>
          </w:p>
        </w:tc>
        <w:tc>
          <w:tcPr>
            <w:tcW w:w="4920" w:type="dxa"/>
            <w:vAlign w:val="bottom"/>
            <w:shd w:val="clear" w:color="auto" w:fill="E9E9E9"/>
          </w:tcPr>
          <w:p>
            <w:pPr>
              <w:ind w:left="1840"/>
              <w:spacing w:after="0"/>
              <w:rPr>
                <w:sz w:val="20"/>
                <w:szCs w:val="20"/>
                <w:color w:val="auto"/>
              </w:rPr>
            </w:pPr>
            <w:r>
              <w:rPr>
                <w:rFonts w:ascii="Arial" w:cs="Arial" w:eastAsia="Arial" w:hAnsi="Arial"/>
                <w:sz w:val="16"/>
                <w:szCs w:val="16"/>
                <w:color w:val="auto"/>
                <w:w w:val="98"/>
              </w:rPr>
              <w:t>TI Employees Non-Qualified Pension Plan II</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32</w:t>
            </w:r>
          </w:p>
        </w:tc>
        <w:tc>
          <w:tcPr>
            <w:tcW w:w="620" w:type="dxa"/>
            <w:vAlign w:val="bottom"/>
            <w:shd w:val="clear" w:color="auto" w:fill="E9E9E9"/>
          </w:tcPr>
          <w:p>
            <w:pPr>
              <w:jc w:val="right"/>
              <w:ind w:right="341"/>
              <w:spacing w:after="0"/>
              <w:rPr>
                <w:sz w:val="20"/>
                <w:szCs w:val="20"/>
                <w:color w:val="auto"/>
              </w:rPr>
            </w:pPr>
            <w:r>
              <w:rPr>
                <w:rFonts w:ascii="Arial" w:cs="Arial" w:eastAsia="Arial" w:hAnsi="Arial"/>
                <w:sz w:val="16"/>
                <w:szCs w:val="16"/>
                <w:color w:val="auto"/>
                <w:w w:val="91"/>
              </w:rPr>
              <w:t>(4)</w:t>
            </w:r>
          </w:p>
        </w:tc>
        <w:tc>
          <w:tcPr>
            <w:tcW w:w="1180" w:type="dxa"/>
            <w:vAlign w:val="bottom"/>
            <w:gridSpan w:val="2"/>
            <w:shd w:val="clear" w:color="auto" w:fill="E9E9E9"/>
          </w:tcPr>
          <w:p>
            <w:pPr>
              <w:jc w:val="right"/>
              <w:ind w:right="84"/>
              <w:spacing w:after="0"/>
              <w:rPr>
                <w:sz w:val="20"/>
                <w:szCs w:val="20"/>
                <w:color w:val="auto"/>
              </w:rPr>
            </w:pPr>
            <w:r>
              <w:rPr>
                <w:rFonts w:ascii="Arial" w:cs="Arial" w:eastAsia="Arial" w:hAnsi="Arial"/>
                <w:sz w:val="16"/>
                <w:szCs w:val="16"/>
                <w:color w:val="auto"/>
              </w:rPr>
              <w:t>$3,187,035</w:t>
            </w:r>
          </w:p>
        </w:tc>
        <w:tc>
          <w:tcPr>
            <w:tcW w:w="740" w:type="dxa"/>
            <w:vAlign w:val="bottom"/>
            <w:shd w:val="clear" w:color="auto" w:fill="E9E9E9"/>
          </w:tcPr>
          <w:p>
            <w:pPr>
              <w:jc w:val="center"/>
              <w:ind w:left="66"/>
              <w:spacing w:after="0"/>
              <w:rPr>
                <w:sz w:val="20"/>
                <w:szCs w:val="20"/>
                <w:color w:val="auto"/>
              </w:rPr>
            </w:pPr>
            <w:r>
              <w:rPr>
                <w:rFonts w:ascii="Arial" w:cs="Arial" w:eastAsia="Arial" w:hAnsi="Arial"/>
                <w:sz w:val="16"/>
                <w:szCs w:val="16"/>
                <w:color w:val="auto"/>
                <w:w w:val="99"/>
              </w:rPr>
              <w:t>—</w:t>
            </w:r>
          </w:p>
        </w:tc>
      </w:tr>
      <w:tr>
        <w:trPr>
          <w:trHeight w:val="218"/>
        </w:trPr>
        <w:tc>
          <w:tcPr>
            <w:tcW w:w="32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8"/>
        </w:trPr>
        <w:tc>
          <w:tcPr>
            <w:tcW w:w="3200" w:type="dxa"/>
            <w:vAlign w:val="bottom"/>
            <w:shd w:val="clear" w:color="auto" w:fill="E9E9E9"/>
          </w:tcPr>
          <w:p>
            <w:pPr>
              <w:spacing w:after="0"/>
              <w:rPr>
                <w:sz w:val="20"/>
                <w:szCs w:val="20"/>
                <w:color w:val="auto"/>
              </w:rPr>
            </w:pPr>
            <w:r>
              <w:rPr>
                <w:rFonts w:ascii="Arial" w:cs="Arial" w:eastAsia="Arial" w:hAnsi="Arial"/>
                <w:sz w:val="16"/>
                <w:szCs w:val="16"/>
                <w:color w:val="auto"/>
              </w:rPr>
              <w:t>B. T. Crutcher (1)</w:t>
            </w:r>
          </w:p>
        </w:tc>
        <w:tc>
          <w:tcPr>
            <w:tcW w:w="4920" w:type="dxa"/>
            <w:vAlign w:val="bottom"/>
            <w:shd w:val="clear" w:color="auto" w:fill="E9E9E9"/>
          </w:tcPr>
          <w:p>
            <w:pPr>
              <w:ind w:left="1840"/>
              <w:spacing w:after="0"/>
              <w:rPr>
                <w:sz w:val="20"/>
                <w:szCs w:val="20"/>
                <w:color w:val="auto"/>
              </w:rPr>
            </w:pPr>
            <w:r>
              <w:rPr>
                <w:rFonts w:ascii="Arial" w:cs="Arial" w:eastAsia="Arial" w:hAnsi="Arial"/>
                <w:sz w:val="16"/>
                <w:szCs w:val="16"/>
                <w:color w:val="auto"/>
              </w:rPr>
              <w:t>TI Employees Pension Plan</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0.9</w:t>
            </w:r>
          </w:p>
        </w:tc>
        <w:tc>
          <w:tcPr>
            <w:tcW w:w="620" w:type="dxa"/>
            <w:vAlign w:val="bottom"/>
            <w:shd w:val="clear" w:color="auto" w:fill="E9E9E9"/>
          </w:tcPr>
          <w:p>
            <w:pPr>
              <w:jc w:val="right"/>
              <w:ind w:right="341"/>
              <w:spacing w:after="0"/>
              <w:rPr>
                <w:sz w:val="20"/>
                <w:szCs w:val="20"/>
                <w:color w:val="auto"/>
              </w:rPr>
            </w:pPr>
            <w:r>
              <w:rPr>
                <w:rFonts w:ascii="Arial" w:cs="Arial" w:eastAsia="Arial" w:hAnsi="Arial"/>
                <w:sz w:val="16"/>
                <w:szCs w:val="16"/>
                <w:color w:val="auto"/>
                <w:w w:val="91"/>
              </w:rPr>
              <w:t>(2)</w:t>
            </w:r>
          </w:p>
        </w:tc>
        <w:tc>
          <w:tcPr>
            <w:tcW w:w="340" w:type="dxa"/>
            <w:vAlign w:val="bottom"/>
            <w:shd w:val="clear" w:color="auto" w:fill="E9E9E9"/>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2,929</w:t>
            </w:r>
          </w:p>
        </w:tc>
        <w:tc>
          <w:tcPr>
            <w:tcW w:w="740" w:type="dxa"/>
            <w:vAlign w:val="bottom"/>
            <w:shd w:val="clear" w:color="auto" w:fill="E9E9E9"/>
          </w:tcPr>
          <w:p>
            <w:pPr>
              <w:jc w:val="center"/>
              <w:ind w:left="66"/>
              <w:spacing w:after="0"/>
              <w:rPr>
                <w:sz w:val="20"/>
                <w:szCs w:val="20"/>
                <w:color w:val="auto"/>
              </w:rPr>
            </w:pPr>
            <w:r>
              <w:rPr>
                <w:rFonts w:ascii="Arial" w:cs="Arial" w:eastAsia="Arial" w:hAnsi="Arial"/>
                <w:sz w:val="16"/>
                <w:szCs w:val="16"/>
                <w:color w:val="auto"/>
                <w:w w:val="99"/>
              </w:rPr>
              <w:t>—</w:t>
            </w:r>
          </w:p>
        </w:tc>
      </w:tr>
    </w:tbl>
    <w:p>
      <w:pPr>
        <w:spacing w:after="0" w:line="221" w:lineRule="exact"/>
        <w:rPr>
          <w:sz w:val="20"/>
          <w:szCs w:val="20"/>
          <w:color w:val="auto"/>
        </w:rPr>
      </w:pPr>
    </w:p>
    <w:p>
      <w:pPr>
        <w:ind w:left="443" w:right="80" w:hanging="443"/>
        <w:spacing w:after="0" w:line="239" w:lineRule="auto"/>
        <w:tabs>
          <w:tab w:leader="none" w:pos="4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1997, TI’s U.S. employees were given the choice between continuing to participate in the defined benefit pension plans or participating in a new enhanced defined contribution retirement plan. Messrs. Templeton and Crutcher chose to participate in the defined contribution plan. Accordingly, their accrued pension benefits under the qualified and non-qualified plans were frozen (i.e., they will experience no increase attributable to years of service or change in eligible earnings) as of December 31, 1997. Contributions to the defined contribution plan for Mr. Templeton’s and Mr. Crutcher’s benefits are included in the 2011 summary compensation table.</w:t>
      </w:r>
    </w:p>
    <w:p>
      <w:pPr>
        <w:spacing w:after="0" w:line="230" w:lineRule="exact"/>
        <w:rPr>
          <w:sz w:val="20"/>
          <w:szCs w:val="20"/>
          <w:color w:val="auto"/>
        </w:rPr>
      </w:pPr>
    </w:p>
    <w:p>
      <w:pPr>
        <w:ind w:left="3"/>
        <w:spacing w:after="0"/>
        <w:tabs>
          <w:tab w:leader="none" w:pos="960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79" w:right="219" w:bottom="1440" w:gutter="0" w:footer="0" w:header="0"/>
        </w:sectPr>
      </w:pPr>
    </w:p>
    <w:bookmarkStart w:id="32" w:name="page33"/>
    <w:bookmarkEnd w:id="32"/>
    <w:p>
      <w:pPr>
        <w:ind w:left="443" w:right="60" w:hanging="443"/>
        <w:spacing w:after="0" w:line="239" w:lineRule="auto"/>
        <w:tabs>
          <w:tab w:leader="none" w:pos="4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each of the named executive officers, credited service began on the date the officer became eligible to participate in the plan. For Mr. Crutcher, eligibility to participate began on the first day of the month following completion of one year of employment. For each of the other named executive officers, eligibility to participate began on the earlier of 18 months of employment, or January 1 following the completion of one year of employment. Accordingly, each of the named executive officers has been employed by TI for longer than the years of credited service shown above.</w:t>
      </w:r>
    </w:p>
    <w:p>
      <w:pPr>
        <w:spacing w:after="0" w:line="212" w:lineRule="exact"/>
        <w:rPr>
          <w:rFonts w:ascii="Arial" w:cs="Arial" w:eastAsia="Arial" w:hAnsi="Arial"/>
          <w:sz w:val="16"/>
          <w:szCs w:val="16"/>
          <w:color w:val="auto"/>
        </w:rPr>
      </w:pPr>
    </w:p>
    <w:p>
      <w:pPr>
        <w:ind w:left="443" w:right="40" w:hanging="443"/>
        <w:spacing w:after="0" w:line="243" w:lineRule="auto"/>
        <w:tabs>
          <w:tab w:leader="none" w:pos="4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Credited service began on the date the named executive officer became eligible to participate in the TI Employees Pension Plan as described in note 2 above and ceased at December 31, 2004.</w:t>
      </w:r>
    </w:p>
    <w:p>
      <w:pPr>
        <w:spacing w:after="0" w:line="209" w:lineRule="exact"/>
        <w:rPr>
          <w:rFonts w:ascii="Arial" w:cs="Arial" w:eastAsia="Arial" w:hAnsi="Arial"/>
          <w:sz w:val="16"/>
          <w:szCs w:val="16"/>
          <w:color w:val="auto"/>
        </w:rPr>
      </w:pPr>
    </w:p>
    <w:p>
      <w:pPr>
        <w:ind w:left="443" w:right="500" w:hanging="443"/>
        <w:spacing w:after="0" w:line="243" w:lineRule="auto"/>
        <w:tabs>
          <w:tab w:leader="none" w:pos="4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Credited service began on the date the named executive officer became eligible to participate in the TI Employees Pension Plan as described in note 2 above.</w:t>
      </w:r>
    </w:p>
    <w:p>
      <w:pPr>
        <w:spacing w:after="0" w:line="209" w:lineRule="exact"/>
        <w:rPr>
          <w:rFonts w:ascii="Arial" w:cs="Arial" w:eastAsia="Arial" w:hAnsi="Arial"/>
          <w:sz w:val="16"/>
          <w:szCs w:val="16"/>
          <w:color w:val="auto"/>
        </w:rPr>
      </w:pPr>
    </w:p>
    <w:p>
      <w:pPr>
        <w:ind w:left="443" w:right="20" w:hanging="443"/>
        <w:spacing w:after="0" w:line="238" w:lineRule="auto"/>
        <w:tabs>
          <w:tab w:leader="none" w:pos="4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assumptions and valuation methods used to calculate the present value of the accumulated pension benefits shown are the same as those used by TI for financial reporting purposes and are described in note 12 in Exhibit 13 to TI’s annual report on Form 10-K for the year ended December 31, 2011, except that a named executive officer’s retirement is assumed (in accordance with SEC rules) for purposes of this table to occur at age 65 and no assumption for termination prior to that date is used. The amount of the lump sum benefit earned as of December 31, 2011, is determined using either (i) the Pension Benefit Guaranty Corporation (PBGC) interest assumption of 3.00 percent or (ii) the Pension Protection Act of 2006 (PPA) corporate bond yield interest assumption of 4.92 percent for the TI Employees Pension Plan and 4.91 percent for the TI Employees Non-Qualified Pension Plans, whichever rate produces the higher lump sum amount. A discount rate assumption of 4.92 percent for the TI Employees Pension Plan and 4.91 percent for the non-qualified pension plans was used to determine the present value of each lump sum.</w:t>
      </w:r>
    </w:p>
    <w:p>
      <w:pPr>
        <w:spacing w:after="0" w:line="187" w:lineRule="exact"/>
        <w:rPr>
          <w:sz w:val="20"/>
          <w:szCs w:val="20"/>
          <w:color w:val="auto"/>
        </w:rPr>
      </w:pPr>
    </w:p>
    <w:p>
      <w:pPr>
        <w:ind w:left="3"/>
        <w:spacing w:after="0"/>
        <w:rPr>
          <w:sz w:val="20"/>
          <w:szCs w:val="20"/>
          <w:color w:val="auto"/>
        </w:rPr>
      </w:pPr>
      <w:r>
        <w:rPr>
          <w:rFonts w:ascii="Arial" w:cs="Arial" w:eastAsia="Arial" w:hAnsi="Arial"/>
          <w:sz w:val="16"/>
          <w:szCs w:val="16"/>
          <w:u w:val="single" w:color="auto"/>
          <w:color w:val="auto"/>
        </w:rPr>
        <w:t>TI Employees Pension Plan</w:t>
      </w:r>
    </w:p>
    <w:p>
      <w:pPr>
        <w:ind w:left="3" w:right="60"/>
        <w:spacing w:after="0"/>
        <w:rPr>
          <w:sz w:val="20"/>
          <w:szCs w:val="20"/>
          <w:color w:val="auto"/>
        </w:rPr>
      </w:pPr>
      <w:r>
        <w:rPr>
          <w:rFonts w:ascii="Arial" w:cs="Arial" w:eastAsia="Arial" w:hAnsi="Arial"/>
          <w:sz w:val="16"/>
          <w:szCs w:val="16"/>
          <w:color w:val="auto"/>
        </w:rPr>
        <w:t>The TI Employees Pension Plan is a qualified defined benefit pension plan. Please see page 77 under the Benefits heading of the Compensation Discussion and Analysis for a discussion of the origin and purpose of the plan. Employees who joined the U.S. payroll after November 30, 1997, are not eligible to participate in this plan.</w:t>
      </w:r>
    </w:p>
    <w:p>
      <w:pPr>
        <w:spacing w:after="0" w:line="18" w:lineRule="exact"/>
        <w:rPr>
          <w:sz w:val="20"/>
          <w:szCs w:val="20"/>
          <w:color w:val="auto"/>
        </w:rPr>
      </w:pPr>
    </w:p>
    <w:p>
      <w:pPr>
        <w:jc w:val="both"/>
        <w:ind w:left="3" w:right="260" w:firstLine="243"/>
        <w:spacing w:after="0" w:line="248" w:lineRule="auto"/>
        <w:rPr>
          <w:sz w:val="20"/>
          <w:szCs w:val="20"/>
          <w:color w:val="auto"/>
        </w:rPr>
      </w:pPr>
      <w:r>
        <w:rPr>
          <w:rFonts w:ascii="Arial" w:cs="Arial" w:eastAsia="Arial" w:hAnsi="Arial"/>
          <w:sz w:val="16"/>
          <w:szCs w:val="16"/>
          <w:color w:val="auto"/>
        </w:rPr>
        <w:t>A plan participant is eligible for normal retirement under the terms of the plan if he is at least 65 years of age with one year of credited service. A participant is eligible for early retirement if he is at least 55 years of age with 20 years of employment or 60 years of age with five years of employment. Mr. Ritchie is the only named executive officer who is currently eligible for early or normal retirement.</w:t>
      </w:r>
    </w:p>
    <w:p>
      <w:pPr>
        <w:spacing w:after="0" w:line="12" w:lineRule="exact"/>
        <w:rPr>
          <w:sz w:val="20"/>
          <w:szCs w:val="20"/>
          <w:color w:val="auto"/>
        </w:rPr>
      </w:pPr>
    </w:p>
    <w:p>
      <w:pPr>
        <w:ind w:left="3" w:right="40" w:firstLine="243"/>
        <w:spacing w:after="0" w:line="242" w:lineRule="auto"/>
        <w:rPr>
          <w:sz w:val="20"/>
          <w:szCs w:val="20"/>
          <w:color w:val="auto"/>
        </w:rPr>
      </w:pPr>
      <w:r>
        <w:rPr>
          <w:rFonts w:ascii="Arial" w:cs="Arial" w:eastAsia="Arial" w:hAnsi="Arial"/>
          <w:sz w:val="16"/>
          <w:szCs w:val="16"/>
          <w:color w:val="auto"/>
        </w:rPr>
        <w:t>A participant may request payment of his accrued benefit at termination or any time thereafter. Participants may choose a lump sum payment or one of six forms of annuity. In order of largest to smallest periodic payment, the forms of annuity are: (i) single life annuity, (ii) 5-year certain and life annuity, (iii) 10-year certain and life annuity, (iv) qualified joint and 50 percent survivor annuity, (v) qualified joint and 75 percent survivor annuity, and (vi) qualified joint and 100 percent survivor annuity. If the participant does not request payment, he will begin to receive his benefit in April of the year after he reaches the age of 70½ in the form of annuity required under the IRC.</w:t>
      </w:r>
    </w:p>
    <w:p>
      <w:pPr>
        <w:spacing w:after="0" w:line="18" w:lineRule="exact"/>
        <w:rPr>
          <w:sz w:val="20"/>
          <w:szCs w:val="20"/>
          <w:color w:val="auto"/>
        </w:rPr>
      </w:pPr>
    </w:p>
    <w:p>
      <w:pPr>
        <w:ind w:left="243"/>
        <w:spacing w:after="0"/>
        <w:rPr>
          <w:sz w:val="20"/>
          <w:szCs w:val="20"/>
          <w:color w:val="auto"/>
        </w:rPr>
      </w:pPr>
      <w:r>
        <w:rPr>
          <w:rFonts w:ascii="Arial" w:cs="Arial" w:eastAsia="Arial" w:hAnsi="Arial"/>
          <w:sz w:val="15"/>
          <w:szCs w:val="15"/>
          <w:color w:val="auto"/>
        </w:rPr>
        <w:t>The pension formula for the qualified plan is intended to provide a participant with an annual retirement benefit equal to 1.5 percent multiplied by the product of</w:t>
      </w:r>
    </w:p>
    <w:p>
      <w:pPr>
        <w:spacing w:after="0" w:line="22" w:lineRule="exact"/>
        <w:rPr>
          <w:sz w:val="20"/>
          <w:szCs w:val="20"/>
          <w:color w:val="auto"/>
        </w:rPr>
      </w:pPr>
    </w:p>
    <w:p>
      <w:pPr>
        <w:ind w:left="3" w:right="80" w:hanging="3"/>
        <w:spacing w:after="0"/>
        <w:tabs>
          <w:tab w:leader="none" w:pos="1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years of credited service and (ii) the average of the five highest consecutive years of his base salary plus bonus up to a limit imposed by the IRS, less a percentage (based on his year of birth, when he elects to retire and his years of service with TI) of the amount of compensation on which his Social Security benefit is based.</w:t>
      </w:r>
    </w:p>
    <w:p>
      <w:pPr>
        <w:spacing w:after="0" w:line="17" w:lineRule="exact"/>
        <w:rPr>
          <w:rFonts w:ascii="Arial" w:cs="Arial" w:eastAsia="Arial" w:hAnsi="Arial"/>
          <w:sz w:val="16"/>
          <w:szCs w:val="16"/>
          <w:color w:val="auto"/>
        </w:rPr>
      </w:pPr>
    </w:p>
    <w:p>
      <w:pPr>
        <w:ind w:left="3" w:right="280" w:firstLine="243"/>
        <w:spacing w:after="0" w:line="259" w:lineRule="auto"/>
        <w:rPr>
          <w:rFonts w:ascii="Arial" w:cs="Arial" w:eastAsia="Arial" w:hAnsi="Arial"/>
          <w:sz w:val="16"/>
          <w:szCs w:val="16"/>
          <w:color w:val="auto"/>
        </w:rPr>
      </w:pPr>
      <w:r>
        <w:rPr>
          <w:rFonts w:ascii="Arial" w:cs="Arial" w:eastAsia="Arial" w:hAnsi="Arial"/>
          <w:sz w:val="16"/>
          <w:szCs w:val="16"/>
          <w:color w:val="auto"/>
        </w:rPr>
        <w:t>If an individual takes early retirement and chooses to begin receiving his annual retirement benefit at that time, such benefit is reduced by an early retirement factor. As a result, the annual benefit is lower than the one he would have received at age 65.</w:t>
      </w:r>
    </w:p>
    <w:p>
      <w:pPr>
        <w:spacing w:after="0" w:line="3" w:lineRule="exact"/>
        <w:rPr>
          <w:rFonts w:ascii="Arial" w:cs="Arial" w:eastAsia="Arial" w:hAnsi="Arial"/>
          <w:sz w:val="16"/>
          <w:szCs w:val="16"/>
          <w:color w:val="auto"/>
        </w:rPr>
      </w:pPr>
    </w:p>
    <w:p>
      <w:pPr>
        <w:ind w:left="3" w:right="240" w:firstLine="243"/>
        <w:spacing w:after="0" w:line="269" w:lineRule="auto"/>
        <w:rPr>
          <w:rFonts w:ascii="Arial" w:cs="Arial" w:eastAsia="Arial" w:hAnsi="Arial"/>
          <w:sz w:val="16"/>
          <w:szCs w:val="16"/>
          <w:color w:val="auto"/>
        </w:rPr>
      </w:pPr>
      <w:r>
        <w:rPr>
          <w:rFonts w:ascii="Arial" w:cs="Arial" w:eastAsia="Arial" w:hAnsi="Arial"/>
          <w:sz w:val="15"/>
          <w:szCs w:val="15"/>
          <w:color w:val="auto"/>
        </w:rPr>
        <w:t>If the participant’s employment terminates due to disability, the participant may choose to receive his accrued benefit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he not become disabled and disabled status.</w:t>
      </w:r>
    </w:p>
    <w:p>
      <w:pPr>
        <w:spacing w:after="0" w:line="2" w:lineRule="exact"/>
        <w:rPr>
          <w:rFonts w:ascii="Arial" w:cs="Arial" w:eastAsia="Arial" w:hAnsi="Arial"/>
          <w:sz w:val="16"/>
          <w:szCs w:val="16"/>
          <w:color w:val="auto"/>
        </w:rPr>
      </w:pPr>
    </w:p>
    <w:p>
      <w:pPr>
        <w:ind w:left="3" w:right="60" w:firstLine="243"/>
        <w:spacing w:after="0" w:line="259" w:lineRule="auto"/>
        <w:rPr>
          <w:rFonts w:ascii="Arial" w:cs="Arial" w:eastAsia="Arial" w:hAnsi="Arial"/>
          <w:sz w:val="16"/>
          <w:szCs w:val="16"/>
          <w:color w:val="auto"/>
        </w:rPr>
      </w:pPr>
      <w:r>
        <w:rPr>
          <w:rFonts w:ascii="Arial" w:cs="Arial" w:eastAsia="Arial" w:hAnsi="Arial"/>
          <w:sz w:val="16"/>
          <w:szCs w:val="16"/>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3" w:lineRule="exact"/>
        <w:rPr>
          <w:rFonts w:ascii="Arial" w:cs="Arial" w:eastAsia="Arial" w:hAnsi="Arial"/>
          <w:sz w:val="16"/>
          <w:szCs w:val="16"/>
          <w:color w:val="auto"/>
        </w:rPr>
      </w:pPr>
    </w:p>
    <w:p>
      <w:pPr>
        <w:ind w:left="3" w:right="340" w:firstLine="243"/>
        <w:spacing w:after="0" w:line="259" w:lineRule="auto"/>
        <w:rPr>
          <w:rFonts w:ascii="Arial" w:cs="Arial" w:eastAsia="Arial" w:hAnsi="Arial"/>
          <w:sz w:val="16"/>
          <w:szCs w:val="16"/>
          <w:color w:val="auto"/>
        </w:rPr>
      </w:pPr>
      <w:r>
        <w:rPr>
          <w:rFonts w:ascii="Arial" w:cs="Arial" w:eastAsia="Arial" w:hAnsi="Arial"/>
          <w:sz w:val="16"/>
          <w:szCs w:val="16"/>
          <w:color w:val="auto"/>
        </w:rPr>
        <w:t>Leaves of absence, including a bridge to retirement, are credited to years of service under the qualified pension plan. Please see the discussion of leaves of absence on page 92 below.</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6"/>
          <w:szCs w:val="16"/>
          <w:u w:val="single" w:color="auto"/>
          <w:color w:val="auto"/>
        </w:rPr>
        <w:t>TI Employees Non-Qualified Pension Plans</w:t>
      </w:r>
    </w:p>
    <w:p>
      <w:pPr>
        <w:ind w:left="3" w:right="120"/>
        <w:spacing w:after="0" w:line="239" w:lineRule="auto"/>
        <w:rPr>
          <w:sz w:val="20"/>
          <w:szCs w:val="20"/>
          <w:color w:val="auto"/>
        </w:rPr>
      </w:pPr>
      <w:r>
        <w:rPr>
          <w:rFonts w:ascii="Arial" w:cs="Arial" w:eastAsia="Arial" w:hAnsi="Arial"/>
          <w:sz w:val="16"/>
          <w:szCs w:val="16"/>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Please see page 77 under the Benefits heading of the Compensation Discussion and Analysis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(please see above). Benefits are paid in a lump sum.</w:t>
      </w:r>
    </w:p>
    <w:p>
      <w:pPr>
        <w:spacing w:after="0" w:line="206" w:lineRule="exact"/>
        <w:rPr>
          <w:sz w:val="20"/>
          <w:szCs w:val="20"/>
          <w:color w:val="auto"/>
        </w:rPr>
      </w:pPr>
    </w:p>
    <w:p>
      <w:pPr>
        <w:ind w:left="3"/>
        <w:spacing w:after="0"/>
        <w:tabs>
          <w:tab w:leader="none" w:pos="10103" w:val="left"/>
        </w:tabs>
        <w:rPr>
          <w:sz w:val="20"/>
          <w:szCs w:val="20"/>
          <w:color w:val="auto"/>
        </w:rPr>
      </w:pPr>
      <w:r>
        <w:rPr>
          <w:rFonts w:ascii="Arial" w:cs="Arial" w:eastAsia="Arial" w:hAnsi="Arial"/>
          <w:sz w:val="12"/>
          <w:szCs w:val="12"/>
          <w:b w:val="1"/>
          <w:bCs w:val="1"/>
          <w:color w:val="auto"/>
        </w:rPr>
        <w:t xml:space="preserve">86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361" w:right="219" w:bottom="1440" w:gutter="0" w:footer="0" w:header="0"/>
        </w:sectPr>
      </w:pPr>
    </w:p>
    <w:bookmarkStart w:id="33" w:name="page34"/>
    <w:bookmarkEnd w:id="33"/>
    <w:p>
      <w:pPr>
        <w:ind w:left="3" w:right="40" w:firstLine="243"/>
        <w:spacing w:after="0" w:line="242" w:lineRule="auto"/>
        <w:rPr>
          <w:sz w:val="20"/>
          <w:szCs w:val="20"/>
          <w:color w:val="auto"/>
        </w:rPr>
      </w:pPr>
      <w:r>
        <w:rPr>
          <w:rFonts w:ascii="Arial" w:cs="Arial" w:eastAsia="Arial" w:hAnsi="Arial"/>
          <w:sz w:val="16"/>
          <w:szCs w:val="16"/>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 sum benefit payable to an individual under the non-qualified plans.</w:t>
      </w:r>
    </w:p>
    <w:p>
      <w:pPr>
        <w:spacing w:after="0" w:line="18" w:lineRule="exact"/>
        <w:rPr>
          <w:sz w:val="20"/>
          <w:szCs w:val="20"/>
          <w:color w:val="auto"/>
        </w:rPr>
      </w:pPr>
    </w:p>
    <w:p>
      <w:pPr>
        <w:ind w:left="3" w:right="20" w:firstLine="243"/>
        <w:spacing w:after="0" w:line="244" w:lineRule="auto"/>
        <w:rPr>
          <w:sz w:val="20"/>
          <w:szCs w:val="20"/>
          <w:color w:val="auto"/>
        </w:rPr>
      </w:pPr>
      <w:r>
        <w:rPr>
          <w:rFonts w:ascii="Arial" w:cs="Arial" w:eastAsia="Arial" w:hAnsi="Arial"/>
          <w:sz w:val="16"/>
          <w:szCs w:val="16"/>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 sum distribution payment under Plan II before the first day of the seventh month following termination of employment.</w:t>
      </w:r>
    </w:p>
    <w:p>
      <w:pPr>
        <w:spacing w:after="0" w:line="16" w:lineRule="exact"/>
        <w:rPr>
          <w:sz w:val="20"/>
          <w:szCs w:val="20"/>
          <w:color w:val="auto"/>
        </w:rPr>
      </w:pPr>
    </w:p>
    <w:p>
      <w:pPr>
        <w:ind w:left="3" w:right="480" w:firstLine="243"/>
        <w:spacing w:after="0" w:line="248" w:lineRule="auto"/>
        <w:rPr>
          <w:sz w:val="20"/>
          <w:szCs w:val="20"/>
          <w:color w:val="auto"/>
        </w:rPr>
      </w:pPr>
      <w:r>
        <w:rPr>
          <w:rFonts w:ascii="Arial" w:cs="Arial" w:eastAsia="Arial" w:hAnsi="Arial"/>
          <w:sz w:val="16"/>
          <w:szCs w:val="16"/>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12" w:lineRule="exact"/>
        <w:rPr>
          <w:sz w:val="20"/>
          <w:szCs w:val="20"/>
          <w:color w:val="auto"/>
        </w:rPr>
      </w:pPr>
    </w:p>
    <w:p>
      <w:pPr>
        <w:ind w:left="3" w:right="80" w:firstLine="243"/>
        <w:spacing w:after="0" w:line="259" w:lineRule="auto"/>
        <w:rPr>
          <w:sz w:val="20"/>
          <w:szCs w:val="20"/>
          <w:color w:val="auto"/>
        </w:rPr>
      </w:pPr>
      <w:r>
        <w:rPr>
          <w:rFonts w:ascii="Arial" w:cs="Arial" w:eastAsia="Arial" w:hAnsi="Arial"/>
          <w:sz w:val="16"/>
          <w:szCs w:val="16"/>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3" w:lineRule="exact"/>
        <w:rPr>
          <w:sz w:val="20"/>
          <w:szCs w:val="20"/>
          <w:color w:val="auto"/>
        </w:rPr>
      </w:pPr>
    </w:p>
    <w:p>
      <w:pPr>
        <w:ind w:left="3" w:right="80" w:firstLine="243"/>
        <w:spacing w:after="0" w:line="242" w:lineRule="auto"/>
        <w:rPr>
          <w:sz w:val="20"/>
          <w:szCs w:val="20"/>
          <w:color w:val="auto"/>
        </w:rPr>
      </w:pPr>
      <w:r>
        <w:rPr>
          <w:rFonts w:ascii="Arial" w:cs="Arial" w:eastAsia="Arial" w:hAnsi="Arial"/>
          <w:sz w:val="16"/>
          <w:szCs w:val="16"/>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the pre-2010 definition of a change in control (please see page 84) applies.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18" w:lineRule="exact"/>
        <w:rPr>
          <w:sz w:val="20"/>
          <w:szCs w:val="20"/>
          <w:color w:val="auto"/>
        </w:rPr>
      </w:pPr>
    </w:p>
    <w:p>
      <w:pPr>
        <w:ind w:left="3" w:right="620" w:firstLine="243"/>
        <w:spacing w:after="0" w:line="259" w:lineRule="auto"/>
        <w:rPr>
          <w:sz w:val="20"/>
          <w:szCs w:val="20"/>
          <w:color w:val="auto"/>
        </w:rPr>
      </w:pPr>
      <w:r>
        <w:rPr>
          <w:rFonts w:ascii="Arial" w:cs="Arial" w:eastAsia="Arial" w:hAnsi="Arial"/>
          <w:sz w:val="16"/>
          <w:szCs w:val="16"/>
          <w:color w:val="auto"/>
        </w:rPr>
        <w:t>Leaves of absence, including a bridge to retirement, are credited to years of service under the non-qualified pension plans. For a discussion of leaves of absence, please see page 92 below.</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6"/>
          <w:szCs w:val="16"/>
          <w:u w:val="single" w:color="auto"/>
          <w:color w:val="auto"/>
        </w:rPr>
        <w:t>TI Employees Survivor Benefit Plan</w:t>
      </w:r>
    </w:p>
    <w:p>
      <w:pPr>
        <w:ind w:left="3" w:right="20"/>
        <w:spacing w:after="0" w:line="239" w:lineRule="auto"/>
        <w:rPr>
          <w:sz w:val="20"/>
          <w:szCs w:val="20"/>
          <w:color w:val="auto"/>
        </w:rPr>
      </w:pPr>
      <w:r>
        <w:rPr>
          <w:rFonts w:ascii="Arial" w:cs="Arial" w:eastAsia="Arial" w:hAnsi="Arial"/>
          <w:sz w:val="16"/>
          <w:szCs w:val="16"/>
          <w:color w:val="auto"/>
        </w:rPr>
        <w:t>TI’s qualified and non-qualified pension plans provide that upon the death of a retirement-eligible employee, the employee’s beneficiary receives a payment equal to half of the benefit to which the employee would have been entitled under the pension plans had he retired instead of died. We have a survivor benefit plan that pays the beneficiary a lump sum that, when added to the reduced amounts the beneficiary receives under the pension plans, equals the benefit the employee would have been entitled to receive had he retired instead of died. Because Mr. Ritchie became eligible for early retirement in August 2011, his beneficiary would be eligible for a benefit under the survivor benefit plan if he were to die under those circumstances.</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2011 non-qualified deferred compensation</w:t>
      </w:r>
    </w:p>
    <w:p>
      <w:pPr>
        <w:spacing w:after="0" w:line="212" w:lineRule="exact"/>
        <w:rPr>
          <w:sz w:val="20"/>
          <w:szCs w:val="20"/>
          <w:color w:val="auto"/>
        </w:rPr>
      </w:pPr>
    </w:p>
    <w:p>
      <w:pPr>
        <w:ind w:left="3" w:right="680"/>
        <w:spacing w:after="0" w:line="243" w:lineRule="auto"/>
        <w:rPr>
          <w:sz w:val="20"/>
          <w:szCs w:val="20"/>
          <w:color w:val="auto"/>
        </w:rPr>
      </w:pPr>
      <w:r>
        <w:rPr>
          <w:rFonts w:ascii="Arial" w:cs="Arial" w:eastAsia="Arial" w:hAnsi="Arial"/>
          <w:sz w:val="16"/>
          <w:szCs w:val="16"/>
          <w:color w:val="auto"/>
        </w:rPr>
        <w:t>The following table shows contributions to the named executive officer’s deferred compensation account in 2011 and the aggregate amount of his deferred compensation as of December 31, 2011.</w:t>
      </w:r>
    </w:p>
    <w:p>
      <w:pPr>
        <w:spacing w:after="0" w:line="204"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3000" w:type="dxa"/>
            <w:vAlign w:val="bottom"/>
          </w:tcPr>
          <w:p>
            <w:pPr>
              <w:spacing w:after="0"/>
              <w:rPr>
                <w:sz w:val="13"/>
                <w:szCs w:val="13"/>
                <w:color w:val="auto"/>
              </w:rPr>
            </w:pPr>
          </w:p>
        </w:tc>
        <w:tc>
          <w:tcPr>
            <w:tcW w:w="2860" w:type="dxa"/>
            <w:vAlign w:val="bottom"/>
          </w:tcPr>
          <w:p>
            <w:pPr>
              <w:jc w:val="center"/>
              <w:ind w:left="1628"/>
              <w:spacing w:after="0"/>
              <w:rPr>
                <w:sz w:val="20"/>
                <w:szCs w:val="20"/>
                <w:color w:val="auto"/>
              </w:rPr>
            </w:pPr>
            <w:r>
              <w:rPr>
                <w:rFonts w:ascii="Arial" w:cs="Arial" w:eastAsia="Arial" w:hAnsi="Arial"/>
                <w:sz w:val="12"/>
                <w:szCs w:val="12"/>
                <w:b w:val="1"/>
                <w:bCs w:val="1"/>
                <w:color w:val="auto"/>
                <w:w w:val="99"/>
              </w:rPr>
              <w:t>Executive</w:t>
            </w:r>
          </w:p>
        </w:tc>
        <w:tc>
          <w:tcPr>
            <w:tcW w:w="1280" w:type="dxa"/>
            <w:vAlign w:val="bottom"/>
          </w:tcPr>
          <w:p>
            <w:pPr>
              <w:jc w:val="center"/>
              <w:ind w:right="8"/>
              <w:spacing w:after="0"/>
              <w:rPr>
                <w:sz w:val="20"/>
                <w:szCs w:val="20"/>
                <w:color w:val="auto"/>
              </w:rPr>
            </w:pPr>
            <w:r>
              <w:rPr>
                <w:rFonts w:ascii="Arial" w:cs="Arial" w:eastAsia="Arial" w:hAnsi="Arial"/>
                <w:sz w:val="12"/>
                <w:szCs w:val="12"/>
                <w:b w:val="1"/>
                <w:bCs w:val="1"/>
                <w:color w:val="auto"/>
              </w:rPr>
              <w:t>Registrant</w:t>
            </w: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rPr>
              <w:t>Aggregate</w:t>
            </w:r>
          </w:p>
        </w:tc>
        <w:tc>
          <w:tcPr>
            <w:tcW w:w="2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Aggregate</w:t>
            </w:r>
          </w:p>
        </w:tc>
        <w:tc>
          <w:tcPr>
            <w:tcW w:w="220" w:type="dxa"/>
            <w:vAlign w:val="bottom"/>
          </w:tcPr>
          <w:p>
            <w:pPr>
              <w:spacing w:after="0"/>
              <w:rPr>
                <w:sz w:val="13"/>
                <w:szCs w:val="13"/>
                <w:color w:val="auto"/>
              </w:rPr>
            </w:pPr>
          </w:p>
        </w:tc>
      </w:tr>
      <w:tr>
        <w:trPr>
          <w:trHeight w:val="218"/>
        </w:trPr>
        <w:tc>
          <w:tcPr>
            <w:tcW w:w="3000" w:type="dxa"/>
            <w:vAlign w:val="bottom"/>
          </w:tcPr>
          <w:p>
            <w:pPr>
              <w:spacing w:after="0"/>
              <w:rPr>
                <w:sz w:val="18"/>
                <w:szCs w:val="18"/>
                <w:color w:val="auto"/>
              </w:rPr>
            </w:pPr>
          </w:p>
        </w:tc>
        <w:tc>
          <w:tcPr>
            <w:tcW w:w="2860" w:type="dxa"/>
            <w:vAlign w:val="bottom"/>
          </w:tcPr>
          <w:p>
            <w:pPr>
              <w:jc w:val="center"/>
              <w:ind w:left="1628"/>
              <w:spacing w:after="0"/>
              <w:rPr>
                <w:sz w:val="20"/>
                <w:szCs w:val="20"/>
                <w:color w:val="auto"/>
              </w:rPr>
            </w:pPr>
            <w:r>
              <w:rPr>
                <w:rFonts w:ascii="Arial" w:cs="Arial" w:eastAsia="Arial" w:hAnsi="Arial"/>
                <w:sz w:val="12"/>
                <w:szCs w:val="12"/>
                <w:b w:val="1"/>
                <w:bCs w:val="1"/>
                <w:color w:val="auto"/>
              </w:rPr>
              <w:t>Contributions</w:t>
            </w:r>
          </w:p>
        </w:tc>
        <w:tc>
          <w:tcPr>
            <w:tcW w:w="1280" w:type="dxa"/>
            <w:vAlign w:val="bottom"/>
          </w:tcPr>
          <w:p>
            <w:pPr>
              <w:jc w:val="center"/>
              <w:ind w:right="28"/>
              <w:spacing w:after="0"/>
              <w:rPr>
                <w:sz w:val="20"/>
                <w:szCs w:val="20"/>
                <w:color w:val="auto"/>
              </w:rPr>
            </w:pPr>
            <w:r>
              <w:rPr>
                <w:rFonts w:ascii="Arial" w:cs="Arial" w:eastAsia="Arial" w:hAnsi="Arial"/>
                <w:sz w:val="12"/>
                <w:szCs w:val="12"/>
                <w:b w:val="1"/>
                <w:bCs w:val="1"/>
                <w:color w:val="auto"/>
              </w:rPr>
              <w:t>Contributions in</w:t>
            </w:r>
          </w:p>
        </w:tc>
        <w:tc>
          <w:tcPr>
            <w:tcW w:w="1700" w:type="dxa"/>
            <w:vAlign w:val="bottom"/>
            <w:gridSpan w:val="2"/>
          </w:tcPr>
          <w:p>
            <w:pPr>
              <w:jc w:val="right"/>
              <w:ind w:right="124"/>
              <w:spacing w:after="0"/>
              <w:rPr>
                <w:sz w:val="20"/>
                <w:szCs w:val="20"/>
                <w:color w:val="auto"/>
              </w:rPr>
            </w:pPr>
            <w:r>
              <w:rPr>
                <w:rFonts w:ascii="Arial" w:cs="Arial" w:eastAsia="Arial" w:hAnsi="Arial"/>
                <w:sz w:val="12"/>
                <w:szCs w:val="12"/>
                <w:b w:val="1"/>
                <w:bCs w:val="1"/>
                <w:color w:val="auto"/>
              </w:rPr>
              <w:t>Aggregate Earnings in</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9"/>
              </w:rPr>
              <w:t>Withdrawals/</w:t>
            </w:r>
          </w:p>
        </w:tc>
        <w:tc>
          <w:tcPr>
            <w:tcW w:w="1220" w:type="dxa"/>
            <w:vAlign w:val="bottom"/>
            <w:gridSpan w:val="3"/>
          </w:tcPr>
          <w:p>
            <w:pPr>
              <w:jc w:val="center"/>
              <w:ind w:left="6"/>
              <w:spacing w:after="0"/>
              <w:rPr>
                <w:sz w:val="20"/>
                <w:szCs w:val="20"/>
                <w:color w:val="auto"/>
              </w:rPr>
            </w:pPr>
            <w:r>
              <w:rPr>
                <w:rFonts w:ascii="Arial" w:cs="Arial" w:eastAsia="Arial" w:hAnsi="Arial"/>
                <w:sz w:val="12"/>
                <w:szCs w:val="12"/>
                <w:b w:val="1"/>
                <w:bCs w:val="1"/>
                <w:color w:val="auto"/>
              </w:rPr>
              <w:t>Balance at Last</w:t>
            </w:r>
          </w:p>
        </w:tc>
      </w:tr>
      <w:tr>
        <w:trPr>
          <w:trHeight w:val="218"/>
        </w:trPr>
        <w:tc>
          <w:tcPr>
            <w:tcW w:w="300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2860" w:type="dxa"/>
            <w:vAlign w:val="bottom"/>
          </w:tcPr>
          <w:p>
            <w:pPr>
              <w:jc w:val="center"/>
              <w:ind w:left="1628"/>
              <w:spacing w:after="0"/>
              <w:rPr>
                <w:sz w:val="20"/>
                <w:szCs w:val="20"/>
                <w:color w:val="auto"/>
              </w:rPr>
            </w:pPr>
            <w:r>
              <w:rPr>
                <w:rFonts w:ascii="Arial" w:cs="Arial" w:eastAsia="Arial" w:hAnsi="Arial"/>
                <w:sz w:val="12"/>
                <w:szCs w:val="12"/>
                <w:b w:val="1"/>
                <w:bCs w:val="1"/>
                <w:color w:val="auto"/>
              </w:rPr>
              <w:t>in Last FY ($)</w:t>
            </w:r>
          </w:p>
        </w:tc>
        <w:tc>
          <w:tcPr>
            <w:tcW w:w="1280" w:type="dxa"/>
            <w:vAlign w:val="bottom"/>
          </w:tcPr>
          <w:p>
            <w:pPr>
              <w:jc w:val="center"/>
              <w:ind w:right="28"/>
              <w:spacing w:after="0"/>
              <w:rPr>
                <w:sz w:val="20"/>
                <w:szCs w:val="20"/>
                <w:color w:val="auto"/>
              </w:rPr>
            </w:pPr>
            <w:r>
              <w:rPr>
                <w:rFonts w:ascii="Arial" w:cs="Arial" w:eastAsia="Arial" w:hAnsi="Arial"/>
                <w:sz w:val="12"/>
                <w:szCs w:val="12"/>
                <w:b w:val="1"/>
                <w:bCs w:val="1"/>
                <w:color w:val="auto"/>
              </w:rPr>
              <w:t>Last FY ($)(2)</w:t>
            </w:r>
          </w:p>
        </w:tc>
        <w:tc>
          <w:tcPr>
            <w:tcW w:w="460" w:type="dxa"/>
            <w:vAlign w:val="bottom"/>
          </w:tcPr>
          <w:p>
            <w:pPr>
              <w:spacing w:after="0"/>
              <w:rPr>
                <w:sz w:val="18"/>
                <w:szCs w:val="18"/>
                <w:color w:val="auto"/>
              </w:rPr>
            </w:pPr>
          </w:p>
        </w:tc>
        <w:tc>
          <w:tcPr>
            <w:tcW w:w="1240" w:type="dxa"/>
            <w:vAlign w:val="bottom"/>
          </w:tcPr>
          <w:p>
            <w:pPr>
              <w:jc w:val="right"/>
              <w:ind w:right="464"/>
              <w:spacing w:after="0"/>
              <w:rPr>
                <w:sz w:val="20"/>
                <w:szCs w:val="20"/>
                <w:color w:val="auto"/>
              </w:rPr>
            </w:pPr>
            <w:r>
              <w:rPr>
                <w:rFonts w:ascii="Arial" w:cs="Arial" w:eastAsia="Arial" w:hAnsi="Arial"/>
                <w:sz w:val="12"/>
                <w:szCs w:val="12"/>
                <w:b w:val="1"/>
                <w:bCs w:val="1"/>
                <w:color w:val="auto"/>
              </w:rPr>
              <w:t>Last FY ($)</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rPr>
              <w:t>Distributions ($)</w:t>
            </w:r>
          </w:p>
        </w:tc>
        <w:tc>
          <w:tcPr>
            <w:tcW w:w="2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FYE ($)(5)</w:t>
            </w:r>
          </w:p>
        </w:tc>
        <w:tc>
          <w:tcPr>
            <w:tcW w:w="220" w:type="dxa"/>
            <w:vAlign w:val="bottom"/>
          </w:tcPr>
          <w:p>
            <w:pPr>
              <w:spacing w:after="0"/>
              <w:rPr>
                <w:sz w:val="18"/>
                <w:szCs w:val="18"/>
                <w:color w:val="auto"/>
              </w:rPr>
            </w:pPr>
          </w:p>
        </w:tc>
      </w:tr>
      <w:tr>
        <w:trPr>
          <w:trHeight w:val="37"/>
        </w:trPr>
        <w:tc>
          <w:tcPr>
            <w:tcW w:w="3000" w:type="dxa"/>
            <w:vAlign w:val="bottom"/>
            <w:tcBorders>
              <w:bottom w:val="single" w:sz="8" w:color="808285"/>
            </w:tcBorders>
          </w:tcPr>
          <w:p>
            <w:pPr>
              <w:spacing w:after="0"/>
              <w:rPr>
                <w:sz w:val="3"/>
                <w:szCs w:val="3"/>
                <w:color w:val="auto"/>
              </w:rPr>
            </w:pPr>
          </w:p>
        </w:tc>
        <w:tc>
          <w:tcPr>
            <w:tcW w:w="2860" w:type="dxa"/>
            <w:vAlign w:val="bottom"/>
            <w:tcBorders>
              <w:bottom w:val="single" w:sz="8" w:color="808285"/>
            </w:tcBorders>
          </w:tcPr>
          <w:p>
            <w:pPr>
              <w:spacing w:after="0"/>
              <w:rPr>
                <w:sz w:val="3"/>
                <w:szCs w:val="3"/>
                <w:color w:val="auto"/>
              </w:rPr>
            </w:pPr>
          </w:p>
        </w:tc>
        <w:tc>
          <w:tcPr>
            <w:tcW w:w="1280" w:type="dxa"/>
            <w:vAlign w:val="bottom"/>
            <w:tcBorders>
              <w:bottom w:val="single" w:sz="8" w:color="808285"/>
            </w:tcBorders>
          </w:tcPr>
          <w:p>
            <w:pPr>
              <w:spacing w:after="0"/>
              <w:rPr>
                <w:sz w:val="3"/>
                <w:szCs w:val="3"/>
                <w:color w:val="auto"/>
              </w:rPr>
            </w:pPr>
          </w:p>
        </w:tc>
        <w:tc>
          <w:tcPr>
            <w:tcW w:w="460" w:type="dxa"/>
            <w:vAlign w:val="bottom"/>
            <w:tcBorders>
              <w:bottom w:val="single" w:sz="8" w:color="808285"/>
            </w:tcBorders>
          </w:tcPr>
          <w:p>
            <w:pPr>
              <w:spacing w:after="0"/>
              <w:rPr>
                <w:sz w:val="3"/>
                <w:szCs w:val="3"/>
                <w:color w:val="auto"/>
              </w:rPr>
            </w:pPr>
          </w:p>
        </w:tc>
        <w:tc>
          <w:tcPr>
            <w:tcW w:w="1240" w:type="dxa"/>
            <w:vAlign w:val="bottom"/>
            <w:tcBorders>
              <w:bottom w:val="single" w:sz="8" w:color="808285"/>
            </w:tcBorders>
          </w:tcPr>
          <w:p>
            <w:pPr>
              <w:spacing w:after="0"/>
              <w:rPr>
                <w:sz w:val="3"/>
                <w:szCs w:val="3"/>
                <w:color w:val="auto"/>
              </w:rPr>
            </w:pPr>
          </w:p>
        </w:tc>
        <w:tc>
          <w:tcPr>
            <w:tcW w:w="1380" w:type="dxa"/>
            <w:vAlign w:val="bottom"/>
            <w:tcBorders>
              <w:bottom w:val="single" w:sz="8" w:color="808285"/>
            </w:tcBorders>
          </w:tcPr>
          <w:p>
            <w:pPr>
              <w:spacing w:after="0"/>
              <w:rPr>
                <w:sz w:val="3"/>
                <w:szCs w:val="3"/>
                <w:color w:val="auto"/>
              </w:rPr>
            </w:pPr>
          </w:p>
        </w:tc>
        <w:tc>
          <w:tcPr>
            <w:tcW w:w="260" w:type="dxa"/>
            <w:vAlign w:val="bottom"/>
            <w:tcBorders>
              <w:bottom w:val="single" w:sz="8" w:color="808285"/>
            </w:tcBorders>
          </w:tcPr>
          <w:p>
            <w:pPr>
              <w:spacing w:after="0"/>
              <w:rPr>
                <w:sz w:val="3"/>
                <w:szCs w:val="3"/>
                <w:color w:val="auto"/>
              </w:rPr>
            </w:pPr>
          </w:p>
        </w:tc>
        <w:tc>
          <w:tcPr>
            <w:tcW w:w="74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r>
      <w:tr>
        <w:trPr>
          <w:trHeight w:val="210"/>
        </w:trPr>
        <w:tc>
          <w:tcPr>
            <w:tcW w:w="3000" w:type="dxa"/>
            <w:vAlign w:val="bottom"/>
            <w:shd w:val="clear" w:color="auto" w:fill="E9E9E9"/>
          </w:tcPr>
          <w:p>
            <w:pPr>
              <w:spacing w:after="0"/>
              <w:rPr>
                <w:sz w:val="20"/>
                <w:szCs w:val="20"/>
                <w:color w:val="auto"/>
              </w:rPr>
            </w:pPr>
            <w:r>
              <w:rPr>
                <w:rFonts w:ascii="Arial" w:cs="Arial" w:eastAsia="Arial" w:hAnsi="Arial"/>
                <w:sz w:val="16"/>
                <w:szCs w:val="16"/>
                <w:color w:val="auto"/>
              </w:rPr>
              <w:t>R. K. Templeton</w:t>
            </w:r>
          </w:p>
        </w:tc>
        <w:tc>
          <w:tcPr>
            <w:tcW w:w="2860" w:type="dxa"/>
            <w:vAlign w:val="bottom"/>
            <w:shd w:val="clear" w:color="auto" w:fill="E9E9E9"/>
          </w:tcPr>
          <w:p>
            <w:pPr>
              <w:jc w:val="right"/>
              <w:ind w:right="308"/>
              <w:spacing w:after="0"/>
              <w:rPr>
                <w:sz w:val="20"/>
                <w:szCs w:val="20"/>
                <w:color w:val="auto"/>
              </w:rPr>
            </w:pPr>
            <w:r>
              <w:rPr>
                <w:rFonts w:ascii="Arial" w:cs="Arial" w:eastAsia="Arial" w:hAnsi="Arial"/>
                <w:sz w:val="16"/>
                <w:szCs w:val="16"/>
                <w:color w:val="auto"/>
              </w:rPr>
              <w:t>—</w:t>
            </w:r>
          </w:p>
        </w:tc>
        <w:tc>
          <w:tcPr>
            <w:tcW w:w="1280" w:type="dxa"/>
            <w:vAlign w:val="bottom"/>
            <w:shd w:val="clear" w:color="auto" w:fill="E9E9E9"/>
          </w:tcPr>
          <w:p>
            <w:pPr>
              <w:jc w:val="right"/>
              <w:ind w:right="288"/>
              <w:spacing w:after="0"/>
              <w:rPr>
                <w:sz w:val="20"/>
                <w:szCs w:val="20"/>
                <w:color w:val="auto"/>
              </w:rPr>
            </w:pPr>
            <w:r>
              <w:rPr>
                <w:rFonts w:ascii="Arial" w:cs="Arial" w:eastAsia="Arial" w:hAnsi="Arial"/>
                <w:sz w:val="16"/>
                <w:szCs w:val="16"/>
                <w:color w:val="auto"/>
              </w:rPr>
              <w:t>$81,602</w:t>
            </w:r>
          </w:p>
        </w:tc>
        <w:tc>
          <w:tcPr>
            <w:tcW w:w="4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9E9E9"/>
          </w:tcPr>
          <w:p>
            <w:pPr>
              <w:jc w:val="right"/>
              <w:ind w:right="264"/>
              <w:spacing w:after="0"/>
              <w:rPr>
                <w:sz w:val="20"/>
                <w:szCs w:val="20"/>
                <w:color w:val="auto"/>
              </w:rPr>
            </w:pPr>
            <w:r>
              <w:rPr>
                <w:rFonts w:ascii="Arial" w:cs="Arial" w:eastAsia="Arial" w:hAnsi="Arial"/>
                <w:sz w:val="16"/>
                <w:szCs w:val="16"/>
                <w:color w:val="auto"/>
                <w:w w:val="95"/>
              </w:rPr>
              <w:t>(349,055) (3)</w:t>
            </w:r>
          </w:p>
        </w:tc>
        <w:tc>
          <w:tcPr>
            <w:tcW w:w="1380" w:type="dxa"/>
            <w:vAlign w:val="bottom"/>
            <w:shd w:val="clear" w:color="auto" w:fill="E9E9E9"/>
          </w:tcPr>
          <w:p>
            <w:pPr>
              <w:jc w:val="right"/>
              <w:ind w:right="88"/>
              <w:spacing w:after="0"/>
              <w:rPr>
                <w:sz w:val="20"/>
                <w:szCs w:val="20"/>
                <w:color w:val="auto"/>
              </w:rPr>
            </w:pPr>
            <w:r>
              <w:rPr>
                <w:rFonts w:ascii="Arial" w:cs="Arial" w:eastAsia="Arial" w:hAnsi="Arial"/>
                <w:sz w:val="16"/>
                <w:szCs w:val="16"/>
                <w:color w:val="auto"/>
              </w:rPr>
              <w:t>$67,200 (4)</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5"/>
              </w:rPr>
              <w:t>4,918,712</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w:t>
            </w:r>
          </w:p>
        </w:tc>
      </w:tr>
      <w:tr>
        <w:trPr>
          <w:trHeight w:val="211"/>
        </w:trPr>
        <w:tc>
          <w:tcPr>
            <w:tcW w:w="3000" w:type="dxa"/>
            <w:vAlign w:val="bottom"/>
          </w:tcPr>
          <w:p>
            <w:pPr>
              <w:spacing w:after="0"/>
              <w:rPr>
                <w:sz w:val="20"/>
                <w:szCs w:val="20"/>
                <w:color w:val="auto"/>
              </w:rPr>
            </w:pPr>
            <w:r>
              <w:rPr>
                <w:rFonts w:ascii="Arial" w:cs="Arial" w:eastAsia="Arial" w:hAnsi="Arial"/>
                <w:sz w:val="16"/>
                <w:szCs w:val="16"/>
                <w:color w:val="auto"/>
              </w:rPr>
              <w:t>K. P. March</w:t>
            </w:r>
          </w:p>
        </w:tc>
        <w:tc>
          <w:tcPr>
            <w:tcW w:w="2860" w:type="dxa"/>
            <w:vAlign w:val="bottom"/>
          </w:tcPr>
          <w:p>
            <w:pPr>
              <w:jc w:val="right"/>
              <w:ind w:right="308"/>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88"/>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44"/>
              <w:spacing w:after="0"/>
              <w:rPr>
                <w:sz w:val="20"/>
                <w:szCs w:val="20"/>
                <w:color w:val="auto"/>
              </w:rPr>
            </w:pPr>
            <w:r>
              <w:rPr>
                <w:rFonts w:ascii="Arial" w:cs="Arial" w:eastAsia="Arial" w:hAnsi="Arial"/>
                <w:sz w:val="16"/>
                <w:szCs w:val="16"/>
                <w:color w:val="auto"/>
              </w:rPr>
              <w:t>5</w:t>
            </w:r>
          </w:p>
        </w:tc>
        <w:tc>
          <w:tcPr>
            <w:tcW w:w="1380" w:type="dxa"/>
            <w:vAlign w:val="bottom"/>
          </w:tcPr>
          <w:p>
            <w:pPr>
              <w:jc w:val="right"/>
              <w:ind w:right="328"/>
              <w:spacing w:after="0"/>
              <w:rPr>
                <w:sz w:val="20"/>
                <w:szCs w:val="20"/>
                <w:color w:val="auto"/>
              </w:rPr>
            </w:pPr>
            <w:r>
              <w:rPr>
                <w:rFonts w:ascii="Arial" w:cs="Arial" w:eastAsia="Arial" w:hAnsi="Arial"/>
                <w:sz w:val="16"/>
                <w:szCs w:val="16"/>
                <w:color w:val="auto"/>
              </w:rPr>
              <w:t>$92,617</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r>
      <w:tr>
        <w:trPr>
          <w:trHeight w:val="226"/>
        </w:trPr>
        <w:tc>
          <w:tcPr>
            <w:tcW w:w="3000" w:type="dxa"/>
            <w:vAlign w:val="bottom"/>
            <w:shd w:val="clear" w:color="auto" w:fill="E9E9E9"/>
          </w:tcPr>
          <w:p>
            <w:pPr>
              <w:spacing w:after="0"/>
              <w:rPr>
                <w:sz w:val="20"/>
                <w:szCs w:val="20"/>
                <w:color w:val="auto"/>
              </w:rPr>
            </w:pPr>
            <w:r>
              <w:rPr>
                <w:rFonts w:ascii="Arial" w:cs="Arial" w:eastAsia="Arial" w:hAnsi="Arial"/>
                <w:sz w:val="16"/>
                <w:szCs w:val="16"/>
                <w:color w:val="auto"/>
              </w:rPr>
              <w:t>G. A. Lowe</w:t>
            </w:r>
          </w:p>
        </w:tc>
        <w:tc>
          <w:tcPr>
            <w:tcW w:w="2860" w:type="dxa"/>
            <w:vAlign w:val="bottom"/>
            <w:shd w:val="clear" w:color="auto" w:fill="E9E9E9"/>
          </w:tcPr>
          <w:p>
            <w:pPr>
              <w:jc w:val="right"/>
              <w:ind w:right="308"/>
              <w:spacing w:after="0"/>
              <w:rPr>
                <w:sz w:val="20"/>
                <w:szCs w:val="20"/>
                <w:color w:val="auto"/>
              </w:rPr>
            </w:pPr>
            <w:r>
              <w:rPr>
                <w:rFonts w:ascii="Arial" w:cs="Arial" w:eastAsia="Arial" w:hAnsi="Arial"/>
                <w:sz w:val="16"/>
                <w:szCs w:val="16"/>
                <w:color w:val="auto"/>
              </w:rPr>
              <w:t>—</w:t>
            </w:r>
          </w:p>
        </w:tc>
        <w:tc>
          <w:tcPr>
            <w:tcW w:w="1280" w:type="dxa"/>
            <w:vAlign w:val="bottom"/>
            <w:shd w:val="clear" w:color="auto" w:fill="E9E9E9"/>
          </w:tcPr>
          <w:p>
            <w:pPr>
              <w:jc w:val="right"/>
              <w:ind w:right="288"/>
              <w:spacing w:after="0"/>
              <w:rPr>
                <w:sz w:val="20"/>
                <w:szCs w:val="20"/>
                <w:color w:val="auto"/>
              </w:rPr>
            </w:pPr>
            <w:r>
              <w:rPr>
                <w:rFonts w:ascii="Arial" w:cs="Arial" w:eastAsia="Arial" w:hAnsi="Arial"/>
                <w:sz w:val="16"/>
                <w:szCs w:val="16"/>
                <w:color w:val="auto"/>
              </w:rPr>
              <w:t>—</w:t>
            </w:r>
          </w:p>
        </w:tc>
        <w:tc>
          <w:tcPr>
            <w:tcW w:w="4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9E9E9"/>
          </w:tcPr>
          <w:p>
            <w:pPr>
              <w:jc w:val="right"/>
              <w:ind w:right="544"/>
              <w:spacing w:after="0"/>
              <w:rPr>
                <w:sz w:val="20"/>
                <w:szCs w:val="20"/>
                <w:color w:val="auto"/>
              </w:rPr>
            </w:pPr>
            <w:r>
              <w:rPr>
                <w:rFonts w:ascii="Arial" w:cs="Arial" w:eastAsia="Arial" w:hAnsi="Arial"/>
                <w:sz w:val="16"/>
                <w:szCs w:val="16"/>
                <w:color w:val="auto"/>
              </w:rPr>
              <w:t>22,755</w:t>
            </w:r>
          </w:p>
        </w:tc>
        <w:tc>
          <w:tcPr>
            <w:tcW w:w="1380" w:type="dxa"/>
            <w:vAlign w:val="bottom"/>
            <w:shd w:val="clear" w:color="auto" w:fill="E9E9E9"/>
          </w:tcPr>
          <w:p>
            <w:pPr>
              <w:jc w:val="right"/>
              <w:ind w:right="328"/>
              <w:spacing w:after="0"/>
              <w:rPr>
                <w:sz w:val="20"/>
                <w:szCs w:val="20"/>
                <w:color w:val="auto"/>
              </w:rPr>
            </w:pPr>
            <w:r>
              <w:rPr>
                <w:rFonts w:ascii="Arial" w:cs="Arial" w:eastAsia="Arial" w:hAnsi="Arial"/>
                <w:sz w:val="16"/>
                <w:szCs w:val="16"/>
                <w:color w:val="auto"/>
              </w:rPr>
              <w:t>—</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841,741</w:t>
            </w:r>
          </w:p>
        </w:tc>
        <w:tc>
          <w:tcPr>
            <w:tcW w:w="220" w:type="dxa"/>
            <w:vAlign w:val="bottom"/>
            <w:shd w:val="clear" w:color="auto" w:fill="E9E9E9"/>
          </w:tcPr>
          <w:p>
            <w:pPr>
              <w:spacing w:after="0"/>
              <w:rPr>
                <w:sz w:val="19"/>
                <w:szCs w:val="19"/>
                <w:color w:val="auto"/>
              </w:rPr>
            </w:pPr>
          </w:p>
        </w:tc>
      </w:tr>
      <w:tr>
        <w:trPr>
          <w:trHeight w:val="211"/>
        </w:trPr>
        <w:tc>
          <w:tcPr>
            <w:tcW w:w="3000" w:type="dxa"/>
            <w:vAlign w:val="bottom"/>
          </w:tcPr>
          <w:p>
            <w:pPr>
              <w:spacing w:after="0"/>
              <w:rPr>
                <w:sz w:val="20"/>
                <w:szCs w:val="20"/>
                <w:color w:val="auto"/>
              </w:rPr>
            </w:pPr>
            <w:r>
              <w:rPr>
                <w:rFonts w:ascii="Arial" w:cs="Arial" w:eastAsia="Arial" w:hAnsi="Arial"/>
                <w:sz w:val="16"/>
                <w:szCs w:val="16"/>
                <w:color w:val="auto"/>
              </w:rPr>
              <w:t>K. J. Ritchie</w:t>
            </w:r>
          </w:p>
        </w:tc>
        <w:tc>
          <w:tcPr>
            <w:tcW w:w="2860" w:type="dxa"/>
            <w:vAlign w:val="bottom"/>
          </w:tcPr>
          <w:p>
            <w:pPr>
              <w:jc w:val="right"/>
              <w:ind w:right="308"/>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88"/>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44"/>
              <w:spacing w:after="0"/>
              <w:rPr>
                <w:sz w:val="20"/>
                <w:szCs w:val="20"/>
                <w:color w:val="auto"/>
              </w:rPr>
            </w:pPr>
            <w:r>
              <w:rPr>
                <w:rFonts w:ascii="Arial" w:cs="Arial" w:eastAsia="Arial" w:hAnsi="Arial"/>
                <w:sz w:val="16"/>
                <w:szCs w:val="16"/>
                <w:color w:val="auto"/>
              </w:rPr>
              <w:t>851</w:t>
            </w:r>
          </w:p>
        </w:tc>
        <w:tc>
          <w:tcPr>
            <w:tcW w:w="1380" w:type="dxa"/>
            <w:vAlign w:val="bottom"/>
          </w:tcPr>
          <w:p>
            <w:pPr>
              <w:jc w:val="right"/>
              <w:ind w:right="328"/>
              <w:spacing w:after="0"/>
              <w:rPr>
                <w:sz w:val="20"/>
                <w:szCs w:val="20"/>
                <w:color w:val="auto"/>
              </w:rPr>
            </w:pPr>
            <w:r>
              <w:rPr>
                <w:rFonts w:ascii="Arial" w:cs="Arial" w:eastAsia="Arial" w:hAnsi="Arial"/>
                <w:sz w:val="16"/>
                <w:szCs w:val="16"/>
                <w:color w:val="auto"/>
              </w:rPr>
              <w:t>$81,847</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r>
      <w:tr>
        <w:trPr>
          <w:trHeight w:val="226"/>
        </w:trPr>
        <w:tc>
          <w:tcPr>
            <w:tcW w:w="3000" w:type="dxa"/>
            <w:vAlign w:val="bottom"/>
            <w:shd w:val="clear" w:color="auto" w:fill="E9E9E9"/>
          </w:tcPr>
          <w:p>
            <w:pPr>
              <w:spacing w:after="0"/>
              <w:rPr>
                <w:sz w:val="20"/>
                <w:szCs w:val="20"/>
                <w:color w:val="auto"/>
              </w:rPr>
            </w:pPr>
            <w:r>
              <w:rPr>
                <w:rFonts w:ascii="Arial" w:cs="Arial" w:eastAsia="Arial" w:hAnsi="Arial"/>
                <w:sz w:val="16"/>
                <w:szCs w:val="16"/>
                <w:color w:val="auto"/>
              </w:rPr>
              <w:t>B. T. Crutcher</w:t>
            </w:r>
          </w:p>
        </w:tc>
        <w:tc>
          <w:tcPr>
            <w:tcW w:w="2860" w:type="dxa"/>
            <w:vAlign w:val="bottom"/>
            <w:shd w:val="clear" w:color="auto" w:fill="E9E9E9"/>
          </w:tcPr>
          <w:p>
            <w:pPr>
              <w:jc w:val="right"/>
              <w:ind w:right="68"/>
              <w:spacing w:after="0"/>
              <w:rPr>
                <w:sz w:val="20"/>
                <w:szCs w:val="20"/>
                <w:color w:val="auto"/>
              </w:rPr>
            </w:pPr>
            <w:r>
              <w:rPr>
                <w:rFonts w:ascii="Arial" w:cs="Arial" w:eastAsia="Arial" w:hAnsi="Arial"/>
                <w:sz w:val="16"/>
                <w:szCs w:val="16"/>
                <w:color w:val="auto"/>
              </w:rPr>
              <w:t>$50,454 (1)</w:t>
            </w:r>
          </w:p>
        </w:tc>
        <w:tc>
          <w:tcPr>
            <w:tcW w:w="1280" w:type="dxa"/>
            <w:vAlign w:val="bottom"/>
            <w:shd w:val="clear" w:color="auto" w:fill="E9E9E9"/>
          </w:tcPr>
          <w:p>
            <w:pPr>
              <w:jc w:val="right"/>
              <w:ind w:right="288"/>
              <w:spacing w:after="0"/>
              <w:rPr>
                <w:sz w:val="20"/>
                <w:szCs w:val="20"/>
                <w:color w:val="auto"/>
              </w:rPr>
            </w:pPr>
            <w:r>
              <w:rPr>
                <w:rFonts w:ascii="Arial" w:cs="Arial" w:eastAsia="Arial" w:hAnsi="Arial"/>
                <w:sz w:val="16"/>
                <w:szCs w:val="16"/>
                <w:color w:val="auto"/>
              </w:rPr>
              <w:t>$27,168</w:t>
            </w:r>
          </w:p>
        </w:tc>
        <w:tc>
          <w:tcPr>
            <w:tcW w:w="4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9E9E9"/>
          </w:tcPr>
          <w:p>
            <w:pPr>
              <w:jc w:val="right"/>
              <w:ind w:right="484"/>
              <w:spacing w:after="0"/>
              <w:rPr>
                <w:sz w:val="20"/>
                <w:szCs w:val="20"/>
                <w:color w:val="auto"/>
              </w:rPr>
            </w:pPr>
            <w:r>
              <w:rPr>
                <w:rFonts w:ascii="Arial" w:cs="Arial" w:eastAsia="Arial" w:hAnsi="Arial"/>
                <w:sz w:val="16"/>
                <w:szCs w:val="16"/>
                <w:color w:val="auto"/>
              </w:rPr>
              <w:t>(2,043)</w:t>
            </w:r>
          </w:p>
        </w:tc>
        <w:tc>
          <w:tcPr>
            <w:tcW w:w="1380" w:type="dxa"/>
            <w:vAlign w:val="bottom"/>
            <w:shd w:val="clear" w:color="auto" w:fill="E9E9E9"/>
          </w:tcPr>
          <w:p>
            <w:pPr>
              <w:jc w:val="right"/>
              <w:ind w:right="328"/>
              <w:spacing w:after="0"/>
              <w:rPr>
                <w:sz w:val="20"/>
                <w:szCs w:val="20"/>
                <w:color w:val="auto"/>
              </w:rPr>
            </w:pPr>
            <w:r>
              <w:rPr>
                <w:rFonts w:ascii="Arial" w:cs="Arial" w:eastAsia="Arial" w:hAnsi="Arial"/>
                <w:sz w:val="16"/>
                <w:szCs w:val="16"/>
                <w:color w:val="auto"/>
              </w:rPr>
              <w:t>—</w:t>
            </w:r>
          </w:p>
        </w:tc>
        <w:tc>
          <w:tcPr>
            <w:tcW w:w="2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234,306</w:t>
            </w:r>
          </w:p>
        </w:tc>
        <w:tc>
          <w:tcPr>
            <w:tcW w:w="220" w:type="dxa"/>
            <w:vAlign w:val="bottom"/>
            <w:shd w:val="clear" w:color="auto" w:fill="E9E9E9"/>
          </w:tcPr>
          <w:p>
            <w:pPr>
              <w:spacing w:after="0"/>
              <w:rPr>
                <w:sz w:val="19"/>
                <w:szCs w:val="19"/>
                <w:color w:val="auto"/>
              </w:rPr>
            </w:pPr>
          </w:p>
        </w:tc>
      </w:tr>
    </w:tbl>
    <w:p>
      <w:pPr>
        <w:spacing w:after="0" w:line="221" w:lineRule="exact"/>
        <w:rPr>
          <w:sz w:val="20"/>
          <w:szCs w:val="20"/>
          <w:color w:val="auto"/>
        </w:rPr>
      </w:pPr>
    </w:p>
    <w:p>
      <w:pPr>
        <w:ind w:left="443" w:hanging="443"/>
        <w:spacing w:after="0"/>
        <w:tabs>
          <w:tab w:leader="none" w:pos="4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Amount shown is a portion of Mr. Crutcher’s profit sharing for 2010, which was paid in 2011.</w:t>
      </w:r>
    </w:p>
    <w:p>
      <w:pPr>
        <w:spacing w:after="0" w:line="216" w:lineRule="exact"/>
        <w:rPr>
          <w:rFonts w:ascii="Arial" w:cs="Arial" w:eastAsia="Arial" w:hAnsi="Arial"/>
          <w:sz w:val="16"/>
          <w:szCs w:val="16"/>
          <w:color w:val="auto"/>
        </w:rPr>
      </w:pPr>
    </w:p>
    <w:p>
      <w:pPr>
        <w:ind w:left="443" w:right="240" w:hanging="443"/>
        <w:spacing w:after="0" w:line="243" w:lineRule="auto"/>
        <w:tabs>
          <w:tab w:leader="none" w:pos="4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Company matching contributions pursuant to the defined contribution plan. These amounts are included in the All Other Compensation column of the 2011 summary compensation table on page 79.</w:t>
      </w:r>
    </w:p>
    <w:p>
      <w:pPr>
        <w:spacing w:after="0" w:line="209" w:lineRule="exact"/>
        <w:rPr>
          <w:rFonts w:ascii="Arial" w:cs="Arial" w:eastAsia="Arial" w:hAnsi="Arial"/>
          <w:sz w:val="16"/>
          <w:szCs w:val="16"/>
          <w:color w:val="auto"/>
        </w:rPr>
      </w:pPr>
    </w:p>
    <w:p>
      <w:pPr>
        <w:ind w:left="443" w:right="40" w:hanging="443"/>
        <w:spacing w:after="0" w:line="239" w:lineRule="auto"/>
        <w:tabs>
          <w:tab w:leader="none" w:pos="4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(a) $67,200 in dividend equivalents paid under the 120,000-share 1995 RSU award discussed on page 85, settlement of which has been deferred until after termination of employment; (b) a $406,800 decrease in the value of the RSU award (calculated by subtracting $3,900,000 (the value of the award at year-end 2010) from $3,493,200 (the value of the award at year-end 2011) (in both cases, the number of RSUs is multiplied by the closing price of TI common stock on the last trading date of the year)); and (c) a $9,455 loss in Mr. Templeton’s deferred compensation account in 2011. Dividend equivalents are paid at the same rate as dividends on the company’s common stock.</w:t>
      </w:r>
    </w:p>
    <w:p>
      <w:pPr>
        <w:spacing w:after="0" w:line="223" w:lineRule="exact"/>
        <w:rPr>
          <w:rFonts w:ascii="Arial" w:cs="Arial" w:eastAsia="Arial" w:hAnsi="Arial"/>
          <w:sz w:val="16"/>
          <w:szCs w:val="16"/>
          <w:color w:val="auto"/>
        </w:rPr>
      </w:pPr>
    </w:p>
    <w:p>
      <w:pPr>
        <w:ind w:left="443" w:hanging="443"/>
        <w:spacing w:after="0"/>
        <w:tabs>
          <w:tab w:leader="none" w:pos="4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Dividend equivalents paid on the RSUs discussed in note 3.</w:t>
      </w:r>
    </w:p>
    <w:p>
      <w:pPr>
        <w:spacing w:after="0" w:line="259" w:lineRule="exact"/>
        <w:rPr>
          <w:sz w:val="20"/>
          <w:szCs w:val="20"/>
          <w:color w:val="auto"/>
        </w:rPr>
      </w:pPr>
    </w:p>
    <w:p>
      <w:pPr>
        <w:ind w:left="3"/>
        <w:spacing w:after="0"/>
        <w:tabs>
          <w:tab w:leader="none" w:pos="960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79" w:right="219" w:bottom="1440" w:gutter="0" w:footer="0" w:header="0"/>
        </w:sectPr>
      </w:pPr>
    </w:p>
    <w:bookmarkStart w:id="34" w:name="page35"/>
    <w:bookmarkEnd w:id="34"/>
    <w:p>
      <w:pPr>
        <w:ind w:left="443" w:right="400" w:hanging="443"/>
        <w:spacing w:after="0" w:line="243" w:lineRule="auto"/>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amounts reported in the Summary Compensation Table in the current or prior-year proxy statements as follows: Mr. Templeton, $2,479,013; Mr. Lowe, $935,466; and Mr. Crutcher, $102,737.</w:t>
      </w:r>
    </w:p>
    <w:p>
      <w:pPr>
        <w:spacing w:after="0" w:line="209" w:lineRule="exact"/>
        <w:rPr>
          <w:rFonts w:ascii="Arial" w:cs="Arial" w:eastAsia="Arial" w:hAnsi="Arial"/>
          <w:sz w:val="16"/>
          <w:szCs w:val="16"/>
          <w:color w:val="auto"/>
        </w:rPr>
      </w:pPr>
    </w:p>
    <w:p>
      <w:pPr>
        <w:ind w:left="443" w:right="620" w:hanging="443"/>
        <w:spacing w:after="0" w:line="243" w:lineRule="auto"/>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Of this amount, $3,493,200 is attributable to Mr. Templeton’s 1995 RSU award, calculated as described in note 3. The remainder is the balance of his deferred compensation account.</w:t>
      </w:r>
    </w:p>
    <w:p>
      <w:pPr>
        <w:spacing w:after="0" w:line="185" w:lineRule="exact"/>
        <w:rPr>
          <w:sz w:val="20"/>
          <w:szCs w:val="20"/>
          <w:color w:val="auto"/>
        </w:rPr>
      </w:pPr>
    </w:p>
    <w:p>
      <w:pPr>
        <w:ind w:left="3" w:right="20"/>
        <w:spacing w:after="0" w:line="239" w:lineRule="auto"/>
        <w:rPr>
          <w:sz w:val="20"/>
          <w:szCs w:val="20"/>
          <w:color w:val="auto"/>
        </w:rPr>
      </w:pPr>
      <w:r>
        <w:rPr>
          <w:rFonts w:ascii="Arial" w:cs="Arial" w:eastAsia="Arial" w:hAnsi="Arial"/>
          <w:sz w:val="16"/>
          <w:szCs w:val="16"/>
          <w:color w:val="auto"/>
        </w:rPr>
        <w:t>Please see page 77 under the Benefits heading of the Compensation Discussion and Analysis for a discussion of the purpose of the plan. An employee’s deferred compensation account contains eligible compensation the employee has elected to defer and contributions by the company that are in excess of the IRS limits on (i) contributions the company may make to the enhanced defined contribution plan and (ii) matching contributions the company may make related to compensation the executive officer deferred into his deferred compensation account.</w:t>
      </w:r>
    </w:p>
    <w:p>
      <w:pPr>
        <w:spacing w:after="0" w:line="19" w:lineRule="exact"/>
        <w:rPr>
          <w:sz w:val="20"/>
          <w:szCs w:val="20"/>
          <w:color w:val="auto"/>
        </w:rPr>
      </w:pPr>
    </w:p>
    <w:p>
      <w:pPr>
        <w:ind w:left="243"/>
        <w:spacing w:after="0"/>
        <w:rPr>
          <w:sz w:val="20"/>
          <w:szCs w:val="20"/>
          <w:color w:val="auto"/>
        </w:rPr>
      </w:pPr>
      <w:r>
        <w:rPr>
          <w:rFonts w:ascii="Arial" w:cs="Arial" w:eastAsia="Arial" w:hAnsi="Arial"/>
          <w:sz w:val="15"/>
          <w:szCs w:val="15"/>
          <w:color w:val="auto"/>
        </w:rPr>
        <w:t>Participants in the deferred compensation plan may choose to defer up to (i) 25 percent of their base salary, (ii) 90 percent of their performance bonus, and (iii)</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6"/>
          <w:szCs w:val="16"/>
          <w:color w:val="auto"/>
        </w:rPr>
        <w:t>90 percent of profit sharing. Elections to defer compensation must be made in the calendar year prior to the year in which the compensation will be earned.</w:t>
      </w:r>
    </w:p>
    <w:p>
      <w:pPr>
        <w:spacing w:after="0" w:line="22" w:lineRule="exact"/>
        <w:rPr>
          <w:sz w:val="20"/>
          <w:szCs w:val="20"/>
          <w:color w:val="auto"/>
        </w:rPr>
      </w:pPr>
    </w:p>
    <w:p>
      <w:pPr>
        <w:ind w:left="3" w:firstLine="243"/>
        <w:spacing w:after="0" w:line="257" w:lineRule="auto"/>
        <w:rPr>
          <w:sz w:val="20"/>
          <w:szCs w:val="20"/>
          <w:color w:val="auto"/>
        </w:rPr>
      </w:pPr>
      <w:r>
        <w:rPr>
          <w:rFonts w:ascii="Arial" w:cs="Arial" w:eastAsia="Arial" w:hAnsi="Arial"/>
          <w:sz w:val="15"/>
          <w:szCs w:val="15"/>
          <w:color w:val="auto"/>
        </w:rPr>
        <w:t>The company has determined that the investment alternatives for deferred compensation balances should generally be the same as the investment alternatives available under the company’s defined contribution plan. These investment alternatives may be changed at any time. During 2011, participants could choose to have their deferred compensation mirror the performance of one or more of the following mutual funds, each of which is managed by a third party (these alternatives are a subset of those offered to participants in the defined contribution plans): Northern Trust Short Term Investment Fund, Northern Trust Daily Aggregate Bond Fund Index, Northern Trust Russell 1000 Value Equity Index, Northern Trust Russell 1000 Growth Equity Index, Northern Trust Russell 2000 Equity Index, Northern Trust S&amp;P 400 Index Fund, Fidelity Puritan Fund, BlackRock Equity Index Fund, BlackRock (EAFE) (Europe, Australia, Far East) Equity Index Fund, BlackRock Lifepath Index 2020 Fund, BlackRock Lifepath Index 2030 Fund, BlackRock Lifepath Index 2040 Fund, BlackRock Lifepath Index 2050 Fund and the BlackRock Lifepath Index Retirement Fund. From among the available investment alternatives, participants may change their instructions relating to their deferred compensation daily. Earnings on a participant’s balance are determined solely by the performance of the investments that the participant has chosen for his plan balance. The company does not guarantee any minimum return on investments. A third party administers the company’s deferred compensation program.</w:t>
      </w:r>
    </w:p>
    <w:p>
      <w:pPr>
        <w:spacing w:after="0" w:line="8" w:lineRule="exact"/>
        <w:rPr>
          <w:sz w:val="20"/>
          <w:szCs w:val="20"/>
          <w:color w:val="auto"/>
        </w:rPr>
      </w:pPr>
    </w:p>
    <w:p>
      <w:pPr>
        <w:ind w:left="3" w:right="40" w:firstLine="243"/>
        <w:spacing w:after="0" w:line="248" w:lineRule="auto"/>
        <w:rPr>
          <w:sz w:val="20"/>
          <w:szCs w:val="20"/>
          <w:color w:val="auto"/>
        </w:rPr>
      </w:pPr>
      <w:r>
        <w:rPr>
          <w:rFonts w:ascii="Arial" w:cs="Arial" w:eastAsia="Arial" w:hAnsi="Arial"/>
          <w:sz w:val="16"/>
          <w:szCs w:val="16"/>
          <w:color w:val="auto"/>
        </w:rPr>
        <w:t>A participant may request distribution from the plan in the case of an unforeseeable emergency. To obtain an unforeseeable emergency withdrawal, a participant must meet the requirements of Section 409A of the IRC. Otherwise, a participant’s balance is paid pursuant to his distribution election and is subject to applicable IRC limitations.</w:t>
      </w:r>
    </w:p>
    <w:p>
      <w:pPr>
        <w:spacing w:after="0" w:line="12" w:lineRule="exact"/>
        <w:rPr>
          <w:sz w:val="20"/>
          <w:szCs w:val="20"/>
          <w:color w:val="auto"/>
        </w:rPr>
      </w:pPr>
    </w:p>
    <w:p>
      <w:pPr>
        <w:ind w:left="3" w:right="100" w:firstLine="243"/>
        <w:spacing w:after="0" w:line="265" w:lineRule="auto"/>
        <w:rPr>
          <w:sz w:val="20"/>
          <w:szCs w:val="20"/>
          <w:color w:val="auto"/>
        </w:rPr>
      </w:pPr>
      <w:r>
        <w:rPr>
          <w:rFonts w:ascii="Arial" w:cs="Arial" w:eastAsia="Arial" w:hAnsi="Arial"/>
          <w:sz w:val="15"/>
          <w:szCs w:val="15"/>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2" w:lineRule="exact"/>
        <w:rPr>
          <w:sz w:val="20"/>
          <w:szCs w:val="20"/>
          <w:color w:val="auto"/>
        </w:rPr>
      </w:pPr>
    </w:p>
    <w:p>
      <w:pPr>
        <w:ind w:left="243"/>
        <w:spacing w:after="0"/>
        <w:rPr>
          <w:sz w:val="20"/>
          <w:szCs w:val="20"/>
          <w:color w:val="auto"/>
        </w:rPr>
      </w:pPr>
      <w:r>
        <w:rPr>
          <w:rFonts w:ascii="Arial" w:cs="Arial" w:eastAsia="Arial" w:hAnsi="Arial"/>
          <w:sz w:val="16"/>
          <w:szCs w:val="16"/>
          <w:color w:val="auto"/>
        </w:rPr>
        <w:t>In the event of the participant’s death, the earliest date of payment is the first day of the second calendar month following the month of death.</w:t>
      </w:r>
    </w:p>
    <w:p>
      <w:pPr>
        <w:spacing w:after="0" w:line="34" w:lineRule="exact"/>
        <w:rPr>
          <w:sz w:val="20"/>
          <w:szCs w:val="20"/>
          <w:color w:val="auto"/>
        </w:rPr>
      </w:pPr>
    </w:p>
    <w:p>
      <w:pPr>
        <w:ind w:left="3" w:right="540" w:firstLine="243"/>
        <w:spacing w:after="0" w:line="244" w:lineRule="auto"/>
        <w:rPr>
          <w:sz w:val="20"/>
          <w:szCs w:val="20"/>
          <w:color w:val="auto"/>
        </w:rPr>
      </w:pPr>
      <w:r>
        <w:rPr>
          <w:rFonts w:ascii="Arial" w:cs="Arial" w:eastAsia="Arial" w:hAnsi="Arial"/>
          <w:sz w:val="16"/>
          <w:szCs w:val="16"/>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Potential payments upon termination or change in control</w:t>
      </w:r>
    </w:p>
    <w:p>
      <w:pPr>
        <w:spacing w:after="0" w:line="212" w:lineRule="exact"/>
        <w:rPr>
          <w:sz w:val="20"/>
          <w:szCs w:val="20"/>
          <w:color w:val="auto"/>
        </w:rPr>
      </w:pPr>
    </w:p>
    <w:p>
      <w:pPr>
        <w:ind w:left="3" w:right="220"/>
        <w:spacing w:after="0"/>
        <w:rPr>
          <w:sz w:val="20"/>
          <w:szCs w:val="20"/>
          <w:color w:val="auto"/>
        </w:rPr>
      </w:pPr>
      <w:r>
        <w:rPr>
          <w:rFonts w:ascii="Arial" w:cs="Arial" w:eastAsia="Arial" w:hAnsi="Arial"/>
          <w:sz w:val="16"/>
          <w:szCs w:val="16"/>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u w:val="single" w:color="auto"/>
          <w:color w:val="auto"/>
        </w:rPr>
        <w:t>Termination</w:t>
      </w:r>
    </w:p>
    <w:p>
      <w:pPr>
        <w:ind w:left="3" w:right="40"/>
        <w:spacing w:after="0"/>
        <w:rPr>
          <w:sz w:val="20"/>
          <w:szCs w:val="20"/>
          <w:color w:val="auto"/>
        </w:rPr>
      </w:pPr>
      <w:r>
        <w:rPr>
          <w:rFonts w:ascii="Arial" w:cs="Arial" w:eastAsia="Arial" w:hAnsi="Arial"/>
          <w:sz w:val="16"/>
          <w:szCs w:val="16"/>
          <w:color w:val="auto"/>
        </w:rPr>
        <w:t>The following programs may result in payments to a named executive officer whose employment terminates. Most of these programs have been discussed above in the proxy statement. For a discussion of the impact of these programs on the compensation decisions for 2011, please see the Compensation Discussion and Analysis on page 78.</w:t>
      </w:r>
    </w:p>
    <w:p>
      <w:pPr>
        <w:spacing w:after="0" w:line="172" w:lineRule="exact"/>
        <w:rPr>
          <w:sz w:val="20"/>
          <w:szCs w:val="20"/>
          <w:color w:val="auto"/>
        </w:rPr>
      </w:pPr>
    </w:p>
    <w:p>
      <w:pPr>
        <w:ind w:left="3" w:right="20"/>
        <w:spacing w:after="0" w:line="250" w:lineRule="auto"/>
        <w:rPr>
          <w:sz w:val="20"/>
          <w:szCs w:val="20"/>
          <w:color w:val="auto"/>
        </w:rPr>
      </w:pPr>
      <w:r>
        <w:rPr>
          <w:rFonts w:ascii="Arial" w:cs="Arial" w:eastAsia="Arial" w:hAnsi="Arial"/>
          <w:sz w:val="16"/>
          <w:szCs w:val="16"/>
          <w:i w:val="1"/>
          <w:iCs w:val="1"/>
          <w:color w:val="auto"/>
        </w:rPr>
        <w:t xml:space="preserve">Bonus. </w:t>
      </w:r>
      <w:r>
        <w:rPr>
          <w:rFonts w:ascii="Arial" w:cs="Arial" w:eastAsia="Arial" w:hAnsi="Arial"/>
          <w:sz w:val="16"/>
          <w:szCs w:val="16"/>
          <w:color w:val="auto"/>
        </w:rPr>
        <w:t>Our policies concerning bonus and the timing of payments are described on page 70. Whether a bonus would be awarded, and in what amount, to an</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whose employment has terminated would depend on the circumstances of termination. It may be presumed that no bonus would be awarded in the event of a termination for cause. If awarded, bonuses are paid by the company.</w:t>
      </w:r>
    </w:p>
    <w:p>
      <w:pPr>
        <w:spacing w:after="0" w:line="200" w:lineRule="exact"/>
        <w:rPr>
          <w:sz w:val="20"/>
          <w:szCs w:val="20"/>
          <w:color w:val="auto"/>
        </w:rPr>
      </w:pPr>
    </w:p>
    <w:p>
      <w:pPr>
        <w:ind w:left="3"/>
        <w:spacing w:after="0"/>
        <w:tabs>
          <w:tab w:leader="none" w:pos="10103" w:val="left"/>
        </w:tabs>
        <w:rPr>
          <w:sz w:val="20"/>
          <w:szCs w:val="20"/>
          <w:color w:val="auto"/>
        </w:rPr>
      </w:pPr>
      <w:r>
        <w:rPr>
          <w:rFonts w:ascii="Arial" w:cs="Arial" w:eastAsia="Arial" w:hAnsi="Arial"/>
          <w:sz w:val="12"/>
          <w:szCs w:val="12"/>
          <w:b w:val="1"/>
          <w:bCs w:val="1"/>
          <w:color w:val="auto"/>
        </w:rPr>
        <w:t xml:space="preserve">88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361" w:right="219" w:bottom="1440" w:gutter="0" w:footer="0" w:header="0"/>
        </w:sectPr>
      </w:pPr>
    </w:p>
    <w:bookmarkStart w:id="35" w:name="page36"/>
    <w:bookmarkEnd w:id="35"/>
    <w:p>
      <w:pPr>
        <w:jc w:val="both"/>
        <w:ind w:left="3" w:right="20"/>
        <w:spacing w:after="0" w:line="250" w:lineRule="auto"/>
        <w:rPr>
          <w:sz w:val="20"/>
          <w:szCs w:val="20"/>
          <w:color w:val="auto"/>
        </w:rPr>
      </w:pPr>
      <w:r>
        <w:rPr>
          <w:rFonts w:ascii="Arial" w:cs="Arial" w:eastAsia="Arial" w:hAnsi="Arial"/>
          <w:sz w:val="16"/>
          <w:szCs w:val="16"/>
          <w:i w:val="1"/>
          <w:iCs w:val="1"/>
          <w:color w:val="auto"/>
        </w:rPr>
        <w:t xml:space="preserve">Qualified and non-qualified defined benefit pension plans. </w:t>
      </w:r>
      <w:r>
        <w:rPr>
          <w:rFonts w:ascii="Arial" w:cs="Arial" w:eastAsia="Arial" w:hAnsi="Arial"/>
          <w:sz w:val="16"/>
          <w:szCs w:val="16"/>
          <w:color w:val="auto"/>
        </w:rPr>
        <w:t>The purposes of these plans are described on page 77. The formula for determining benefits, the forms of</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and the timing of payments are described on pages 85-87. The amounts disbursed under the qualified and non-qualified plans are paid, respectively, by the TI Employees Pension Trust and the company.</w:t>
      </w:r>
    </w:p>
    <w:p>
      <w:pPr>
        <w:spacing w:after="0" w:line="165" w:lineRule="exact"/>
        <w:rPr>
          <w:sz w:val="20"/>
          <w:szCs w:val="20"/>
          <w:color w:val="auto"/>
        </w:rPr>
      </w:pPr>
    </w:p>
    <w:p>
      <w:pPr>
        <w:ind w:left="3" w:right="400"/>
        <w:spacing w:after="0" w:line="264" w:lineRule="auto"/>
        <w:rPr>
          <w:sz w:val="20"/>
          <w:szCs w:val="20"/>
          <w:color w:val="auto"/>
        </w:rPr>
      </w:pPr>
      <w:r>
        <w:rPr>
          <w:rFonts w:ascii="Arial" w:cs="Arial" w:eastAsia="Arial" w:hAnsi="Arial"/>
          <w:sz w:val="16"/>
          <w:szCs w:val="16"/>
          <w:i w:val="1"/>
          <w:iCs w:val="1"/>
          <w:color w:val="auto"/>
        </w:rPr>
        <w:t xml:space="preserve">Survivor benefit plan. </w:t>
      </w:r>
      <w:r>
        <w:rPr>
          <w:rFonts w:ascii="Arial" w:cs="Arial" w:eastAsia="Arial" w:hAnsi="Arial"/>
          <w:sz w:val="16"/>
          <w:szCs w:val="16"/>
          <w:color w:val="auto"/>
        </w:rPr>
        <w:t>The purpose of this plan is described on page 87. The formula for determining the amount of benefit, the form of benefit and the timing of</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are described on page 87. Amounts distributed are paid by the TI Employees Health Benefit Trust.</w:t>
      </w:r>
    </w:p>
    <w:p>
      <w:pPr>
        <w:spacing w:after="0" w:line="153" w:lineRule="exact"/>
        <w:rPr>
          <w:sz w:val="20"/>
          <w:szCs w:val="20"/>
          <w:color w:val="auto"/>
        </w:rPr>
      </w:pPr>
    </w:p>
    <w:p>
      <w:pPr>
        <w:ind w:left="3" w:right="260"/>
        <w:spacing w:after="0" w:line="297" w:lineRule="auto"/>
        <w:rPr>
          <w:sz w:val="20"/>
          <w:szCs w:val="20"/>
          <w:color w:val="auto"/>
        </w:rPr>
      </w:pPr>
      <w:r>
        <w:rPr>
          <w:rFonts w:ascii="Arial" w:cs="Arial" w:eastAsia="Arial" w:hAnsi="Arial"/>
          <w:sz w:val="15"/>
          <w:szCs w:val="15"/>
          <w:i w:val="1"/>
          <w:iCs w:val="1"/>
          <w:color w:val="auto"/>
        </w:rPr>
        <w:t xml:space="preserve">Deferred compensation plan. </w:t>
      </w:r>
      <w:r>
        <w:rPr>
          <w:rFonts w:ascii="Arial" w:cs="Arial" w:eastAsia="Arial" w:hAnsi="Arial"/>
          <w:sz w:val="15"/>
          <w:szCs w:val="15"/>
          <w:color w:val="auto"/>
        </w:rPr>
        <w:t>The purpose of this plan is described on page 77. The amounts payable under this program depend solely on the performance of</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that the participant has chosen for his plan balance. The timing of payments is discussed on page 88. Amounts distributed are paid by the company.</w:t>
      </w:r>
    </w:p>
    <w:p>
      <w:pPr>
        <w:spacing w:after="0" w:line="131" w:lineRule="exact"/>
        <w:rPr>
          <w:sz w:val="20"/>
          <w:szCs w:val="20"/>
          <w:color w:val="auto"/>
        </w:rPr>
      </w:pPr>
    </w:p>
    <w:p>
      <w:pPr>
        <w:ind w:left="3" w:right="180"/>
        <w:spacing w:after="0" w:line="250" w:lineRule="auto"/>
        <w:rPr>
          <w:sz w:val="20"/>
          <w:szCs w:val="20"/>
          <w:color w:val="auto"/>
        </w:rPr>
      </w:pPr>
      <w:r>
        <w:rPr>
          <w:rFonts w:ascii="Arial" w:cs="Arial" w:eastAsia="Arial" w:hAnsi="Arial"/>
          <w:sz w:val="16"/>
          <w:szCs w:val="16"/>
          <w:i w:val="1"/>
          <w:iCs w:val="1"/>
          <w:color w:val="auto"/>
        </w:rPr>
        <w:t xml:space="preserve">Equity compensation. </w:t>
      </w:r>
      <w:r>
        <w:rPr>
          <w:rFonts w:ascii="Arial" w:cs="Arial" w:eastAsia="Arial" w:hAnsi="Arial"/>
          <w:sz w:val="16"/>
          <w:szCs w:val="16"/>
          <w:color w:val="auto"/>
        </w:rPr>
        <w:t>Depending on the circumstances of termination, grantees whose employment terminates may retain the right to exercise previously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and receive shares under outstanding RSU awards. Please see pages 84-85. RSU awards include a right to receive dividend equivalents. The dividend equivalents are paid annually by the company in a single cash payment after the last dividend payment of the year.</w:t>
      </w:r>
    </w:p>
    <w:p>
      <w:pPr>
        <w:spacing w:after="0" w:line="165" w:lineRule="exact"/>
        <w:rPr>
          <w:sz w:val="20"/>
          <w:szCs w:val="20"/>
          <w:color w:val="auto"/>
        </w:rPr>
      </w:pPr>
    </w:p>
    <w:p>
      <w:pPr>
        <w:ind w:left="3" w:right="20"/>
        <w:spacing w:after="0" w:line="243" w:lineRule="auto"/>
        <w:rPr>
          <w:sz w:val="20"/>
          <w:szCs w:val="20"/>
          <w:color w:val="auto"/>
        </w:rPr>
      </w:pPr>
      <w:r>
        <w:rPr>
          <w:rFonts w:ascii="Arial" w:cs="Arial" w:eastAsia="Arial" w:hAnsi="Arial"/>
          <w:sz w:val="16"/>
          <w:szCs w:val="16"/>
          <w:i w:val="1"/>
          <w:iCs w:val="1"/>
          <w:color w:val="auto"/>
        </w:rPr>
        <w:t xml:space="preserve">Profit sharing. </w:t>
      </w:r>
      <w:r>
        <w:rPr>
          <w:rFonts w:ascii="Arial" w:cs="Arial" w:eastAsia="Arial" w:hAnsi="Arial"/>
          <w:sz w:val="16"/>
          <w:szCs w:val="16"/>
          <w:color w:val="auto"/>
        </w:rPr>
        <w:t>The purpose of this program, the formula for determining payments and the timing of payments are described on page 69. Like other U.S.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if a named executive officer remains employed through the end of the year, he will receive any profit sharing paid for that year. In the event of retirement or commencement of a bridge to retirement, any profit sharing will be paid for the portion of the year worked before retirement or the beginning of the bridge. In the event of termination due to disability or death, the officer or his beneficiaries would receive any profit sharing paid for the year. Profit sharing payments are made by the company.</w:t>
      </w:r>
    </w:p>
    <w:p>
      <w:pPr>
        <w:spacing w:after="0" w:line="172" w:lineRule="exact"/>
        <w:rPr>
          <w:sz w:val="20"/>
          <w:szCs w:val="20"/>
          <w:color w:val="auto"/>
        </w:rPr>
      </w:pPr>
    </w:p>
    <w:p>
      <w:pPr>
        <w:ind w:left="3" w:right="20"/>
        <w:spacing w:after="0" w:line="246" w:lineRule="auto"/>
        <w:rPr>
          <w:sz w:val="20"/>
          <w:szCs w:val="20"/>
          <w:color w:val="auto"/>
        </w:rPr>
      </w:pPr>
      <w:r>
        <w:rPr>
          <w:rFonts w:ascii="Arial" w:cs="Arial" w:eastAsia="Arial" w:hAnsi="Arial"/>
          <w:sz w:val="16"/>
          <w:szCs w:val="16"/>
          <w:i w:val="1"/>
          <w:iCs w:val="1"/>
          <w:color w:val="auto"/>
        </w:rPr>
        <w:t xml:space="preserve">Time bank. </w:t>
      </w:r>
      <w:r>
        <w:rPr>
          <w:rFonts w:ascii="Arial" w:cs="Arial" w:eastAsia="Arial" w:hAnsi="Arial"/>
          <w:sz w:val="16"/>
          <w:szCs w:val="16"/>
          <w:color w:val="auto"/>
        </w:rPr>
        <w:t>Based on years of employment with the company, employees accrue hours in a time bank. Time bank hours may be used for paid absences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office such as vacation and sick days. Employees receive a cash payment for any time bank hours still outstanding on termination of employment. The amount paid is calculated by applying the employee’s base salary rate in effect at the time of termination to the number of hours remaining in the time bank. Time bank payments are made in a lump sum by the company. They are ordinarily paid no later than what would have been the employee’s next regular pay cycle.</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 xml:space="preserve">Perquisites. </w:t>
      </w:r>
      <w:r>
        <w:rPr>
          <w:rFonts w:ascii="Arial" w:cs="Arial" w:eastAsia="Arial" w:hAnsi="Arial"/>
          <w:sz w:val="16"/>
          <w:szCs w:val="16"/>
          <w:color w:val="auto"/>
        </w:rPr>
        <w:t>Financial counseling is available to executive officers in the year after retirement. Otherwise, no perquisites continue after termination of employment.</w:t>
      </w:r>
    </w:p>
    <w:p>
      <w:pPr>
        <w:spacing w:after="0" w:line="208" w:lineRule="exact"/>
        <w:rPr>
          <w:sz w:val="20"/>
          <w:szCs w:val="20"/>
          <w:color w:val="auto"/>
        </w:rPr>
      </w:pPr>
    </w:p>
    <w:p>
      <w:pPr>
        <w:ind w:left="3" w:right="100"/>
        <w:spacing w:after="0" w:line="275" w:lineRule="auto"/>
        <w:rPr>
          <w:sz w:val="20"/>
          <w:szCs w:val="20"/>
          <w:color w:val="auto"/>
        </w:rPr>
      </w:pPr>
      <w:r>
        <w:rPr>
          <w:rFonts w:ascii="Arial" w:cs="Arial" w:eastAsia="Arial" w:hAnsi="Arial"/>
          <w:sz w:val="15"/>
          <w:szCs w:val="15"/>
          <w:color w:val="auto"/>
        </w:rPr>
        <w:t>The following tables indicate the amounts for which each named executive officer would have been eligible if his employment had terminated on December 31, 2011, as a result of disability, death, involuntary termination for cause, resignation, retirement or involuntary termination not for cause (excluding change in control).</w:t>
      </w:r>
    </w:p>
    <w:p>
      <w:pPr>
        <w:spacing w:after="0" w:line="14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Termination due to disability</w:t>
      </w:r>
    </w:p>
    <w:p>
      <w:pPr>
        <w:spacing w:after="0" w:line="231"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1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4"/>
              </w:rPr>
              <w:t>Non-</w:t>
            </w:r>
          </w:p>
        </w:tc>
        <w:tc>
          <w:tcPr>
            <w:tcW w:w="220" w:type="dxa"/>
            <w:vAlign w:val="bottom"/>
          </w:tcPr>
          <w:p>
            <w:pPr>
              <w:spacing w:after="0"/>
              <w:rPr>
                <w:sz w:val="13"/>
                <w:szCs w:val="13"/>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Non-</w:t>
            </w: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8"/>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71"/>
              <w:spacing w:after="0"/>
              <w:rPr>
                <w:sz w:val="20"/>
                <w:szCs w:val="20"/>
                <w:color w:val="auto"/>
              </w:rPr>
            </w:pPr>
            <w:r>
              <w:rPr>
                <w:rFonts w:ascii="Arial" w:cs="Arial" w:eastAsia="Arial" w:hAnsi="Arial"/>
                <w:sz w:val="12"/>
                <w:szCs w:val="12"/>
                <w:b w:val="1"/>
                <w:bCs w:val="1"/>
                <w:color w:val="auto"/>
              </w:rPr>
              <w:t>Qualified</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Qualified</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Qualified</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71"/>
              <w:spacing w:after="0"/>
              <w:rPr>
                <w:sz w:val="20"/>
                <w:szCs w:val="20"/>
                <w:color w:val="auto"/>
              </w:rPr>
            </w:pPr>
            <w:r>
              <w:rPr>
                <w:rFonts w:ascii="Arial" w:cs="Arial" w:eastAsia="Arial" w:hAnsi="Arial"/>
                <w:sz w:val="12"/>
                <w:szCs w:val="12"/>
                <w:b w:val="1"/>
                <w:bCs w:val="1"/>
                <w:color w:val="auto"/>
                <w:w w:val="99"/>
              </w:rPr>
              <w:t>Defined</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Defined</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w w:val="99"/>
              </w:rPr>
              <w:t>Defined</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71"/>
              <w:spacing w:after="0"/>
              <w:rPr>
                <w:sz w:val="20"/>
                <w:szCs w:val="20"/>
                <w:color w:val="auto"/>
              </w:rPr>
            </w:pPr>
            <w:r>
              <w:rPr>
                <w:rFonts w:ascii="Arial" w:cs="Arial" w:eastAsia="Arial" w:hAnsi="Arial"/>
                <w:sz w:val="12"/>
                <w:szCs w:val="12"/>
                <w:b w:val="1"/>
                <w:bCs w:val="1"/>
                <w:color w:val="auto"/>
                <w:w w:val="98"/>
              </w:rPr>
              <w:t>Benefit</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Benefit</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w w:val="98"/>
              </w:rPr>
              <w:t>Benefit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71"/>
              <w:spacing w:after="0"/>
              <w:rPr>
                <w:sz w:val="20"/>
                <w:szCs w:val="20"/>
                <w:color w:val="auto"/>
              </w:rPr>
            </w:pPr>
            <w:r>
              <w:rPr>
                <w:rFonts w:ascii="Arial" w:cs="Arial" w:eastAsia="Arial" w:hAnsi="Arial"/>
                <w:sz w:val="12"/>
                <w:szCs w:val="12"/>
                <w:b w:val="1"/>
                <w:bCs w:val="1"/>
                <w:color w:val="auto"/>
              </w:rPr>
              <w:t>Pension</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8"/>
              </w:rPr>
              <w:t>Pension</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Pension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68"/>
              <w:spacing w:after="0"/>
              <w:rPr>
                <w:sz w:val="20"/>
                <w:szCs w:val="20"/>
                <w:color w:val="auto"/>
              </w:rPr>
            </w:pPr>
            <w:r>
              <w:rPr>
                <w:rFonts w:ascii="Arial" w:cs="Arial" w:eastAsia="Arial" w:hAnsi="Arial"/>
                <w:sz w:val="12"/>
                <w:szCs w:val="12"/>
                <w:b w:val="1"/>
                <w:bCs w:val="1"/>
                <w:color w:val="auto"/>
              </w:rPr>
              <w:t>Stock</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Profit</w:t>
            </w:r>
          </w:p>
        </w:tc>
        <w:tc>
          <w:tcPr>
            <w:tcW w:w="220" w:type="dxa"/>
            <w:vAlign w:val="bottom"/>
          </w:tcPr>
          <w:p>
            <w:pPr>
              <w:spacing w:after="0"/>
              <w:rPr>
                <w:sz w:val="18"/>
                <w:szCs w:val="18"/>
                <w:color w:val="auto"/>
              </w:rPr>
            </w:pPr>
          </w:p>
        </w:tc>
        <w:tc>
          <w:tcPr>
            <w:tcW w:w="720" w:type="dxa"/>
            <w:vAlign w:val="bottom"/>
          </w:tcPr>
          <w:p>
            <w:pPr>
              <w:jc w:val="center"/>
              <w:ind w:right="168"/>
              <w:spacing w:after="0"/>
              <w:rPr>
                <w:sz w:val="20"/>
                <w:szCs w:val="20"/>
                <w:color w:val="auto"/>
              </w:rPr>
            </w:pPr>
            <w:r>
              <w:rPr>
                <w:rFonts w:ascii="Arial" w:cs="Arial" w:eastAsia="Arial" w:hAnsi="Arial"/>
                <w:sz w:val="12"/>
                <w:szCs w:val="12"/>
                <w:b w:val="1"/>
                <w:bCs w:val="1"/>
                <w:color w:val="auto"/>
                <w:w w:val="99"/>
              </w:rPr>
              <w:t>Time</w:t>
            </w:r>
          </w:p>
        </w:tc>
        <w:tc>
          <w:tcPr>
            <w:tcW w:w="1020" w:type="dxa"/>
            <w:vAlign w:val="bottom"/>
          </w:tcPr>
          <w:p>
            <w:pPr>
              <w:spacing w:after="0"/>
              <w:rPr>
                <w:sz w:val="18"/>
                <w:szCs w:val="18"/>
                <w:color w:val="auto"/>
              </w:rPr>
            </w:pPr>
          </w:p>
        </w:tc>
      </w:tr>
      <w:tr>
        <w:trPr>
          <w:trHeight w:val="218"/>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51"/>
              <w:spacing w:after="0"/>
              <w:rPr>
                <w:sz w:val="20"/>
                <w:szCs w:val="20"/>
                <w:color w:val="auto"/>
              </w:rPr>
            </w:pPr>
            <w:r>
              <w:rPr>
                <w:rFonts w:ascii="Arial" w:cs="Arial" w:eastAsia="Arial" w:hAnsi="Arial"/>
                <w:sz w:val="12"/>
                <w:szCs w:val="12"/>
                <w:b w:val="1"/>
                <w:bCs w:val="1"/>
                <w:color w:val="auto"/>
              </w:rPr>
              <w:t>Plan</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Plan</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Plan II</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Deferred</w:t>
            </w:r>
          </w:p>
        </w:tc>
        <w:tc>
          <w:tcPr>
            <w:tcW w:w="240" w:type="dxa"/>
            <w:vAlign w:val="bottom"/>
          </w:tcPr>
          <w:p>
            <w:pPr>
              <w:spacing w:after="0"/>
              <w:rPr>
                <w:sz w:val="18"/>
                <w:szCs w:val="18"/>
                <w:color w:val="auto"/>
              </w:rPr>
            </w:pPr>
          </w:p>
        </w:tc>
        <w:tc>
          <w:tcPr>
            <w:tcW w:w="920" w:type="dxa"/>
            <w:vAlign w:val="bottom"/>
          </w:tcPr>
          <w:p>
            <w:pPr>
              <w:jc w:val="right"/>
              <w:ind w:right="346"/>
              <w:spacing w:after="0"/>
              <w:rPr>
                <w:sz w:val="20"/>
                <w:szCs w:val="20"/>
                <w:color w:val="auto"/>
              </w:rPr>
            </w:pPr>
            <w:r>
              <w:rPr>
                <w:rFonts w:ascii="Arial" w:cs="Arial" w:eastAsia="Arial" w:hAnsi="Arial"/>
                <w:sz w:val="12"/>
                <w:szCs w:val="12"/>
                <w:b w:val="1"/>
                <w:bCs w:val="1"/>
                <w:color w:val="auto"/>
              </w:rPr>
              <w:t>RSUs</w:t>
            </w:r>
          </w:p>
        </w:tc>
        <w:tc>
          <w:tcPr>
            <w:tcW w:w="220" w:type="dxa"/>
            <w:vAlign w:val="bottom"/>
          </w:tcPr>
          <w:p>
            <w:pPr>
              <w:spacing w:after="0"/>
              <w:rPr>
                <w:sz w:val="18"/>
                <w:szCs w:val="18"/>
                <w:color w:val="auto"/>
              </w:rPr>
            </w:pPr>
          </w:p>
        </w:tc>
        <w:tc>
          <w:tcPr>
            <w:tcW w:w="940" w:type="dxa"/>
            <w:vAlign w:val="bottom"/>
          </w:tcPr>
          <w:p>
            <w:pPr>
              <w:jc w:val="center"/>
              <w:ind w:right="168"/>
              <w:spacing w:after="0"/>
              <w:rPr>
                <w:sz w:val="20"/>
                <w:szCs w:val="20"/>
                <w:color w:val="auto"/>
              </w:rPr>
            </w:pPr>
            <w:r>
              <w:rPr>
                <w:rFonts w:ascii="Arial" w:cs="Arial" w:eastAsia="Arial" w:hAnsi="Arial"/>
                <w:sz w:val="12"/>
                <w:szCs w:val="12"/>
                <w:b w:val="1"/>
                <w:bCs w:val="1"/>
                <w:color w:val="auto"/>
              </w:rPr>
              <w:t>Options</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8"/>
              </w:rPr>
              <w:t>Sharing</w:t>
            </w:r>
          </w:p>
        </w:tc>
        <w:tc>
          <w:tcPr>
            <w:tcW w:w="220" w:type="dxa"/>
            <w:vAlign w:val="bottom"/>
          </w:tcPr>
          <w:p>
            <w:pPr>
              <w:spacing w:after="0"/>
              <w:rPr>
                <w:sz w:val="18"/>
                <w:szCs w:val="18"/>
                <w:color w:val="auto"/>
              </w:rPr>
            </w:pPr>
          </w:p>
        </w:tc>
        <w:tc>
          <w:tcPr>
            <w:tcW w:w="720" w:type="dxa"/>
            <w:vAlign w:val="bottom"/>
          </w:tcPr>
          <w:p>
            <w:pPr>
              <w:jc w:val="center"/>
              <w:ind w:right="168"/>
              <w:spacing w:after="0"/>
              <w:rPr>
                <w:sz w:val="20"/>
                <w:szCs w:val="20"/>
                <w:color w:val="auto"/>
              </w:rPr>
            </w:pPr>
            <w:r>
              <w:rPr>
                <w:rFonts w:ascii="Arial" w:cs="Arial" w:eastAsia="Arial" w:hAnsi="Arial"/>
                <w:sz w:val="12"/>
                <w:szCs w:val="12"/>
                <w:b w:val="1"/>
                <w:bCs w:val="1"/>
                <w:color w:val="auto"/>
                <w:w w:val="95"/>
              </w:rPr>
              <w:t>Bank</w:t>
            </w:r>
          </w:p>
        </w:tc>
        <w:tc>
          <w:tcPr>
            <w:tcW w:w="1020" w:type="dxa"/>
            <w:vAlign w:val="bottom"/>
          </w:tcPr>
          <w:p>
            <w:pPr>
              <w:spacing w:after="0"/>
              <w:rPr>
                <w:sz w:val="18"/>
                <w:szCs w:val="18"/>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000" w:type="dxa"/>
            <w:vAlign w:val="bottom"/>
          </w:tcPr>
          <w:p>
            <w:pPr>
              <w:jc w:val="center"/>
              <w:ind w:left="284"/>
              <w:spacing w:after="0"/>
              <w:rPr>
                <w:sz w:val="20"/>
                <w:szCs w:val="20"/>
                <w:color w:val="auto"/>
              </w:rPr>
            </w:pPr>
            <w:r>
              <w:rPr>
                <w:rFonts w:ascii="Arial" w:cs="Arial" w:eastAsia="Arial" w:hAnsi="Arial"/>
                <w:sz w:val="12"/>
                <w:szCs w:val="12"/>
                <w:b w:val="1"/>
                <w:bCs w:val="1"/>
                <w:color w:val="auto"/>
                <w:w w:val="96"/>
              </w:rPr>
              <w:t>Bonus</w:t>
            </w:r>
          </w:p>
        </w:tc>
        <w:tc>
          <w:tcPr>
            <w:tcW w:w="220" w:type="dxa"/>
            <w:vAlign w:val="bottom"/>
          </w:tcPr>
          <w:p>
            <w:pPr>
              <w:spacing w:after="0"/>
              <w:rPr>
                <w:sz w:val="18"/>
                <w:szCs w:val="18"/>
                <w:color w:val="auto"/>
              </w:rPr>
            </w:pPr>
          </w:p>
        </w:tc>
        <w:tc>
          <w:tcPr>
            <w:tcW w:w="840" w:type="dxa"/>
            <w:vAlign w:val="bottom"/>
          </w:tcPr>
          <w:p>
            <w:pPr>
              <w:jc w:val="center"/>
              <w:ind w:right="171"/>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5"/>
              </w:rPr>
              <w:t>(3)</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(4)</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240" w:type="dxa"/>
            <w:vAlign w:val="bottom"/>
          </w:tcPr>
          <w:p>
            <w:pPr>
              <w:spacing w:after="0"/>
              <w:rPr>
                <w:sz w:val="18"/>
                <w:szCs w:val="18"/>
                <w:color w:val="auto"/>
              </w:rPr>
            </w:pPr>
          </w:p>
        </w:tc>
        <w:tc>
          <w:tcPr>
            <w:tcW w:w="920" w:type="dxa"/>
            <w:vAlign w:val="bottom"/>
          </w:tcPr>
          <w:p>
            <w:pPr>
              <w:jc w:val="right"/>
              <w:ind w:right="446"/>
              <w:spacing w:after="0"/>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8"/>
                <w:szCs w:val="18"/>
                <w:color w:val="auto"/>
              </w:rPr>
            </w:pPr>
          </w:p>
        </w:tc>
        <w:tc>
          <w:tcPr>
            <w:tcW w:w="940" w:type="dxa"/>
            <w:vAlign w:val="bottom"/>
          </w:tcPr>
          <w:p>
            <w:pPr>
              <w:jc w:val="center"/>
              <w:ind w:right="168"/>
              <w:spacing w:after="0"/>
              <w:rPr>
                <w:sz w:val="20"/>
                <w:szCs w:val="20"/>
                <w:color w:val="auto"/>
              </w:rPr>
            </w:pPr>
            <w:r>
              <w:rPr>
                <w:rFonts w:ascii="Arial" w:cs="Arial" w:eastAsia="Arial" w:hAnsi="Arial"/>
                <w:sz w:val="12"/>
                <w:szCs w:val="12"/>
                <w:b w:val="1"/>
                <w:bCs w:val="1"/>
                <w:color w:val="auto"/>
                <w:w w:val="95"/>
              </w:rPr>
              <w:t>(6)</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(7)</w:t>
            </w:r>
          </w:p>
        </w:tc>
        <w:tc>
          <w:tcPr>
            <w:tcW w:w="220" w:type="dxa"/>
            <w:vAlign w:val="bottom"/>
          </w:tcPr>
          <w:p>
            <w:pPr>
              <w:spacing w:after="0"/>
              <w:rPr>
                <w:sz w:val="18"/>
                <w:szCs w:val="18"/>
                <w:color w:val="auto"/>
              </w:rPr>
            </w:pPr>
          </w:p>
        </w:tc>
        <w:tc>
          <w:tcPr>
            <w:tcW w:w="720" w:type="dxa"/>
            <w:vAlign w:val="bottom"/>
          </w:tcPr>
          <w:p>
            <w:pPr>
              <w:jc w:val="center"/>
              <w:ind w:right="168"/>
              <w:spacing w:after="0"/>
              <w:rPr>
                <w:sz w:val="20"/>
                <w:szCs w:val="20"/>
                <w:color w:val="auto"/>
              </w:rPr>
            </w:pPr>
            <w:r>
              <w:rPr>
                <w:rFonts w:ascii="Arial" w:cs="Arial" w:eastAsia="Arial" w:hAnsi="Arial"/>
                <w:sz w:val="12"/>
                <w:szCs w:val="12"/>
                <w:b w:val="1"/>
                <w:bCs w:val="1"/>
                <w:color w:val="auto"/>
              </w:rPr>
              <w:t>(8)</w:t>
            </w:r>
          </w:p>
        </w:tc>
        <w:tc>
          <w:tcPr>
            <w:tcW w:w="1020" w:type="dxa"/>
            <w:vAlign w:val="bottom"/>
          </w:tcPr>
          <w:p>
            <w:pPr>
              <w:ind w:left="420"/>
              <w:spacing w:after="0"/>
              <w:rPr>
                <w:sz w:val="20"/>
                <w:szCs w:val="20"/>
                <w:color w:val="auto"/>
              </w:rPr>
            </w:pPr>
            <w:r>
              <w:rPr>
                <w:rFonts w:ascii="Arial" w:cs="Arial" w:eastAsia="Arial" w:hAnsi="Arial"/>
                <w:sz w:val="12"/>
                <w:szCs w:val="12"/>
                <w:b w:val="1"/>
                <w:bCs w:val="1"/>
                <w:color w:val="auto"/>
              </w:rPr>
              <w:t>Total</w:t>
            </w:r>
          </w:p>
        </w:tc>
      </w:tr>
      <w:tr>
        <w:trPr>
          <w:trHeight w:val="37"/>
        </w:trPr>
        <w:tc>
          <w:tcPr>
            <w:tcW w:w="1220" w:type="dxa"/>
            <w:vAlign w:val="bottom"/>
            <w:tcBorders>
              <w:bottom w:val="single" w:sz="8" w:color="808285"/>
            </w:tcBorders>
          </w:tcPr>
          <w:p>
            <w:pPr>
              <w:spacing w:after="0"/>
              <w:rPr>
                <w:sz w:val="3"/>
                <w:szCs w:val="3"/>
                <w:color w:val="auto"/>
              </w:rPr>
            </w:pPr>
          </w:p>
        </w:tc>
        <w:tc>
          <w:tcPr>
            <w:tcW w:w="100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92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1100" w:type="dxa"/>
            <w:vAlign w:val="bottom"/>
            <w:tcBorders>
              <w:bottom w:val="single" w:sz="8" w:color="808285"/>
            </w:tcBorders>
          </w:tcPr>
          <w:p>
            <w:pPr>
              <w:spacing w:after="0"/>
              <w:rPr>
                <w:sz w:val="3"/>
                <w:szCs w:val="3"/>
                <w:color w:val="auto"/>
              </w:rPr>
            </w:pPr>
          </w:p>
        </w:tc>
        <w:tc>
          <w:tcPr>
            <w:tcW w:w="240" w:type="dxa"/>
            <w:vAlign w:val="bottom"/>
            <w:tcBorders>
              <w:bottom w:val="single" w:sz="8" w:color="808285"/>
            </w:tcBorders>
          </w:tcPr>
          <w:p>
            <w:pPr>
              <w:spacing w:after="0"/>
              <w:rPr>
                <w:sz w:val="3"/>
                <w:szCs w:val="3"/>
                <w:color w:val="auto"/>
              </w:rPr>
            </w:pPr>
          </w:p>
        </w:tc>
        <w:tc>
          <w:tcPr>
            <w:tcW w:w="92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94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720" w:type="dxa"/>
            <w:vAlign w:val="bottom"/>
            <w:tcBorders>
              <w:bottom w:val="single" w:sz="8" w:color="808285"/>
            </w:tcBorders>
          </w:tcPr>
          <w:p>
            <w:pPr>
              <w:spacing w:after="0"/>
              <w:rPr>
                <w:sz w:val="3"/>
                <w:szCs w:val="3"/>
                <w:color w:val="auto"/>
              </w:rPr>
            </w:pPr>
          </w:p>
        </w:tc>
        <w:tc>
          <w:tcPr>
            <w:tcW w:w="1020" w:type="dxa"/>
            <w:vAlign w:val="bottom"/>
            <w:tcBorders>
              <w:bottom w:val="single" w:sz="8" w:color="808285"/>
            </w:tcBorders>
          </w:tcPr>
          <w:p>
            <w:pPr>
              <w:spacing w:after="0"/>
              <w:rPr>
                <w:sz w:val="3"/>
                <w:szCs w:val="3"/>
                <w:color w:val="auto"/>
              </w:rPr>
            </w:pPr>
          </w:p>
        </w:tc>
      </w:tr>
      <w:tr>
        <w:trPr>
          <w:trHeight w:val="210"/>
        </w:trPr>
        <w:tc>
          <w:tcPr>
            <w:tcW w:w="1220" w:type="dxa"/>
            <w:vAlign w:val="bottom"/>
            <w:shd w:val="clear" w:color="auto" w:fill="E9E9E9"/>
          </w:tcPr>
          <w:p>
            <w:pPr>
              <w:spacing w:after="0"/>
              <w:rPr>
                <w:sz w:val="20"/>
                <w:szCs w:val="20"/>
                <w:color w:val="auto"/>
              </w:rPr>
            </w:pPr>
            <w:r>
              <w:rPr>
                <w:rFonts w:ascii="Arial" w:cs="Arial" w:eastAsia="Arial" w:hAnsi="Arial"/>
                <w:sz w:val="16"/>
                <w:szCs w:val="16"/>
                <w:color w:val="auto"/>
              </w:rPr>
              <w:t>Templeton</w:t>
            </w:r>
          </w:p>
        </w:tc>
        <w:tc>
          <w:tcPr>
            <w:tcW w:w="1000" w:type="dxa"/>
            <w:vAlign w:val="bottom"/>
            <w:shd w:val="clear" w:color="auto" w:fill="E9E9E9"/>
          </w:tcPr>
          <w:p>
            <w:pPr>
              <w:jc w:val="center"/>
              <w:ind w:left="284"/>
              <w:spacing w:after="0"/>
              <w:rPr>
                <w:sz w:val="20"/>
                <w:szCs w:val="20"/>
                <w:color w:val="auto"/>
              </w:rPr>
            </w:pPr>
            <w:r>
              <w:rPr>
                <w:rFonts w:ascii="Arial" w:cs="Arial" w:eastAsia="Arial" w:hAnsi="Arial"/>
                <w:sz w:val="16"/>
                <w:szCs w:val="16"/>
                <w:color w:val="auto"/>
              </w:rPr>
              <w:t>(1)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71"/>
              <w:spacing w:after="0"/>
              <w:rPr>
                <w:sz w:val="20"/>
                <w:szCs w:val="20"/>
                <w:color w:val="auto"/>
              </w:rPr>
            </w:pPr>
            <w:r>
              <w:rPr>
                <w:rFonts w:ascii="Arial" w:cs="Arial" w:eastAsia="Arial" w:hAnsi="Arial"/>
                <w:sz w:val="16"/>
                <w:szCs w:val="16"/>
                <w:color w:val="auto"/>
              </w:rPr>
              <w:t>884,132</w:t>
            </w:r>
          </w:p>
        </w:tc>
        <w:tc>
          <w:tcPr>
            <w:tcW w:w="9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$609,677</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160,125</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66"/>
              <w:spacing w:after="0"/>
              <w:rPr>
                <w:sz w:val="20"/>
                <w:szCs w:val="20"/>
                <w:color w:val="auto"/>
              </w:rPr>
            </w:pPr>
            <w:r>
              <w:rPr>
                <w:rFonts w:ascii="Arial" w:cs="Arial" w:eastAsia="Arial" w:hAnsi="Arial"/>
                <w:sz w:val="16"/>
                <w:szCs w:val="16"/>
                <w:color w:val="auto"/>
                <w:w w:val="94"/>
              </w:rPr>
              <w:t>23,913,487</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68"/>
              <w:spacing w:after="0"/>
              <w:rPr>
                <w:sz w:val="20"/>
                <w:szCs w:val="20"/>
                <w:color w:val="auto"/>
              </w:rPr>
            </w:pPr>
            <w:r>
              <w:rPr>
                <w:rFonts w:ascii="Arial" w:cs="Arial" w:eastAsia="Arial" w:hAnsi="Arial"/>
                <w:sz w:val="16"/>
                <w:szCs w:val="16"/>
                <w:color w:val="auto"/>
                <w:w w:val="97"/>
              </w:rPr>
              <w:t>29,621,968</w:t>
            </w:r>
          </w:p>
        </w:tc>
        <w:tc>
          <w:tcPr>
            <w:tcW w:w="82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$78,118</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9E9E9"/>
          </w:tcPr>
          <w:p>
            <w:pPr>
              <w:jc w:val="right"/>
              <w:ind w:right="68"/>
              <w:spacing w:after="0"/>
              <w:rPr>
                <w:sz w:val="20"/>
                <w:szCs w:val="20"/>
                <w:color w:val="auto"/>
              </w:rPr>
            </w:pPr>
            <w:r>
              <w:rPr>
                <w:rFonts w:ascii="Arial" w:cs="Arial" w:eastAsia="Arial" w:hAnsi="Arial"/>
                <w:sz w:val="16"/>
                <w:szCs w:val="16"/>
                <w:color w:val="auto"/>
                <w:w w:val="96"/>
              </w:rPr>
              <w:t>175,168</w:t>
            </w:r>
          </w:p>
        </w:tc>
        <w:tc>
          <w:tcPr>
            <w:tcW w:w="1020" w:type="dxa"/>
            <w:vAlign w:val="bottom"/>
            <w:shd w:val="clear" w:color="auto" w:fill="E9E9E9"/>
          </w:tcPr>
          <w:p>
            <w:pPr>
              <w:ind w:left="120"/>
              <w:spacing w:after="0"/>
              <w:rPr>
                <w:sz w:val="20"/>
                <w:szCs w:val="20"/>
                <w:color w:val="auto"/>
              </w:rPr>
            </w:pPr>
            <w:r>
              <w:rPr>
                <w:rFonts w:ascii="Arial" w:cs="Arial" w:eastAsia="Arial" w:hAnsi="Arial"/>
                <w:sz w:val="16"/>
                <w:szCs w:val="16"/>
                <w:color w:val="auto"/>
                <w:w w:val="98"/>
              </w:rPr>
              <w:t>$55,442,675</w:t>
            </w:r>
          </w:p>
        </w:tc>
      </w:tr>
      <w:tr>
        <w:trPr>
          <w:trHeight w:val="211"/>
        </w:trPr>
        <w:tc>
          <w:tcPr>
            <w:tcW w:w="1220" w:type="dxa"/>
            <w:vAlign w:val="bottom"/>
          </w:tcPr>
          <w:p>
            <w:pPr>
              <w:spacing w:after="0"/>
              <w:rPr>
                <w:sz w:val="20"/>
                <w:szCs w:val="20"/>
                <w:color w:val="auto"/>
              </w:rPr>
            </w:pPr>
            <w:r>
              <w:rPr>
                <w:rFonts w:ascii="Arial" w:cs="Arial" w:eastAsia="Arial" w:hAnsi="Arial"/>
                <w:sz w:val="16"/>
                <w:szCs w:val="16"/>
                <w:color w:val="auto"/>
              </w:rPr>
              <w:t>March</w:t>
            </w:r>
          </w:p>
        </w:tc>
        <w:tc>
          <w:tcPr>
            <w:tcW w:w="1000" w:type="dxa"/>
            <w:vAlign w:val="bottom"/>
          </w:tcPr>
          <w:p>
            <w:pPr>
              <w:jc w:val="center"/>
              <w:ind w:left="284"/>
              <w:spacing w:after="0"/>
              <w:rPr>
                <w:sz w:val="20"/>
                <w:szCs w:val="20"/>
                <w:color w:val="auto"/>
              </w:rPr>
            </w:pPr>
            <w:r>
              <w:rPr>
                <w:rFonts w:ascii="Arial" w:cs="Arial" w:eastAsia="Arial" w:hAnsi="Arial"/>
                <w:sz w:val="16"/>
                <w:szCs w:val="16"/>
                <w:color w:val="auto"/>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1"/>
              <w:spacing w:after="0"/>
              <w:rPr>
                <w:sz w:val="20"/>
                <w:szCs w:val="20"/>
                <w:color w:val="auto"/>
              </w:rPr>
            </w:pPr>
            <w:r>
              <w:rPr>
                <w:rFonts w:ascii="Arial" w:cs="Arial" w:eastAsia="Arial" w:hAnsi="Arial"/>
                <w:sz w:val="16"/>
                <w:szCs w:val="16"/>
                <w:color w:val="auto"/>
                <w:w w:val="95"/>
              </w:rPr>
              <w:t>1,439,956</w:t>
            </w:r>
          </w:p>
        </w:tc>
        <w:tc>
          <w:tcPr>
            <w:tcW w:w="920" w:type="dxa"/>
            <w:vAlign w:val="bottom"/>
          </w:tcPr>
          <w:p>
            <w:pPr>
              <w:jc w:val="right"/>
              <w:ind w:right="52"/>
              <w:spacing w:after="0"/>
              <w:rPr>
                <w:sz w:val="20"/>
                <w:szCs w:val="20"/>
                <w:color w:val="auto"/>
              </w:rPr>
            </w:pPr>
            <w:r>
              <w:rPr>
                <w:rFonts w:ascii="Arial" w:cs="Arial" w:eastAsia="Arial" w:hAnsi="Arial"/>
                <w:sz w:val="16"/>
                <w:szCs w:val="16"/>
                <w:color w:val="auto"/>
              </w:rPr>
              <w:t>$349,792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2"/>
              <w:spacing w:after="0"/>
              <w:rPr>
                <w:sz w:val="20"/>
                <w:szCs w:val="20"/>
                <w:color w:val="auto"/>
              </w:rPr>
            </w:pPr>
            <w:r>
              <w:rPr>
                <w:rFonts w:ascii="Arial" w:cs="Arial" w:eastAsia="Arial" w:hAnsi="Arial"/>
                <w:sz w:val="16"/>
                <w:szCs w:val="16"/>
                <w:color w:val="auto"/>
                <w:w w:val="95"/>
              </w:rPr>
              <w:t>3,734,566</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6"/>
              <w:spacing w:after="0"/>
              <w:rPr>
                <w:sz w:val="20"/>
                <w:szCs w:val="20"/>
                <w:color w:val="auto"/>
              </w:rPr>
            </w:pPr>
            <w:r>
              <w:rPr>
                <w:rFonts w:ascii="Arial" w:cs="Arial" w:eastAsia="Arial" w:hAnsi="Arial"/>
                <w:sz w:val="16"/>
                <w:szCs w:val="16"/>
                <w:color w:val="auto"/>
              </w:rPr>
              <w:t>5,761,422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8"/>
              <w:spacing w:after="0"/>
              <w:rPr>
                <w:sz w:val="20"/>
                <w:szCs w:val="20"/>
                <w:color w:val="auto"/>
              </w:rPr>
            </w:pPr>
            <w:r>
              <w:rPr>
                <w:rFonts w:ascii="Arial" w:cs="Arial" w:eastAsia="Arial" w:hAnsi="Arial"/>
                <w:sz w:val="16"/>
                <w:szCs w:val="16"/>
                <w:color w:val="auto"/>
              </w:rPr>
              <w:t>4,339,525</w:t>
            </w:r>
          </w:p>
        </w:tc>
        <w:tc>
          <w:tcPr>
            <w:tcW w:w="820" w:type="dxa"/>
            <w:vAlign w:val="bottom"/>
          </w:tcPr>
          <w:p>
            <w:pPr>
              <w:jc w:val="center"/>
              <w:spacing w:after="0"/>
              <w:rPr>
                <w:sz w:val="20"/>
                <w:szCs w:val="20"/>
                <w:color w:val="auto"/>
              </w:rPr>
            </w:pPr>
            <w:r>
              <w:rPr>
                <w:rFonts w:ascii="Arial" w:cs="Arial" w:eastAsia="Arial" w:hAnsi="Arial"/>
                <w:sz w:val="16"/>
                <w:szCs w:val="16"/>
                <w:color w:val="auto"/>
              </w:rPr>
              <w:t>$44,349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8"/>
              <w:spacing w:after="0"/>
              <w:rPr>
                <w:sz w:val="20"/>
                <w:szCs w:val="20"/>
                <w:color w:val="auto"/>
              </w:rPr>
            </w:pPr>
            <w:r>
              <w:rPr>
                <w:rFonts w:ascii="Arial" w:cs="Arial" w:eastAsia="Arial" w:hAnsi="Arial"/>
                <w:sz w:val="16"/>
                <w:szCs w:val="16"/>
                <w:color w:val="auto"/>
                <w:w w:val="96"/>
              </w:rPr>
              <w:t>111,916</w:t>
            </w:r>
          </w:p>
        </w:tc>
        <w:tc>
          <w:tcPr>
            <w:tcW w:w="1020" w:type="dxa"/>
            <w:vAlign w:val="bottom"/>
          </w:tcPr>
          <w:p>
            <w:pPr>
              <w:ind w:left="120"/>
              <w:spacing w:after="0"/>
              <w:rPr>
                <w:sz w:val="20"/>
                <w:szCs w:val="20"/>
                <w:color w:val="auto"/>
              </w:rPr>
            </w:pPr>
            <w:r>
              <w:rPr>
                <w:rFonts w:ascii="Arial" w:cs="Arial" w:eastAsia="Arial" w:hAnsi="Arial"/>
                <w:sz w:val="16"/>
                <w:szCs w:val="16"/>
                <w:color w:val="auto"/>
                <w:w w:val="98"/>
              </w:rPr>
              <w:t>$15,781,526</w:t>
            </w:r>
          </w:p>
        </w:tc>
      </w:tr>
      <w:tr>
        <w:trPr>
          <w:trHeight w:val="226"/>
        </w:trPr>
        <w:tc>
          <w:tcPr>
            <w:tcW w:w="1220" w:type="dxa"/>
            <w:vAlign w:val="bottom"/>
            <w:shd w:val="clear" w:color="auto" w:fill="E9E9E9"/>
          </w:tcPr>
          <w:p>
            <w:pPr>
              <w:spacing w:after="0"/>
              <w:rPr>
                <w:sz w:val="20"/>
                <w:szCs w:val="20"/>
                <w:color w:val="auto"/>
              </w:rPr>
            </w:pPr>
            <w:r>
              <w:rPr>
                <w:rFonts w:ascii="Arial" w:cs="Arial" w:eastAsia="Arial" w:hAnsi="Arial"/>
                <w:sz w:val="16"/>
                <w:szCs w:val="16"/>
                <w:color w:val="auto"/>
              </w:rPr>
              <w:t>Lowe</w:t>
            </w:r>
          </w:p>
        </w:tc>
        <w:tc>
          <w:tcPr>
            <w:tcW w:w="1000" w:type="dxa"/>
            <w:vAlign w:val="bottom"/>
            <w:shd w:val="clear" w:color="auto" w:fill="E9E9E9"/>
          </w:tcPr>
          <w:p>
            <w:pPr>
              <w:jc w:val="center"/>
              <w:ind w:left="284"/>
              <w:spacing w:after="0"/>
              <w:rPr>
                <w:sz w:val="20"/>
                <w:szCs w:val="20"/>
                <w:color w:val="auto"/>
              </w:rPr>
            </w:pPr>
            <w:r>
              <w:rPr>
                <w:rFonts w:ascii="Arial" w:cs="Arial" w:eastAsia="Arial" w:hAnsi="Arial"/>
                <w:sz w:val="16"/>
                <w:szCs w:val="16"/>
                <w:color w:val="auto"/>
              </w:rPr>
              <w:t>(1)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71"/>
              <w:spacing w:after="0"/>
              <w:rPr>
                <w:sz w:val="20"/>
                <w:szCs w:val="20"/>
                <w:color w:val="auto"/>
              </w:rPr>
            </w:pPr>
            <w:r>
              <w:rPr>
                <w:rFonts w:ascii="Arial" w:cs="Arial" w:eastAsia="Arial" w:hAnsi="Arial"/>
                <w:sz w:val="16"/>
                <w:szCs w:val="16"/>
                <w:color w:val="auto"/>
                <w:w w:val="95"/>
              </w:rPr>
              <w:t>1,834,009</w:t>
            </w:r>
          </w:p>
        </w:tc>
        <w:tc>
          <w:tcPr>
            <w:tcW w:w="9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$654,107</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w w:val="95"/>
              </w:rPr>
              <w:t>3,370,517</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66"/>
              <w:spacing w:after="0"/>
              <w:rPr>
                <w:sz w:val="20"/>
                <w:szCs w:val="20"/>
                <w:color w:val="auto"/>
              </w:rPr>
            </w:pPr>
            <w:r>
              <w:rPr>
                <w:rFonts w:ascii="Arial" w:cs="Arial" w:eastAsia="Arial" w:hAnsi="Arial"/>
                <w:sz w:val="16"/>
                <w:szCs w:val="16"/>
                <w:color w:val="auto"/>
              </w:rPr>
              <w:t>8,951,383</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68"/>
              <w:spacing w:after="0"/>
              <w:rPr>
                <w:sz w:val="20"/>
                <w:szCs w:val="20"/>
                <w:color w:val="auto"/>
              </w:rPr>
            </w:pPr>
            <w:r>
              <w:rPr>
                <w:rFonts w:ascii="Arial" w:cs="Arial" w:eastAsia="Arial" w:hAnsi="Arial"/>
                <w:sz w:val="16"/>
                <w:szCs w:val="16"/>
                <w:color w:val="auto"/>
              </w:rPr>
              <w:t>5,490,250</w:t>
            </w:r>
          </w:p>
        </w:tc>
        <w:tc>
          <w:tcPr>
            <w:tcW w:w="82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$47,176</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9E9E9"/>
          </w:tcPr>
          <w:p>
            <w:pPr>
              <w:jc w:val="right"/>
              <w:ind w:right="68"/>
              <w:spacing w:after="0"/>
              <w:rPr>
                <w:sz w:val="20"/>
                <w:szCs w:val="20"/>
                <w:color w:val="auto"/>
              </w:rPr>
            </w:pPr>
            <w:r>
              <w:rPr>
                <w:rFonts w:ascii="Arial" w:cs="Arial" w:eastAsia="Arial" w:hAnsi="Arial"/>
                <w:sz w:val="16"/>
                <w:szCs w:val="16"/>
                <w:color w:val="auto"/>
              </w:rPr>
              <w:t>95,307</w:t>
            </w:r>
          </w:p>
        </w:tc>
        <w:tc>
          <w:tcPr>
            <w:tcW w:w="1020" w:type="dxa"/>
            <w:vAlign w:val="bottom"/>
            <w:shd w:val="clear" w:color="auto" w:fill="E9E9E9"/>
          </w:tcPr>
          <w:p>
            <w:pPr>
              <w:ind w:left="120"/>
              <w:spacing w:after="0"/>
              <w:rPr>
                <w:sz w:val="20"/>
                <w:szCs w:val="20"/>
                <w:color w:val="auto"/>
              </w:rPr>
            </w:pPr>
            <w:r>
              <w:rPr>
                <w:rFonts w:ascii="Arial" w:cs="Arial" w:eastAsia="Arial" w:hAnsi="Arial"/>
                <w:sz w:val="16"/>
                <w:szCs w:val="16"/>
                <w:color w:val="auto"/>
                <w:w w:val="98"/>
              </w:rPr>
              <w:t>$20,442,749</w:t>
            </w:r>
          </w:p>
        </w:tc>
      </w:tr>
      <w:tr>
        <w:trPr>
          <w:trHeight w:val="211"/>
        </w:trPr>
        <w:tc>
          <w:tcPr>
            <w:tcW w:w="1220" w:type="dxa"/>
            <w:vAlign w:val="bottom"/>
          </w:tcPr>
          <w:p>
            <w:pPr>
              <w:spacing w:after="0"/>
              <w:rPr>
                <w:sz w:val="20"/>
                <w:szCs w:val="20"/>
                <w:color w:val="auto"/>
              </w:rPr>
            </w:pPr>
            <w:r>
              <w:rPr>
                <w:rFonts w:ascii="Arial" w:cs="Arial" w:eastAsia="Arial" w:hAnsi="Arial"/>
                <w:sz w:val="16"/>
                <w:szCs w:val="16"/>
                <w:color w:val="auto"/>
              </w:rPr>
              <w:t>Ritchie</w:t>
            </w:r>
          </w:p>
        </w:tc>
        <w:tc>
          <w:tcPr>
            <w:tcW w:w="1000" w:type="dxa"/>
            <w:vAlign w:val="bottom"/>
          </w:tcPr>
          <w:p>
            <w:pPr>
              <w:jc w:val="center"/>
              <w:ind w:left="284"/>
              <w:spacing w:after="0"/>
              <w:rPr>
                <w:sz w:val="20"/>
                <w:szCs w:val="20"/>
                <w:color w:val="auto"/>
              </w:rPr>
            </w:pPr>
            <w:r>
              <w:rPr>
                <w:rFonts w:ascii="Arial" w:cs="Arial" w:eastAsia="Arial" w:hAnsi="Arial"/>
                <w:sz w:val="16"/>
                <w:szCs w:val="16"/>
                <w:color w:val="auto"/>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1"/>
              <w:spacing w:after="0"/>
              <w:rPr>
                <w:sz w:val="20"/>
                <w:szCs w:val="20"/>
                <w:color w:val="auto"/>
              </w:rPr>
            </w:pPr>
            <w:r>
              <w:rPr>
                <w:rFonts w:ascii="Arial" w:cs="Arial" w:eastAsia="Arial" w:hAnsi="Arial"/>
                <w:sz w:val="16"/>
                <w:szCs w:val="16"/>
                <w:color w:val="auto"/>
                <w:w w:val="95"/>
              </w:rPr>
              <w:t>1,879,930</w:t>
            </w:r>
          </w:p>
        </w:tc>
        <w:tc>
          <w:tcPr>
            <w:tcW w:w="920" w:type="dxa"/>
            <w:vAlign w:val="bottom"/>
          </w:tcPr>
          <w:p>
            <w:pPr>
              <w:jc w:val="right"/>
              <w:ind w:right="52"/>
              <w:spacing w:after="0"/>
              <w:rPr>
                <w:sz w:val="20"/>
                <w:szCs w:val="20"/>
                <w:color w:val="auto"/>
              </w:rPr>
            </w:pPr>
            <w:r>
              <w:rPr>
                <w:rFonts w:ascii="Arial" w:cs="Arial" w:eastAsia="Arial" w:hAnsi="Arial"/>
                <w:sz w:val="16"/>
                <w:szCs w:val="16"/>
                <w:color w:val="auto"/>
              </w:rPr>
              <w:t>$926,549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2"/>
              <w:spacing w:after="0"/>
              <w:rPr>
                <w:sz w:val="20"/>
                <w:szCs w:val="20"/>
                <w:color w:val="auto"/>
              </w:rPr>
            </w:pPr>
            <w:r>
              <w:rPr>
                <w:rFonts w:ascii="Arial" w:cs="Arial" w:eastAsia="Arial" w:hAnsi="Arial"/>
                <w:sz w:val="16"/>
                <w:szCs w:val="16"/>
                <w:color w:val="auto"/>
                <w:w w:val="95"/>
              </w:rPr>
              <w:t>4,594,758</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6"/>
              <w:spacing w:after="0"/>
              <w:rPr>
                <w:sz w:val="20"/>
                <w:szCs w:val="20"/>
                <w:color w:val="auto"/>
              </w:rPr>
            </w:pPr>
            <w:r>
              <w:rPr>
                <w:rFonts w:ascii="Arial" w:cs="Arial" w:eastAsia="Arial" w:hAnsi="Arial"/>
                <w:sz w:val="16"/>
                <w:szCs w:val="16"/>
                <w:color w:val="auto"/>
              </w:rPr>
              <w:t>7,277,558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8"/>
              <w:spacing w:after="0"/>
              <w:rPr>
                <w:sz w:val="20"/>
                <w:szCs w:val="20"/>
                <w:color w:val="auto"/>
              </w:rPr>
            </w:pPr>
            <w:r>
              <w:rPr>
                <w:rFonts w:ascii="Arial" w:cs="Arial" w:eastAsia="Arial" w:hAnsi="Arial"/>
                <w:sz w:val="16"/>
                <w:szCs w:val="16"/>
                <w:color w:val="auto"/>
              </w:rPr>
              <w:t>5,511,250</w:t>
            </w:r>
          </w:p>
        </w:tc>
        <w:tc>
          <w:tcPr>
            <w:tcW w:w="820" w:type="dxa"/>
            <w:vAlign w:val="bottom"/>
          </w:tcPr>
          <w:p>
            <w:pPr>
              <w:jc w:val="center"/>
              <w:spacing w:after="0"/>
              <w:rPr>
                <w:sz w:val="20"/>
                <w:szCs w:val="20"/>
                <w:color w:val="auto"/>
              </w:rPr>
            </w:pPr>
            <w:r>
              <w:rPr>
                <w:rFonts w:ascii="Arial" w:cs="Arial" w:eastAsia="Arial" w:hAnsi="Arial"/>
                <w:sz w:val="16"/>
                <w:szCs w:val="16"/>
                <w:color w:val="auto"/>
              </w:rPr>
              <w:t>$42,873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8"/>
              <w:spacing w:after="0"/>
              <w:rPr>
                <w:sz w:val="20"/>
                <w:szCs w:val="20"/>
                <w:color w:val="auto"/>
              </w:rPr>
            </w:pPr>
            <w:r>
              <w:rPr>
                <w:rFonts w:ascii="Arial" w:cs="Arial" w:eastAsia="Arial" w:hAnsi="Arial"/>
                <w:sz w:val="16"/>
                <w:szCs w:val="16"/>
                <w:color w:val="auto"/>
                <w:w w:val="96"/>
              </w:rPr>
              <w:t>108,945</w:t>
            </w:r>
          </w:p>
        </w:tc>
        <w:tc>
          <w:tcPr>
            <w:tcW w:w="1020" w:type="dxa"/>
            <w:vAlign w:val="bottom"/>
          </w:tcPr>
          <w:p>
            <w:pPr>
              <w:ind w:left="120"/>
              <w:spacing w:after="0"/>
              <w:rPr>
                <w:sz w:val="20"/>
                <w:szCs w:val="20"/>
                <w:color w:val="auto"/>
              </w:rPr>
            </w:pPr>
            <w:r>
              <w:rPr>
                <w:rFonts w:ascii="Arial" w:cs="Arial" w:eastAsia="Arial" w:hAnsi="Arial"/>
                <w:sz w:val="16"/>
                <w:szCs w:val="16"/>
                <w:color w:val="auto"/>
                <w:w w:val="98"/>
              </w:rPr>
              <w:t>$20,341,863</w:t>
            </w:r>
          </w:p>
        </w:tc>
      </w:tr>
      <w:tr>
        <w:trPr>
          <w:trHeight w:val="226"/>
        </w:trPr>
        <w:tc>
          <w:tcPr>
            <w:tcW w:w="1220" w:type="dxa"/>
            <w:vAlign w:val="bottom"/>
            <w:shd w:val="clear" w:color="auto" w:fill="E9E9E9"/>
          </w:tcPr>
          <w:p>
            <w:pPr>
              <w:spacing w:after="0"/>
              <w:rPr>
                <w:sz w:val="20"/>
                <w:szCs w:val="20"/>
                <w:color w:val="auto"/>
              </w:rPr>
            </w:pPr>
            <w:r>
              <w:rPr>
                <w:rFonts w:ascii="Arial" w:cs="Arial" w:eastAsia="Arial" w:hAnsi="Arial"/>
                <w:sz w:val="16"/>
                <w:szCs w:val="16"/>
                <w:color w:val="auto"/>
              </w:rPr>
              <w:t>Crutcher</w:t>
            </w:r>
          </w:p>
        </w:tc>
        <w:tc>
          <w:tcPr>
            <w:tcW w:w="1000" w:type="dxa"/>
            <w:vAlign w:val="bottom"/>
            <w:shd w:val="clear" w:color="auto" w:fill="E9E9E9"/>
          </w:tcPr>
          <w:p>
            <w:pPr>
              <w:jc w:val="center"/>
              <w:ind w:left="284"/>
              <w:spacing w:after="0"/>
              <w:rPr>
                <w:sz w:val="20"/>
                <w:szCs w:val="20"/>
                <w:color w:val="auto"/>
              </w:rPr>
            </w:pPr>
            <w:r>
              <w:rPr>
                <w:rFonts w:ascii="Arial" w:cs="Arial" w:eastAsia="Arial" w:hAnsi="Arial"/>
                <w:sz w:val="16"/>
                <w:szCs w:val="16"/>
                <w:color w:val="auto"/>
              </w:rPr>
              <w:t>(1)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71"/>
              <w:spacing w:after="0"/>
              <w:rPr>
                <w:sz w:val="20"/>
                <w:szCs w:val="20"/>
                <w:color w:val="auto"/>
              </w:rPr>
            </w:pPr>
            <w:r>
              <w:rPr>
                <w:rFonts w:ascii="Arial" w:cs="Arial" w:eastAsia="Arial" w:hAnsi="Arial"/>
                <w:sz w:val="16"/>
                <w:szCs w:val="16"/>
                <w:color w:val="auto"/>
              </w:rPr>
              <w:t>10,045</w:t>
            </w:r>
          </w:p>
        </w:tc>
        <w:tc>
          <w:tcPr>
            <w:tcW w:w="9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spacing w:after="0"/>
              <w:rPr>
                <w:sz w:val="19"/>
                <w:szCs w:val="19"/>
                <w:color w:val="auto"/>
              </w:rPr>
            </w:pP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66"/>
              <w:spacing w:after="0"/>
              <w:rPr>
                <w:sz w:val="20"/>
                <w:szCs w:val="20"/>
                <w:color w:val="auto"/>
              </w:rPr>
            </w:pPr>
            <w:r>
              <w:rPr>
                <w:rFonts w:ascii="Arial" w:cs="Arial" w:eastAsia="Arial" w:hAnsi="Arial"/>
                <w:sz w:val="16"/>
                <w:szCs w:val="16"/>
                <w:color w:val="auto"/>
              </w:rPr>
              <w:t>7,495,854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68"/>
              <w:spacing w:after="0"/>
              <w:rPr>
                <w:sz w:val="20"/>
                <w:szCs w:val="20"/>
                <w:color w:val="auto"/>
              </w:rPr>
            </w:pPr>
            <w:r>
              <w:rPr>
                <w:rFonts w:ascii="Arial" w:cs="Arial" w:eastAsia="Arial" w:hAnsi="Arial"/>
                <w:sz w:val="16"/>
                <w:szCs w:val="16"/>
                <w:color w:val="auto"/>
              </w:rPr>
              <w:t>1,640,700</w:t>
            </w:r>
          </w:p>
        </w:tc>
        <w:tc>
          <w:tcPr>
            <w:tcW w:w="82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$37,873</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9E9E9"/>
          </w:tcPr>
          <w:p>
            <w:pPr>
              <w:jc w:val="right"/>
              <w:ind w:right="68"/>
              <w:spacing w:after="0"/>
              <w:rPr>
                <w:sz w:val="20"/>
                <w:szCs w:val="20"/>
                <w:color w:val="auto"/>
              </w:rPr>
            </w:pPr>
            <w:r>
              <w:rPr>
                <w:rFonts w:ascii="Arial" w:cs="Arial" w:eastAsia="Arial" w:hAnsi="Arial"/>
                <w:sz w:val="16"/>
                <w:szCs w:val="16"/>
                <w:color w:val="auto"/>
              </w:rPr>
              <w:t>32,669</w:t>
            </w:r>
          </w:p>
        </w:tc>
        <w:tc>
          <w:tcPr>
            <w:tcW w:w="1020" w:type="dxa"/>
            <w:vAlign w:val="bottom"/>
            <w:shd w:val="clear" w:color="auto" w:fill="E9E9E9"/>
          </w:tcPr>
          <w:p>
            <w:pPr>
              <w:ind w:left="120"/>
              <w:spacing w:after="0"/>
              <w:rPr>
                <w:sz w:val="20"/>
                <w:szCs w:val="20"/>
                <w:color w:val="auto"/>
              </w:rPr>
            </w:pPr>
            <w:r>
              <w:rPr>
                <w:rFonts w:ascii="Arial" w:cs="Arial" w:eastAsia="Arial" w:hAnsi="Arial"/>
                <w:sz w:val="16"/>
                <w:szCs w:val="16"/>
                <w:color w:val="auto"/>
              </w:rPr>
              <w:t>$ 9,217,141</w:t>
            </w:r>
          </w:p>
        </w:tc>
      </w:tr>
    </w:tbl>
    <w:p>
      <w:pPr>
        <w:spacing w:after="0" w:line="221" w:lineRule="exact"/>
        <w:rPr>
          <w:sz w:val="20"/>
          <w:szCs w:val="20"/>
          <w:color w:val="auto"/>
        </w:rPr>
      </w:pPr>
    </w:p>
    <w:p>
      <w:pPr>
        <w:ind w:left="443" w:right="260" w:hanging="443"/>
        <w:spacing w:after="0" w:line="243" w:lineRule="auto"/>
        <w:tabs>
          <w:tab w:leader="none" w:pos="4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Because the amount of a bonus is subject to the Compensation Committee’s discretion considering the facts and circumstances of the termination, it is not possible to predict the amount, if any, the executive officer would have received.</w:t>
      </w:r>
    </w:p>
    <w:p>
      <w:pPr>
        <w:spacing w:after="0" w:line="209" w:lineRule="exact"/>
        <w:rPr>
          <w:rFonts w:ascii="Arial" w:cs="Arial" w:eastAsia="Arial" w:hAnsi="Arial"/>
          <w:sz w:val="16"/>
          <w:szCs w:val="16"/>
          <w:color w:val="auto"/>
        </w:rPr>
      </w:pPr>
    </w:p>
    <w:p>
      <w:pPr>
        <w:jc w:val="both"/>
        <w:ind w:left="443" w:right="260" w:hanging="443"/>
        <w:spacing w:after="0" w:line="239" w:lineRule="auto"/>
        <w:tabs>
          <w:tab w:leader="none" w:pos="4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 shown is the lump sum benefit payable at age 65 to the named executive officer in the event of termination as of December 31, 2011,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2011 and are described in note 5 to the 2011 pension benefits table on page 86.</w:t>
      </w:r>
    </w:p>
    <w:p>
      <w:pPr>
        <w:spacing w:after="0" w:line="212" w:lineRule="exact"/>
        <w:rPr>
          <w:rFonts w:ascii="Arial" w:cs="Arial" w:eastAsia="Arial" w:hAnsi="Arial"/>
          <w:sz w:val="16"/>
          <w:szCs w:val="16"/>
          <w:color w:val="auto"/>
        </w:rPr>
      </w:pPr>
    </w:p>
    <w:p>
      <w:pPr>
        <w:ind w:left="443" w:right="220" w:hanging="443"/>
        <w:spacing w:after="0" w:line="243" w:lineRule="auto"/>
        <w:tabs>
          <w:tab w:leader="none" w:pos="4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 shown is the lump sum benefit payable at age 65 to the named executive officers in the event of termination due to disability. The assumptions used are the same as those described in note 2 above.</w:t>
      </w:r>
    </w:p>
    <w:p>
      <w:pPr>
        <w:spacing w:after="0" w:line="253" w:lineRule="exact"/>
        <w:rPr>
          <w:sz w:val="20"/>
          <w:szCs w:val="20"/>
          <w:color w:val="auto"/>
        </w:rPr>
      </w:pPr>
    </w:p>
    <w:p>
      <w:pPr>
        <w:ind w:left="3"/>
        <w:spacing w:after="0"/>
        <w:tabs>
          <w:tab w:leader="none" w:pos="964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39" w:right="219" w:bottom="1440" w:gutter="0" w:footer="0" w:header="0"/>
        </w:sectPr>
      </w:pPr>
    </w:p>
    <w:bookmarkStart w:id="36" w:name="page37"/>
    <w:bookmarkEnd w:id="36"/>
    <w:p>
      <w:pPr>
        <w:ind w:left="443" w:right="320" w:hanging="443"/>
        <w:spacing w:after="0" w:line="243" w:lineRule="auto"/>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 shown is the lump sum benefit payable in the event of separation from service (as defined in the plan) due to disability. The assumptions used are the same as those described in note 2 above.</w:t>
      </w:r>
    </w:p>
    <w:p>
      <w:pPr>
        <w:spacing w:after="0" w:line="209" w:lineRule="exact"/>
        <w:rPr>
          <w:rFonts w:ascii="Arial" w:cs="Arial" w:eastAsia="Arial" w:hAnsi="Arial"/>
          <w:sz w:val="16"/>
          <w:szCs w:val="16"/>
          <w:color w:val="auto"/>
        </w:rPr>
      </w:pPr>
    </w:p>
    <w:p>
      <w:pPr>
        <w:ind w:left="443" w:right="240" w:hanging="443"/>
        <w:spacing w:after="0" w:line="260" w:lineRule="auto"/>
        <w:tabs>
          <w:tab w:leader="none" w:pos="443" w:val="left"/>
        </w:tabs>
        <w:numPr>
          <w:ilvl w:val="0"/>
          <w:numId w:val="37"/>
        </w:numPr>
        <w:rPr>
          <w:rFonts w:ascii="Arial" w:cs="Arial" w:eastAsia="Arial" w:hAnsi="Arial"/>
          <w:sz w:val="15"/>
          <w:szCs w:val="15"/>
          <w:color w:val="auto"/>
        </w:rPr>
      </w:pPr>
      <w:r>
        <w:rPr>
          <w:rFonts w:ascii="Arial" w:cs="Arial" w:eastAsia="Arial" w:hAnsi="Arial"/>
          <w:sz w:val="15"/>
          <w:szCs w:val="15"/>
          <w:color w:val="auto"/>
        </w:rPr>
        <w:t>Calculated by multiplying the number of outstanding RSUs by the closing price of TI common stock as of December 31, 2011 ($29.11). Because the executive officer will retain his RSU awards in the event of termination due to disability and they will continue to vest according to their terms, all outstanding RSUs are assumed to be vested for purposes of this table. Please see the Outstanding Equity Awards at Fiscal Year-End 2011 table on pages 82-83 for the number of unvested RSUs as of December 31, 2011, and page 85 for a discussion of an additional outstanding RSU award held by Mr. Templeton.</w:t>
      </w:r>
    </w:p>
    <w:p>
      <w:pPr>
        <w:spacing w:after="0" w:line="198" w:lineRule="exact"/>
        <w:rPr>
          <w:rFonts w:ascii="Arial" w:cs="Arial" w:eastAsia="Arial" w:hAnsi="Arial"/>
          <w:sz w:val="15"/>
          <w:szCs w:val="15"/>
          <w:color w:val="auto"/>
        </w:rPr>
      </w:pPr>
    </w:p>
    <w:p>
      <w:pPr>
        <w:ind w:left="443" w:right="360" w:hanging="443"/>
        <w:spacing w:after="0" w:line="243" w:lineRule="auto"/>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Calculated as the difference between the grant price of all outstanding in-the-money options and the closing price of TI common stock as of December 31, 2011 ($29.11), multiplied by the number of shares under such options as of December 31, 2011.</w:t>
      </w:r>
    </w:p>
    <w:p>
      <w:pPr>
        <w:spacing w:after="0" w:line="209" w:lineRule="exact"/>
        <w:rPr>
          <w:rFonts w:ascii="Arial" w:cs="Arial" w:eastAsia="Arial" w:hAnsi="Arial"/>
          <w:sz w:val="16"/>
          <w:szCs w:val="16"/>
          <w:color w:val="auto"/>
        </w:rPr>
      </w:pPr>
    </w:p>
    <w:p>
      <w:pPr>
        <w:ind w:left="443" w:hanging="443"/>
        <w:spacing w:after="0"/>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Amounts earned in 2011.</w:t>
      </w:r>
    </w:p>
    <w:p>
      <w:pPr>
        <w:spacing w:after="0" w:line="216" w:lineRule="exact"/>
        <w:rPr>
          <w:rFonts w:ascii="Arial" w:cs="Arial" w:eastAsia="Arial" w:hAnsi="Arial"/>
          <w:sz w:val="16"/>
          <w:szCs w:val="16"/>
          <w:color w:val="auto"/>
        </w:rPr>
      </w:pPr>
    </w:p>
    <w:p>
      <w:pPr>
        <w:ind w:left="443" w:right="360" w:hanging="443"/>
        <w:spacing w:after="0" w:line="243" w:lineRule="auto"/>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Calculated by multiplying the number of hours remaining in the named executive officer’s time bank by the applicable base salary rate as of December 31, 2011.</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Termination due to death</w:t>
      </w:r>
    </w:p>
    <w:p>
      <w:pPr>
        <w:spacing w:after="0" w:line="231"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Non-</w:t>
            </w:r>
          </w:p>
        </w:tc>
        <w:tc>
          <w:tcPr>
            <w:tcW w:w="220" w:type="dxa"/>
            <w:vAlign w:val="bottom"/>
          </w:tcPr>
          <w:p>
            <w:pPr>
              <w:spacing w:after="0"/>
              <w:rPr>
                <w:sz w:val="13"/>
                <w:szCs w:val="13"/>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Non-</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8"/>
        </w:trPr>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2"/>
                <w:szCs w:val="12"/>
                <w:b w:val="1"/>
                <w:bCs w:val="1"/>
                <w:color w:val="auto"/>
              </w:rPr>
              <w:t>Qualified</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Qualified</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Qualified</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center"/>
              <w:ind w:right="170"/>
              <w:spacing w:after="0"/>
              <w:rPr>
                <w:sz w:val="20"/>
                <w:szCs w:val="20"/>
                <w:color w:val="auto"/>
              </w:rPr>
            </w:pPr>
            <w:r>
              <w:rPr>
                <w:rFonts w:ascii="Arial" w:cs="Arial" w:eastAsia="Arial" w:hAnsi="Arial"/>
                <w:sz w:val="12"/>
                <w:szCs w:val="12"/>
                <w:b w:val="1"/>
                <w:bCs w:val="1"/>
                <w:color w:val="auto"/>
              </w:rPr>
              <w:t>Defined</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9"/>
              </w:rPr>
              <w:t>Defined</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w w:val="99"/>
              </w:rPr>
              <w:t>Defined</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center"/>
              <w:ind w:right="170"/>
              <w:spacing w:after="0"/>
              <w:rPr>
                <w:sz w:val="20"/>
                <w:szCs w:val="20"/>
                <w:color w:val="auto"/>
              </w:rPr>
            </w:pPr>
            <w:r>
              <w:rPr>
                <w:rFonts w:ascii="Arial" w:cs="Arial" w:eastAsia="Arial" w:hAnsi="Arial"/>
                <w:sz w:val="12"/>
                <w:szCs w:val="12"/>
                <w:b w:val="1"/>
                <w:bCs w:val="1"/>
                <w:color w:val="auto"/>
              </w:rPr>
              <w:t>Benefit</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8"/>
              </w:rPr>
              <w:t>Benefit</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w w:val="98"/>
              </w:rPr>
              <w:t>Benefit</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8"/>
              </w:rPr>
              <w:t>Survivor</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center"/>
              <w:ind w:right="170"/>
              <w:spacing w:after="0"/>
              <w:rPr>
                <w:sz w:val="20"/>
                <w:szCs w:val="20"/>
                <w:color w:val="auto"/>
              </w:rPr>
            </w:pPr>
            <w:r>
              <w:rPr>
                <w:rFonts w:ascii="Arial" w:cs="Arial" w:eastAsia="Arial" w:hAnsi="Arial"/>
                <w:sz w:val="12"/>
                <w:szCs w:val="12"/>
                <w:b w:val="1"/>
                <w:bCs w:val="1"/>
                <w:color w:val="auto"/>
                <w:w w:val="98"/>
              </w:rPr>
              <w:t>Pension</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Pension</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Pension</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8"/>
              </w:rPr>
              <w:t>Benefit</w:t>
            </w:r>
          </w:p>
        </w:tc>
        <w:tc>
          <w:tcPr>
            <w:tcW w:w="300" w:type="dxa"/>
            <w:vAlign w:val="bottom"/>
          </w:tcPr>
          <w:p>
            <w:pPr>
              <w:spacing w:after="0"/>
              <w:rPr>
                <w:sz w:val="18"/>
                <w:szCs w:val="18"/>
                <w:color w:val="auto"/>
              </w:rPr>
            </w:pPr>
          </w:p>
        </w:tc>
        <w:tc>
          <w:tcPr>
            <w:tcW w:w="820" w:type="dxa"/>
            <w:vAlign w:val="bottom"/>
          </w:tcPr>
          <w:p>
            <w:pPr>
              <w:jc w:val="center"/>
              <w:ind w:right="246"/>
              <w:spacing w:after="0"/>
              <w:rPr>
                <w:sz w:val="20"/>
                <w:szCs w:val="20"/>
                <w:color w:val="auto"/>
              </w:rPr>
            </w:pPr>
            <w:r>
              <w:rPr>
                <w:rFonts w:ascii="Arial" w:cs="Arial" w:eastAsia="Arial" w:hAnsi="Arial"/>
                <w:sz w:val="12"/>
                <w:szCs w:val="12"/>
                <w:b w:val="1"/>
                <w:bCs w:val="1"/>
                <w:color w:val="auto"/>
              </w:rPr>
              <w:t>Deferred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48"/>
              <w:spacing w:after="0"/>
              <w:rPr>
                <w:sz w:val="20"/>
                <w:szCs w:val="20"/>
                <w:color w:val="auto"/>
              </w:rPr>
            </w:pPr>
            <w:r>
              <w:rPr>
                <w:rFonts w:ascii="Arial" w:cs="Arial" w:eastAsia="Arial" w:hAnsi="Arial"/>
                <w:sz w:val="12"/>
                <w:szCs w:val="12"/>
                <w:b w:val="1"/>
                <w:bCs w:val="1"/>
                <w:color w:val="auto"/>
              </w:rPr>
              <w:t>Stock</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Profit</w:t>
            </w:r>
          </w:p>
        </w:tc>
        <w:tc>
          <w:tcPr>
            <w:tcW w:w="220" w:type="dxa"/>
            <w:vAlign w:val="bottom"/>
          </w:tcPr>
          <w:p>
            <w:pPr>
              <w:spacing w:after="0"/>
              <w:rPr>
                <w:sz w:val="18"/>
                <w:szCs w:val="18"/>
                <w:color w:val="auto"/>
              </w:rPr>
            </w:pPr>
          </w:p>
        </w:tc>
        <w:tc>
          <w:tcPr>
            <w:tcW w:w="700" w:type="dxa"/>
            <w:vAlign w:val="bottom"/>
          </w:tcPr>
          <w:p>
            <w:pPr>
              <w:jc w:val="center"/>
              <w:ind w:right="148"/>
              <w:spacing w:after="0"/>
              <w:rPr>
                <w:sz w:val="20"/>
                <w:szCs w:val="20"/>
                <w:color w:val="auto"/>
              </w:rPr>
            </w:pPr>
            <w:r>
              <w:rPr>
                <w:rFonts w:ascii="Arial" w:cs="Arial" w:eastAsia="Arial" w:hAnsi="Arial"/>
                <w:sz w:val="12"/>
                <w:szCs w:val="12"/>
                <w:b w:val="1"/>
                <w:bCs w:val="1"/>
                <w:color w:val="auto"/>
                <w:w w:val="99"/>
              </w:rPr>
              <w:t>Time</w:t>
            </w:r>
          </w:p>
        </w:tc>
        <w:tc>
          <w:tcPr>
            <w:tcW w:w="1000" w:type="dxa"/>
            <w:vAlign w:val="bottom"/>
          </w:tcPr>
          <w:p>
            <w:pPr>
              <w:spacing w:after="0"/>
              <w:rPr>
                <w:sz w:val="18"/>
                <w:szCs w:val="18"/>
                <w:color w:val="auto"/>
              </w:rPr>
            </w:pPr>
          </w:p>
        </w:tc>
      </w:tr>
      <w:tr>
        <w:trPr>
          <w:trHeight w:val="218"/>
        </w:trPr>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center"/>
              <w:ind w:right="170"/>
              <w:spacing w:after="0"/>
              <w:rPr>
                <w:sz w:val="20"/>
                <w:szCs w:val="20"/>
                <w:color w:val="auto"/>
              </w:rPr>
            </w:pPr>
            <w:r>
              <w:rPr>
                <w:rFonts w:ascii="Arial" w:cs="Arial" w:eastAsia="Arial" w:hAnsi="Arial"/>
                <w:sz w:val="12"/>
                <w:szCs w:val="12"/>
                <w:b w:val="1"/>
                <w:bCs w:val="1"/>
                <w:color w:val="auto"/>
              </w:rPr>
              <w:t>Plan</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4"/>
              </w:rPr>
              <w:t>Plan</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Plan II</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4"/>
              </w:rPr>
              <w:t>Plan</w:t>
            </w: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Compensation</w:t>
            </w:r>
          </w:p>
        </w:tc>
        <w:tc>
          <w:tcPr>
            <w:tcW w:w="220" w:type="dxa"/>
            <w:vAlign w:val="bottom"/>
          </w:tcPr>
          <w:p>
            <w:pPr>
              <w:spacing w:after="0"/>
              <w:rPr>
                <w:sz w:val="18"/>
                <w:szCs w:val="18"/>
                <w:color w:val="auto"/>
              </w:rPr>
            </w:pPr>
          </w:p>
        </w:tc>
        <w:tc>
          <w:tcPr>
            <w:tcW w:w="920" w:type="dxa"/>
            <w:vAlign w:val="bottom"/>
          </w:tcPr>
          <w:p>
            <w:pPr>
              <w:jc w:val="right"/>
              <w:ind w:right="346"/>
              <w:spacing w:after="0"/>
              <w:rPr>
                <w:sz w:val="20"/>
                <w:szCs w:val="20"/>
                <w:color w:val="auto"/>
              </w:rPr>
            </w:pPr>
            <w:r>
              <w:rPr>
                <w:rFonts w:ascii="Arial" w:cs="Arial" w:eastAsia="Arial" w:hAnsi="Arial"/>
                <w:sz w:val="12"/>
                <w:szCs w:val="12"/>
                <w:b w:val="1"/>
                <w:bCs w:val="1"/>
                <w:color w:val="auto"/>
              </w:rPr>
              <w:t>RSUs</w:t>
            </w:r>
          </w:p>
        </w:tc>
        <w:tc>
          <w:tcPr>
            <w:tcW w:w="220" w:type="dxa"/>
            <w:vAlign w:val="bottom"/>
          </w:tcPr>
          <w:p>
            <w:pPr>
              <w:spacing w:after="0"/>
              <w:rPr>
                <w:sz w:val="18"/>
                <w:szCs w:val="18"/>
                <w:color w:val="auto"/>
              </w:rPr>
            </w:pPr>
          </w:p>
        </w:tc>
        <w:tc>
          <w:tcPr>
            <w:tcW w:w="920" w:type="dxa"/>
            <w:vAlign w:val="bottom"/>
          </w:tcPr>
          <w:p>
            <w:pPr>
              <w:jc w:val="center"/>
              <w:ind w:right="148"/>
              <w:spacing w:after="0"/>
              <w:rPr>
                <w:sz w:val="20"/>
                <w:szCs w:val="20"/>
                <w:color w:val="auto"/>
              </w:rPr>
            </w:pPr>
            <w:r>
              <w:rPr>
                <w:rFonts w:ascii="Arial" w:cs="Arial" w:eastAsia="Arial" w:hAnsi="Arial"/>
                <w:sz w:val="12"/>
                <w:szCs w:val="12"/>
                <w:b w:val="1"/>
                <w:bCs w:val="1"/>
                <w:color w:val="auto"/>
              </w:rPr>
              <w:t>Options</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Sharing</w:t>
            </w:r>
          </w:p>
        </w:tc>
        <w:tc>
          <w:tcPr>
            <w:tcW w:w="220" w:type="dxa"/>
            <w:vAlign w:val="bottom"/>
          </w:tcPr>
          <w:p>
            <w:pPr>
              <w:spacing w:after="0"/>
              <w:rPr>
                <w:sz w:val="18"/>
                <w:szCs w:val="18"/>
                <w:color w:val="auto"/>
              </w:rPr>
            </w:pPr>
          </w:p>
        </w:tc>
        <w:tc>
          <w:tcPr>
            <w:tcW w:w="700" w:type="dxa"/>
            <w:vAlign w:val="bottom"/>
          </w:tcPr>
          <w:p>
            <w:pPr>
              <w:jc w:val="center"/>
              <w:ind w:right="168"/>
              <w:spacing w:after="0"/>
              <w:rPr>
                <w:sz w:val="20"/>
                <w:szCs w:val="20"/>
                <w:color w:val="auto"/>
              </w:rPr>
            </w:pPr>
            <w:r>
              <w:rPr>
                <w:rFonts w:ascii="Arial" w:cs="Arial" w:eastAsia="Arial" w:hAnsi="Arial"/>
                <w:sz w:val="12"/>
                <w:szCs w:val="12"/>
                <w:b w:val="1"/>
                <w:bCs w:val="1"/>
                <w:color w:val="auto"/>
              </w:rPr>
              <w:t>Bank</w:t>
            </w:r>
          </w:p>
        </w:tc>
        <w:tc>
          <w:tcPr>
            <w:tcW w:w="1000" w:type="dxa"/>
            <w:vAlign w:val="bottom"/>
          </w:tcPr>
          <w:p>
            <w:pPr>
              <w:spacing w:after="0"/>
              <w:rPr>
                <w:sz w:val="18"/>
                <w:szCs w:val="18"/>
                <w:color w:val="auto"/>
              </w:rPr>
            </w:pPr>
          </w:p>
        </w:tc>
      </w:tr>
      <w:tr>
        <w:trPr>
          <w:trHeight w:val="218"/>
        </w:trPr>
        <w:tc>
          <w:tcPr>
            <w:tcW w:w="84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6"/>
              </w:rPr>
              <w:t>Bonus</w:t>
            </w:r>
          </w:p>
        </w:tc>
        <w:tc>
          <w:tcPr>
            <w:tcW w:w="220" w:type="dxa"/>
            <w:vAlign w:val="bottom"/>
          </w:tcPr>
          <w:p>
            <w:pPr>
              <w:spacing w:after="0"/>
              <w:rPr>
                <w:sz w:val="18"/>
                <w:szCs w:val="18"/>
                <w:color w:val="auto"/>
              </w:rPr>
            </w:pPr>
          </w:p>
        </w:tc>
        <w:tc>
          <w:tcPr>
            <w:tcW w:w="700" w:type="dxa"/>
            <w:vAlign w:val="bottom"/>
          </w:tcPr>
          <w:p>
            <w:pPr>
              <w:jc w:val="center"/>
              <w:ind w:right="170"/>
              <w:spacing w:after="0"/>
              <w:rPr>
                <w:sz w:val="20"/>
                <w:szCs w:val="20"/>
                <w:color w:val="auto"/>
              </w:rPr>
            </w:pPr>
            <w:r>
              <w:rPr>
                <w:rFonts w:ascii="Arial" w:cs="Arial" w:eastAsia="Arial" w:hAnsi="Arial"/>
                <w:sz w:val="12"/>
                <w:szCs w:val="12"/>
                <w:b w:val="1"/>
                <w:bCs w:val="1"/>
                <w:color w:val="auto"/>
                <w:w w:val="95"/>
              </w:rPr>
              <w:t>(2)</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8"/>
                <w:szCs w:val="18"/>
                <w:color w:val="auto"/>
              </w:rPr>
            </w:pPr>
          </w:p>
        </w:tc>
        <w:tc>
          <w:tcPr>
            <w:tcW w:w="820" w:type="dxa"/>
            <w:vAlign w:val="bottom"/>
          </w:tcPr>
          <w:p>
            <w:pPr>
              <w:jc w:val="center"/>
              <w:ind w:right="226"/>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8"/>
                <w:szCs w:val="18"/>
                <w:color w:val="auto"/>
              </w:rPr>
            </w:pPr>
          </w:p>
        </w:tc>
        <w:tc>
          <w:tcPr>
            <w:tcW w:w="920" w:type="dxa"/>
            <w:vAlign w:val="bottom"/>
          </w:tcPr>
          <w:p>
            <w:pPr>
              <w:jc w:val="right"/>
              <w:ind w:right="426"/>
              <w:spacing w:after="0"/>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8"/>
                <w:szCs w:val="18"/>
                <w:color w:val="auto"/>
              </w:rPr>
            </w:pPr>
          </w:p>
        </w:tc>
        <w:tc>
          <w:tcPr>
            <w:tcW w:w="920" w:type="dxa"/>
            <w:vAlign w:val="bottom"/>
          </w:tcPr>
          <w:p>
            <w:pPr>
              <w:jc w:val="center"/>
              <w:ind w:right="148"/>
              <w:spacing w:after="0"/>
              <w:rPr>
                <w:sz w:val="20"/>
                <w:szCs w:val="20"/>
                <w:color w:val="auto"/>
              </w:rPr>
            </w:pPr>
            <w:r>
              <w:rPr>
                <w:rFonts w:ascii="Arial" w:cs="Arial" w:eastAsia="Arial" w:hAnsi="Arial"/>
                <w:sz w:val="12"/>
                <w:szCs w:val="12"/>
                <w:b w:val="1"/>
                <w:bCs w:val="1"/>
                <w:color w:val="auto"/>
                <w:w w:val="95"/>
              </w:rPr>
              <w:t>(6)</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5"/>
              </w:rPr>
              <w:t>(7)</w:t>
            </w:r>
          </w:p>
        </w:tc>
        <w:tc>
          <w:tcPr>
            <w:tcW w:w="220" w:type="dxa"/>
            <w:vAlign w:val="bottom"/>
          </w:tcPr>
          <w:p>
            <w:pPr>
              <w:spacing w:after="0"/>
              <w:rPr>
                <w:sz w:val="18"/>
                <w:szCs w:val="18"/>
                <w:color w:val="auto"/>
              </w:rPr>
            </w:pPr>
          </w:p>
        </w:tc>
        <w:tc>
          <w:tcPr>
            <w:tcW w:w="700" w:type="dxa"/>
            <w:vAlign w:val="bottom"/>
          </w:tcPr>
          <w:p>
            <w:pPr>
              <w:jc w:val="center"/>
              <w:ind w:right="168"/>
              <w:spacing w:after="0"/>
              <w:rPr>
                <w:sz w:val="20"/>
                <w:szCs w:val="20"/>
                <w:color w:val="auto"/>
              </w:rPr>
            </w:pPr>
            <w:r>
              <w:rPr>
                <w:rFonts w:ascii="Arial" w:cs="Arial" w:eastAsia="Arial" w:hAnsi="Arial"/>
                <w:sz w:val="12"/>
                <w:szCs w:val="12"/>
                <w:b w:val="1"/>
                <w:bCs w:val="1"/>
                <w:color w:val="auto"/>
                <w:w w:val="95"/>
              </w:rPr>
              <w:t>(8)</w:t>
            </w:r>
          </w:p>
        </w:tc>
        <w:tc>
          <w:tcPr>
            <w:tcW w:w="1000" w:type="dxa"/>
            <w:vAlign w:val="bottom"/>
          </w:tcPr>
          <w:p>
            <w:pPr>
              <w:ind w:left="420"/>
              <w:spacing w:after="0"/>
              <w:rPr>
                <w:sz w:val="20"/>
                <w:szCs w:val="20"/>
                <w:color w:val="auto"/>
              </w:rPr>
            </w:pPr>
            <w:r>
              <w:rPr>
                <w:rFonts w:ascii="Arial" w:cs="Arial" w:eastAsia="Arial" w:hAnsi="Arial"/>
                <w:sz w:val="12"/>
                <w:szCs w:val="12"/>
                <w:b w:val="1"/>
                <w:bCs w:val="1"/>
                <w:color w:val="auto"/>
              </w:rPr>
              <w:t>Total</w:t>
            </w:r>
          </w:p>
        </w:tc>
      </w:tr>
      <w:tr>
        <w:trPr>
          <w:trHeight w:val="37"/>
        </w:trPr>
        <w:tc>
          <w:tcPr>
            <w:tcW w:w="840" w:type="dxa"/>
            <w:vAlign w:val="bottom"/>
            <w:tcBorders>
              <w:bottom w:val="single" w:sz="8" w:color="808285"/>
            </w:tcBorders>
          </w:tcPr>
          <w:p>
            <w:pPr>
              <w:spacing w:after="0"/>
              <w:rPr>
                <w:sz w:val="3"/>
                <w:szCs w:val="3"/>
                <w:color w:val="auto"/>
              </w:rPr>
            </w:pPr>
          </w:p>
        </w:tc>
        <w:tc>
          <w:tcPr>
            <w:tcW w:w="64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700" w:type="dxa"/>
            <w:vAlign w:val="bottom"/>
            <w:tcBorders>
              <w:bottom w:val="single" w:sz="8" w:color="808285"/>
            </w:tcBorders>
          </w:tcPr>
          <w:p>
            <w:pPr>
              <w:spacing w:after="0"/>
              <w:rPr>
                <w:sz w:val="3"/>
                <w:szCs w:val="3"/>
                <w:color w:val="auto"/>
              </w:rPr>
            </w:pPr>
          </w:p>
        </w:tc>
        <w:tc>
          <w:tcPr>
            <w:tcW w:w="90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1040" w:type="dxa"/>
            <w:vAlign w:val="bottom"/>
            <w:tcBorders>
              <w:bottom w:val="single" w:sz="8" w:color="808285"/>
            </w:tcBorders>
          </w:tcPr>
          <w:p>
            <w:pPr>
              <w:spacing w:after="0"/>
              <w:rPr>
                <w:sz w:val="3"/>
                <w:szCs w:val="3"/>
                <w:color w:val="auto"/>
              </w:rPr>
            </w:pPr>
          </w:p>
        </w:tc>
        <w:tc>
          <w:tcPr>
            <w:tcW w:w="30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92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92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700" w:type="dxa"/>
            <w:vAlign w:val="bottom"/>
            <w:tcBorders>
              <w:bottom w:val="single" w:sz="8" w:color="808285"/>
            </w:tcBorders>
          </w:tcPr>
          <w:p>
            <w:pPr>
              <w:spacing w:after="0"/>
              <w:rPr>
                <w:sz w:val="3"/>
                <w:szCs w:val="3"/>
                <w:color w:val="auto"/>
              </w:rPr>
            </w:pPr>
          </w:p>
        </w:tc>
        <w:tc>
          <w:tcPr>
            <w:tcW w:w="1000" w:type="dxa"/>
            <w:vAlign w:val="bottom"/>
            <w:tcBorders>
              <w:bottom w:val="single" w:sz="8" w:color="808285"/>
            </w:tcBorders>
          </w:tcPr>
          <w:p>
            <w:pPr>
              <w:spacing w:after="0"/>
              <w:rPr>
                <w:sz w:val="3"/>
                <w:szCs w:val="3"/>
                <w:color w:val="auto"/>
              </w:rPr>
            </w:pPr>
          </w:p>
        </w:tc>
      </w:tr>
      <w:tr>
        <w:trPr>
          <w:trHeight w:val="210"/>
        </w:trPr>
        <w:tc>
          <w:tcPr>
            <w:tcW w:w="840" w:type="dxa"/>
            <w:vAlign w:val="bottom"/>
            <w:shd w:val="clear" w:color="auto" w:fill="E9E9E9"/>
          </w:tcPr>
          <w:p>
            <w:pPr>
              <w:spacing w:after="0"/>
              <w:rPr>
                <w:sz w:val="20"/>
                <w:szCs w:val="20"/>
                <w:color w:val="auto"/>
              </w:rPr>
            </w:pPr>
            <w:r>
              <w:rPr>
                <w:rFonts w:ascii="Arial" w:cs="Arial" w:eastAsia="Arial" w:hAnsi="Arial"/>
                <w:sz w:val="16"/>
                <w:szCs w:val="16"/>
                <w:color w:val="auto"/>
              </w:rPr>
              <w:t>Templeton</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9E9E9"/>
          </w:tcPr>
          <w:p>
            <w:pPr>
              <w:jc w:val="right"/>
              <w:ind w:right="70"/>
              <w:spacing w:after="0"/>
              <w:rPr>
                <w:sz w:val="20"/>
                <w:szCs w:val="20"/>
                <w:color w:val="auto"/>
              </w:rPr>
            </w:pPr>
            <w:r>
              <w:rPr>
                <w:rFonts w:ascii="Arial" w:cs="Arial" w:eastAsia="Arial" w:hAnsi="Arial"/>
                <w:sz w:val="16"/>
                <w:szCs w:val="16"/>
                <w:color w:val="auto"/>
                <w:w w:val="93"/>
              </w:rPr>
              <w:t>247,835</w:t>
            </w:r>
          </w:p>
        </w:tc>
        <w:tc>
          <w:tcPr>
            <w:tcW w:w="90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$167,749</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15,383</w:t>
            </w:r>
          </w:p>
        </w:tc>
        <w:tc>
          <w:tcPr>
            <w:tcW w:w="1040" w:type="dxa"/>
            <w:vAlign w:val="bottom"/>
            <w:shd w:val="clear" w:color="auto" w:fill="E9E9E9"/>
          </w:tcPr>
          <w:p>
            <w:pPr>
              <w:jc w:val="right"/>
              <w:ind w:right="49"/>
              <w:spacing w:after="0"/>
              <w:rPr>
                <w:sz w:val="20"/>
                <w:szCs w:val="20"/>
                <w:color w:val="auto"/>
              </w:rPr>
            </w:pPr>
            <w:r>
              <w:rPr>
                <w:rFonts w:ascii="Arial" w:cs="Arial" w:eastAsia="Arial" w:hAnsi="Arial"/>
                <w:sz w:val="16"/>
                <w:szCs w:val="16"/>
                <w:color w:val="auto"/>
              </w:rPr>
              <w:t>—</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6"/>
              <w:spacing w:after="0"/>
              <w:rPr>
                <w:sz w:val="20"/>
                <w:szCs w:val="20"/>
                <w:color w:val="auto"/>
              </w:rPr>
            </w:pPr>
            <w:r>
              <w:rPr>
                <w:rFonts w:ascii="Arial" w:cs="Arial" w:eastAsia="Arial" w:hAnsi="Arial"/>
                <w:sz w:val="16"/>
                <w:szCs w:val="16"/>
                <w:color w:val="auto"/>
                <w:w w:val="95"/>
              </w:rPr>
              <w:t>1,425,512</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46"/>
              <w:spacing w:after="0"/>
              <w:rPr>
                <w:sz w:val="20"/>
                <w:szCs w:val="20"/>
                <w:color w:val="auto"/>
              </w:rPr>
            </w:pPr>
            <w:r>
              <w:rPr>
                <w:rFonts w:ascii="Arial" w:cs="Arial" w:eastAsia="Arial" w:hAnsi="Arial"/>
                <w:sz w:val="16"/>
                <w:szCs w:val="16"/>
                <w:color w:val="auto"/>
                <w:w w:val="97"/>
              </w:rPr>
              <w:t>23,913,487</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48"/>
              <w:spacing w:after="0"/>
              <w:rPr>
                <w:sz w:val="20"/>
                <w:szCs w:val="20"/>
                <w:color w:val="auto"/>
              </w:rPr>
            </w:pPr>
            <w:r>
              <w:rPr>
                <w:rFonts w:ascii="Arial" w:cs="Arial" w:eastAsia="Arial" w:hAnsi="Arial"/>
                <w:sz w:val="16"/>
                <w:szCs w:val="16"/>
                <w:color w:val="auto"/>
                <w:w w:val="97"/>
              </w:rPr>
              <w:t>29,621,968</w:t>
            </w:r>
          </w:p>
        </w:tc>
        <w:tc>
          <w:tcPr>
            <w:tcW w:w="82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$78,118</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9E9E9"/>
          </w:tcPr>
          <w:p>
            <w:pPr>
              <w:jc w:val="right"/>
              <w:ind w:right="68"/>
              <w:spacing w:after="0"/>
              <w:rPr>
                <w:sz w:val="20"/>
                <w:szCs w:val="20"/>
                <w:color w:val="auto"/>
              </w:rPr>
            </w:pPr>
            <w:r>
              <w:rPr>
                <w:rFonts w:ascii="Arial" w:cs="Arial" w:eastAsia="Arial" w:hAnsi="Arial"/>
                <w:sz w:val="16"/>
                <w:szCs w:val="16"/>
                <w:color w:val="auto"/>
                <w:w w:val="93"/>
              </w:rPr>
              <w:t>175,168</w:t>
            </w:r>
          </w:p>
        </w:tc>
        <w:tc>
          <w:tcPr>
            <w:tcW w:w="1000" w:type="dxa"/>
            <w:vAlign w:val="bottom"/>
            <w:shd w:val="clear" w:color="auto" w:fill="E9E9E9"/>
          </w:tcPr>
          <w:p>
            <w:pPr>
              <w:ind w:left="120"/>
              <w:spacing w:after="0"/>
              <w:rPr>
                <w:sz w:val="20"/>
                <w:szCs w:val="20"/>
                <w:color w:val="auto"/>
              </w:rPr>
            </w:pPr>
            <w:r>
              <w:rPr>
                <w:rFonts w:ascii="Arial" w:cs="Arial" w:eastAsia="Arial" w:hAnsi="Arial"/>
                <w:sz w:val="16"/>
                <w:szCs w:val="16"/>
                <w:color w:val="auto"/>
                <w:w w:val="96"/>
              </w:rPr>
              <w:t>$55,645,220</w:t>
            </w:r>
          </w:p>
        </w:tc>
      </w:tr>
      <w:tr>
        <w:trPr>
          <w:trHeight w:val="211"/>
        </w:trPr>
        <w:tc>
          <w:tcPr>
            <w:tcW w:w="840" w:type="dxa"/>
            <w:vAlign w:val="bottom"/>
          </w:tcPr>
          <w:p>
            <w:pPr>
              <w:spacing w:after="0"/>
              <w:rPr>
                <w:sz w:val="20"/>
                <w:szCs w:val="20"/>
                <w:color w:val="auto"/>
              </w:rPr>
            </w:pPr>
            <w:r>
              <w:rPr>
                <w:rFonts w:ascii="Arial" w:cs="Arial" w:eastAsia="Arial" w:hAnsi="Arial"/>
                <w:sz w:val="16"/>
                <w:szCs w:val="16"/>
                <w:color w:val="auto"/>
              </w:rPr>
              <w:t>March</w:t>
            </w:r>
          </w:p>
        </w:tc>
        <w:tc>
          <w:tcPr>
            <w:tcW w:w="640" w:type="dxa"/>
            <w:vAlign w:val="bottom"/>
          </w:tcPr>
          <w:p>
            <w:pPr>
              <w:jc w:val="center"/>
              <w:spacing w:after="0"/>
              <w:rPr>
                <w:sz w:val="20"/>
                <w:szCs w:val="20"/>
                <w:color w:val="auto"/>
              </w:rPr>
            </w:pPr>
            <w:r>
              <w:rPr>
                <w:rFonts w:ascii="Arial" w:cs="Arial" w:eastAsia="Arial" w:hAnsi="Arial"/>
                <w:sz w:val="16"/>
                <w:szCs w:val="16"/>
                <w:color w:val="auto"/>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0"/>
              <w:spacing w:after="0"/>
              <w:rPr>
                <w:sz w:val="20"/>
                <w:szCs w:val="20"/>
                <w:color w:val="auto"/>
              </w:rPr>
            </w:pPr>
            <w:r>
              <w:rPr>
                <w:rFonts w:ascii="Arial" w:cs="Arial" w:eastAsia="Arial" w:hAnsi="Arial"/>
                <w:sz w:val="16"/>
                <w:szCs w:val="16"/>
                <w:color w:val="auto"/>
                <w:w w:val="93"/>
              </w:rPr>
              <w:t>298,285</w:t>
            </w:r>
          </w:p>
        </w:tc>
        <w:tc>
          <w:tcPr>
            <w:tcW w:w="900" w:type="dxa"/>
            <w:vAlign w:val="bottom"/>
          </w:tcPr>
          <w:p>
            <w:pPr>
              <w:jc w:val="right"/>
              <w:ind w:right="52"/>
              <w:spacing w:after="0"/>
              <w:rPr>
                <w:sz w:val="20"/>
                <w:szCs w:val="20"/>
                <w:color w:val="auto"/>
              </w:rPr>
            </w:pPr>
            <w:r>
              <w:rPr>
                <w:rFonts w:ascii="Arial" w:cs="Arial" w:eastAsia="Arial" w:hAnsi="Arial"/>
                <w:sz w:val="16"/>
                <w:szCs w:val="16"/>
                <w:color w:val="auto"/>
              </w:rPr>
              <w:t>$104,903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2"/>
              <w:spacing w:after="0"/>
              <w:rPr>
                <w:sz w:val="20"/>
                <w:szCs w:val="20"/>
                <w:color w:val="auto"/>
              </w:rPr>
            </w:pPr>
            <w:r>
              <w:rPr>
                <w:rFonts w:ascii="Arial" w:cs="Arial" w:eastAsia="Arial" w:hAnsi="Arial"/>
                <w:sz w:val="16"/>
                <w:szCs w:val="16"/>
                <w:color w:val="auto"/>
                <w:w w:val="95"/>
              </w:rPr>
              <w:t>1,240,008</w:t>
            </w:r>
          </w:p>
        </w:tc>
        <w:tc>
          <w:tcPr>
            <w:tcW w:w="1040" w:type="dxa"/>
            <w:vAlign w:val="bottom"/>
          </w:tcPr>
          <w:p>
            <w:pPr>
              <w:jc w:val="right"/>
              <w:ind w:right="4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6"/>
              <w:spacing w:after="0"/>
              <w:rPr>
                <w:sz w:val="20"/>
                <w:szCs w:val="20"/>
                <w:color w:val="auto"/>
              </w:rPr>
            </w:pPr>
            <w:r>
              <w:rPr>
                <w:rFonts w:ascii="Arial" w:cs="Arial" w:eastAsia="Arial" w:hAnsi="Arial"/>
                <w:sz w:val="16"/>
                <w:szCs w:val="16"/>
                <w:color w:val="auto"/>
              </w:rPr>
              <w:t>5,761,422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8"/>
              <w:spacing w:after="0"/>
              <w:rPr>
                <w:sz w:val="20"/>
                <w:szCs w:val="20"/>
                <w:color w:val="auto"/>
              </w:rPr>
            </w:pPr>
            <w:r>
              <w:rPr>
                <w:rFonts w:ascii="Arial" w:cs="Arial" w:eastAsia="Arial" w:hAnsi="Arial"/>
                <w:sz w:val="16"/>
                <w:szCs w:val="16"/>
                <w:color w:val="auto"/>
              </w:rPr>
              <w:t>4,339,525</w:t>
            </w:r>
          </w:p>
        </w:tc>
        <w:tc>
          <w:tcPr>
            <w:tcW w:w="820" w:type="dxa"/>
            <w:vAlign w:val="bottom"/>
          </w:tcPr>
          <w:p>
            <w:pPr>
              <w:jc w:val="center"/>
              <w:spacing w:after="0"/>
              <w:rPr>
                <w:sz w:val="20"/>
                <w:szCs w:val="20"/>
                <w:color w:val="auto"/>
              </w:rPr>
            </w:pPr>
            <w:r>
              <w:rPr>
                <w:rFonts w:ascii="Arial" w:cs="Arial" w:eastAsia="Arial" w:hAnsi="Arial"/>
                <w:sz w:val="16"/>
                <w:szCs w:val="16"/>
                <w:color w:val="auto"/>
              </w:rPr>
              <w:t>$44,349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8"/>
              <w:spacing w:after="0"/>
              <w:rPr>
                <w:sz w:val="20"/>
                <w:szCs w:val="20"/>
                <w:color w:val="auto"/>
              </w:rPr>
            </w:pPr>
            <w:r>
              <w:rPr>
                <w:rFonts w:ascii="Arial" w:cs="Arial" w:eastAsia="Arial" w:hAnsi="Arial"/>
                <w:sz w:val="16"/>
                <w:szCs w:val="16"/>
                <w:color w:val="auto"/>
                <w:w w:val="93"/>
              </w:rPr>
              <w:t>111,916</w:t>
            </w:r>
          </w:p>
        </w:tc>
        <w:tc>
          <w:tcPr>
            <w:tcW w:w="1000" w:type="dxa"/>
            <w:vAlign w:val="bottom"/>
          </w:tcPr>
          <w:p>
            <w:pPr>
              <w:ind w:left="120"/>
              <w:spacing w:after="0"/>
              <w:rPr>
                <w:sz w:val="20"/>
                <w:szCs w:val="20"/>
                <w:color w:val="auto"/>
              </w:rPr>
            </w:pPr>
            <w:r>
              <w:rPr>
                <w:rFonts w:ascii="Arial" w:cs="Arial" w:eastAsia="Arial" w:hAnsi="Arial"/>
                <w:sz w:val="16"/>
                <w:szCs w:val="16"/>
                <w:color w:val="auto"/>
                <w:w w:val="96"/>
              </w:rPr>
              <w:t>$11,900,408</w:t>
            </w:r>
          </w:p>
        </w:tc>
      </w:tr>
      <w:tr>
        <w:trPr>
          <w:trHeight w:val="226"/>
        </w:trPr>
        <w:tc>
          <w:tcPr>
            <w:tcW w:w="840" w:type="dxa"/>
            <w:vAlign w:val="bottom"/>
            <w:shd w:val="clear" w:color="auto" w:fill="E9E9E9"/>
          </w:tcPr>
          <w:p>
            <w:pPr>
              <w:spacing w:after="0"/>
              <w:rPr>
                <w:sz w:val="20"/>
                <w:szCs w:val="20"/>
                <w:color w:val="auto"/>
              </w:rPr>
            </w:pPr>
            <w:r>
              <w:rPr>
                <w:rFonts w:ascii="Arial" w:cs="Arial" w:eastAsia="Arial" w:hAnsi="Arial"/>
                <w:sz w:val="16"/>
                <w:szCs w:val="16"/>
                <w:color w:val="auto"/>
              </w:rPr>
              <w:t>Lowe</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9E9E9"/>
          </w:tcPr>
          <w:p>
            <w:pPr>
              <w:jc w:val="right"/>
              <w:ind w:right="70"/>
              <w:spacing w:after="0"/>
              <w:rPr>
                <w:sz w:val="20"/>
                <w:szCs w:val="20"/>
                <w:color w:val="auto"/>
              </w:rPr>
            </w:pPr>
            <w:r>
              <w:rPr>
                <w:rFonts w:ascii="Arial" w:cs="Arial" w:eastAsia="Arial" w:hAnsi="Arial"/>
                <w:sz w:val="16"/>
                <w:szCs w:val="16"/>
                <w:color w:val="auto"/>
                <w:w w:val="93"/>
              </w:rPr>
              <w:t>300,470</w:t>
            </w:r>
          </w:p>
        </w:tc>
        <w:tc>
          <w:tcPr>
            <w:tcW w:w="90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$159,201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w w:val="95"/>
              </w:rPr>
              <w:t>1,371,581</w:t>
            </w:r>
          </w:p>
        </w:tc>
        <w:tc>
          <w:tcPr>
            <w:tcW w:w="1040" w:type="dxa"/>
            <w:vAlign w:val="bottom"/>
            <w:shd w:val="clear" w:color="auto" w:fill="E9E9E9"/>
          </w:tcPr>
          <w:p>
            <w:pPr>
              <w:jc w:val="right"/>
              <w:ind w:right="49"/>
              <w:spacing w:after="0"/>
              <w:rPr>
                <w:sz w:val="20"/>
                <w:szCs w:val="20"/>
                <w:color w:val="auto"/>
              </w:rPr>
            </w:pPr>
            <w:r>
              <w:rPr>
                <w:rFonts w:ascii="Arial" w:cs="Arial" w:eastAsia="Arial" w:hAnsi="Arial"/>
                <w:sz w:val="16"/>
                <w:szCs w:val="16"/>
                <w:color w:val="auto"/>
              </w:rPr>
              <w:t>—</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6"/>
              <w:spacing w:after="0"/>
              <w:rPr>
                <w:sz w:val="20"/>
                <w:szCs w:val="20"/>
                <w:color w:val="auto"/>
              </w:rPr>
            </w:pPr>
            <w:r>
              <w:rPr>
                <w:rFonts w:ascii="Arial" w:cs="Arial" w:eastAsia="Arial" w:hAnsi="Arial"/>
                <w:sz w:val="16"/>
                <w:szCs w:val="16"/>
                <w:color w:val="auto"/>
              </w:rPr>
              <w:t>841,741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46"/>
              <w:spacing w:after="0"/>
              <w:rPr>
                <w:sz w:val="20"/>
                <w:szCs w:val="20"/>
                <w:color w:val="auto"/>
              </w:rPr>
            </w:pPr>
            <w:r>
              <w:rPr>
                <w:rFonts w:ascii="Arial" w:cs="Arial" w:eastAsia="Arial" w:hAnsi="Arial"/>
                <w:sz w:val="16"/>
                <w:szCs w:val="16"/>
                <w:color w:val="auto"/>
              </w:rPr>
              <w:t>8,951,383</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48"/>
              <w:spacing w:after="0"/>
              <w:rPr>
                <w:sz w:val="20"/>
                <w:szCs w:val="20"/>
                <w:color w:val="auto"/>
              </w:rPr>
            </w:pPr>
            <w:r>
              <w:rPr>
                <w:rFonts w:ascii="Arial" w:cs="Arial" w:eastAsia="Arial" w:hAnsi="Arial"/>
                <w:sz w:val="16"/>
                <w:szCs w:val="16"/>
                <w:color w:val="auto"/>
              </w:rPr>
              <w:t>5,490,250</w:t>
            </w:r>
          </w:p>
        </w:tc>
        <w:tc>
          <w:tcPr>
            <w:tcW w:w="82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$47,176</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9E9E9"/>
          </w:tcPr>
          <w:p>
            <w:pPr>
              <w:jc w:val="right"/>
              <w:ind w:right="68"/>
              <w:spacing w:after="0"/>
              <w:rPr>
                <w:sz w:val="20"/>
                <w:szCs w:val="20"/>
                <w:color w:val="auto"/>
              </w:rPr>
            </w:pPr>
            <w:r>
              <w:rPr>
                <w:rFonts w:ascii="Arial" w:cs="Arial" w:eastAsia="Arial" w:hAnsi="Arial"/>
                <w:sz w:val="16"/>
                <w:szCs w:val="16"/>
                <w:color w:val="auto"/>
              </w:rPr>
              <w:t>95,307</w:t>
            </w:r>
          </w:p>
        </w:tc>
        <w:tc>
          <w:tcPr>
            <w:tcW w:w="1000" w:type="dxa"/>
            <w:vAlign w:val="bottom"/>
            <w:shd w:val="clear" w:color="auto" w:fill="E9E9E9"/>
          </w:tcPr>
          <w:p>
            <w:pPr>
              <w:ind w:left="120"/>
              <w:spacing w:after="0"/>
              <w:rPr>
                <w:sz w:val="20"/>
                <w:szCs w:val="20"/>
                <w:color w:val="auto"/>
              </w:rPr>
            </w:pPr>
            <w:r>
              <w:rPr>
                <w:rFonts w:ascii="Arial" w:cs="Arial" w:eastAsia="Arial" w:hAnsi="Arial"/>
                <w:sz w:val="16"/>
                <w:szCs w:val="16"/>
                <w:color w:val="auto"/>
                <w:w w:val="96"/>
              </w:rPr>
              <w:t>$17,257,109</w:t>
            </w:r>
          </w:p>
        </w:tc>
      </w:tr>
      <w:tr>
        <w:trPr>
          <w:trHeight w:val="211"/>
        </w:trPr>
        <w:tc>
          <w:tcPr>
            <w:tcW w:w="840" w:type="dxa"/>
            <w:vAlign w:val="bottom"/>
          </w:tcPr>
          <w:p>
            <w:pPr>
              <w:spacing w:after="0"/>
              <w:rPr>
                <w:sz w:val="20"/>
                <w:szCs w:val="20"/>
                <w:color w:val="auto"/>
              </w:rPr>
            </w:pPr>
            <w:r>
              <w:rPr>
                <w:rFonts w:ascii="Arial" w:cs="Arial" w:eastAsia="Arial" w:hAnsi="Arial"/>
                <w:sz w:val="16"/>
                <w:szCs w:val="16"/>
                <w:color w:val="auto"/>
              </w:rPr>
              <w:t>Ritchie</w:t>
            </w:r>
          </w:p>
        </w:tc>
        <w:tc>
          <w:tcPr>
            <w:tcW w:w="640" w:type="dxa"/>
            <w:vAlign w:val="bottom"/>
          </w:tcPr>
          <w:p>
            <w:pPr>
              <w:jc w:val="center"/>
              <w:spacing w:after="0"/>
              <w:rPr>
                <w:sz w:val="20"/>
                <w:szCs w:val="20"/>
                <w:color w:val="auto"/>
              </w:rPr>
            </w:pPr>
            <w:r>
              <w:rPr>
                <w:rFonts w:ascii="Arial" w:cs="Arial" w:eastAsia="Arial" w:hAnsi="Arial"/>
                <w:sz w:val="16"/>
                <w:szCs w:val="16"/>
                <w:color w:val="auto"/>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0"/>
              <w:spacing w:after="0"/>
              <w:rPr>
                <w:sz w:val="20"/>
                <w:szCs w:val="20"/>
                <w:color w:val="auto"/>
              </w:rPr>
            </w:pPr>
            <w:r>
              <w:rPr>
                <w:rFonts w:ascii="Arial" w:cs="Arial" w:eastAsia="Arial" w:hAnsi="Arial"/>
                <w:sz w:val="16"/>
                <w:szCs w:val="16"/>
                <w:color w:val="auto"/>
                <w:w w:val="93"/>
              </w:rPr>
              <w:t>666,713</w:t>
            </w:r>
          </w:p>
        </w:tc>
        <w:tc>
          <w:tcPr>
            <w:tcW w:w="900" w:type="dxa"/>
            <w:vAlign w:val="bottom"/>
          </w:tcPr>
          <w:p>
            <w:pPr>
              <w:jc w:val="right"/>
              <w:ind w:right="52"/>
              <w:spacing w:after="0"/>
              <w:rPr>
                <w:sz w:val="20"/>
                <w:szCs w:val="20"/>
                <w:color w:val="auto"/>
              </w:rPr>
            </w:pPr>
            <w:r>
              <w:rPr>
                <w:rFonts w:ascii="Arial" w:cs="Arial" w:eastAsia="Arial" w:hAnsi="Arial"/>
                <w:sz w:val="16"/>
                <w:szCs w:val="16"/>
                <w:color w:val="auto"/>
              </w:rPr>
              <w:t>$276,859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2"/>
              <w:spacing w:after="0"/>
              <w:rPr>
                <w:sz w:val="20"/>
                <w:szCs w:val="20"/>
                <w:color w:val="auto"/>
              </w:rPr>
            </w:pPr>
            <w:r>
              <w:rPr>
                <w:rFonts w:ascii="Arial" w:cs="Arial" w:eastAsia="Arial" w:hAnsi="Arial"/>
                <w:sz w:val="16"/>
                <w:szCs w:val="16"/>
                <w:color w:val="auto"/>
                <w:w w:val="95"/>
              </w:rPr>
              <w:t>2,217,366</w:t>
            </w:r>
          </w:p>
        </w:tc>
        <w:tc>
          <w:tcPr>
            <w:tcW w:w="1040" w:type="dxa"/>
            <w:vAlign w:val="bottom"/>
          </w:tcPr>
          <w:p>
            <w:pPr>
              <w:jc w:val="right"/>
              <w:ind w:right="49"/>
              <w:spacing w:after="0"/>
              <w:rPr>
                <w:sz w:val="20"/>
                <w:szCs w:val="20"/>
                <w:color w:val="auto"/>
              </w:rPr>
            </w:pPr>
            <w:r>
              <w:rPr>
                <w:rFonts w:ascii="Arial" w:cs="Arial" w:eastAsia="Arial" w:hAnsi="Arial"/>
                <w:sz w:val="16"/>
                <w:szCs w:val="16"/>
                <w:color w:val="auto"/>
              </w:rPr>
              <w:t>$3,131,552</w:t>
            </w:r>
          </w:p>
        </w:tc>
        <w:tc>
          <w:tcPr>
            <w:tcW w:w="300" w:type="dxa"/>
            <w:vAlign w:val="bottom"/>
          </w:tcPr>
          <w:p>
            <w:pPr>
              <w:spacing w:after="0"/>
              <w:rPr>
                <w:sz w:val="18"/>
                <w:szCs w:val="18"/>
                <w:color w:val="auto"/>
              </w:rPr>
            </w:pPr>
          </w:p>
        </w:tc>
        <w:tc>
          <w:tcPr>
            <w:tcW w:w="82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6"/>
              <w:spacing w:after="0"/>
              <w:rPr>
                <w:sz w:val="20"/>
                <w:szCs w:val="20"/>
                <w:color w:val="auto"/>
              </w:rPr>
            </w:pPr>
            <w:r>
              <w:rPr>
                <w:rFonts w:ascii="Arial" w:cs="Arial" w:eastAsia="Arial" w:hAnsi="Arial"/>
                <w:sz w:val="16"/>
                <w:szCs w:val="16"/>
                <w:color w:val="auto"/>
              </w:rPr>
              <w:t>7,277,558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8"/>
              <w:spacing w:after="0"/>
              <w:rPr>
                <w:sz w:val="20"/>
                <w:szCs w:val="20"/>
                <w:color w:val="auto"/>
              </w:rPr>
            </w:pPr>
            <w:r>
              <w:rPr>
                <w:rFonts w:ascii="Arial" w:cs="Arial" w:eastAsia="Arial" w:hAnsi="Arial"/>
                <w:sz w:val="16"/>
                <w:szCs w:val="16"/>
                <w:color w:val="auto"/>
              </w:rPr>
              <w:t>5,511,250</w:t>
            </w:r>
          </w:p>
        </w:tc>
        <w:tc>
          <w:tcPr>
            <w:tcW w:w="820" w:type="dxa"/>
            <w:vAlign w:val="bottom"/>
          </w:tcPr>
          <w:p>
            <w:pPr>
              <w:jc w:val="center"/>
              <w:spacing w:after="0"/>
              <w:rPr>
                <w:sz w:val="20"/>
                <w:szCs w:val="20"/>
                <w:color w:val="auto"/>
              </w:rPr>
            </w:pPr>
            <w:r>
              <w:rPr>
                <w:rFonts w:ascii="Arial" w:cs="Arial" w:eastAsia="Arial" w:hAnsi="Arial"/>
                <w:sz w:val="16"/>
                <w:szCs w:val="16"/>
                <w:color w:val="auto"/>
              </w:rPr>
              <w:t>$42,873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8"/>
              <w:spacing w:after="0"/>
              <w:rPr>
                <w:sz w:val="20"/>
                <w:szCs w:val="20"/>
                <w:color w:val="auto"/>
              </w:rPr>
            </w:pPr>
            <w:r>
              <w:rPr>
                <w:rFonts w:ascii="Arial" w:cs="Arial" w:eastAsia="Arial" w:hAnsi="Arial"/>
                <w:sz w:val="16"/>
                <w:szCs w:val="16"/>
                <w:color w:val="auto"/>
                <w:w w:val="93"/>
              </w:rPr>
              <w:t>108,945</w:t>
            </w:r>
          </w:p>
        </w:tc>
        <w:tc>
          <w:tcPr>
            <w:tcW w:w="1000" w:type="dxa"/>
            <w:vAlign w:val="bottom"/>
          </w:tcPr>
          <w:p>
            <w:pPr>
              <w:ind w:left="120"/>
              <w:spacing w:after="0"/>
              <w:rPr>
                <w:sz w:val="20"/>
                <w:szCs w:val="20"/>
                <w:color w:val="auto"/>
              </w:rPr>
            </w:pPr>
            <w:r>
              <w:rPr>
                <w:rFonts w:ascii="Arial" w:cs="Arial" w:eastAsia="Arial" w:hAnsi="Arial"/>
                <w:sz w:val="16"/>
                <w:szCs w:val="16"/>
                <w:color w:val="auto"/>
                <w:w w:val="96"/>
              </w:rPr>
              <w:t>$19,233,116</w:t>
            </w:r>
          </w:p>
        </w:tc>
      </w:tr>
      <w:tr>
        <w:trPr>
          <w:trHeight w:val="226"/>
        </w:trPr>
        <w:tc>
          <w:tcPr>
            <w:tcW w:w="840" w:type="dxa"/>
            <w:vAlign w:val="bottom"/>
            <w:shd w:val="clear" w:color="auto" w:fill="E9E9E9"/>
          </w:tcPr>
          <w:p>
            <w:pPr>
              <w:spacing w:after="0"/>
              <w:rPr>
                <w:sz w:val="20"/>
                <w:szCs w:val="20"/>
                <w:color w:val="auto"/>
              </w:rPr>
            </w:pPr>
            <w:r>
              <w:rPr>
                <w:rFonts w:ascii="Arial" w:cs="Arial" w:eastAsia="Arial" w:hAnsi="Arial"/>
                <w:sz w:val="16"/>
                <w:szCs w:val="16"/>
                <w:color w:val="auto"/>
              </w:rPr>
              <w:t>Crutcher</w:t>
            </w: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9E9E9"/>
          </w:tcPr>
          <w:p>
            <w:pPr>
              <w:jc w:val="right"/>
              <w:ind w:right="70"/>
              <w:spacing w:after="0"/>
              <w:rPr>
                <w:sz w:val="20"/>
                <w:szCs w:val="20"/>
                <w:color w:val="auto"/>
              </w:rPr>
            </w:pPr>
            <w:r>
              <w:rPr>
                <w:rFonts w:ascii="Arial" w:cs="Arial" w:eastAsia="Arial" w:hAnsi="Arial"/>
                <w:sz w:val="16"/>
                <w:szCs w:val="16"/>
                <w:color w:val="auto"/>
              </w:rPr>
              <w:t>1,516</w:t>
            </w:r>
          </w:p>
        </w:tc>
        <w:tc>
          <w:tcPr>
            <w:tcW w:w="90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spacing w:after="0"/>
              <w:rPr>
                <w:sz w:val="19"/>
                <w:szCs w:val="19"/>
                <w:color w:val="auto"/>
              </w:rPr>
            </w:pP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w:t>
            </w:r>
          </w:p>
        </w:tc>
        <w:tc>
          <w:tcPr>
            <w:tcW w:w="1040" w:type="dxa"/>
            <w:vAlign w:val="bottom"/>
            <w:shd w:val="clear" w:color="auto" w:fill="E9E9E9"/>
          </w:tcPr>
          <w:p>
            <w:pPr>
              <w:jc w:val="right"/>
              <w:ind w:right="49"/>
              <w:spacing w:after="0"/>
              <w:rPr>
                <w:sz w:val="20"/>
                <w:szCs w:val="20"/>
                <w:color w:val="auto"/>
              </w:rPr>
            </w:pPr>
            <w:r>
              <w:rPr>
                <w:rFonts w:ascii="Arial" w:cs="Arial" w:eastAsia="Arial" w:hAnsi="Arial"/>
                <w:sz w:val="16"/>
                <w:szCs w:val="16"/>
                <w:color w:val="auto"/>
              </w:rPr>
              <w:t>—</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46"/>
              <w:spacing w:after="0"/>
              <w:rPr>
                <w:sz w:val="20"/>
                <w:szCs w:val="20"/>
                <w:color w:val="auto"/>
              </w:rPr>
            </w:pPr>
            <w:r>
              <w:rPr>
                <w:rFonts w:ascii="Arial" w:cs="Arial" w:eastAsia="Arial" w:hAnsi="Arial"/>
                <w:sz w:val="16"/>
                <w:szCs w:val="16"/>
                <w:color w:val="auto"/>
              </w:rPr>
              <w:t>234,306</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46"/>
              <w:spacing w:after="0"/>
              <w:rPr>
                <w:sz w:val="20"/>
                <w:szCs w:val="20"/>
                <w:color w:val="auto"/>
              </w:rPr>
            </w:pPr>
            <w:r>
              <w:rPr>
                <w:rFonts w:ascii="Arial" w:cs="Arial" w:eastAsia="Arial" w:hAnsi="Arial"/>
                <w:sz w:val="16"/>
                <w:szCs w:val="16"/>
                <w:color w:val="auto"/>
              </w:rPr>
              <w:t>7,495,854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48"/>
              <w:spacing w:after="0"/>
              <w:rPr>
                <w:sz w:val="20"/>
                <w:szCs w:val="20"/>
                <w:color w:val="auto"/>
              </w:rPr>
            </w:pPr>
            <w:r>
              <w:rPr>
                <w:rFonts w:ascii="Arial" w:cs="Arial" w:eastAsia="Arial" w:hAnsi="Arial"/>
                <w:sz w:val="16"/>
                <w:szCs w:val="16"/>
                <w:color w:val="auto"/>
              </w:rPr>
              <w:t>1,640,700</w:t>
            </w:r>
          </w:p>
        </w:tc>
        <w:tc>
          <w:tcPr>
            <w:tcW w:w="82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$37,873</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9E9E9"/>
          </w:tcPr>
          <w:p>
            <w:pPr>
              <w:jc w:val="right"/>
              <w:ind w:right="68"/>
              <w:spacing w:after="0"/>
              <w:rPr>
                <w:sz w:val="20"/>
                <w:szCs w:val="20"/>
                <w:color w:val="auto"/>
              </w:rPr>
            </w:pPr>
            <w:r>
              <w:rPr>
                <w:rFonts w:ascii="Arial" w:cs="Arial" w:eastAsia="Arial" w:hAnsi="Arial"/>
                <w:sz w:val="16"/>
                <w:szCs w:val="16"/>
                <w:color w:val="auto"/>
              </w:rPr>
              <w:t>32,669</w:t>
            </w:r>
          </w:p>
        </w:tc>
        <w:tc>
          <w:tcPr>
            <w:tcW w:w="1000" w:type="dxa"/>
            <w:vAlign w:val="bottom"/>
            <w:shd w:val="clear" w:color="auto" w:fill="E9E9E9"/>
          </w:tcPr>
          <w:p>
            <w:pPr>
              <w:ind w:left="120"/>
              <w:spacing w:after="0"/>
              <w:rPr>
                <w:sz w:val="20"/>
                <w:szCs w:val="20"/>
                <w:color w:val="auto"/>
              </w:rPr>
            </w:pPr>
            <w:r>
              <w:rPr>
                <w:rFonts w:ascii="Arial" w:cs="Arial" w:eastAsia="Arial" w:hAnsi="Arial"/>
                <w:sz w:val="16"/>
                <w:szCs w:val="16"/>
                <w:color w:val="auto"/>
              </w:rPr>
              <w:t>$ 9,442,918</w:t>
            </w:r>
          </w:p>
        </w:tc>
      </w:tr>
    </w:tbl>
    <w:p>
      <w:pPr>
        <w:spacing w:after="0" w:line="233" w:lineRule="exact"/>
        <w:rPr>
          <w:sz w:val="20"/>
          <w:szCs w:val="20"/>
          <w:color w:val="auto"/>
        </w:rPr>
      </w:pPr>
    </w:p>
    <w:p>
      <w:pPr>
        <w:ind w:left="443" w:hanging="443"/>
        <w:spacing w:after="0"/>
        <w:tabs>
          <w:tab w:leader="none" w:pos="4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See note 1 to the Termination Due to Disability table.</w:t>
      </w:r>
    </w:p>
    <w:p>
      <w:pPr>
        <w:spacing w:after="0" w:line="240" w:lineRule="exact"/>
        <w:rPr>
          <w:rFonts w:ascii="Arial" w:cs="Arial" w:eastAsia="Arial" w:hAnsi="Arial"/>
          <w:sz w:val="16"/>
          <w:szCs w:val="16"/>
          <w:color w:val="auto"/>
        </w:rPr>
      </w:pPr>
    </w:p>
    <w:p>
      <w:pPr>
        <w:ind w:left="443" w:right="140" w:hanging="443"/>
        <w:spacing w:after="0"/>
        <w:tabs>
          <w:tab w:leader="none" w:pos="4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w:t>
      </w:r>
    </w:p>
    <w:p>
      <w:pPr>
        <w:spacing w:after="0" w:line="211" w:lineRule="exact"/>
        <w:rPr>
          <w:rFonts w:ascii="Arial" w:cs="Arial" w:eastAsia="Arial" w:hAnsi="Arial"/>
          <w:sz w:val="16"/>
          <w:szCs w:val="16"/>
          <w:color w:val="auto"/>
        </w:rPr>
      </w:pPr>
    </w:p>
    <w:p>
      <w:pPr>
        <w:ind w:left="443" w:right="140" w:hanging="443"/>
        <w:spacing w:after="0" w:line="243" w:lineRule="auto"/>
        <w:tabs>
          <w:tab w:leader="none" w:pos="4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Value of the benefit payable in a lump sum to the executive officer’s beneficiary calculated as required by the terms of the plan assuming the earliest possible payment date.</w:t>
      </w:r>
    </w:p>
    <w:p>
      <w:pPr>
        <w:spacing w:after="0" w:line="209" w:lineRule="exact"/>
        <w:rPr>
          <w:rFonts w:ascii="Arial" w:cs="Arial" w:eastAsia="Arial" w:hAnsi="Arial"/>
          <w:sz w:val="16"/>
          <w:szCs w:val="16"/>
          <w:color w:val="auto"/>
        </w:rPr>
      </w:pPr>
    </w:p>
    <w:p>
      <w:pPr>
        <w:ind w:left="443" w:hanging="443"/>
        <w:spacing w:after="0"/>
        <w:tabs>
          <w:tab w:leader="none" w:pos="4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Balance as of December 31, 2011, under the non-qualified deferred compensation plan.</w:t>
      </w:r>
    </w:p>
    <w:p>
      <w:pPr>
        <w:spacing w:after="0" w:line="216" w:lineRule="exact"/>
        <w:rPr>
          <w:rFonts w:ascii="Arial" w:cs="Arial" w:eastAsia="Arial" w:hAnsi="Arial"/>
          <w:sz w:val="16"/>
          <w:szCs w:val="16"/>
          <w:color w:val="auto"/>
        </w:rPr>
      </w:pPr>
    </w:p>
    <w:p>
      <w:pPr>
        <w:ind w:left="443" w:right="120" w:hanging="443"/>
        <w:spacing w:after="0" w:line="264" w:lineRule="auto"/>
        <w:tabs>
          <w:tab w:leader="none" w:pos="443" w:val="left"/>
        </w:tabs>
        <w:numPr>
          <w:ilvl w:val="0"/>
          <w:numId w:val="38"/>
        </w:numPr>
        <w:rPr>
          <w:rFonts w:ascii="Arial" w:cs="Arial" w:eastAsia="Arial" w:hAnsi="Arial"/>
          <w:sz w:val="15"/>
          <w:szCs w:val="15"/>
          <w:color w:val="auto"/>
        </w:rPr>
      </w:pPr>
      <w:r>
        <w:rPr>
          <w:rFonts w:ascii="Arial" w:cs="Arial" w:eastAsia="Arial" w:hAnsi="Arial"/>
          <w:sz w:val="15"/>
          <w:szCs w:val="15"/>
          <w:color w:val="auto"/>
        </w:rPr>
        <w:t>Calculated by multiplying the number of outstanding RSUs by the closing price of TI common stock as of December 31, 2011 ($29.11). All outstanding RSUs are assumed to be vested for purposes of this table. Please see the Outstanding Equity Awards at Fiscal Year-End 2011 table on pages 82-83 for the number of unvested RSUs as of December 31, 2011, and see page 85 for a discussion of an additional outstanding RSU award held by Mr. Templeton.</w:t>
      </w:r>
    </w:p>
    <w:p>
      <w:pPr>
        <w:spacing w:after="0" w:line="194" w:lineRule="exact"/>
        <w:rPr>
          <w:rFonts w:ascii="Arial" w:cs="Arial" w:eastAsia="Arial" w:hAnsi="Arial"/>
          <w:sz w:val="15"/>
          <w:szCs w:val="15"/>
          <w:color w:val="auto"/>
        </w:rPr>
      </w:pPr>
    </w:p>
    <w:p>
      <w:pPr>
        <w:ind w:left="443" w:hanging="443"/>
        <w:spacing w:after="0"/>
        <w:tabs>
          <w:tab w:leader="none" w:pos="4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See note 6 to the Termination Due to Disability table.</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earned in 2011.</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See note 8 to the Termination Due to Disability table.</w:t>
      </w:r>
    </w:p>
    <w:p>
      <w:pPr>
        <w:spacing w:after="0" w:line="235" w:lineRule="exact"/>
        <w:rPr>
          <w:sz w:val="20"/>
          <w:szCs w:val="20"/>
          <w:color w:val="auto"/>
        </w:rPr>
      </w:pPr>
    </w:p>
    <w:p>
      <w:pPr>
        <w:ind w:left="3"/>
        <w:spacing w:after="0"/>
        <w:tabs>
          <w:tab w:leader="none" w:pos="10103" w:val="left"/>
        </w:tabs>
        <w:rPr>
          <w:sz w:val="20"/>
          <w:szCs w:val="20"/>
          <w:color w:val="auto"/>
        </w:rPr>
      </w:pPr>
      <w:r>
        <w:rPr>
          <w:rFonts w:ascii="Arial" w:cs="Arial" w:eastAsia="Arial" w:hAnsi="Arial"/>
          <w:sz w:val="12"/>
          <w:szCs w:val="12"/>
          <w:b w:val="1"/>
          <w:bCs w:val="1"/>
          <w:color w:val="auto"/>
        </w:rPr>
        <w:t xml:space="preserve">90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523"/>
          </w:cols>
          <w:pgMar w:left="237" w:top="361" w:right="139" w:bottom="1440" w:gutter="0" w:footer="0" w:header="0"/>
        </w:sectPr>
      </w:pPr>
    </w:p>
    <w:bookmarkStart w:id="37" w:name="page38"/>
    <w:bookmarkEnd w:id="37"/>
    <w:p>
      <w:pPr>
        <w:ind w:left="3"/>
        <w:spacing w:after="0"/>
        <w:rPr>
          <w:sz w:val="20"/>
          <w:szCs w:val="20"/>
          <w:color w:val="auto"/>
        </w:rPr>
      </w:pPr>
      <w:r>
        <w:rPr>
          <w:rFonts w:ascii="Arial" w:cs="Arial" w:eastAsia="Arial" w:hAnsi="Arial"/>
          <w:sz w:val="16"/>
          <w:szCs w:val="16"/>
          <w:b w:val="1"/>
          <w:bCs w:val="1"/>
          <w:color w:val="auto"/>
        </w:rPr>
        <w:t>Involuntary termination for cause</w:t>
      </w:r>
    </w:p>
    <w:p>
      <w:pPr>
        <w:spacing w:after="0" w:line="231"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4"/>
              </w:rPr>
              <w:t>Non-</w:t>
            </w:r>
          </w:p>
        </w:tc>
        <w:tc>
          <w:tcPr>
            <w:tcW w:w="220" w:type="dxa"/>
            <w:vAlign w:val="bottom"/>
          </w:tcPr>
          <w:p>
            <w:pPr>
              <w:spacing w:after="0"/>
              <w:rPr>
                <w:sz w:val="13"/>
                <w:szCs w:val="13"/>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Non-</w:t>
            </w:r>
          </w:p>
        </w:tc>
        <w:tc>
          <w:tcPr>
            <w:tcW w:w="1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18"/>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71"/>
              <w:spacing w:after="0"/>
              <w:rPr>
                <w:sz w:val="20"/>
                <w:szCs w:val="20"/>
                <w:color w:val="auto"/>
              </w:rPr>
            </w:pPr>
            <w:r>
              <w:rPr>
                <w:rFonts w:ascii="Arial" w:cs="Arial" w:eastAsia="Arial" w:hAnsi="Arial"/>
                <w:sz w:val="12"/>
                <w:szCs w:val="12"/>
                <w:b w:val="1"/>
                <w:bCs w:val="1"/>
                <w:color w:val="auto"/>
              </w:rPr>
              <w:t>Qualified</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Qualified</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Qualified</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8"/>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71"/>
              <w:spacing w:after="0"/>
              <w:rPr>
                <w:sz w:val="20"/>
                <w:szCs w:val="20"/>
                <w:color w:val="auto"/>
              </w:rPr>
            </w:pPr>
            <w:r>
              <w:rPr>
                <w:rFonts w:ascii="Arial" w:cs="Arial" w:eastAsia="Arial" w:hAnsi="Arial"/>
                <w:sz w:val="12"/>
                <w:szCs w:val="12"/>
                <w:b w:val="1"/>
                <w:bCs w:val="1"/>
                <w:color w:val="auto"/>
                <w:w w:val="99"/>
              </w:rPr>
              <w:t>Defined</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Defined</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w w:val="99"/>
              </w:rPr>
              <w:t>Defined</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8"/>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71"/>
              <w:spacing w:after="0"/>
              <w:rPr>
                <w:sz w:val="20"/>
                <w:szCs w:val="20"/>
                <w:color w:val="auto"/>
              </w:rPr>
            </w:pPr>
            <w:r>
              <w:rPr>
                <w:rFonts w:ascii="Arial" w:cs="Arial" w:eastAsia="Arial" w:hAnsi="Arial"/>
                <w:sz w:val="12"/>
                <w:szCs w:val="12"/>
                <w:b w:val="1"/>
                <w:bCs w:val="1"/>
                <w:color w:val="auto"/>
                <w:w w:val="98"/>
              </w:rPr>
              <w:t>Benefit</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Benefit</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w w:val="98"/>
              </w:rPr>
              <w:t>Benefit</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8"/>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71"/>
              <w:spacing w:after="0"/>
              <w:rPr>
                <w:sz w:val="20"/>
                <w:szCs w:val="20"/>
                <w:color w:val="auto"/>
              </w:rPr>
            </w:pPr>
            <w:r>
              <w:rPr>
                <w:rFonts w:ascii="Arial" w:cs="Arial" w:eastAsia="Arial" w:hAnsi="Arial"/>
                <w:sz w:val="12"/>
                <w:szCs w:val="12"/>
                <w:b w:val="1"/>
                <w:bCs w:val="1"/>
                <w:color w:val="auto"/>
              </w:rPr>
              <w:t>Pension</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8"/>
              </w:rPr>
              <w:t>Pension</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Pension</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Profit</w:t>
            </w:r>
          </w:p>
        </w:tc>
        <w:tc>
          <w:tcPr>
            <w:tcW w:w="220" w:type="dxa"/>
            <w:vAlign w:val="bottom"/>
          </w:tcPr>
          <w:p>
            <w:pPr>
              <w:spacing w:after="0"/>
              <w:rPr>
                <w:sz w:val="18"/>
                <w:szCs w:val="18"/>
                <w:color w:val="auto"/>
              </w:rPr>
            </w:pPr>
          </w:p>
        </w:tc>
        <w:tc>
          <w:tcPr>
            <w:tcW w:w="700" w:type="dxa"/>
            <w:vAlign w:val="bottom"/>
          </w:tcPr>
          <w:p>
            <w:pPr>
              <w:jc w:val="center"/>
              <w:ind w:right="148"/>
              <w:spacing w:after="0"/>
              <w:rPr>
                <w:sz w:val="20"/>
                <w:szCs w:val="20"/>
                <w:color w:val="auto"/>
              </w:rPr>
            </w:pPr>
            <w:r>
              <w:rPr>
                <w:rFonts w:ascii="Arial" w:cs="Arial" w:eastAsia="Arial" w:hAnsi="Arial"/>
                <w:sz w:val="12"/>
                <w:szCs w:val="12"/>
                <w:b w:val="1"/>
                <w:bCs w:val="1"/>
                <w:color w:val="auto"/>
                <w:w w:val="99"/>
              </w:rPr>
              <w:t>Time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8"/>
        </w:trPr>
        <w:tc>
          <w:tcPr>
            <w:tcW w:w="1420" w:type="dxa"/>
            <w:vAlign w:val="bottom"/>
          </w:tcPr>
          <w:p>
            <w:pPr>
              <w:spacing w:after="0"/>
              <w:rPr>
                <w:sz w:val="18"/>
                <w:szCs w:val="18"/>
                <w:color w:val="auto"/>
              </w:rPr>
            </w:pPr>
          </w:p>
        </w:tc>
        <w:tc>
          <w:tcPr>
            <w:tcW w:w="1200" w:type="dxa"/>
            <w:vAlign w:val="bottom"/>
          </w:tcPr>
          <w:p>
            <w:pPr>
              <w:jc w:val="center"/>
              <w:ind w:left="486"/>
              <w:spacing w:after="0"/>
              <w:rPr>
                <w:sz w:val="20"/>
                <w:szCs w:val="20"/>
                <w:color w:val="auto"/>
              </w:rPr>
            </w:pPr>
            <w:r>
              <w:rPr>
                <w:rFonts w:ascii="Arial" w:cs="Arial" w:eastAsia="Arial" w:hAnsi="Arial"/>
                <w:sz w:val="12"/>
                <w:szCs w:val="12"/>
                <w:b w:val="1"/>
                <w:bCs w:val="1"/>
                <w:color w:val="auto"/>
                <w:w w:val="96"/>
              </w:rPr>
              <w:t>Bonus</w:t>
            </w:r>
          </w:p>
        </w:tc>
        <w:tc>
          <w:tcPr>
            <w:tcW w:w="220" w:type="dxa"/>
            <w:vAlign w:val="bottom"/>
          </w:tcPr>
          <w:p>
            <w:pPr>
              <w:spacing w:after="0"/>
              <w:rPr>
                <w:sz w:val="18"/>
                <w:szCs w:val="18"/>
                <w:color w:val="auto"/>
              </w:rPr>
            </w:pPr>
          </w:p>
        </w:tc>
        <w:tc>
          <w:tcPr>
            <w:tcW w:w="840" w:type="dxa"/>
            <w:vAlign w:val="bottom"/>
          </w:tcPr>
          <w:p>
            <w:pPr>
              <w:jc w:val="center"/>
              <w:ind w:right="151"/>
              <w:spacing w:after="0"/>
              <w:rPr>
                <w:sz w:val="20"/>
                <w:szCs w:val="20"/>
                <w:color w:val="auto"/>
              </w:rPr>
            </w:pPr>
            <w:r>
              <w:rPr>
                <w:rFonts w:ascii="Arial" w:cs="Arial" w:eastAsia="Arial" w:hAnsi="Arial"/>
                <w:sz w:val="12"/>
                <w:szCs w:val="12"/>
                <w:b w:val="1"/>
                <w:bCs w:val="1"/>
                <w:color w:val="auto"/>
              </w:rPr>
              <w:t>Plan</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Plan</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Plan II</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Deferred</w:t>
            </w:r>
          </w:p>
        </w:tc>
        <w:tc>
          <w:tcPr>
            <w:tcW w:w="13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Stock</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8"/>
              </w:rPr>
              <w:t>Sharing</w:t>
            </w:r>
          </w:p>
        </w:tc>
        <w:tc>
          <w:tcPr>
            <w:tcW w:w="220" w:type="dxa"/>
            <w:vAlign w:val="bottom"/>
          </w:tcPr>
          <w:p>
            <w:pPr>
              <w:spacing w:after="0"/>
              <w:rPr>
                <w:sz w:val="18"/>
                <w:szCs w:val="18"/>
                <w:color w:val="auto"/>
              </w:rPr>
            </w:pPr>
          </w:p>
        </w:tc>
        <w:tc>
          <w:tcPr>
            <w:tcW w:w="700" w:type="dxa"/>
            <w:vAlign w:val="bottom"/>
          </w:tcPr>
          <w:p>
            <w:pPr>
              <w:jc w:val="center"/>
              <w:ind w:right="168"/>
              <w:spacing w:after="0"/>
              <w:rPr>
                <w:sz w:val="20"/>
                <w:szCs w:val="20"/>
                <w:color w:val="auto"/>
              </w:rPr>
            </w:pPr>
            <w:r>
              <w:rPr>
                <w:rFonts w:ascii="Arial" w:cs="Arial" w:eastAsia="Arial" w:hAnsi="Arial"/>
                <w:sz w:val="12"/>
                <w:szCs w:val="12"/>
                <w:b w:val="1"/>
                <w:bCs w:val="1"/>
                <w:color w:val="auto"/>
              </w:rPr>
              <w:t>Bank</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8"/>
        </w:trPr>
        <w:tc>
          <w:tcPr>
            <w:tcW w:w="14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200" w:type="dxa"/>
            <w:vAlign w:val="bottom"/>
          </w:tcPr>
          <w:p>
            <w:pPr>
              <w:jc w:val="center"/>
              <w:ind w:left="486"/>
              <w:spacing w:after="0"/>
              <w:rPr>
                <w:sz w:val="20"/>
                <w:szCs w:val="20"/>
                <w:color w:val="auto"/>
              </w:rPr>
            </w:pPr>
            <w:r>
              <w:rPr>
                <w:rFonts w:ascii="Arial" w:cs="Arial" w:eastAsia="Arial" w:hAnsi="Arial"/>
                <w:sz w:val="12"/>
                <w:szCs w:val="12"/>
                <w:b w:val="1"/>
                <w:bCs w:val="1"/>
                <w:color w:val="auto"/>
              </w:rPr>
              <w:t>(1)</w:t>
            </w:r>
          </w:p>
        </w:tc>
        <w:tc>
          <w:tcPr>
            <w:tcW w:w="220" w:type="dxa"/>
            <w:vAlign w:val="bottom"/>
          </w:tcPr>
          <w:p>
            <w:pPr>
              <w:spacing w:after="0"/>
              <w:rPr>
                <w:sz w:val="18"/>
                <w:szCs w:val="18"/>
                <w:color w:val="auto"/>
              </w:rPr>
            </w:pPr>
          </w:p>
        </w:tc>
        <w:tc>
          <w:tcPr>
            <w:tcW w:w="840" w:type="dxa"/>
            <w:vAlign w:val="bottom"/>
          </w:tcPr>
          <w:p>
            <w:pPr>
              <w:jc w:val="center"/>
              <w:ind w:right="171"/>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5"/>
              </w:rPr>
              <w:t>(2)</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(3)</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1300" w:type="dxa"/>
            <w:vAlign w:val="bottom"/>
          </w:tcPr>
          <w:p>
            <w:pPr>
              <w:jc w:val="right"/>
              <w:ind w:right="424"/>
              <w:spacing w:after="0"/>
              <w:rPr>
                <w:sz w:val="20"/>
                <w:szCs w:val="20"/>
                <w:color w:val="auto"/>
              </w:rPr>
            </w:pPr>
            <w:r>
              <w:rPr>
                <w:rFonts w:ascii="Arial" w:cs="Arial" w:eastAsia="Arial" w:hAnsi="Arial"/>
                <w:sz w:val="12"/>
                <w:szCs w:val="12"/>
                <w:b w:val="1"/>
                <w:bCs w:val="1"/>
                <w:color w:val="auto"/>
              </w:rPr>
              <w:t>RSUs</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8"/>
                <w:szCs w:val="18"/>
                <w:color w:val="auto"/>
              </w:rPr>
            </w:pPr>
          </w:p>
        </w:tc>
        <w:tc>
          <w:tcPr>
            <w:tcW w:w="700" w:type="dxa"/>
            <w:vAlign w:val="bottom"/>
          </w:tcPr>
          <w:p>
            <w:pPr>
              <w:jc w:val="center"/>
              <w:ind w:right="148"/>
              <w:spacing w:after="0"/>
              <w:rPr>
                <w:sz w:val="20"/>
                <w:szCs w:val="20"/>
                <w:color w:val="auto"/>
              </w:rPr>
            </w:pPr>
            <w:r>
              <w:rPr>
                <w:rFonts w:ascii="Arial" w:cs="Arial" w:eastAsia="Arial" w:hAnsi="Arial"/>
                <w:sz w:val="12"/>
                <w:szCs w:val="12"/>
                <w:b w:val="1"/>
                <w:bCs w:val="1"/>
                <w:color w:val="auto"/>
              </w:rPr>
              <w:t>(6)</w:t>
            </w:r>
          </w:p>
        </w:tc>
        <w:tc>
          <w:tcPr>
            <w:tcW w:w="220" w:type="dxa"/>
            <w:vAlign w:val="bottom"/>
          </w:tcPr>
          <w:p>
            <w:pPr>
              <w:spacing w:after="0"/>
              <w:rPr>
                <w:sz w:val="18"/>
                <w:szCs w:val="18"/>
                <w:color w:val="auto"/>
              </w:rPr>
            </w:pPr>
          </w:p>
        </w:tc>
        <w:tc>
          <w:tcPr>
            <w:tcW w:w="720" w:type="dxa"/>
            <w:vAlign w:val="bottom"/>
          </w:tcPr>
          <w:p>
            <w:pPr>
              <w:jc w:val="right"/>
              <w:ind w:right="204"/>
              <w:spacing w:after="0"/>
              <w:rPr>
                <w:sz w:val="20"/>
                <w:szCs w:val="20"/>
                <w:color w:val="auto"/>
              </w:rPr>
            </w:pPr>
            <w:r>
              <w:rPr>
                <w:rFonts w:ascii="Arial" w:cs="Arial" w:eastAsia="Arial" w:hAnsi="Arial"/>
                <w:sz w:val="12"/>
                <w:szCs w:val="12"/>
                <w:b w:val="1"/>
                <w:bCs w:val="1"/>
                <w:color w:val="auto"/>
              </w:rPr>
              <w:t>Total</w:t>
            </w:r>
          </w:p>
        </w:tc>
      </w:tr>
      <w:tr>
        <w:trPr>
          <w:trHeight w:val="37"/>
        </w:trPr>
        <w:tc>
          <w:tcPr>
            <w:tcW w:w="1420" w:type="dxa"/>
            <w:vAlign w:val="bottom"/>
            <w:tcBorders>
              <w:bottom w:val="single" w:sz="8" w:color="808285"/>
            </w:tcBorders>
          </w:tcPr>
          <w:p>
            <w:pPr>
              <w:spacing w:after="0"/>
              <w:rPr>
                <w:sz w:val="3"/>
                <w:szCs w:val="3"/>
                <w:color w:val="auto"/>
              </w:rPr>
            </w:pPr>
          </w:p>
        </w:tc>
        <w:tc>
          <w:tcPr>
            <w:tcW w:w="120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92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1100" w:type="dxa"/>
            <w:vAlign w:val="bottom"/>
            <w:tcBorders>
              <w:bottom w:val="single" w:sz="8" w:color="808285"/>
            </w:tcBorders>
          </w:tcPr>
          <w:p>
            <w:pPr>
              <w:spacing w:after="0"/>
              <w:rPr>
                <w:sz w:val="3"/>
                <w:szCs w:val="3"/>
                <w:color w:val="auto"/>
              </w:rPr>
            </w:pPr>
          </w:p>
        </w:tc>
        <w:tc>
          <w:tcPr>
            <w:tcW w:w="1300" w:type="dxa"/>
            <w:vAlign w:val="bottom"/>
            <w:tcBorders>
              <w:bottom w:val="single" w:sz="8" w:color="808285"/>
            </w:tcBorders>
          </w:tcPr>
          <w:p>
            <w:pPr>
              <w:spacing w:after="0"/>
              <w:rPr>
                <w:sz w:val="3"/>
                <w:szCs w:val="3"/>
                <w:color w:val="auto"/>
              </w:rPr>
            </w:pPr>
          </w:p>
        </w:tc>
        <w:tc>
          <w:tcPr>
            <w:tcW w:w="70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70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720" w:type="dxa"/>
            <w:vAlign w:val="bottom"/>
            <w:tcBorders>
              <w:bottom w:val="single" w:sz="8" w:color="808285"/>
            </w:tcBorders>
          </w:tcPr>
          <w:p>
            <w:pPr>
              <w:spacing w:after="0"/>
              <w:rPr>
                <w:sz w:val="3"/>
                <w:szCs w:val="3"/>
                <w:color w:val="auto"/>
              </w:rPr>
            </w:pPr>
          </w:p>
        </w:tc>
      </w:tr>
      <w:tr>
        <w:trPr>
          <w:trHeight w:val="210"/>
        </w:trPr>
        <w:tc>
          <w:tcPr>
            <w:tcW w:w="1420" w:type="dxa"/>
            <w:vAlign w:val="bottom"/>
            <w:shd w:val="clear" w:color="auto" w:fill="E9E9E9"/>
          </w:tcPr>
          <w:p>
            <w:pPr>
              <w:spacing w:after="0"/>
              <w:rPr>
                <w:sz w:val="20"/>
                <w:szCs w:val="20"/>
                <w:color w:val="auto"/>
              </w:rPr>
            </w:pPr>
            <w:r>
              <w:rPr>
                <w:rFonts w:ascii="Arial" w:cs="Arial" w:eastAsia="Arial" w:hAnsi="Arial"/>
                <w:sz w:val="16"/>
                <w:szCs w:val="16"/>
                <w:color w:val="auto"/>
              </w:rPr>
              <w:t>Templeton</w:t>
            </w:r>
          </w:p>
        </w:tc>
        <w:tc>
          <w:tcPr>
            <w:tcW w:w="1200" w:type="dxa"/>
            <w:vAlign w:val="bottom"/>
            <w:shd w:val="clear" w:color="auto" w:fill="E9E9E9"/>
          </w:tcPr>
          <w:p>
            <w:pPr>
              <w:jc w:val="center"/>
              <w:ind w:left="486"/>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71"/>
              <w:spacing w:after="0"/>
              <w:rPr>
                <w:sz w:val="20"/>
                <w:szCs w:val="20"/>
                <w:color w:val="auto"/>
              </w:rPr>
            </w:pPr>
            <w:r>
              <w:rPr>
                <w:rFonts w:ascii="Arial" w:cs="Arial" w:eastAsia="Arial" w:hAnsi="Arial"/>
                <w:sz w:val="16"/>
                <w:szCs w:val="16"/>
                <w:color w:val="auto"/>
              </w:rPr>
              <w:t>479,582</w:t>
            </w:r>
          </w:p>
        </w:tc>
        <w:tc>
          <w:tcPr>
            <w:tcW w:w="9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$324,484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29,893</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E9E9E9"/>
          </w:tcPr>
          <w:p>
            <w:pPr>
              <w:jc w:val="right"/>
              <w:ind w:right="64"/>
              <w:spacing w:after="0"/>
              <w:rPr>
                <w:sz w:val="20"/>
                <w:szCs w:val="20"/>
                <w:color w:val="auto"/>
              </w:rPr>
            </w:pPr>
            <w:r>
              <w:rPr>
                <w:rFonts w:ascii="Arial" w:cs="Arial" w:eastAsia="Arial" w:hAnsi="Arial"/>
                <w:sz w:val="16"/>
                <w:szCs w:val="16"/>
                <w:color w:val="auto"/>
              </w:rPr>
              <w:t>$3,493,200 (4)</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$78,118</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9E9E9"/>
          </w:tcPr>
          <w:p>
            <w:pPr>
              <w:jc w:val="right"/>
              <w:ind w:right="48"/>
              <w:spacing w:after="0"/>
              <w:rPr>
                <w:sz w:val="20"/>
                <w:szCs w:val="20"/>
                <w:color w:val="auto"/>
              </w:rPr>
            </w:pPr>
            <w:r>
              <w:rPr>
                <w:rFonts w:ascii="Arial" w:cs="Arial" w:eastAsia="Arial" w:hAnsi="Arial"/>
                <w:sz w:val="16"/>
                <w:szCs w:val="16"/>
                <w:color w:val="auto"/>
                <w:w w:val="96"/>
              </w:rPr>
              <w:t>175,168</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8"/>
              </w:rPr>
              <w:t>4,580,445</w:t>
            </w:r>
          </w:p>
        </w:tc>
      </w:tr>
      <w:tr>
        <w:trPr>
          <w:trHeight w:val="211"/>
        </w:trPr>
        <w:tc>
          <w:tcPr>
            <w:tcW w:w="1420" w:type="dxa"/>
            <w:vAlign w:val="bottom"/>
          </w:tcPr>
          <w:p>
            <w:pPr>
              <w:spacing w:after="0"/>
              <w:rPr>
                <w:sz w:val="20"/>
                <w:szCs w:val="20"/>
                <w:color w:val="auto"/>
              </w:rPr>
            </w:pPr>
            <w:r>
              <w:rPr>
                <w:rFonts w:ascii="Arial" w:cs="Arial" w:eastAsia="Arial" w:hAnsi="Arial"/>
                <w:sz w:val="16"/>
                <w:szCs w:val="16"/>
                <w:color w:val="auto"/>
              </w:rPr>
              <w:t>March</w:t>
            </w:r>
          </w:p>
        </w:tc>
        <w:tc>
          <w:tcPr>
            <w:tcW w:w="1200" w:type="dxa"/>
            <w:vAlign w:val="bottom"/>
          </w:tcPr>
          <w:p>
            <w:pPr>
              <w:jc w:val="center"/>
              <w:ind w:left="486"/>
              <w:spacing w:after="0"/>
              <w:rPr>
                <w:sz w:val="20"/>
                <w:szCs w:val="20"/>
                <w:color w:val="auto"/>
              </w:rPr>
            </w:pPr>
            <w:r>
              <w:rPr>
                <w:rFonts w:ascii="Arial" w:cs="Arial" w:eastAsia="Arial" w:hAnsi="Arial"/>
                <w:sz w:val="16"/>
                <w:szCs w:val="16"/>
                <w:color w:val="auto"/>
                <w:w w:val="9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1"/>
              <w:spacing w:after="0"/>
              <w:rPr>
                <w:sz w:val="20"/>
                <w:szCs w:val="20"/>
                <w:color w:val="auto"/>
              </w:rPr>
            </w:pPr>
            <w:r>
              <w:rPr>
                <w:rFonts w:ascii="Arial" w:cs="Arial" w:eastAsia="Arial" w:hAnsi="Arial"/>
                <w:sz w:val="16"/>
                <w:szCs w:val="16"/>
                <w:color w:val="auto"/>
              </w:rPr>
              <w:t>552,366</w:t>
            </w:r>
          </w:p>
        </w:tc>
        <w:tc>
          <w:tcPr>
            <w:tcW w:w="920" w:type="dxa"/>
            <w:vAlign w:val="bottom"/>
          </w:tcPr>
          <w:p>
            <w:pPr>
              <w:jc w:val="right"/>
              <w:ind w:right="52"/>
              <w:spacing w:after="0"/>
              <w:rPr>
                <w:sz w:val="20"/>
                <w:szCs w:val="20"/>
                <w:color w:val="auto"/>
              </w:rPr>
            </w:pPr>
            <w:r>
              <w:rPr>
                <w:rFonts w:ascii="Arial" w:cs="Arial" w:eastAsia="Arial" w:hAnsi="Arial"/>
                <w:sz w:val="16"/>
                <w:szCs w:val="16"/>
                <w:color w:val="auto"/>
              </w:rPr>
              <w:t>$194,321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2"/>
              <w:spacing w:after="0"/>
              <w:rPr>
                <w:sz w:val="20"/>
                <w:szCs w:val="20"/>
                <w:color w:val="auto"/>
              </w:rPr>
            </w:pPr>
            <w:r>
              <w:rPr>
                <w:rFonts w:ascii="Arial" w:cs="Arial" w:eastAsia="Arial" w:hAnsi="Arial"/>
                <w:sz w:val="16"/>
                <w:szCs w:val="16"/>
                <w:color w:val="auto"/>
                <w:w w:val="95"/>
              </w:rPr>
              <w:t>2,296,193</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tcPr>
          <w:p>
            <w:pPr>
              <w:jc w:val="center"/>
              <w:spacing w:after="0"/>
              <w:rPr>
                <w:sz w:val="20"/>
                <w:szCs w:val="20"/>
                <w:color w:val="auto"/>
              </w:rPr>
            </w:pPr>
            <w:r>
              <w:rPr>
                <w:rFonts w:ascii="Arial" w:cs="Arial" w:eastAsia="Arial" w:hAnsi="Arial"/>
                <w:sz w:val="16"/>
                <w:szCs w:val="16"/>
                <w:color w:val="auto"/>
              </w:rPr>
              <w:t>$44,349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8"/>
              <w:spacing w:after="0"/>
              <w:rPr>
                <w:sz w:val="20"/>
                <w:szCs w:val="20"/>
                <w:color w:val="auto"/>
              </w:rPr>
            </w:pPr>
            <w:r>
              <w:rPr>
                <w:rFonts w:ascii="Arial" w:cs="Arial" w:eastAsia="Arial" w:hAnsi="Arial"/>
                <w:sz w:val="16"/>
                <w:szCs w:val="16"/>
                <w:color w:val="auto"/>
                <w:w w:val="96"/>
              </w:rPr>
              <w:t>111,916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3,199,145</w:t>
            </w:r>
          </w:p>
        </w:tc>
      </w:tr>
      <w:tr>
        <w:trPr>
          <w:trHeight w:val="226"/>
        </w:trPr>
        <w:tc>
          <w:tcPr>
            <w:tcW w:w="1420" w:type="dxa"/>
            <w:vAlign w:val="bottom"/>
            <w:shd w:val="clear" w:color="auto" w:fill="E9E9E9"/>
          </w:tcPr>
          <w:p>
            <w:pPr>
              <w:spacing w:after="0"/>
              <w:rPr>
                <w:sz w:val="20"/>
                <w:szCs w:val="20"/>
                <w:color w:val="auto"/>
              </w:rPr>
            </w:pPr>
            <w:r>
              <w:rPr>
                <w:rFonts w:ascii="Arial" w:cs="Arial" w:eastAsia="Arial" w:hAnsi="Arial"/>
                <w:sz w:val="16"/>
                <w:szCs w:val="16"/>
                <w:color w:val="auto"/>
              </w:rPr>
              <w:t>Lowe</w:t>
            </w:r>
          </w:p>
        </w:tc>
        <w:tc>
          <w:tcPr>
            <w:tcW w:w="1200" w:type="dxa"/>
            <w:vAlign w:val="bottom"/>
            <w:shd w:val="clear" w:color="auto" w:fill="E9E9E9"/>
          </w:tcPr>
          <w:p>
            <w:pPr>
              <w:jc w:val="center"/>
              <w:ind w:left="486"/>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71"/>
              <w:spacing w:after="0"/>
              <w:rPr>
                <w:sz w:val="20"/>
                <w:szCs w:val="20"/>
                <w:color w:val="auto"/>
              </w:rPr>
            </w:pPr>
            <w:r>
              <w:rPr>
                <w:rFonts w:ascii="Arial" w:cs="Arial" w:eastAsia="Arial" w:hAnsi="Arial"/>
                <w:sz w:val="16"/>
                <w:szCs w:val="16"/>
                <w:color w:val="auto"/>
              </w:rPr>
              <w:t>561,717</w:t>
            </w:r>
          </w:p>
        </w:tc>
        <w:tc>
          <w:tcPr>
            <w:tcW w:w="9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$296,977</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w w:val="95"/>
              </w:rPr>
              <w:t>2,564,760</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E9E9E9"/>
          </w:tcPr>
          <w:p>
            <w:pPr>
              <w:jc w:val="right"/>
              <w:ind w:right="284"/>
              <w:spacing w:after="0"/>
              <w:rPr>
                <w:sz w:val="20"/>
                <w:szCs w:val="20"/>
                <w:color w:val="auto"/>
              </w:rPr>
            </w:pPr>
            <w:r>
              <w:rPr>
                <w:rFonts w:ascii="Arial" w:cs="Arial" w:eastAsia="Arial" w:hAnsi="Arial"/>
                <w:sz w:val="16"/>
                <w:szCs w:val="16"/>
                <w:color w:val="auto"/>
              </w:rPr>
              <w:t>—</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$47,176</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9E9E9"/>
          </w:tcPr>
          <w:p>
            <w:pPr>
              <w:jc w:val="right"/>
              <w:ind w:right="48"/>
              <w:spacing w:after="0"/>
              <w:rPr>
                <w:sz w:val="20"/>
                <w:szCs w:val="20"/>
                <w:color w:val="auto"/>
              </w:rPr>
            </w:pPr>
            <w:r>
              <w:rPr>
                <w:rFonts w:ascii="Arial" w:cs="Arial" w:eastAsia="Arial" w:hAnsi="Arial"/>
                <w:sz w:val="16"/>
                <w:szCs w:val="16"/>
                <w:color w:val="auto"/>
              </w:rPr>
              <w:t>95,307</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8"/>
              </w:rPr>
              <w:t>3,565,937</w:t>
            </w:r>
          </w:p>
        </w:tc>
      </w:tr>
      <w:tr>
        <w:trPr>
          <w:trHeight w:val="211"/>
        </w:trPr>
        <w:tc>
          <w:tcPr>
            <w:tcW w:w="1420" w:type="dxa"/>
            <w:vAlign w:val="bottom"/>
          </w:tcPr>
          <w:p>
            <w:pPr>
              <w:spacing w:after="0"/>
              <w:rPr>
                <w:sz w:val="20"/>
                <w:szCs w:val="20"/>
                <w:color w:val="auto"/>
              </w:rPr>
            </w:pPr>
            <w:r>
              <w:rPr>
                <w:rFonts w:ascii="Arial" w:cs="Arial" w:eastAsia="Arial" w:hAnsi="Arial"/>
                <w:sz w:val="16"/>
                <w:szCs w:val="16"/>
                <w:color w:val="auto"/>
              </w:rPr>
              <w:t>Ritchie</w:t>
            </w:r>
          </w:p>
        </w:tc>
        <w:tc>
          <w:tcPr>
            <w:tcW w:w="1200" w:type="dxa"/>
            <w:vAlign w:val="bottom"/>
          </w:tcPr>
          <w:p>
            <w:pPr>
              <w:jc w:val="center"/>
              <w:ind w:left="486"/>
              <w:spacing w:after="0"/>
              <w:rPr>
                <w:sz w:val="20"/>
                <w:szCs w:val="20"/>
                <w:color w:val="auto"/>
              </w:rPr>
            </w:pPr>
            <w:r>
              <w:rPr>
                <w:rFonts w:ascii="Arial" w:cs="Arial" w:eastAsia="Arial" w:hAnsi="Arial"/>
                <w:sz w:val="16"/>
                <w:szCs w:val="16"/>
                <w:color w:val="auto"/>
                <w:w w:val="9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1"/>
              <w:spacing w:after="0"/>
              <w:rPr>
                <w:sz w:val="20"/>
                <w:szCs w:val="20"/>
                <w:color w:val="auto"/>
              </w:rPr>
            </w:pPr>
            <w:r>
              <w:rPr>
                <w:rFonts w:ascii="Arial" w:cs="Arial" w:eastAsia="Arial" w:hAnsi="Arial"/>
                <w:sz w:val="16"/>
                <w:szCs w:val="16"/>
                <w:color w:val="auto"/>
                <w:w w:val="95"/>
              </w:rPr>
              <w:t>1,327,229</w:t>
            </w:r>
          </w:p>
        </w:tc>
        <w:tc>
          <w:tcPr>
            <w:tcW w:w="920" w:type="dxa"/>
            <w:vAlign w:val="bottom"/>
          </w:tcPr>
          <w:p>
            <w:pPr>
              <w:jc w:val="right"/>
              <w:ind w:right="52"/>
              <w:spacing w:after="0"/>
              <w:rPr>
                <w:sz w:val="20"/>
                <w:szCs w:val="20"/>
                <w:color w:val="auto"/>
              </w:rPr>
            </w:pPr>
            <w:r>
              <w:rPr>
                <w:rFonts w:ascii="Arial" w:cs="Arial" w:eastAsia="Arial" w:hAnsi="Arial"/>
                <w:sz w:val="16"/>
                <w:szCs w:val="16"/>
                <w:color w:val="auto"/>
              </w:rPr>
              <w:t>$550,900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2"/>
              <w:spacing w:after="0"/>
              <w:rPr>
                <w:sz w:val="20"/>
                <w:szCs w:val="20"/>
                <w:color w:val="auto"/>
              </w:rPr>
            </w:pPr>
            <w:r>
              <w:rPr>
                <w:rFonts w:ascii="Arial" w:cs="Arial" w:eastAsia="Arial" w:hAnsi="Arial"/>
                <w:sz w:val="16"/>
                <w:szCs w:val="16"/>
                <w:color w:val="auto"/>
                <w:w w:val="95"/>
              </w:rPr>
              <w:t>4,414,361</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tcPr>
          <w:p>
            <w:pPr>
              <w:jc w:val="center"/>
              <w:spacing w:after="0"/>
              <w:rPr>
                <w:sz w:val="20"/>
                <w:szCs w:val="20"/>
                <w:color w:val="auto"/>
              </w:rPr>
            </w:pPr>
            <w:r>
              <w:rPr>
                <w:rFonts w:ascii="Arial" w:cs="Arial" w:eastAsia="Arial" w:hAnsi="Arial"/>
                <w:sz w:val="16"/>
                <w:szCs w:val="16"/>
                <w:color w:val="auto"/>
              </w:rPr>
              <w:t>$42,873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8"/>
              <w:spacing w:after="0"/>
              <w:rPr>
                <w:sz w:val="20"/>
                <w:szCs w:val="20"/>
                <w:color w:val="auto"/>
              </w:rPr>
            </w:pPr>
            <w:r>
              <w:rPr>
                <w:rFonts w:ascii="Arial" w:cs="Arial" w:eastAsia="Arial" w:hAnsi="Arial"/>
                <w:sz w:val="16"/>
                <w:szCs w:val="16"/>
                <w:color w:val="auto"/>
                <w:w w:val="96"/>
              </w:rPr>
              <w:t>108,945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6,444,308</w:t>
            </w:r>
          </w:p>
        </w:tc>
      </w:tr>
      <w:tr>
        <w:trPr>
          <w:trHeight w:val="226"/>
        </w:trPr>
        <w:tc>
          <w:tcPr>
            <w:tcW w:w="1420" w:type="dxa"/>
            <w:vAlign w:val="bottom"/>
            <w:shd w:val="clear" w:color="auto" w:fill="E9E9E9"/>
          </w:tcPr>
          <w:p>
            <w:pPr>
              <w:spacing w:after="0"/>
              <w:rPr>
                <w:sz w:val="20"/>
                <w:szCs w:val="20"/>
                <w:color w:val="auto"/>
              </w:rPr>
            </w:pPr>
            <w:r>
              <w:rPr>
                <w:rFonts w:ascii="Arial" w:cs="Arial" w:eastAsia="Arial" w:hAnsi="Arial"/>
                <w:sz w:val="16"/>
                <w:szCs w:val="16"/>
                <w:color w:val="auto"/>
              </w:rPr>
              <w:t>Crutcher</w:t>
            </w:r>
          </w:p>
        </w:tc>
        <w:tc>
          <w:tcPr>
            <w:tcW w:w="1200" w:type="dxa"/>
            <w:vAlign w:val="bottom"/>
            <w:shd w:val="clear" w:color="auto" w:fill="E9E9E9"/>
          </w:tcPr>
          <w:p>
            <w:pPr>
              <w:jc w:val="center"/>
              <w:ind w:left="486"/>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71"/>
              <w:spacing w:after="0"/>
              <w:rPr>
                <w:sz w:val="20"/>
                <w:szCs w:val="20"/>
                <w:color w:val="auto"/>
              </w:rPr>
            </w:pPr>
            <w:r>
              <w:rPr>
                <w:rFonts w:ascii="Arial" w:cs="Arial" w:eastAsia="Arial" w:hAnsi="Arial"/>
                <w:sz w:val="16"/>
                <w:szCs w:val="16"/>
                <w:color w:val="auto"/>
              </w:rPr>
              <w:t>3,011</w:t>
            </w:r>
          </w:p>
        </w:tc>
        <w:tc>
          <w:tcPr>
            <w:tcW w:w="9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spacing w:after="0"/>
              <w:rPr>
                <w:sz w:val="19"/>
                <w:szCs w:val="19"/>
                <w:color w:val="auto"/>
              </w:rPr>
            </w:pP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E9E9E9"/>
          </w:tcPr>
          <w:p>
            <w:pPr>
              <w:jc w:val="right"/>
              <w:ind w:right="284"/>
              <w:spacing w:after="0"/>
              <w:rPr>
                <w:sz w:val="20"/>
                <w:szCs w:val="20"/>
                <w:color w:val="auto"/>
              </w:rPr>
            </w:pPr>
            <w:r>
              <w:rPr>
                <w:rFonts w:ascii="Arial" w:cs="Arial" w:eastAsia="Arial" w:hAnsi="Arial"/>
                <w:sz w:val="16"/>
                <w:szCs w:val="16"/>
                <w:color w:val="auto"/>
              </w:rPr>
              <w:t>—</w:t>
            </w:r>
          </w:p>
        </w:tc>
        <w:tc>
          <w:tcPr>
            <w:tcW w:w="7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$37,873</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9E9E9"/>
          </w:tcPr>
          <w:p>
            <w:pPr>
              <w:jc w:val="right"/>
              <w:ind w:right="48"/>
              <w:spacing w:after="0"/>
              <w:rPr>
                <w:sz w:val="20"/>
                <w:szCs w:val="20"/>
                <w:color w:val="auto"/>
              </w:rPr>
            </w:pPr>
            <w:r>
              <w:rPr>
                <w:rFonts w:ascii="Arial" w:cs="Arial" w:eastAsia="Arial" w:hAnsi="Arial"/>
                <w:sz w:val="16"/>
                <w:szCs w:val="16"/>
                <w:color w:val="auto"/>
              </w:rPr>
              <w:t>32,669</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73,553</w:t>
            </w:r>
          </w:p>
        </w:tc>
      </w:tr>
    </w:tbl>
    <w:p>
      <w:pPr>
        <w:spacing w:after="0" w:line="233" w:lineRule="exact"/>
        <w:rPr>
          <w:sz w:val="20"/>
          <w:szCs w:val="20"/>
          <w:color w:val="auto"/>
        </w:rPr>
      </w:pPr>
    </w:p>
    <w:p>
      <w:pPr>
        <w:ind w:left="443" w:hanging="443"/>
        <w:spacing w:after="0"/>
        <w:tabs>
          <w:tab w:leader="none" w:pos="4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It is presumed that in the event of termination for cause no bonus would be awarded.</w:t>
      </w:r>
    </w:p>
    <w:p>
      <w:pPr>
        <w:spacing w:after="0" w:line="240" w:lineRule="exact"/>
        <w:rPr>
          <w:rFonts w:ascii="Arial" w:cs="Arial" w:eastAsia="Arial" w:hAnsi="Arial"/>
          <w:sz w:val="16"/>
          <w:szCs w:val="16"/>
          <w:color w:val="auto"/>
        </w:rPr>
      </w:pPr>
    </w:p>
    <w:p>
      <w:pPr>
        <w:ind w:left="443" w:hanging="443"/>
        <w:spacing w:after="0"/>
        <w:tabs>
          <w:tab w:leader="none" w:pos="4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Lump sum value of the December 31, 2011, accrued benefit calculated as required by the terms of the plan assuming the earliest possible payment date.</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Lump sum benefit payable at separation of service (as defined by the plan) assuming the earliest possible payment date.</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Calculated by multiplying 120,000 vested RSUs by the closing price of the company’s common stock as of December 31, 2011 ($29.11).</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earned in 2011.</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See note 8 to the Termination Due to Disability table.</w:t>
      </w:r>
    </w:p>
    <w:p>
      <w:pPr>
        <w:spacing w:after="0" w:line="17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Resignation; involuntary termination (not for cause) excluding change in control</w:t>
      </w:r>
    </w:p>
    <w:p>
      <w:pPr>
        <w:spacing w:after="0" w:line="231"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Non-</w:t>
            </w:r>
          </w:p>
        </w:tc>
        <w:tc>
          <w:tcPr>
            <w:tcW w:w="220" w:type="dxa"/>
            <w:vAlign w:val="bottom"/>
          </w:tcPr>
          <w:p>
            <w:pPr>
              <w:spacing w:after="0"/>
              <w:rPr>
                <w:sz w:val="13"/>
                <w:szCs w:val="13"/>
                <w:color w:val="auto"/>
              </w:rPr>
            </w:pPr>
          </w:p>
        </w:tc>
        <w:tc>
          <w:tcPr>
            <w:tcW w:w="820" w:type="dxa"/>
            <w:vAlign w:val="bottom"/>
          </w:tcPr>
          <w:p>
            <w:pPr>
              <w:jc w:val="center"/>
              <w:ind w:right="172"/>
              <w:spacing w:after="0"/>
              <w:rPr>
                <w:sz w:val="20"/>
                <w:szCs w:val="20"/>
                <w:color w:val="auto"/>
              </w:rPr>
            </w:pPr>
            <w:r>
              <w:rPr>
                <w:rFonts w:ascii="Arial" w:cs="Arial" w:eastAsia="Arial" w:hAnsi="Arial"/>
                <w:sz w:val="12"/>
                <w:szCs w:val="12"/>
                <w:b w:val="1"/>
                <w:bCs w:val="1"/>
                <w:color w:val="auto"/>
                <w:w w:val="94"/>
              </w:rPr>
              <w:t>Non-</w:t>
            </w:r>
          </w:p>
        </w:tc>
        <w:tc>
          <w:tcPr>
            <w:tcW w:w="1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8"/>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71"/>
              <w:spacing w:after="0"/>
              <w:rPr>
                <w:sz w:val="20"/>
                <w:szCs w:val="20"/>
                <w:color w:val="auto"/>
              </w:rPr>
            </w:pPr>
            <w:r>
              <w:rPr>
                <w:rFonts w:ascii="Arial" w:cs="Arial" w:eastAsia="Arial" w:hAnsi="Arial"/>
                <w:sz w:val="12"/>
                <w:szCs w:val="12"/>
                <w:b w:val="1"/>
                <w:bCs w:val="1"/>
                <w:color w:val="auto"/>
              </w:rPr>
              <w:t>Qualified</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Qualified</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Qualified</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71"/>
              <w:spacing w:after="0"/>
              <w:rPr>
                <w:sz w:val="20"/>
                <w:szCs w:val="20"/>
                <w:color w:val="auto"/>
              </w:rPr>
            </w:pPr>
            <w:r>
              <w:rPr>
                <w:rFonts w:ascii="Arial" w:cs="Arial" w:eastAsia="Arial" w:hAnsi="Arial"/>
                <w:sz w:val="12"/>
                <w:szCs w:val="12"/>
                <w:b w:val="1"/>
                <w:bCs w:val="1"/>
                <w:color w:val="auto"/>
                <w:w w:val="99"/>
              </w:rPr>
              <w:t>Defined</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9"/>
              </w:rPr>
              <w:t>Defined</w:t>
            </w:r>
          </w:p>
        </w:tc>
        <w:tc>
          <w:tcPr>
            <w:tcW w:w="220" w:type="dxa"/>
            <w:vAlign w:val="bottom"/>
          </w:tcPr>
          <w:p>
            <w:pPr>
              <w:spacing w:after="0"/>
              <w:rPr>
                <w:sz w:val="18"/>
                <w:szCs w:val="18"/>
                <w:color w:val="auto"/>
              </w:rPr>
            </w:pPr>
          </w:p>
        </w:tc>
        <w:tc>
          <w:tcPr>
            <w:tcW w:w="820" w:type="dxa"/>
            <w:vAlign w:val="bottom"/>
          </w:tcPr>
          <w:p>
            <w:pPr>
              <w:jc w:val="center"/>
              <w:ind w:right="172"/>
              <w:spacing w:after="0"/>
              <w:rPr>
                <w:sz w:val="20"/>
                <w:szCs w:val="20"/>
                <w:color w:val="auto"/>
              </w:rPr>
            </w:pPr>
            <w:r>
              <w:rPr>
                <w:rFonts w:ascii="Arial" w:cs="Arial" w:eastAsia="Arial" w:hAnsi="Arial"/>
                <w:sz w:val="12"/>
                <w:szCs w:val="12"/>
                <w:b w:val="1"/>
                <w:bCs w:val="1"/>
                <w:color w:val="auto"/>
              </w:rPr>
              <w:t>Defined</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91"/>
              <w:spacing w:after="0"/>
              <w:rPr>
                <w:sz w:val="20"/>
                <w:szCs w:val="20"/>
                <w:color w:val="auto"/>
              </w:rPr>
            </w:pPr>
            <w:r>
              <w:rPr>
                <w:rFonts w:ascii="Arial" w:cs="Arial" w:eastAsia="Arial" w:hAnsi="Arial"/>
                <w:sz w:val="12"/>
                <w:szCs w:val="12"/>
                <w:b w:val="1"/>
                <w:bCs w:val="1"/>
                <w:color w:val="auto"/>
              </w:rPr>
              <w:t>Benefit</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8"/>
              </w:rPr>
              <w:t>Benefit</w:t>
            </w:r>
          </w:p>
        </w:tc>
        <w:tc>
          <w:tcPr>
            <w:tcW w:w="220" w:type="dxa"/>
            <w:vAlign w:val="bottom"/>
          </w:tcPr>
          <w:p>
            <w:pPr>
              <w:spacing w:after="0"/>
              <w:rPr>
                <w:sz w:val="18"/>
                <w:szCs w:val="18"/>
                <w:color w:val="auto"/>
              </w:rPr>
            </w:pPr>
          </w:p>
        </w:tc>
        <w:tc>
          <w:tcPr>
            <w:tcW w:w="820" w:type="dxa"/>
            <w:vAlign w:val="bottom"/>
          </w:tcPr>
          <w:p>
            <w:pPr>
              <w:jc w:val="center"/>
              <w:ind w:right="172"/>
              <w:spacing w:after="0"/>
              <w:rPr>
                <w:sz w:val="20"/>
                <w:szCs w:val="20"/>
                <w:color w:val="auto"/>
              </w:rPr>
            </w:pPr>
            <w:r>
              <w:rPr>
                <w:rFonts w:ascii="Arial" w:cs="Arial" w:eastAsia="Arial" w:hAnsi="Arial"/>
                <w:sz w:val="12"/>
                <w:szCs w:val="12"/>
                <w:b w:val="1"/>
                <w:bCs w:val="1"/>
                <w:color w:val="auto"/>
              </w:rPr>
              <w:t>Benefit</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71"/>
              <w:spacing w:after="0"/>
              <w:rPr>
                <w:sz w:val="20"/>
                <w:szCs w:val="20"/>
                <w:color w:val="auto"/>
              </w:rPr>
            </w:pPr>
            <w:r>
              <w:rPr>
                <w:rFonts w:ascii="Arial" w:cs="Arial" w:eastAsia="Arial" w:hAnsi="Arial"/>
                <w:sz w:val="12"/>
                <w:szCs w:val="12"/>
                <w:b w:val="1"/>
                <w:bCs w:val="1"/>
                <w:color w:val="auto"/>
              </w:rPr>
              <w:t>Pension</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Pension</w:t>
            </w:r>
          </w:p>
        </w:tc>
        <w:tc>
          <w:tcPr>
            <w:tcW w:w="220" w:type="dxa"/>
            <w:vAlign w:val="bottom"/>
          </w:tcPr>
          <w:p>
            <w:pPr>
              <w:spacing w:after="0"/>
              <w:rPr>
                <w:sz w:val="18"/>
                <w:szCs w:val="18"/>
                <w:color w:val="auto"/>
              </w:rPr>
            </w:pPr>
          </w:p>
        </w:tc>
        <w:tc>
          <w:tcPr>
            <w:tcW w:w="820" w:type="dxa"/>
            <w:vAlign w:val="bottom"/>
          </w:tcPr>
          <w:p>
            <w:pPr>
              <w:jc w:val="center"/>
              <w:ind w:right="172"/>
              <w:spacing w:after="0"/>
              <w:rPr>
                <w:sz w:val="20"/>
                <w:szCs w:val="20"/>
                <w:color w:val="auto"/>
              </w:rPr>
            </w:pPr>
            <w:r>
              <w:rPr>
                <w:rFonts w:ascii="Arial" w:cs="Arial" w:eastAsia="Arial" w:hAnsi="Arial"/>
                <w:sz w:val="12"/>
                <w:szCs w:val="12"/>
                <w:b w:val="1"/>
                <w:bCs w:val="1"/>
                <w:color w:val="auto"/>
                <w:w w:val="98"/>
              </w:rPr>
              <w:t>Pension</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Profit</w:t>
            </w:r>
          </w:p>
        </w:tc>
        <w:tc>
          <w:tcPr>
            <w:tcW w:w="220" w:type="dxa"/>
            <w:vAlign w:val="bottom"/>
          </w:tcPr>
          <w:p>
            <w:pPr>
              <w:spacing w:after="0"/>
              <w:rPr>
                <w:sz w:val="18"/>
                <w:szCs w:val="18"/>
                <w:color w:val="auto"/>
              </w:rPr>
            </w:pPr>
          </w:p>
        </w:tc>
        <w:tc>
          <w:tcPr>
            <w:tcW w:w="720" w:type="dxa"/>
            <w:vAlign w:val="bottom"/>
          </w:tcPr>
          <w:p>
            <w:pPr>
              <w:jc w:val="center"/>
              <w:ind w:right="168"/>
              <w:spacing w:after="0"/>
              <w:rPr>
                <w:sz w:val="20"/>
                <w:szCs w:val="20"/>
                <w:color w:val="auto"/>
              </w:rPr>
            </w:pPr>
            <w:r>
              <w:rPr>
                <w:rFonts w:ascii="Arial" w:cs="Arial" w:eastAsia="Arial" w:hAnsi="Arial"/>
                <w:sz w:val="12"/>
                <w:szCs w:val="12"/>
                <w:b w:val="1"/>
                <w:bCs w:val="1"/>
                <w:color w:val="auto"/>
                <w:w w:val="99"/>
              </w:rPr>
              <w:t>Time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right="191"/>
              <w:spacing w:after="0"/>
              <w:rPr>
                <w:sz w:val="20"/>
                <w:szCs w:val="20"/>
                <w:color w:val="auto"/>
              </w:rPr>
            </w:pPr>
            <w:r>
              <w:rPr>
                <w:rFonts w:ascii="Arial" w:cs="Arial" w:eastAsia="Arial" w:hAnsi="Arial"/>
                <w:sz w:val="12"/>
                <w:szCs w:val="12"/>
                <w:b w:val="1"/>
                <w:bCs w:val="1"/>
                <w:color w:val="auto"/>
              </w:rPr>
              <w:t>Plan</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Plan</w:t>
            </w:r>
          </w:p>
        </w:tc>
        <w:tc>
          <w:tcPr>
            <w:tcW w:w="220" w:type="dxa"/>
            <w:vAlign w:val="bottom"/>
          </w:tcPr>
          <w:p>
            <w:pPr>
              <w:spacing w:after="0"/>
              <w:rPr>
                <w:sz w:val="18"/>
                <w:szCs w:val="18"/>
                <w:color w:val="auto"/>
              </w:rPr>
            </w:pPr>
          </w:p>
        </w:tc>
        <w:tc>
          <w:tcPr>
            <w:tcW w:w="820" w:type="dxa"/>
            <w:vAlign w:val="bottom"/>
          </w:tcPr>
          <w:p>
            <w:pPr>
              <w:jc w:val="center"/>
              <w:ind w:right="152"/>
              <w:spacing w:after="0"/>
              <w:rPr>
                <w:sz w:val="20"/>
                <w:szCs w:val="20"/>
                <w:color w:val="auto"/>
              </w:rPr>
            </w:pPr>
            <w:r>
              <w:rPr>
                <w:rFonts w:ascii="Arial" w:cs="Arial" w:eastAsia="Arial" w:hAnsi="Arial"/>
                <w:sz w:val="12"/>
                <w:szCs w:val="12"/>
                <w:b w:val="1"/>
                <w:bCs w:val="1"/>
                <w:color w:val="auto"/>
              </w:rPr>
              <w:t>Plan II</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Deferred</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66"/>
              <w:spacing w:after="0"/>
              <w:rPr>
                <w:sz w:val="20"/>
                <w:szCs w:val="20"/>
                <w:color w:val="auto"/>
              </w:rPr>
            </w:pPr>
            <w:r>
              <w:rPr>
                <w:rFonts w:ascii="Arial" w:cs="Arial" w:eastAsia="Arial" w:hAnsi="Arial"/>
                <w:sz w:val="12"/>
                <w:szCs w:val="12"/>
                <w:b w:val="1"/>
                <w:bCs w:val="1"/>
                <w:color w:val="auto"/>
              </w:rPr>
              <w:t>Stock</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8"/>
              </w:rPr>
              <w:t>Sharing</w:t>
            </w:r>
          </w:p>
        </w:tc>
        <w:tc>
          <w:tcPr>
            <w:tcW w:w="220" w:type="dxa"/>
            <w:vAlign w:val="bottom"/>
          </w:tcPr>
          <w:p>
            <w:pPr>
              <w:spacing w:after="0"/>
              <w:rPr>
                <w:sz w:val="18"/>
                <w:szCs w:val="18"/>
                <w:color w:val="auto"/>
              </w:rPr>
            </w:pPr>
          </w:p>
        </w:tc>
        <w:tc>
          <w:tcPr>
            <w:tcW w:w="720" w:type="dxa"/>
            <w:vAlign w:val="bottom"/>
          </w:tcPr>
          <w:p>
            <w:pPr>
              <w:jc w:val="center"/>
              <w:ind w:right="168"/>
              <w:spacing w:after="0"/>
              <w:rPr>
                <w:sz w:val="20"/>
                <w:szCs w:val="20"/>
                <w:color w:val="auto"/>
              </w:rPr>
            </w:pPr>
            <w:r>
              <w:rPr>
                <w:rFonts w:ascii="Arial" w:cs="Arial" w:eastAsia="Arial" w:hAnsi="Arial"/>
                <w:sz w:val="12"/>
                <w:szCs w:val="12"/>
                <w:b w:val="1"/>
                <w:bCs w:val="1"/>
                <w:color w:val="auto"/>
                <w:w w:val="95"/>
              </w:rPr>
              <w:t>Bank</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10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820" w:type="dxa"/>
            <w:vAlign w:val="bottom"/>
          </w:tcPr>
          <w:p>
            <w:pPr>
              <w:jc w:val="center"/>
              <w:ind w:left="84"/>
              <w:spacing w:after="0"/>
              <w:rPr>
                <w:sz w:val="20"/>
                <w:szCs w:val="20"/>
                <w:color w:val="auto"/>
              </w:rPr>
            </w:pPr>
            <w:r>
              <w:rPr>
                <w:rFonts w:ascii="Arial" w:cs="Arial" w:eastAsia="Arial" w:hAnsi="Arial"/>
                <w:sz w:val="12"/>
                <w:szCs w:val="12"/>
                <w:b w:val="1"/>
                <w:bCs w:val="1"/>
                <w:color w:val="auto"/>
              </w:rPr>
              <w:t>Bonus</w:t>
            </w:r>
          </w:p>
        </w:tc>
        <w:tc>
          <w:tcPr>
            <w:tcW w:w="220" w:type="dxa"/>
            <w:vAlign w:val="bottom"/>
          </w:tcPr>
          <w:p>
            <w:pPr>
              <w:spacing w:after="0"/>
              <w:rPr>
                <w:sz w:val="18"/>
                <w:szCs w:val="18"/>
                <w:color w:val="auto"/>
              </w:rPr>
            </w:pPr>
          </w:p>
        </w:tc>
        <w:tc>
          <w:tcPr>
            <w:tcW w:w="840" w:type="dxa"/>
            <w:vAlign w:val="bottom"/>
          </w:tcPr>
          <w:p>
            <w:pPr>
              <w:jc w:val="center"/>
              <w:ind w:right="191"/>
              <w:spacing w:after="0"/>
              <w:rPr>
                <w:sz w:val="20"/>
                <w:szCs w:val="20"/>
                <w:color w:val="auto"/>
              </w:rPr>
            </w:pPr>
            <w:r>
              <w:rPr>
                <w:rFonts w:ascii="Arial" w:cs="Arial" w:eastAsia="Arial" w:hAnsi="Arial"/>
                <w:sz w:val="12"/>
                <w:szCs w:val="12"/>
                <w:b w:val="1"/>
                <w:bCs w:val="1"/>
                <w:color w:val="auto"/>
                <w:w w:val="95"/>
              </w:rPr>
              <w:t>(2)</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8"/>
                <w:szCs w:val="18"/>
                <w:color w:val="auto"/>
              </w:rPr>
            </w:pPr>
          </w:p>
        </w:tc>
        <w:tc>
          <w:tcPr>
            <w:tcW w:w="820" w:type="dxa"/>
            <w:vAlign w:val="bottom"/>
          </w:tcPr>
          <w:p>
            <w:pPr>
              <w:jc w:val="center"/>
              <w:ind w:right="172"/>
              <w:spacing w:after="0"/>
              <w:rPr>
                <w:sz w:val="20"/>
                <w:szCs w:val="20"/>
                <w:color w:val="auto"/>
              </w:rPr>
            </w:pPr>
            <w:r>
              <w:rPr>
                <w:rFonts w:ascii="Arial" w:cs="Arial" w:eastAsia="Arial" w:hAnsi="Arial"/>
                <w:sz w:val="12"/>
                <w:szCs w:val="12"/>
                <w:b w:val="1"/>
                <w:bCs w:val="1"/>
                <w:color w:val="auto"/>
                <w:w w:val="95"/>
              </w:rPr>
              <w:t>(3)</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1300" w:type="dxa"/>
            <w:vAlign w:val="bottom"/>
          </w:tcPr>
          <w:p>
            <w:pPr>
              <w:jc w:val="right"/>
              <w:ind w:right="424"/>
              <w:spacing w:after="0"/>
              <w:rPr>
                <w:sz w:val="20"/>
                <w:szCs w:val="20"/>
                <w:color w:val="auto"/>
              </w:rPr>
            </w:pPr>
            <w:r>
              <w:rPr>
                <w:rFonts w:ascii="Arial" w:cs="Arial" w:eastAsia="Arial" w:hAnsi="Arial"/>
                <w:sz w:val="12"/>
                <w:szCs w:val="12"/>
                <w:b w:val="1"/>
                <w:bCs w:val="1"/>
                <w:color w:val="auto"/>
              </w:rPr>
              <w:t>RSUs</w:t>
            </w:r>
          </w:p>
        </w:tc>
        <w:tc>
          <w:tcPr>
            <w:tcW w:w="220" w:type="dxa"/>
            <w:vAlign w:val="bottom"/>
          </w:tcPr>
          <w:p>
            <w:pPr>
              <w:spacing w:after="0"/>
              <w:rPr>
                <w:sz w:val="18"/>
                <w:szCs w:val="18"/>
                <w:color w:val="auto"/>
              </w:rPr>
            </w:pPr>
          </w:p>
        </w:tc>
        <w:tc>
          <w:tcPr>
            <w:tcW w:w="1180" w:type="dxa"/>
            <w:vAlign w:val="bottom"/>
          </w:tcPr>
          <w:p>
            <w:pPr>
              <w:jc w:val="right"/>
              <w:ind w:right="406"/>
              <w:spacing w:after="0"/>
              <w:rPr>
                <w:sz w:val="20"/>
                <w:szCs w:val="20"/>
                <w:color w:val="auto"/>
              </w:rPr>
            </w:pPr>
            <w:r>
              <w:rPr>
                <w:rFonts w:ascii="Arial" w:cs="Arial" w:eastAsia="Arial" w:hAnsi="Arial"/>
                <w:sz w:val="12"/>
                <w:szCs w:val="12"/>
                <w:b w:val="1"/>
                <w:bCs w:val="1"/>
                <w:color w:val="auto"/>
              </w:rPr>
              <w:t>Options</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8"/>
                <w:szCs w:val="18"/>
                <w:color w:val="auto"/>
              </w:rPr>
            </w:pPr>
          </w:p>
        </w:tc>
        <w:tc>
          <w:tcPr>
            <w:tcW w:w="720" w:type="dxa"/>
            <w:vAlign w:val="bottom"/>
          </w:tcPr>
          <w:p>
            <w:pPr>
              <w:jc w:val="center"/>
              <w:ind w:right="168"/>
              <w:spacing w:after="0"/>
              <w:rPr>
                <w:sz w:val="20"/>
                <w:szCs w:val="20"/>
                <w:color w:val="auto"/>
              </w:rPr>
            </w:pPr>
            <w:r>
              <w:rPr>
                <w:rFonts w:ascii="Arial" w:cs="Arial" w:eastAsia="Arial" w:hAnsi="Arial"/>
                <w:sz w:val="12"/>
                <w:szCs w:val="12"/>
                <w:b w:val="1"/>
                <w:bCs w:val="1"/>
                <w:color w:val="auto"/>
              </w:rPr>
              <w:t>(9)</w:t>
            </w:r>
          </w:p>
        </w:tc>
        <w:tc>
          <w:tcPr>
            <w:tcW w:w="220" w:type="dxa"/>
            <w:vAlign w:val="bottom"/>
          </w:tcPr>
          <w:p>
            <w:pPr>
              <w:spacing w:after="0"/>
              <w:rPr>
                <w:sz w:val="18"/>
                <w:szCs w:val="18"/>
                <w:color w:val="auto"/>
              </w:rPr>
            </w:pPr>
          </w:p>
        </w:tc>
        <w:tc>
          <w:tcPr>
            <w:tcW w:w="800" w:type="dxa"/>
            <w:vAlign w:val="bottom"/>
          </w:tcPr>
          <w:p>
            <w:pPr>
              <w:jc w:val="right"/>
              <w:ind w:right="244"/>
              <w:spacing w:after="0"/>
              <w:rPr>
                <w:sz w:val="20"/>
                <w:szCs w:val="20"/>
                <w:color w:val="auto"/>
              </w:rPr>
            </w:pPr>
            <w:r>
              <w:rPr>
                <w:rFonts w:ascii="Arial" w:cs="Arial" w:eastAsia="Arial" w:hAnsi="Arial"/>
                <w:sz w:val="12"/>
                <w:szCs w:val="12"/>
                <w:b w:val="1"/>
                <w:bCs w:val="1"/>
                <w:color w:val="auto"/>
              </w:rPr>
              <w:t>Total</w:t>
            </w:r>
          </w:p>
        </w:tc>
      </w:tr>
      <w:tr>
        <w:trPr>
          <w:trHeight w:val="37"/>
        </w:trPr>
        <w:tc>
          <w:tcPr>
            <w:tcW w:w="102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92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1100" w:type="dxa"/>
            <w:vAlign w:val="bottom"/>
            <w:tcBorders>
              <w:bottom w:val="single" w:sz="8" w:color="808285"/>
            </w:tcBorders>
          </w:tcPr>
          <w:p>
            <w:pPr>
              <w:spacing w:after="0"/>
              <w:rPr>
                <w:sz w:val="3"/>
                <w:szCs w:val="3"/>
                <w:color w:val="auto"/>
              </w:rPr>
            </w:pPr>
          </w:p>
        </w:tc>
        <w:tc>
          <w:tcPr>
            <w:tcW w:w="130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118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720" w:type="dxa"/>
            <w:vAlign w:val="bottom"/>
            <w:tcBorders>
              <w:bottom w:val="single" w:sz="8" w:color="808285"/>
            </w:tcBorders>
          </w:tcPr>
          <w:p>
            <w:pPr>
              <w:spacing w:after="0"/>
              <w:rPr>
                <w:sz w:val="3"/>
                <w:szCs w:val="3"/>
                <w:color w:val="auto"/>
              </w:rPr>
            </w:pPr>
          </w:p>
        </w:tc>
        <w:tc>
          <w:tcPr>
            <w:tcW w:w="22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r>
      <w:tr>
        <w:trPr>
          <w:trHeight w:val="210"/>
        </w:trPr>
        <w:tc>
          <w:tcPr>
            <w:tcW w:w="1020" w:type="dxa"/>
            <w:vAlign w:val="bottom"/>
            <w:shd w:val="clear" w:color="auto" w:fill="E9E9E9"/>
          </w:tcPr>
          <w:p>
            <w:pPr>
              <w:spacing w:after="0"/>
              <w:rPr>
                <w:sz w:val="20"/>
                <w:szCs w:val="20"/>
                <w:color w:val="auto"/>
              </w:rPr>
            </w:pPr>
            <w:r>
              <w:rPr>
                <w:rFonts w:ascii="Arial" w:cs="Arial" w:eastAsia="Arial" w:hAnsi="Arial"/>
                <w:sz w:val="16"/>
                <w:szCs w:val="16"/>
                <w:color w:val="auto"/>
              </w:rPr>
              <w:t>Templeton</w:t>
            </w:r>
          </w:p>
        </w:tc>
        <w:tc>
          <w:tcPr>
            <w:tcW w:w="820" w:type="dxa"/>
            <w:vAlign w:val="bottom"/>
            <w:shd w:val="clear" w:color="auto" w:fill="E9E9E9"/>
          </w:tcPr>
          <w:p>
            <w:pPr>
              <w:jc w:val="center"/>
              <w:ind w:left="84"/>
              <w:spacing w:after="0"/>
              <w:rPr>
                <w:sz w:val="20"/>
                <w:szCs w:val="20"/>
                <w:color w:val="auto"/>
              </w:rPr>
            </w:pPr>
            <w:r>
              <w:rPr>
                <w:rFonts w:ascii="Arial" w:cs="Arial" w:eastAsia="Arial" w:hAnsi="Arial"/>
                <w:sz w:val="16"/>
                <w:szCs w:val="16"/>
                <w:color w:val="auto"/>
                <w:w w:val="91"/>
              </w:rPr>
              <w:t>(1)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71"/>
              <w:spacing w:after="0"/>
              <w:rPr>
                <w:sz w:val="20"/>
                <w:szCs w:val="20"/>
                <w:color w:val="auto"/>
              </w:rPr>
            </w:pPr>
            <w:r>
              <w:rPr>
                <w:rFonts w:ascii="Arial" w:cs="Arial" w:eastAsia="Arial" w:hAnsi="Arial"/>
                <w:sz w:val="16"/>
                <w:szCs w:val="16"/>
                <w:color w:val="auto"/>
              </w:rPr>
              <w:t>479,582</w:t>
            </w:r>
          </w:p>
        </w:tc>
        <w:tc>
          <w:tcPr>
            <w:tcW w:w="920" w:type="dxa"/>
            <w:vAlign w:val="bottom"/>
            <w:shd w:val="clear" w:color="auto" w:fill="E9E9E9"/>
          </w:tcPr>
          <w:p>
            <w:pPr>
              <w:jc w:val="right"/>
              <w:ind w:right="72"/>
              <w:spacing w:after="0"/>
              <w:rPr>
                <w:sz w:val="20"/>
                <w:szCs w:val="20"/>
                <w:color w:val="auto"/>
              </w:rPr>
            </w:pPr>
            <w:r>
              <w:rPr>
                <w:rFonts w:ascii="Arial" w:cs="Arial" w:eastAsia="Arial" w:hAnsi="Arial"/>
                <w:sz w:val="16"/>
                <w:szCs w:val="16"/>
                <w:color w:val="auto"/>
              </w:rPr>
              <w:t>$324,484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29,893</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E9E9E9"/>
          </w:tcPr>
          <w:p>
            <w:pPr>
              <w:jc w:val="right"/>
              <w:ind w:right="64"/>
              <w:spacing w:after="0"/>
              <w:rPr>
                <w:sz w:val="20"/>
                <w:szCs w:val="20"/>
                <w:color w:val="auto"/>
              </w:rPr>
            </w:pPr>
            <w:r>
              <w:rPr>
                <w:rFonts w:ascii="Arial" w:cs="Arial" w:eastAsia="Arial" w:hAnsi="Arial"/>
                <w:sz w:val="16"/>
                <w:szCs w:val="16"/>
                <w:color w:val="auto"/>
              </w:rPr>
              <w:t>$3,493,200 (4)</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66"/>
              <w:spacing w:after="0"/>
              <w:rPr>
                <w:sz w:val="20"/>
                <w:szCs w:val="20"/>
                <w:color w:val="auto"/>
              </w:rPr>
            </w:pPr>
            <w:r>
              <w:rPr>
                <w:rFonts w:ascii="Arial" w:cs="Arial" w:eastAsia="Arial" w:hAnsi="Arial"/>
                <w:sz w:val="16"/>
                <w:szCs w:val="16"/>
                <w:color w:val="auto"/>
                <w:w w:val="97"/>
              </w:rPr>
              <w:t>22,463,277 (6)</w:t>
            </w:r>
          </w:p>
        </w:tc>
        <w:tc>
          <w:tcPr>
            <w:tcW w:w="82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$78,118</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9E9E9"/>
          </w:tcPr>
          <w:p>
            <w:pPr>
              <w:jc w:val="right"/>
              <w:ind w:right="68"/>
              <w:spacing w:after="0"/>
              <w:rPr>
                <w:sz w:val="20"/>
                <w:szCs w:val="20"/>
                <w:color w:val="auto"/>
              </w:rPr>
            </w:pPr>
            <w:r>
              <w:rPr>
                <w:rFonts w:ascii="Arial" w:cs="Arial" w:eastAsia="Arial" w:hAnsi="Arial"/>
                <w:sz w:val="16"/>
                <w:szCs w:val="16"/>
                <w:color w:val="auto"/>
                <w:w w:val="96"/>
              </w:rPr>
              <w:t>175,168</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7"/>
              </w:rPr>
              <w:t>27,043,722</w:t>
            </w:r>
          </w:p>
        </w:tc>
      </w:tr>
      <w:tr>
        <w:trPr>
          <w:trHeight w:val="211"/>
        </w:trPr>
        <w:tc>
          <w:tcPr>
            <w:tcW w:w="1020" w:type="dxa"/>
            <w:vAlign w:val="bottom"/>
          </w:tcPr>
          <w:p>
            <w:pPr>
              <w:spacing w:after="0"/>
              <w:rPr>
                <w:sz w:val="20"/>
                <w:szCs w:val="20"/>
                <w:color w:val="auto"/>
              </w:rPr>
            </w:pPr>
            <w:r>
              <w:rPr>
                <w:rFonts w:ascii="Arial" w:cs="Arial" w:eastAsia="Arial" w:hAnsi="Arial"/>
                <w:sz w:val="16"/>
                <w:szCs w:val="16"/>
                <w:color w:val="auto"/>
              </w:rPr>
              <w:t>March</w:t>
            </w:r>
          </w:p>
        </w:tc>
        <w:tc>
          <w:tcPr>
            <w:tcW w:w="820" w:type="dxa"/>
            <w:vAlign w:val="bottom"/>
          </w:tcPr>
          <w:p>
            <w:pPr>
              <w:jc w:val="center"/>
              <w:ind w:left="84"/>
              <w:spacing w:after="0"/>
              <w:rPr>
                <w:sz w:val="20"/>
                <w:szCs w:val="20"/>
                <w:color w:val="auto"/>
              </w:rPr>
            </w:pPr>
            <w:r>
              <w:rPr>
                <w:rFonts w:ascii="Arial" w:cs="Arial" w:eastAsia="Arial" w:hAnsi="Arial"/>
                <w:sz w:val="16"/>
                <w:szCs w:val="16"/>
                <w:color w:val="auto"/>
                <w:w w:val="91"/>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1"/>
              <w:spacing w:after="0"/>
              <w:rPr>
                <w:sz w:val="20"/>
                <w:szCs w:val="20"/>
                <w:color w:val="auto"/>
              </w:rPr>
            </w:pPr>
            <w:r>
              <w:rPr>
                <w:rFonts w:ascii="Arial" w:cs="Arial" w:eastAsia="Arial" w:hAnsi="Arial"/>
                <w:sz w:val="16"/>
                <w:szCs w:val="16"/>
                <w:color w:val="auto"/>
              </w:rPr>
              <w:t>552,366</w:t>
            </w:r>
          </w:p>
        </w:tc>
        <w:tc>
          <w:tcPr>
            <w:tcW w:w="920" w:type="dxa"/>
            <w:vAlign w:val="bottom"/>
          </w:tcPr>
          <w:p>
            <w:pPr>
              <w:jc w:val="right"/>
              <w:ind w:right="72"/>
              <w:spacing w:after="0"/>
              <w:rPr>
                <w:sz w:val="20"/>
                <w:szCs w:val="20"/>
                <w:color w:val="auto"/>
              </w:rPr>
            </w:pPr>
            <w:r>
              <w:rPr>
                <w:rFonts w:ascii="Arial" w:cs="Arial" w:eastAsia="Arial" w:hAnsi="Arial"/>
                <w:sz w:val="16"/>
                <w:szCs w:val="16"/>
                <w:color w:val="auto"/>
              </w:rPr>
              <w:t>$194,321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2"/>
              <w:spacing w:after="0"/>
              <w:rPr>
                <w:sz w:val="20"/>
                <w:szCs w:val="20"/>
                <w:color w:val="auto"/>
              </w:rPr>
            </w:pPr>
            <w:r>
              <w:rPr>
                <w:rFonts w:ascii="Arial" w:cs="Arial" w:eastAsia="Arial" w:hAnsi="Arial"/>
                <w:sz w:val="16"/>
                <w:szCs w:val="16"/>
                <w:color w:val="auto"/>
                <w:w w:val="95"/>
              </w:rPr>
              <w:t>2,296,193</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tcPr>
          <w:p>
            <w:pPr>
              <w:jc w:val="right"/>
              <w:ind w:right="304"/>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6"/>
              <w:spacing w:after="0"/>
              <w:rPr>
                <w:sz w:val="20"/>
                <w:szCs w:val="20"/>
                <w:color w:val="auto"/>
              </w:rPr>
            </w:pPr>
            <w:r>
              <w:rPr>
                <w:rFonts w:ascii="Arial" w:cs="Arial" w:eastAsia="Arial" w:hAnsi="Arial"/>
                <w:sz w:val="16"/>
                <w:szCs w:val="16"/>
                <w:color w:val="auto"/>
              </w:rPr>
              <w:t>2,261,441 (6)</w:t>
            </w:r>
          </w:p>
        </w:tc>
        <w:tc>
          <w:tcPr>
            <w:tcW w:w="820" w:type="dxa"/>
            <w:vAlign w:val="bottom"/>
          </w:tcPr>
          <w:p>
            <w:pPr>
              <w:jc w:val="center"/>
              <w:spacing w:after="0"/>
              <w:rPr>
                <w:sz w:val="20"/>
                <w:szCs w:val="20"/>
                <w:color w:val="auto"/>
              </w:rPr>
            </w:pPr>
            <w:r>
              <w:rPr>
                <w:rFonts w:ascii="Arial" w:cs="Arial" w:eastAsia="Arial" w:hAnsi="Arial"/>
                <w:sz w:val="16"/>
                <w:szCs w:val="16"/>
                <w:color w:val="auto"/>
              </w:rPr>
              <w:t>$44,349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8"/>
              <w:spacing w:after="0"/>
              <w:rPr>
                <w:sz w:val="20"/>
                <w:szCs w:val="20"/>
                <w:color w:val="auto"/>
              </w:rPr>
            </w:pPr>
            <w:r>
              <w:rPr>
                <w:rFonts w:ascii="Arial" w:cs="Arial" w:eastAsia="Arial" w:hAnsi="Arial"/>
                <w:sz w:val="16"/>
                <w:szCs w:val="16"/>
                <w:color w:val="auto"/>
                <w:w w:val="96"/>
              </w:rPr>
              <w:t>111,916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5,460,586</w:t>
            </w:r>
          </w:p>
        </w:tc>
      </w:tr>
      <w:tr>
        <w:trPr>
          <w:trHeight w:val="226"/>
        </w:trPr>
        <w:tc>
          <w:tcPr>
            <w:tcW w:w="1020" w:type="dxa"/>
            <w:vAlign w:val="bottom"/>
            <w:shd w:val="clear" w:color="auto" w:fill="E9E9E9"/>
          </w:tcPr>
          <w:p>
            <w:pPr>
              <w:spacing w:after="0"/>
              <w:rPr>
                <w:sz w:val="20"/>
                <w:szCs w:val="20"/>
                <w:color w:val="auto"/>
              </w:rPr>
            </w:pPr>
            <w:r>
              <w:rPr>
                <w:rFonts w:ascii="Arial" w:cs="Arial" w:eastAsia="Arial" w:hAnsi="Arial"/>
                <w:sz w:val="16"/>
                <w:szCs w:val="16"/>
                <w:color w:val="auto"/>
              </w:rPr>
              <w:t>Lowe</w:t>
            </w:r>
          </w:p>
        </w:tc>
        <w:tc>
          <w:tcPr>
            <w:tcW w:w="820" w:type="dxa"/>
            <w:vAlign w:val="bottom"/>
            <w:shd w:val="clear" w:color="auto" w:fill="E9E9E9"/>
          </w:tcPr>
          <w:p>
            <w:pPr>
              <w:jc w:val="center"/>
              <w:ind w:left="84"/>
              <w:spacing w:after="0"/>
              <w:rPr>
                <w:sz w:val="20"/>
                <w:szCs w:val="20"/>
                <w:color w:val="auto"/>
              </w:rPr>
            </w:pPr>
            <w:r>
              <w:rPr>
                <w:rFonts w:ascii="Arial" w:cs="Arial" w:eastAsia="Arial" w:hAnsi="Arial"/>
                <w:sz w:val="16"/>
                <w:szCs w:val="16"/>
                <w:color w:val="auto"/>
                <w:w w:val="91"/>
              </w:rPr>
              <w:t>(1)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71"/>
              <w:spacing w:after="0"/>
              <w:rPr>
                <w:sz w:val="20"/>
                <w:szCs w:val="20"/>
                <w:color w:val="auto"/>
              </w:rPr>
            </w:pPr>
            <w:r>
              <w:rPr>
                <w:rFonts w:ascii="Arial" w:cs="Arial" w:eastAsia="Arial" w:hAnsi="Arial"/>
                <w:sz w:val="16"/>
                <w:szCs w:val="16"/>
                <w:color w:val="auto"/>
              </w:rPr>
              <w:t>561,717</w:t>
            </w:r>
          </w:p>
        </w:tc>
        <w:tc>
          <w:tcPr>
            <w:tcW w:w="920" w:type="dxa"/>
            <w:vAlign w:val="bottom"/>
            <w:shd w:val="clear" w:color="auto" w:fill="E9E9E9"/>
          </w:tcPr>
          <w:p>
            <w:pPr>
              <w:jc w:val="right"/>
              <w:ind w:right="72"/>
              <w:spacing w:after="0"/>
              <w:rPr>
                <w:sz w:val="20"/>
                <w:szCs w:val="20"/>
                <w:color w:val="auto"/>
              </w:rPr>
            </w:pPr>
            <w:r>
              <w:rPr>
                <w:rFonts w:ascii="Arial" w:cs="Arial" w:eastAsia="Arial" w:hAnsi="Arial"/>
                <w:sz w:val="16"/>
                <w:szCs w:val="16"/>
                <w:color w:val="auto"/>
              </w:rPr>
              <w:t>$296,977</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w w:val="95"/>
              </w:rPr>
              <w:t>2,564,760</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E9E9E9"/>
          </w:tcPr>
          <w:p>
            <w:pPr>
              <w:jc w:val="right"/>
              <w:ind w:right="304"/>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66"/>
              <w:spacing w:after="0"/>
              <w:rPr>
                <w:sz w:val="20"/>
                <w:szCs w:val="20"/>
                <w:color w:val="auto"/>
              </w:rPr>
            </w:pPr>
            <w:r>
              <w:rPr>
                <w:rFonts w:ascii="Arial" w:cs="Arial" w:eastAsia="Arial" w:hAnsi="Arial"/>
                <w:sz w:val="16"/>
                <w:szCs w:val="16"/>
                <w:color w:val="auto"/>
              </w:rPr>
              <w:t>2,246,613 (6)</w:t>
            </w:r>
          </w:p>
        </w:tc>
        <w:tc>
          <w:tcPr>
            <w:tcW w:w="82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$47,176</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9E9E9"/>
          </w:tcPr>
          <w:p>
            <w:pPr>
              <w:jc w:val="right"/>
              <w:ind w:right="68"/>
              <w:spacing w:after="0"/>
              <w:rPr>
                <w:sz w:val="20"/>
                <w:szCs w:val="20"/>
                <w:color w:val="auto"/>
              </w:rPr>
            </w:pPr>
            <w:r>
              <w:rPr>
                <w:rFonts w:ascii="Arial" w:cs="Arial" w:eastAsia="Arial" w:hAnsi="Arial"/>
                <w:sz w:val="16"/>
                <w:szCs w:val="16"/>
                <w:color w:val="auto"/>
              </w:rPr>
              <w:t>95,307</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5,812,550</w:t>
            </w:r>
          </w:p>
        </w:tc>
      </w:tr>
      <w:tr>
        <w:trPr>
          <w:trHeight w:val="211"/>
        </w:trPr>
        <w:tc>
          <w:tcPr>
            <w:tcW w:w="1020" w:type="dxa"/>
            <w:vAlign w:val="bottom"/>
          </w:tcPr>
          <w:p>
            <w:pPr>
              <w:spacing w:after="0"/>
              <w:rPr>
                <w:sz w:val="20"/>
                <w:szCs w:val="20"/>
                <w:color w:val="auto"/>
              </w:rPr>
            </w:pPr>
            <w:r>
              <w:rPr>
                <w:rFonts w:ascii="Arial" w:cs="Arial" w:eastAsia="Arial" w:hAnsi="Arial"/>
                <w:sz w:val="16"/>
                <w:szCs w:val="16"/>
                <w:color w:val="auto"/>
              </w:rPr>
              <w:t>Ritchie</w:t>
            </w:r>
          </w:p>
        </w:tc>
        <w:tc>
          <w:tcPr>
            <w:tcW w:w="820" w:type="dxa"/>
            <w:vAlign w:val="bottom"/>
          </w:tcPr>
          <w:p>
            <w:pPr>
              <w:jc w:val="center"/>
              <w:ind w:left="84"/>
              <w:spacing w:after="0"/>
              <w:rPr>
                <w:sz w:val="20"/>
                <w:szCs w:val="20"/>
                <w:color w:val="auto"/>
              </w:rPr>
            </w:pPr>
            <w:r>
              <w:rPr>
                <w:rFonts w:ascii="Arial" w:cs="Arial" w:eastAsia="Arial" w:hAnsi="Arial"/>
                <w:sz w:val="16"/>
                <w:szCs w:val="16"/>
                <w:color w:val="auto"/>
                <w:w w:val="91"/>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1"/>
              <w:spacing w:after="0"/>
              <w:rPr>
                <w:sz w:val="20"/>
                <w:szCs w:val="20"/>
                <w:color w:val="auto"/>
              </w:rPr>
            </w:pPr>
            <w:r>
              <w:rPr>
                <w:rFonts w:ascii="Arial" w:cs="Arial" w:eastAsia="Arial" w:hAnsi="Arial"/>
                <w:sz w:val="16"/>
                <w:szCs w:val="16"/>
                <w:color w:val="auto"/>
                <w:w w:val="95"/>
              </w:rPr>
              <w:t>1,327,229</w:t>
            </w:r>
          </w:p>
        </w:tc>
        <w:tc>
          <w:tcPr>
            <w:tcW w:w="920" w:type="dxa"/>
            <w:vAlign w:val="bottom"/>
          </w:tcPr>
          <w:p>
            <w:pPr>
              <w:jc w:val="right"/>
              <w:ind w:right="72"/>
              <w:spacing w:after="0"/>
              <w:rPr>
                <w:sz w:val="20"/>
                <w:szCs w:val="20"/>
                <w:color w:val="auto"/>
              </w:rPr>
            </w:pPr>
            <w:r>
              <w:rPr>
                <w:rFonts w:ascii="Arial" w:cs="Arial" w:eastAsia="Arial" w:hAnsi="Arial"/>
                <w:sz w:val="16"/>
                <w:szCs w:val="16"/>
                <w:color w:val="auto"/>
              </w:rPr>
              <w:t>$550,900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2"/>
              <w:spacing w:after="0"/>
              <w:rPr>
                <w:sz w:val="20"/>
                <w:szCs w:val="20"/>
                <w:color w:val="auto"/>
              </w:rPr>
            </w:pPr>
            <w:r>
              <w:rPr>
                <w:rFonts w:ascii="Arial" w:cs="Arial" w:eastAsia="Arial" w:hAnsi="Arial"/>
                <w:sz w:val="16"/>
                <w:szCs w:val="16"/>
                <w:color w:val="auto"/>
                <w:w w:val="95"/>
              </w:rPr>
              <w:t>4,414,361</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$2,759,453 (5)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6"/>
              <w:spacing w:after="0"/>
              <w:rPr>
                <w:sz w:val="20"/>
                <w:szCs w:val="20"/>
                <w:color w:val="auto"/>
              </w:rPr>
            </w:pPr>
            <w:r>
              <w:rPr>
                <w:rFonts w:ascii="Arial" w:cs="Arial" w:eastAsia="Arial" w:hAnsi="Arial"/>
                <w:sz w:val="16"/>
                <w:szCs w:val="16"/>
                <w:color w:val="auto"/>
              </w:rPr>
              <w:t>5,511,250 (7)</w:t>
            </w:r>
          </w:p>
        </w:tc>
        <w:tc>
          <w:tcPr>
            <w:tcW w:w="820" w:type="dxa"/>
            <w:vAlign w:val="bottom"/>
          </w:tcPr>
          <w:p>
            <w:pPr>
              <w:jc w:val="center"/>
              <w:spacing w:after="0"/>
              <w:rPr>
                <w:sz w:val="20"/>
                <w:szCs w:val="20"/>
                <w:color w:val="auto"/>
              </w:rPr>
            </w:pPr>
            <w:r>
              <w:rPr>
                <w:rFonts w:ascii="Arial" w:cs="Arial" w:eastAsia="Arial" w:hAnsi="Arial"/>
                <w:sz w:val="16"/>
                <w:szCs w:val="16"/>
                <w:color w:val="auto"/>
              </w:rPr>
              <w:t>$42,873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8"/>
              <w:spacing w:after="0"/>
              <w:rPr>
                <w:sz w:val="20"/>
                <w:szCs w:val="20"/>
                <w:color w:val="auto"/>
              </w:rPr>
            </w:pPr>
            <w:r>
              <w:rPr>
                <w:rFonts w:ascii="Arial" w:cs="Arial" w:eastAsia="Arial" w:hAnsi="Arial"/>
                <w:sz w:val="16"/>
                <w:szCs w:val="16"/>
                <w:color w:val="auto"/>
                <w:w w:val="96"/>
              </w:rPr>
              <w:t>108,945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14,715,011</w:t>
            </w:r>
          </w:p>
        </w:tc>
      </w:tr>
      <w:tr>
        <w:trPr>
          <w:trHeight w:val="226"/>
        </w:trPr>
        <w:tc>
          <w:tcPr>
            <w:tcW w:w="1020" w:type="dxa"/>
            <w:vAlign w:val="bottom"/>
            <w:shd w:val="clear" w:color="auto" w:fill="E9E9E9"/>
          </w:tcPr>
          <w:p>
            <w:pPr>
              <w:spacing w:after="0"/>
              <w:rPr>
                <w:sz w:val="20"/>
                <w:szCs w:val="20"/>
                <w:color w:val="auto"/>
              </w:rPr>
            </w:pPr>
            <w:r>
              <w:rPr>
                <w:rFonts w:ascii="Arial" w:cs="Arial" w:eastAsia="Arial" w:hAnsi="Arial"/>
                <w:sz w:val="16"/>
                <w:szCs w:val="16"/>
                <w:color w:val="auto"/>
              </w:rPr>
              <w:t>Crutcher</w:t>
            </w:r>
          </w:p>
        </w:tc>
        <w:tc>
          <w:tcPr>
            <w:tcW w:w="820" w:type="dxa"/>
            <w:vAlign w:val="bottom"/>
            <w:shd w:val="clear" w:color="auto" w:fill="E9E9E9"/>
          </w:tcPr>
          <w:p>
            <w:pPr>
              <w:jc w:val="center"/>
              <w:ind w:left="84"/>
              <w:spacing w:after="0"/>
              <w:rPr>
                <w:sz w:val="20"/>
                <w:szCs w:val="20"/>
                <w:color w:val="auto"/>
              </w:rPr>
            </w:pPr>
            <w:r>
              <w:rPr>
                <w:rFonts w:ascii="Arial" w:cs="Arial" w:eastAsia="Arial" w:hAnsi="Arial"/>
                <w:sz w:val="16"/>
                <w:szCs w:val="16"/>
                <w:color w:val="auto"/>
                <w:w w:val="91"/>
              </w:rPr>
              <w:t>(1)</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71"/>
              <w:spacing w:after="0"/>
              <w:rPr>
                <w:sz w:val="20"/>
                <w:szCs w:val="20"/>
                <w:color w:val="auto"/>
              </w:rPr>
            </w:pPr>
            <w:r>
              <w:rPr>
                <w:rFonts w:ascii="Arial" w:cs="Arial" w:eastAsia="Arial" w:hAnsi="Arial"/>
                <w:sz w:val="16"/>
                <w:szCs w:val="16"/>
                <w:color w:val="auto"/>
              </w:rPr>
              <w:t>3,011</w:t>
            </w:r>
          </w:p>
        </w:tc>
        <w:tc>
          <w:tcPr>
            <w:tcW w:w="920" w:type="dxa"/>
            <w:vAlign w:val="bottom"/>
            <w:shd w:val="clear" w:color="auto" w:fill="E9E9E9"/>
          </w:tcPr>
          <w:p>
            <w:pPr>
              <w:jc w:val="right"/>
              <w:ind w:right="72"/>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spacing w:after="0"/>
              <w:rPr>
                <w:sz w:val="19"/>
                <w:szCs w:val="19"/>
                <w:color w:val="auto"/>
              </w:rPr>
            </w:pPr>
          </w:p>
        </w:tc>
        <w:tc>
          <w:tcPr>
            <w:tcW w:w="820" w:type="dxa"/>
            <w:vAlign w:val="bottom"/>
            <w:shd w:val="clear" w:color="auto" w:fill="E9E9E9"/>
          </w:tcPr>
          <w:p>
            <w:pPr>
              <w:jc w:val="right"/>
              <w:ind w:right="52"/>
              <w:spacing w:after="0"/>
              <w:rPr>
                <w:sz w:val="20"/>
                <w:szCs w:val="20"/>
                <w:color w:val="auto"/>
              </w:rPr>
            </w:pPr>
            <w:r>
              <w:rPr>
                <w:rFonts w:ascii="Arial" w:cs="Arial" w:eastAsia="Arial" w:hAnsi="Arial"/>
                <w:sz w:val="16"/>
                <w:szCs w:val="16"/>
                <w:color w:val="auto"/>
              </w:rPr>
              <w:t>—</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E9E9E9"/>
          </w:tcPr>
          <w:p>
            <w:pPr>
              <w:jc w:val="right"/>
              <w:ind w:right="304"/>
              <w:spacing w:after="0"/>
              <w:rPr>
                <w:sz w:val="20"/>
                <w:szCs w:val="20"/>
                <w:color w:val="auto"/>
              </w:rPr>
            </w:pPr>
            <w:r>
              <w:rPr>
                <w:rFonts w:ascii="Arial" w:cs="Arial" w:eastAsia="Arial" w:hAnsi="Arial"/>
                <w:sz w:val="16"/>
                <w:szCs w:val="16"/>
                <w:color w:val="auto"/>
              </w:rPr>
              <w:t>—</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9E9E9"/>
          </w:tcPr>
          <w:p>
            <w:pPr>
              <w:jc w:val="right"/>
              <w:ind w:right="66"/>
              <w:spacing w:after="0"/>
              <w:rPr>
                <w:sz w:val="20"/>
                <w:szCs w:val="20"/>
                <w:color w:val="auto"/>
              </w:rPr>
            </w:pPr>
            <w:r>
              <w:rPr>
                <w:rFonts w:ascii="Arial" w:cs="Arial" w:eastAsia="Arial" w:hAnsi="Arial"/>
                <w:sz w:val="16"/>
                <w:szCs w:val="16"/>
                <w:color w:val="auto"/>
              </w:rPr>
              <w:t>250,950 (6)</w:t>
            </w:r>
          </w:p>
        </w:tc>
        <w:tc>
          <w:tcPr>
            <w:tcW w:w="82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$37,873</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9E9E9"/>
          </w:tcPr>
          <w:p>
            <w:pPr>
              <w:jc w:val="right"/>
              <w:ind w:right="68"/>
              <w:spacing w:after="0"/>
              <w:rPr>
                <w:sz w:val="20"/>
                <w:szCs w:val="20"/>
                <w:color w:val="auto"/>
              </w:rPr>
            </w:pPr>
            <w:r>
              <w:rPr>
                <w:rFonts w:ascii="Arial" w:cs="Arial" w:eastAsia="Arial" w:hAnsi="Arial"/>
                <w:sz w:val="16"/>
                <w:szCs w:val="16"/>
                <w:color w:val="auto"/>
              </w:rPr>
              <w:t>32,669</w:t>
            </w:r>
          </w:p>
        </w:tc>
        <w:tc>
          <w:tcPr>
            <w:tcW w:w="2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324,503</w:t>
            </w:r>
          </w:p>
        </w:tc>
      </w:tr>
    </w:tbl>
    <w:p>
      <w:pPr>
        <w:spacing w:after="0" w:line="233" w:lineRule="exact"/>
        <w:rPr>
          <w:sz w:val="20"/>
          <w:szCs w:val="20"/>
          <w:color w:val="auto"/>
        </w:rPr>
      </w:pPr>
    </w:p>
    <w:p>
      <w:pPr>
        <w:ind w:left="443" w:hanging="443"/>
        <w:spacing w:after="0"/>
        <w:tabs>
          <w:tab w:leader="none" w:pos="4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See note 1 to the Termination Due to Disability table.</w:t>
      </w:r>
    </w:p>
    <w:p>
      <w:pPr>
        <w:spacing w:after="0" w:line="240" w:lineRule="exact"/>
        <w:rPr>
          <w:rFonts w:ascii="Arial" w:cs="Arial" w:eastAsia="Arial" w:hAnsi="Arial"/>
          <w:sz w:val="16"/>
          <w:szCs w:val="16"/>
          <w:color w:val="auto"/>
        </w:rPr>
      </w:pPr>
    </w:p>
    <w:p>
      <w:pPr>
        <w:ind w:left="443" w:hanging="443"/>
        <w:spacing w:after="0"/>
        <w:tabs>
          <w:tab w:leader="none" w:pos="4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See note 2 to the Involuntary Termination for Cause table.</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See note 3 to the Involuntary Termination for Cause table.</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See note 4 to the Involuntary Termination for Cause table.</w:t>
      </w:r>
    </w:p>
    <w:p>
      <w:pPr>
        <w:spacing w:after="0" w:line="216" w:lineRule="exact"/>
        <w:rPr>
          <w:rFonts w:ascii="Arial" w:cs="Arial" w:eastAsia="Arial" w:hAnsi="Arial"/>
          <w:sz w:val="16"/>
          <w:szCs w:val="16"/>
          <w:color w:val="auto"/>
        </w:rPr>
      </w:pPr>
    </w:p>
    <w:p>
      <w:pPr>
        <w:ind w:left="443" w:right="40" w:hanging="443"/>
        <w:spacing w:after="0" w:line="264" w:lineRule="auto"/>
        <w:tabs>
          <w:tab w:leader="none" w:pos="443" w:val="left"/>
        </w:tabs>
        <w:numPr>
          <w:ilvl w:val="0"/>
          <w:numId w:val="40"/>
        </w:numPr>
        <w:rPr>
          <w:rFonts w:ascii="Arial" w:cs="Arial" w:eastAsia="Arial" w:hAnsi="Arial"/>
          <w:sz w:val="15"/>
          <w:szCs w:val="15"/>
          <w:color w:val="auto"/>
        </w:rPr>
      </w:pPr>
      <w:r>
        <w:rPr>
          <w:rFonts w:ascii="Arial" w:cs="Arial" w:eastAsia="Arial" w:hAnsi="Arial"/>
          <w:sz w:val="15"/>
          <w:szCs w:val="15"/>
          <w:color w:val="auto"/>
        </w:rPr>
        <w:t>Because Mr. Ritchie became eligible for early retirement in August 2011, calculated by multiplying the number of outstanding RSUs held by Mr. Ritchie at such termination by the closing price of TI common stock as of December 31, 2011. His RSU grants stay in effect and pay out shares according to the vesting schedule, although the number of shares is reduced according to the duration of employment over the vesting period. See page 84 for additional details.</w:t>
      </w:r>
    </w:p>
    <w:p>
      <w:pPr>
        <w:spacing w:after="0" w:line="194" w:lineRule="exact"/>
        <w:rPr>
          <w:rFonts w:ascii="Arial" w:cs="Arial" w:eastAsia="Arial" w:hAnsi="Arial"/>
          <w:sz w:val="15"/>
          <w:szCs w:val="15"/>
          <w:color w:val="auto"/>
        </w:rPr>
      </w:pPr>
    </w:p>
    <w:p>
      <w:pPr>
        <w:ind w:left="443" w:right="300" w:hanging="443"/>
        <w:spacing w:after="0" w:line="243" w:lineRule="auto"/>
        <w:tabs>
          <w:tab w:leader="none" w:pos="4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Calculated as the difference between the grant price of all exercisable in-the-money options and the closing price of TI common stock as of December 31, 2011 ($29.11), multiplied by the number of shares under such options as of December 31, 2011.</w:t>
      </w:r>
    </w:p>
    <w:p>
      <w:pPr>
        <w:spacing w:after="0" w:line="209" w:lineRule="exact"/>
        <w:rPr>
          <w:rFonts w:ascii="Arial" w:cs="Arial" w:eastAsia="Arial" w:hAnsi="Arial"/>
          <w:sz w:val="16"/>
          <w:szCs w:val="16"/>
          <w:color w:val="auto"/>
        </w:rPr>
      </w:pPr>
    </w:p>
    <w:p>
      <w:pPr>
        <w:ind w:left="443" w:hanging="443"/>
        <w:spacing w:after="0"/>
        <w:tabs>
          <w:tab w:leader="none" w:pos="4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See note 6 to Termination Due to Disability table.</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Amounts earned in 2011.</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See note 8 to the Termination Due to Disability table.</w:t>
      </w:r>
    </w:p>
    <w:p>
      <w:pPr>
        <w:sectPr>
          <w:pgSz w:w="11900" w:h="16838" w:orient="portrait"/>
          <w:cols w:equalWidth="0" w:num="1">
            <w:col w:w="11443"/>
          </w:cols>
          <w:pgMar w:left="237" w:top="535" w:right="219" w:bottom="1440" w:gutter="0" w:footer="0" w:header="0"/>
        </w:sectPr>
      </w:pPr>
    </w:p>
    <w:p>
      <w:pPr>
        <w:spacing w:after="0" w:line="259" w:lineRule="exact"/>
        <w:rPr>
          <w:sz w:val="20"/>
          <w:szCs w:val="20"/>
          <w:color w:val="auto"/>
        </w:rPr>
      </w:pPr>
    </w:p>
    <w:p>
      <w:pPr>
        <w:ind w:left="3"/>
        <w:spacing w:after="0"/>
        <w:tabs>
          <w:tab w:leader="none" w:pos="964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35" w:right="219" w:bottom="1440" w:gutter="0" w:footer="0" w:header="0"/>
          <w:type w:val="continuous"/>
        </w:sectPr>
      </w:pPr>
    </w:p>
    <w:bookmarkStart w:id="38" w:name="page39"/>
    <w:bookmarkEnd w:id="38"/>
    <w:p>
      <w:pPr>
        <w:ind w:left="3" w:right="20"/>
        <w:spacing w:after="0" w:line="257" w:lineRule="auto"/>
        <w:rPr>
          <w:sz w:val="20"/>
          <w:szCs w:val="20"/>
          <w:color w:val="auto"/>
        </w:rPr>
      </w:pPr>
      <w:r>
        <w:rPr>
          <w:rFonts w:ascii="Arial" w:cs="Arial" w:eastAsia="Arial" w:hAnsi="Arial"/>
          <w:sz w:val="15"/>
          <w:szCs w:val="15"/>
          <w:color w:val="auto"/>
        </w:rPr>
        <w:t>In the case of a resignation pursuant to a separation arrangement, an executive officer (like other employees above a certain job grade level) will typically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RSUs will continue to vest. Amounts paid to an individual during a paid leave of absence are not counted when calculating profit sharing and benefits under the qualified and non-qualified pension plans. During a paid leave of absence an individual does not continue to accrue time bank hours. He retains medical and insurance benefits at essentially the same rates as active company employees during the paid leave of absence period.</w:t>
      </w:r>
    </w:p>
    <w:p>
      <w:pPr>
        <w:spacing w:after="0" w:line="7" w:lineRule="exact"/>
        <w:rPr>
          <w:sz w:val="20"/>
          <w:szCs w:val="20"/>
          <w:color w:val="auto"/>
        </w:rPr>
      </w:pPr>
    </w:p>
    <w:p>
      <w:pPr>
        <w:ind w:left="3" w:right="20" w:firstLine="243"/>
        <w:spacing w:after="0"/>
        <w:rPr>
          <w:sz w:val="20"/>
          <w:szCs w:val="20"/>
          <w:color w:val="auto"/>
        </w:rPr>
      </w:pPr>
      <w:r>
        <w:rPr>
          <w:rFonts w:ascii="Arial" w:cs="Arial" w:eastAsia="Arial" w:hAnsi="Arial"/>
          <w:sz w:val="16"/>
          <w:szCs w:val="16"/>
          <w:color w:val="auto"/>
        </w:rPr>
        <w:t>In the case of a separation arrangement in which the paid leave of absence expires when the executive officer will be at least 50 years old and have at least 15 years of employment with the company, the separation arrangement will typically include an unpaid leave of absence, to commence at the end of the paid leave and end when the executive officer has reached the earlier of age 55 with at least 20 years of employment or age 60 (bridge to retirement). The bridge to retirement will be credited to years of service under the qualified and non-qualified defined benefit plans described above. The executive officer will not receive profit sharing or accrue time bank hours for the period he is on a bridge to retirement, but he will retain medical and insurance benefits at essentially the same rates as active company employees. Stock options will continue to become exercisable and RSUs will remain in effect, but the number of RSUs will be reduced as described in note * on page 84.</w:t>
      </w:r>
    </w:p>
    <w:p>
      <w:pPr>
        <w:spacing w:after="0" w:line="22" w:lineRule="exact"/>
        <w:rPr>
          <w:sz w:val="20"/>
          <w:szCs w:val="20"/>
          <w:color w:val="auto"/>
        </w:rPr>
      </w:pPr>
    </w:p>
    <w:p>
      <w:pPr>
        <w:ind w:left="243"/>
        <w:spacing w:after="0"/>
        <w:rPr>
          <w:sz w:val="20"/>
          <w:szCs w:val="20"/>
          <w:color w:val="auto"/>
        </w:rPr>
      </w:pPr>
      <w:r>
        <w:rPr>
          <w:rFonts w:ascii="Arial" w:cs="Arial" w:eastAsia="Arial" w:hAnsi="Arial"/>
          <w:sz w:val="16"/>
          <w:szCs w:val="16"/>
          <w:color w:val="auto"/>
        </w:rPr>
        <w:t>Involuntary termination (not for cause) after a change in control of TI is discussed under the heading Change in control below.</w:t>
      </w:r>
    </w:p>
    <w:p>
      <w:pPr>
        <w:spacing w:after="0" w:line="18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Retirement</w:t>
      </w:r>
    </w:p>
    <w:p>
      <w:pPr>
        <w:spacing w:after="0" w:line="231"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60" w:type="dxa"/>
            <w:vAlign w:val="bottom"/>
          </w:tcPr>
          <w:p>
            <w:pPr>
              <w:jc w:val="center"/>
              <w:ind w:right="17"/>
              <w:spacing w:after="0"/>
              <w:rPr>
                <w:sz w:val="20"/>
                <w:szCs w:val="20"/>
                <w:color w:val="auto"/>
              </w:rPr>
            </w:pPr>
            <w:r>
              <w:rPr>
                <w:rFonts w:ascii="Arial" w:cs="Arial" w:eastAsia="Arial" w:hAnsi="Arial"/>
                <w:sz w:val="12"/>
                <w:szCs w:val="12"/>
                <w:b w:val="1"/>
                <w:bCs w:val="1"/>
                <w:color w:val="auto"/>
              </w:rPr>
              <w:t>Non-</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4"/>
              </w:rPr>
              <w:t>Non-</w:t>
            </w: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8"/>
        </w:trPr>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Qualified</w:t>
            </w:r>
          </w:p>
        </w:tc>
        <w:tc>
          <w:tcPr>
            <w:tcW w:w="960" w:type="dxa"/>
            <w:vAlign w:val="bottom"/>
          </w:tcPr>
          <w:p>
            <w:pPr>
              <w:jc w:val="center"/>
              <w:ind w:right="17"/>
              <w:spacing w:after="0"/>
              <w:rPr>
                <w:sz w:val="20"/>
                <w:szCs w:val="20"/>
                <w:color w:val="auto"/>
              </w:rPr>
            </w:pPr>
            <w:r>
              <w:rPr>
                <w:rFonts w:ascii="Arial" w:cs="Arial" w:eastAsia="Arial" w:hAnsi="Arial"/>
                <w:sz w:val="12"/>
                <w:szCs w:val="12"/>
                <w:b w:val="1"/>
                <w:bCs w:val="1"/>
                <w:color w:val="auto"/>
              </w:rPr>
              <w:t>Qualified</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Qualified</w:t>
            </w: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99"/>
              </w:rPr>
              <w:t>Defined</w:t>
            </w:r>
          </w:p>
        </w:tc>
        <w:tc>
          <w:tcPr>
            <w:tcW w:w="960" w:type="dxa"/>
            <w:vAlign w:val="bottom"/>
          </w:tcPr>
          <w:p>
            <w:pPr>
              <w:jc w:val="center"/>
              <w:ind w:right="17"/>
              <w:spacing w:after="0"/>
              <w:rPr>
                <w:sz w:val="20"/>
                <w:szCs w:val="20"/>
                <w:color w:val="auto"/>
              </w:rPr>
            </w:pPr>
            <w:r>
              <w:rPr>
                <w:rFonts w:ascii="Arial" w:cs="Arial" w:eastAsia="Arial" w:hAnsi="Arial"/>
                <w:sz w:val="12"/>
                <w:szCs w:val="12"/>
                <w:b w:val="1"/>
                <w:bCs w:val="1"/>
                <w:color w:val="auto"/>
                <w:w w:val="99"/>
              </w:rPr>
              <w:t>Defined</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Defined</w:t>
            </w: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Benefit</w:t>
            </w:r>
          </w:p>
        </w:tc>
        <w:tc>
          <w:tcPr>
            <w:tcW w:w="960" w:type="dxa"/>
            <w:vAlign w:val="bottom"/>
          </w:tcPr>
          <w:p>
            <w:pPr>
              <w:jc w:val="center"/>
              <w:ind w:right="17"/>
              <w:spacing w:after="0"/>
              <w:rPr>
                <w:sz w:val="20"/>
                <w:szCs w:val="20"/>
                <w:color w:val="auto"/>
              </w:rPr>
            </w:pPr>
            <w:r>
              <w:rPr>
                <w:rFonts w:ascii="Arial" w:cs="Arial" w:eastAsia="Arial" w:hAnsi="Arial"/>
                <w:sz w:val="12"/>
                <w:szCs w:val="12"/>
                <w:b w:val="1"/>
                <w:bCs w:val="1"/>
                <w:color w:val="auto"/>
                <w:w w:val="98"/>
              </w:rPr>
              <w:t>Benefit</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Benefit</w:t>
            </w: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98"/>
              </w:rPr>
              <w:t>Pension</w:t>
            </w:r>
          </w:p>
        </w:tc>
        <w:tc>
          <w:tcPr>
            <w:tcW w:w="960" w:type="dxa"/>
            <w:vAlign w:val="bottom"/>
          </w:tcPr>
          <w:p>
            <w:pPr>
              <w:jc w:val="center"/>
              <w:ind w:right="17"/>
              <w:spacing w:after="0"/>
              <w:rPr>
                <w:sz w:val="20"/>
                <w:szCs w:val="20"/>
                <w:color w:val="auto"/>
              </w:rPr>
            </w:pPr>
            <w:r>
              <w:rPr>
                <w:rFonts w:ascii="Arial" w:cs="Arial" w:eastAsia="Arial" w:hAnsi="Arial"/>
                <w:sz w:val="12"/>
                <w:szCs w:val="12"/>
                <w:b w:val="1"/>
                <w:bCs w:val="1"/>
                <w:color w:val="auto"/>
              </w:rPr>
              <w:t>Pension</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8"/>
              </w:rPr>
              <w:t>Pension</w:t>
            </w: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rPr>
              <w:t>Stock</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Profit</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Time</w:t>
            </w:r>
          </w:p>
        </w:tc>
        <w:tc>
          <w:tcPr>
            <w:tcW w:w="1020" w:type="dxa"/>
            <w:vAlign w:val="bottom"/>
          </w:tcPr>
          <w:p>
            <w:pPr>
              <w:spacing w:after="0"/>
              <w:rPr>
                <w:sz w:val="18"/>
                <w:szCs w:val="18"/>
                <w:color w:val="auto"/>
              </w:rPr>
            </w:pPr>
          </w:p>
        </w:tc>
      </w:tr>
      <w:tr>
        <w:trPr>
          <w:trHeight w:val="218"/>
        </w:trPr>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Plan</w:t>
            </w:r>
          </w:p>
        </w:tc>
        <w:tc>
          <w:tcPr>
            <w:tcW w:w="960" w:type="dxa"/>
            <w:vAlign w:val="bottom"/>
          </w:tcPr>
          <w:p>
            <w:pPr>
              <w:jc w:val="center"/>
              <w:ind w:right="17"/>
              <w:spacing w:after="0"/>
              <w:rPr>
                <w:sz w:val="20"/>
                <w:szCs w:val="20"/>
                <w:color w:val="auto"/>
              </w:rPr>
            </w:pPr>
            <w:r>
              <w:rPr>
                <w:rFonts w:ascii="Arial" w:cs="Arial" w:eastAsia="Arial" w:hAnsi="Arial"/>
                <w:sz w:val="12"/>
                <w:szCs w:val="12"/>
                <w:b w:val="1"/>
                <w:bCs w:val="1"/>
                <w:color w:val="auto"/>
                <w:w w:val="94"/>
              </w:rPr>
              <w:t>Plan</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6"/>
              </w:rPr>
              <w:t>Plan II</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Deferred</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9"/>
              </w:rPr>
              <w:t>RSUs</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8"/>
              </w:rPr>
              <w:t>Sharing</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5"/>
              </w:rPr>
              <w:t>Bank</w:t>
            </w:r>
          </w:p>
        </w:tc>
        <w:tc>
          <w:tcPr>
            <w:tcW w:w="1020" w:type="dxa"/>
            <w:vAlign w:val="bottom"/>
          </w:tcPr>
          <w:p>
            <w:pPr>
              <w:spacing w:after="0"/>
              <w:rPr>
                <w:sz w:val="18"/>
                <w:szCs w:val="18"/>
                <w:color w:val="auto"/>
              </w:rPr>
            </w:pPr>
          </w:p>
        </w:tc>
      </w:tr>
      <w:tr>
        <w:trPr>
          <w:trHeight w:val="218"/>
        </w:trPr>
        <w:tc>
          <w:tcPr>
            <w:tcW w:w="124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060" w:type="dxa"/>
            <w:vAlign w:val="bottom"/>
          </w:tcPr>
          <w:p>
            <w:pPr>
              <w:jc w:val="center"/>
              <w:ind w:left="330"/>
              <w:spacing w:after="0"/>
              <w:rPr>
                <w:sz w:val="20"/>
                <w:szCs w:val="20"/>
                <w:color w:val="auto"/>
              </w:rPr>
            </w:pPr>
            <w:r>
              <w:rPr>
                <w:rFonts w:ascii="Arial" w:cs="Arial" w:eastAsia="Arial" w:hAnsi="Arial"/>
                <w:sz w:val="12"/>
                <w:szCs w:val="12"/>
                <w:b w:val="1"/>
                <w:bCs w:val="1"/>
                <w:color w:val="auto"/>
              </w:rPr>
              <w:t>Bonus</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95"/>
              </w:rPr>
              <w:t>(3)</w:t>
            </w:r>
          </w:p>
        </w:tc>
        <w:tc>
          <w:tcPr>
            <w:tcW w:w="960" w:type="dxa"/>
            <w:vAlign w:val="bottom"/>
          </w:tcPr>
          <w:p>
            <w:pPr>
              <w:jc w:val="center"/>
              <w:ind w:right="17"/>
              <w:spacing w:after="0"/>
              <w:rPr>
                <w:sz w:val="20"/>
                <w:szCs w:val="20"/>
                <w:color w:val="auto"/>
              </w:rPr>
            </w:pPr>
            <w:r>
              <w:rPr>
                <w:rFonts w:ascii="Arial" w:cs="Arial" w:eastAsia="Arial" w:hAnsi="Arial"/>
                <w:sz w:val="12"/>
                <w:szCs w:val="12"/>
                <w:b w:val="1"/>
                <w:bCs w:val="1"/>
                <w:color w:val="auto"/>
              </w:rPr>
              <w:t>(3)</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5"/>
              </w:rPr>
              <w:t>(4)</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rPr>
              <w:t>(5)</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5"/>
              </w:rPr>
              <w:t>(6)</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(7)</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(8)</w:t>
            </w:r>
          </w:p>
        </w:tc>
        <w:tc>
          <w:tcPr>
            <w:tcW w:w="1020" w:type="dxa"/>
            <w:vAlign w:val="bottom"/>
          </w:tcPr>
          <w:p>
            <w:pPr>
              <w:jc w:val="center"/>
              <w:ind w:left="30"/>
              <w:spacing w:after="0"/>
              <w:rPr>
                <w:sz w:val="20"/>
                <w:szCs w:val="20"/>
                <w:color w:val="auto"/>
              </w:rPr>
            </w:pPr>
            <w:r>
              <w:rPr>
                <w:rFonts w:ascii="Arial" w:cs="Arial" w:eastAsia="Arial" w:hAnsi="Arial"/>
                <w:sz w:val="12"/>
                <w:szCs w:val="12"/>
                <w:b w:val="1"/>
                <w:bCs w:val="1"/>
                <w:color w:val="auto"/>
                <w:w w:val="97"/>
              </w:rPr>
              <w:t>Total</w:t>
            </w:r>
          </w:p>
        </w:tc>
      </w:tr>
      <w:tr>
        <w:trPr>
          <w:trHeight w:val="37"/>
        </w:trPr>
        <w:tc>
          <w:tcPr>
            <w:tcW w:w="1240" w:type="dxa"/>
            <w:vAlign w:val="bottom"/>
            <w:tcBorders>
              <w:bottom w:val="single" w:sz="8" w:color="808285"/>
            </w:tcBorders>
          </w:tcPr>
          <w:p>
            <w:pPr>
              <w:spacing w:after="0"/>
              <w:rPr>
                <w:sz w:val="3"/>
                <w:szCs w:val="3"/>
                <w:color w:val="auto"/>
              </w:rPr>
            </w:pPr>
          </w:p>
        </w:tc>
        <w:tc>
          <w:tcPr>
            <w:tcW w:w="1060" w:type="dxa"/>
            <w:vAlign w:val="bottom"/>
            <w:tcBorders>
              <w:bottom w:val="single" w:sz="8" w:color="808285"/>
            </w:tcBorders>
          </w:tcPr>
          <w:p>
            <w:pPr>
              <w:spacing w:after="0"/>
              <w:rPr>
                <w:sz w:val="3"/>
                <w:szCs w:val="3"/>
                <w:color w:val="auto"/>
              </w:rPr>
            </w:pPr>
          </w:p>
        </w:tc>
        <w:tc>
          <w:tcPr>
            <w:tcW w:w="1100" w:type="dxa"/>
            <w:vAlign w:val="bottom"/>
            <w:tcBorders>
              <w:bottom w:val="single" w:sz="8" w:color="808285"/>
            </w:tcBorders>
          </w:tcPr>
          <w:p>
            <w:pPr>
              <w:spacing w:after="0"/>
              <w:rPr>
                <w:sz w:val="3"/>
                <w:szCs w:val="3"/>
                <w:color w:val="auto"/>
              </w:rPr>
            </w:pPr>
          </w:p>
        </w:tc>
        <w:tc>
          <w:tcPr>
            <w:tcW w:w="960" w:type="dxa"/>
            <w:vAlign w:val="bottom"/>
            <w:tcBorders>
              <w:bottom w:val="single" w:sz="8" w:color="808285"/>
            </w:tcBorders>
          </w:tcPr>
          <w:p>
            <w:pPr>
              <w:spacing w:after="0"/>
              <w:rPr>
                <w:sz w:val="3"/>
                <w:szCs w:val="3"/>
                <w:color w:val="auto"/>
              </w:rPr>
            </w:pPr>
          </w:p>
        </w:tc>
        <w:tc>
          <w:tcPr>
            <w:tcW w:w="1080" w:type="dxa"/>
            <w:vAlign w:val="bottom"/>
            <w:tcBorders>
              <w:bottom w:val="single" w:sz="8" w:color="808285"/>
            </w:tcBorders>
          </w:tcPr>
          <w:p>
            <w:pPr>
              <w:spacing w:after="0"/>
              <w:rPr>
                <w:sz w:val="3"/>
                <w:szCs w:val="3"/>
                <w:color w:val="auto"/>
              </w:rPr>
            </w:pPr>
          </w:p>
        </w:tc>
        <w:tc>
          <w:tcPr>
            <w:tcW w:w="1100" w:type="dxa"/>
            <w:vAlign w:val="bottom"/>
            <w:tcBorders>
              <w:bottom w:val="single" w:sz="8" w:color="808285"/>
            </w:tcBorders>
          </w:tcPr>
          <w:p>
            <w:pPr>
              <w:spacing w:after="0"/>
              <w:rPr>
                <w:sz w:val="3"/>
                <w:szCs w:val="3"/>
                <w:color w:val="auto"/>
              </w:rPr>
            </w:pPr>
          </w:p>
        </w:tc>
        <w:tc>
          <w:tcPr>
            <w:tcW w:w="1060" w:type="dxa"/>
            <w:vAlign w:val="bottom"/>
            <w:tcBorders>
              <w:bottom w:val="single" w:sz="8" w:color="808285"/>
            </w:tcBorders>
          </w:tcPr>
          <w:p>
            <w:pPr>
              <w:spacing w:after="0"/>
              <w:rPr>
                <w:sz w:val="3"/>
                <w:szCs w:val="3"/>
                <w:color w:val="auto"/>
              </w:rPr>
            </w:pPr>
          </w:p>
        </w:tc>
        <w:tc>
          <w:tcPr>
            <w:tcW w:w="106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940" w:type="dxa"/>
            <w:vAlign w:val="bottom"/>
            <w:tcBorders>
              <w:bottom w:val="single" w:sz="8" w:color="808285"/>
            </w:tcBorders>
          </w:tcPr>
          <w:p>
            <w:pPr>
              <w:spacing w:after="0"/>
              <w:rPr>
                <w:sz w:val="3"/>
                <w:szCs w:val="3"/>
                <w:color w:val="auto"/>
              </w:rPr>
            </w:pPr>
          </w:p>
        </w:tc>
        <w:tc>
          <w:tcPr>
            <w:tcW w:w="1020" w:type="dxa"/>
            <w:vAlign w:val="bottom"/>
            <w:tcBorders>
              <w:bottom w:val="single" w:sz="8" w:color="808285"/>
            </w:tcBorders>
          </w:tcPr>
          <w:p>
            <w:pPr>
              <w:spacing w:after="0"/>
              <w:rPr>
                <w:sz w:val="3"/>
                <w:szCs w:val="3"/>
                <w:color w:val="auto"/>
              </w:rPr>
            </w:pPr>
          </w:p>
        </w:tc>
      </w:tr>
      <w:tr>
        <w:trPr>
          <w:trHeight w:val="223"/>
        </w:trPr>
        <w:tc>
          <w:tcPr>
            <w:tcW w:w="1240" w:type="dxa"/>
            <w:vAlign w:val="bottom"/>
            <w:shd w:val="clear" w:color="auto" w:fill="E9E9E9"/>
          </w:tcPr>
          <w:p>
            <w:pPr>
              <w:spacing w:after="0"/>
              <w:rPr>
                <w:sz w:val="20"/>
                <w:szCs w:val="20"/>
                <w:color w:val="auto"/>
              </w:rPr>
            </w:pPr>
            <w:r>
              <w:rPr>
                <w:rFonts w:ascii="Arial" w:cs="Arial" w:eastAsia="Arial" w:hAnsi="Arial"/>
                <w:sz w:val="16"/>
                <w:szCs w:val="16"/>
                <w:color w:val="auto"/>
              </w:rPr>
              <w:t>Ritchie (1)</w:t>
            </w:r>
          </w:p>
        </w:tc>
        <w:tc>
          <w:tcPr>
            <w:tcW w:w="1060" w:type="dxa"/>
            <w:vAlign w:val="bottom"/>
            <w:shd w:val="clear" w:color="auto" w:fill="E9E9E9"/>
          </w:tcPr>
          <w:p>
            <w:pPr>
              <w:jc w:val="right"/>
              <w:ind w:right="170"/>
              <w:spacing w:after="0"/>
              <w:rPr>
                <w:sz w:val="20"/>
                <w:szCs w:val="20"/>
                <w:color w:val="auto"/>
              </w:rPr>
            </w:pPr>
            <w:r>
              <w:rPr>
                <w:rFonts w:ascii="Arial" w:cs="Arial" w:eastAsia="Arial" w:hAnsi="Arial"/>
                <w:sz w:val="16"/>
                <w:szCs w:val="16"/>
                <w:color w:val="auto"/>
              </w:rPr>
              <w:t>(2)</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$1,327,229</w:t>
            </w:r>
          </w:p>
        </w:tc>
        <w:tc>
          <w:tcPr>
            <w:tcW w:w="9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8"/>
              </w:rPr>
              <w:t>$550,900</w:t>
            </w:r>
          </w:p>
        </w:tc>
        <w:tc>
          <w:tcPr>
            <w:tcW w:w="1080" w:type="dxa"/>
            <w:vAlign w:val="bottom"/>
            <w:shd w:val="clear" w:color="auto" w:fill="E9E9E9"/>
          </w:tcPr>
          <w:p>
            <w:pPr>
              <w:jc w:val="right"/>
              <w:ind w:right="57"/>
              <w:spacing w:after="0"/>
              <w:rPr>
                <w:sz w:val="20"/>
                <w:szCs w:val="20"/>
                <w:color w:val="auto"/>
              </w:rPr>
            </w:pPr>
            <w:r>
              <w:rPr>
                <w:rFonts w:ascii="Arial" w:cs="Arial" w:eastAsia="Arial" w:hAnsi="Arial"/>
                <w:sz w:val="16"/>
                <w:szCs w:val="16"/>
                <w:color w:val="auto"/>
              </w:rPr>
              <w:t>$4,414,361</w:t>
            </w:r>
          </w:p>
        </w:tc>
        <w:tc>
          <w:tcPr>
            <w:tcW w:w="11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7"/>
              </w:rPr>
              <w:t>$2,759,453</w:t>
            </w:r>
          </w:p>
        </w:tc>
        <w:tc>
          <w:tcPr>
            <w:tcW w:w="10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7"/>
              </w:rPr>
              <w:t>$5,511,250</w:t>
            </w:r>
          </w:p>
        </w:tc>
        <w:tc>
          <w:tcPr>
            <w:tcW w:w="820" w:type="dxa"/>
            <w:vAlign w:val="bottom"/>
            <w:shd w:val="clear" w:color="auto" w:fill="E9E9E9"/>
          </w:tcPr>
          <w:p>
            <w:pPr>
              <w:jc w:val="center"/>
              <w:spacing w:after="0"/>
              <w:rPr>
                <w:sz w:val="20"/>
                <w:szCs w:val="20"/>
                <w:color w:val="auto"/>
              </w:rPr>
            </w:pPr>
            <w:r>
              <w:rPr>
                <w:rFonts w:ascii="Arial" w:cs="Arial" w:eastAsia="Arial" w:hAnsi="Arial"/>
                <w:sz w:val="16"/>
                <w:szCs w:val="16"/>
                <w:color w:val="auto"/>
              </w:rPr>
              <w:t>$42,873</w:t>
            </w:r>
          </w:p>
        </w:tc>
        <w:tc>
          <w:tcPr>
            <w:tcW w:w="9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8"/>
              </w:rPr>
              <w:t>$108,945</w:t>
            </w:r>
          </w:p>
        </w:tc>
        <w:tc>
          <w:tcPr>
            <w:tcW w:w="10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$14,715,011</w:t>
            </w:r>
          </w:p>
        </w:tc>
      </w:tr>
    </w:tbl>
    <w:p>
      <w:pPr>
        <w:spacing w:after="0" w:line="221" w:lineRule="exact"/>
        <w:rPr>
          <w:sz w:val="20"/>
          <w:szCs w:val="20"/>
          <w:color w:val="auto"/>
        </w:rPr>
      </w:pPr>
    </w:p>
    <w:p>
      <w:pPr>
        <w:ind w:left="443" w:right="60" w:hanging="443"/>
        <w:spacing w:after="0" w:line="243" w:lineRule="auto"/>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Ritchie was the only named executive officer eligible to retire as of December 31, 2011. Accordingly, no potential payments for the other named executive officers are stated assuming retirement as of that date.</w:t>
      </w:r>
    </w:p>
    <w:p>
      <w:pPr>
        <w:spacing w:after="0" w:line="209" w:lineRule="exact"/>
        <w:rPr>
          <w:rFonts w:ascii="Arial" w:cs="Arial" w:eastAsia="Arial" w:hAnsi="Arial"/>
          <w:sz w:val="16"/>
          <w:szCs w:val="16"/>
          <w:color w:val="auto"/>
        </w:rPr>
      </w:pP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See note 1 to the Termination Due to Disability table.</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See note 2 to the Involuntary Termination for Cause table.</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See note 3 to the Involuntary Termination for Cause table.</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See note 5 to the Resignation; Involuntary Termination (Not for Cause) Excluding Change in Control table.</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See note 6 to the Termination Due to Disability table.</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earned in 2011.</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See note 8 to the Termination Due to Disability table.</w:t>
      </w:r>
    </w:p>
    <w:p>
      <w:pPr>
        <w:spacing w:after="0" w:line="200" w:lineRule="exact"/>
        <w:rPr>
          <w:sz w:val="20"/>
          <w:szCs w:val="20"/>
          <w:color w:val="auto"/>
        </w:rPr>
      </w:pPr>
    </w:p>
    <w:p>
      <w:pPr>
        <w:spacing w:after="0" w:line="208" w:lineRule="exact"/>
        <w:rPr>
          <w:sz w:val="20"/>
          <w:szCs w:val="20"/>
          <w:color w:val="auto"/>
        </w:rPr>
      </w:pPr>
    </w:p>
    <w:p>
      <w:pPr>
        <w:ind w:left="3"/>
        <w:spacing w:after="0"/>
        <w:rPr>
          <w:sz w:val="20"/>
          <w:szCs w:val="20"/>
          <w:color w:val="auto"/>
        </w:rPr>
      </w:pPr>
      <w:r>
        <w:rPr>
          <w:rFonts w:ascii="Arial" w:cs="Arial" w:eastAsia="Arial" w:hAnsi="Arial"/>
          <w:sz w:val="16"/>
          <w:szCs w:val="16"/>
          <w:u w:val="single" w:color="auto"/>
          <w:color w:val="auto"/>
        </w:rPr>
        <w:t>Change in control</w:t>
      </w:r>
    </w:p>
    <w:p>
      <w:pPr>
        <w:ind w:left="3" w:right="520"/>
        <w:spacing w:after="0" w:line="243" w:lineRule="auto"/>
        <w:rPr>
          <w:sz w:val="20"/>
          <w:szCs w:val="20"/>
          <w:color w:val="auto"/>
        </w:rPr>
      </w:pPr>
      <w:r>
        <w:rPr>
          <w:rFonts w:ascii="Arial" w:cs="Arial" w:eastAsia="Arial" w:hAnsi="Arial"/>
          <w:sz w:val="16"/>
          <w:szCs w:val="16"/>
          <w:color w:val="auto"/>
        </w:rPr>
        <w:t>We have no program, plan or arrangement providing benefits triggered by a change in control except as described below. In fact, the only consequences of a change in control are the acceleration of payment of existing balances and the full vesting of certain outstanding equity awards.</w:t>
      </w:r>
    </w:p>
    <w:p>
      <w:pPr>
        <w:spacing w:after="0" w:line="15" w:lineRule="exact"/>
        <w:rPr>
          <w:sz w:val="20"/>
          <w:szCs w:val="20"/>
          <w:color w:val="auto"/>
        </w:rPr>
      </w:pPr>
    </w:p>
    <w:p>
      <w:pPr>
        <w:ind w:left="3" w:right="200" w:firstLine="243"/>
        <w:spacing w:after="0" w:line="248" w:lineRule="auto"/>
        <w:rPr>
          <w:sz w:val="20"/>
          <w:szCs w:val="20"/>
          <w:color w:val="auto"/>
        </w:rPr>
      </w:pPr>
      <w:r>
        <w:rPr>
          <w:rFonts w:ascii="Arial" w:cs="Arial" w:eastAsia="Arial" w:hAnsi="Arial"/>
          <w:sz w:val="16"/>
          <w:szCs w:val="16"/>
          <w:color w:val="auto"/>
        </w:rPr>
        <w:t>A change in control at December 31, 2011, would have triggered payment of the balance under the TI Employees Non-Qualified Pension Plan. Please see pages 87-88 for a discussion of the purpose of change in control provisions relating to the non-qualified defined benefit plans and the deferred compensation plan as well as the circumstances and the timing of payment.</w:t>
      </w:r>
    </w:p>
    <w:p>
      <w:pPr>
        <w:spacing w:after="0" w:line="12" w:lineRule="exact"/>
        <w:rPr>
          <w:sz w:val="20"/>
          <w:szCs w:val="20"/>
          <w:color w:val="auto"/>
        </w:rPr>
      </w:pPr>
    </w:p>
    <w:p>
      <w:pPr>
        <w:ind w:left="243"/>
        <w:spacing w:after="0"/>
        <w:rPr>
          <w:sz w:val="20"/>
          <w:szCs w:val="20"/>
          <w:color w:val="auto"/>
        </w:rPr>
      </w:pPr>
      <w:r>
        <w:rPr>
          <w:rFonts w:ascii="Arial" w:cs="Arial" w:eastAsia="Arial" w:hAnsi="Arial"/>
          <w:sz w:val="16"/>
          <w:szCs w:val="16"/>
          <w:color w:val="auto"/>
        </w:rPr>
        <w:t>Please see pages 84-85 for further information concerning change in control provisions relating to stock options and RSU awards.</w:t>
      </w:r>
    </w:p>
    <w:p>
      <w:pPr>
        <w:spacing w:after="0" w:line="34" w:lineRule="exact"/>
        <w:rPr>
          <w:sz w:val="20"/>
          <w:szCs w:val="20"/>
          <w:color w:val="auto"/>
        </w:rPr>
      </w:pPr>
    </w:p>
    <w:p>
      <w:pPr>
        <w:ind w:left="243"/>
        <w:spacing w:after="0"/>
        <w:rPr>
          <w:sz w:val="20"/>
          <w:szCs w:val="20"/>
          <w:color w:val="auto"/>
        </w:rPr>
      </w:pPr>
      <w:r>
        <w:rPr>
          <w:rFonts w:ascii="Arial" w:cs="Arial" w:eastAsia="Arial" w:hAnsi="Arial"/>
          <w:sz w:val="16"/>
          <w:szCs w:val="16"/>
          <w:color w:val="auto"/>
        </w:rPr>
        <w:t>For a discussion of the impact of these programs on the compensation decisions for 2011, please see page 78.</w:t>
      </w:r>
    </w:p>
    <w:p>
      <w:pPr>
        <w:spacing w:after="0" w:line="223" w:lineRule="exact"/>
        <w:rPr>
          <w:sz w:val="20"/>
          <w:szCs w:val="20"/>
          <w:color w:val="auto"/>
        </w:rPr>
      </w:pPr>
    </w:p>
    <w:p>
      <w:pPr>
        <w:ind w:left="3"/>
        <w:spacing w:after="0"/>
        <w:tabs>
          <w:tab w:leader="none" w:pos="10103" w:val="left"/>
        </w:tabs>
        <w:rPr>
          <w:sz w:val="20"/>
          <w:szCs w:val="20"/>
          <w:color w:val="auto"/>
        </w:rPr>
      </w:pPr>
      <w:r>
        <w:rPr>
          <w:rFonts w:ascii="Arial" w:cs="Arial" w:eastAsia="Arial" w:hAnsi="Arial"/>
          <w:sz w:val="12"/>
          <w:szCs w:val="12"/>
          <w:b w:val="1"/>
          <w:bCs w:val="1"/>
          <w:color w:val="auto"/>
        </w:rPr>
        <w:t xml:space="preserve">92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55" w:right="219" w:bottom="1440" w:gutter="0" w:footer="0" w:header="0"/>
        </w:sectPr>
      </w:pPr>
    </w:p>
    <w:bookmarkStart w:id="39" w:name="page40"/>
    <w:bookmarkEnd w:id="39"/>
    <w:p>
      <w:pPr>
        <w:ind w:left="3"/>
        <w:spacing w:after="0"/>
        <w:rPr>
          <w:sz w:val="20"/>
          <w:szCs w:val="20"/>
          <w:color w:val="auto"/>
        </w:rPr>
      </w:pPr>
      <w:r>
        <w:rPr>
          <w:rFonts w:ascii="Arial" w:cs="Arial" w:eastAsia="Arial" w:hAnsi="Arial"/>
          <w:sz w:val="16"/>
          <w:szCs w:val="16"/>
          <w:color w:val="auto"/>
        </w:rPr>
        <w:t>The following table indicates the amounts that would have been triggered for each executive officer had there been a change in control as of December 31, 2011.</w:t>
      </w:r>
    </w:p>
    <w:p>
      <w:pPr>
        <w:ind w:left="3"/>
        <w:spacing w:after="0"/>
        <w:rPr>
          <w:sz w:val="20"/>
          <w:szCs w:val="20"/>
          <w:color w:val="auto"/>
        </w:rPr>
      </w:pPr>
      <w:r>
        <w:rPr>
          <w:rFonts w:ascii="Arial" w:cs="Arial" w:eastAsia="Arial" w:hAnsi="Arial"/>
          <w:sz w:val="16"/>
          <w:szCs w:val="16"/>
          <w:color w:val="auto"/>
        </w:rPr>
        <w:t>The actual amounts that would be paid out can only be determined at the time the change in control occurs.</w:t>
      </w:r>
    </w:p>
    <w:p>
      <w:pPr>
        <w:spacing w:after="0" w:line="211"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2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Non-</w:t>
            </w: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8"/>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Qualified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Non-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rPr>
              <w:t>Qualified</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Defined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Qualified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9"/>
              </w:rPr>
              <w:t>Defined</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Benefit</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9"/>
              </w:rPr>
              <w:t>Defined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8"/>
              </w:rPr>
              <w:t>Benefit</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8"/>
              </w:rPr>
              <w:t>Pension</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Benefit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ind w:right="108"/>
              <w:spacing w:after="0"/>
              <w:rPr>
                <w:sz w:val="20"/>
                <w:szCs w:val="20"/>
                <w:color w:val="auto"/>
              </w:rPr>
            </w:pPr>
            <w:r>
              <w:rPr>
                <w:rFonts w:ascii="Arial" w:cs="Arial" w:eastAsia="Arial" w:hAnsi="Arial"/>
                <w:sz w:val="12"/>
                <w:szCs w:val="12"/>
                <w:b w:val="1"/>
                <w:bCs w:val="1"/>
                <w:color w:val="auto"/>
                <w:w w:val="97"/>
              </w:rPr>
              <w:t>Stock</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rPr>
              <w:t>Pension</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Plan</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8"/>
              </w:rPr>
              <w:t>Pension</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Deferred</w:t>
            </w:r>
          </w:p>
        </w:tc>
        <w:tc>
          <w:tcPr>
            <w:tcW w:w="160" w:type="dxa"/>
            <w:vAlign w:val="bottom"/>
          </w:tcPr>
          <w:p>
            <w:pPr>
              <w:spacing w:after="0"/>
              <w:rPr>
                <w:sz w:val="18"/>
                <w:szCs w:val="18"/>
                <w:color w:val="auto"/>
              </w:rPr>
            </w:pPr>
          </w:p>
        </w:tc>
        <w:tc>
          <w:tcPr>
            <w:tcW w:w="880" w:type="dxa"/>
            <w:vAlign w:val="bottom"/>
          </w:tcPr>
          <w:p>
            <w:pPr>
              <w:jc w:val="right"/>
              <w:ind w:right="286"/>
              <w:spacing w:after="0"/>
              <w:rPr>
                <w:sz w:val="20"/>
                <w:szCs w:val="20"/>
                <w:color w:val="auto"/>
              </w:rPr>
            </w:pPr>
            <w:r>
              <w:rPr>
                <w:rFonts w:ascii="Arial" w:cs="Arial" w:eastAsia="Arial" w:hAnsi="Arial"/>
                <w:sz w:val="12"/>
                <w:szCs w:val="12"/>
                <w:b w:val="1"/>
                <w:bCs w:val="1"/>
                <w:color w:val="auto"/>
              </w:rPr>
              <w:t>RSUs</w:t>
            </w:r>
          </w:p>
        </w:tc>
        <w:tc>
          <w:tcPr>
            <w:tcW w:w="180" w:type="dxa"/>
            <w:vAlign w:val="bottom"/>
          </w:tcPr>
          <w:p>
            <w:pPr>
              <w:spacing w:after="0"/>
              <w:rPr>
                <w:sz w:val="18"/>
                <w:szCs w:val="18"/>
                <w:color w:val="auto"/>
              </w:rPr>
            </w:pPr>
          </w:p>
        </w:tc>
        <w:tc>
          <w:tcPr>
            <w:tcW w:w="780" w:type="dxa"/>
            <w:vAlign w:val="bottom"/>
          </w:tcPr>
          <w:p>
            <w:pPr>
              <w:jc w:val="center"/>
              <w:ind w:right="128"/>
              <w:spacing w:after="0"/>
              <w:rPr>
                <w:sz w:val="20"/>
                <w:szCs w:val="20"/>
                <w:color w:val="auto"/>
              </w:rPr>
            </w:pPr>
            <w:r>
              <w:rPr>
                <w:rFonts w:ascii="Arial" w:cs="Arial" w:eastAsia="Arial" w:hAnsi="Arial"/>
                <w:sz w:val="12"/>
                <w:szCs w:val="12"/>
                <w:b w:val="1"/>
                <w:bCs w:val="1"/>
                <w:color w:val="auto"/>
              </w:rPr>
              <w:t>Options</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rPr>
              <w:t>Profit</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9"/>
              </w:rPr>
              <w:t>Time</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224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980" w:type="dxa"/>
            <w:vAlign w:val="bottom"/>
          </w:tcPr>
          <w:p>
            <w:pPr>
              <w:jc w:val="center"/>
              <w:ind w:left="1404"/>
              <w:spacing w:after="0"/>
              <w:rPr>
                <w:sz w:val="20"/>
                <w:szCs w:val="20"/>
                <w:color w:val="auto"/>
              </w:rPr>
            </w:pPr>
            <w:r>
              <w:rPr>
                <w:rFonts w:ascii="Arial" w:cs="Arial" w:eastAsia="Arial" w:hAnsi="Arial"/>
                <w:sz w:val="12"/>
                <w:szCs w:val="12"/>
                <w:b w:val="1"/>
                <w:bCs w:val="1"/>
                <w:color w:val="auto"/>
              </w:rPr>
              <w:t>Bonus</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rPr>
              <w:t>Plan</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5"/>
              </w:rPr>
              <w:t>(2)</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Plan II</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160" w:type="dxa"/>
            <w:vAlign w:val="bottom"/>
          </w:tcPr>
          <w:p>
            <w:pPr>
              <w:spacing w:after="0"/>
              <w:rPr>
                <w:sz w:val="18"/>
                <w:szCs w:val="18"/>
                <w:color w:val="auto"/>
              </w:rPr>
            </w:pPr>
          </w:p>
        </w:tc>
        <w:tc>
          <w:tcPr>
            <w:tcW w:w="880" w:type="dxa"/>
            <w:vAlign w:val="bottom"/>
          </w:tcPr>
          <w:p>
            <w:pPr>
              <w:jc w:val="right"/>
              <w:ind w:right="386"/>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8"/>
                <w:szCs w:val="18"/>
                <w:color w:val="auto"/>
              </w:rPr>
            </w:pPr>
          </w:p>
        </w:tc>
        <w:tc>
          <w:tcPr>
            <w:tcW w:w="780" w:type="dxa"/>
            <w:vAlign w:val="bottom"/>
          </w:tcPr>
          <w:p>
            <w:pPr>
              <w:jc w:val="center"/>
              <w:ind w:right="128"/>
              <w:spacing w:after="0"/>
              <w:rPr>
                <w:sz w:val="20"/>
                <w:szCs w:val="20"/>
                <w:color w:val="auto"/>
              </w:rPr>
            </w:pPr>
            <w:r>
              <w:rPr>
                <w:rFonts w:ascii="Arial" w:cs="Arial" w:eastAsia="Arial" w:hAnsi="Arial"/>
                <w:sz w:val="12"/>
                <w:szCs w:val="12"/>
                <w:b w:val="1"/>
                <w:bCs w:val="1"/>
                <w:color w:val="auto"/>
                <w:w w:val="95"/>
              </w:rPr>
              <w:t>(4)</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8"/>
              </w:rPr>
              <w:t>Sharing</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rPr>
              <w:t>Bank</w:t>
            </w:r>
          </w:p>
        </w:tc>
        <w:tc>
          <w:tcPr>
            <w:tcW w:w="180" w:type="dxa"/>
            <w:vAlign w:val="bottom"/>
          </w:tcPr>
          <w:p>
            <w:pPr>
              <w:spacing w:after="0"/>
              <w:rPr>
                <w:sz w:val="18"/>
                <w:szCs w:val="18"/>
                <w:color w:val="auto"/>
              </w:rPr>
            </w:pPr>
          </w:p>
        </w:tc>
        <w:tc>
          <w:tcPr>
            <w:tcW w:w="800" w:type="dxa"/>
            <w:vAlign w:val="bottom"/>
          </w:tcPr>
          <w:p>
            <w:pPr>
              <w:jc w:val="right"/>
              <w:ind w:right="244"/>
              <w:spacing w:after="0"/>
              <w:rPr>
                <w:sz w:val="20"/>
                <w:szCs w:val="20"/>
                <w:color w:val="auto"/>
              </w:rPr>
            </w:pPr>
            <w:r>
              <w:rPr>
                <w:rFonts w:ascii="Arial" w:cs="Arial" w:eastAsia="Arial" w:hAnsi="Arial"/>
                <w:sz w:val="12"/>
                <w:szCs w:val="12"/>
                <w:b w:val="1"/>
                <w:bCs w:val="1"/>
                <w:color w:val="auto"/>
              </w:rPr>
              <w:t>Total</w:t>
            </w:r>
          </w:p>
        </w:tc>
      </w:tr>
      <w:tr>
        <w:trPr>
          <w:trHeight w:val="37"/>
        </w:trPr>
        <w:tc>
          <w:tcPr>
            <w:tcW w:w="2240" w:type="dxa"/>
            <w:vAlign w:val="bottom"/>
            <w:tcBorders>
              <w:bottom w:val="single" w:sz="8" w:color="808285"/>
            </w:tcBorders>
          </w:tcPr>
          <w:p>
            <w:pPr>
              <w:spacing w:after="0"/>
              <w:rPr>
                <w:sz w:val="3"/>
                <w:szCs w:val="3"/>
                <w:color w:val="auto"/>
              </w:rPr>
            </w:pPr>
          </w:p>
        </w:tc>
        <w:tc>
          <w:tcPr>
            <w:tcW w:w="1980" w:type="dxa"/>
            <w:vAlign w:val="bottom"/>
            <w:tcBorders>
              <w:bottom w:val="single" w:sz="8" w:color="808285"/>
            </w:tcBorders>
          </w:tcPr>
          <w:p>
            <w:pPr>
              <w:spacing w:after="0"/>
              <w:rPr>
                <w:sz w:val="3"/>
                <w:szCs w:val="3"/>
                <w:color w:val="auto"/>
              </w:rPr>
            </w:pPr>
          </w:p>
        </w:tc>
        <w:tc>
          <w:tcPr>
            <w:tcW w:w="680" w:type="dxa"/>
            <w:vAlign w:val="bottom"/>
            <w:tcBorders>
              <w:bottom w:val="single" w:sz="8" w:color="808285"/>
            </w:tcBorders>
          </w:tcPr>
          <w:p>
            <w:pPr>
              <w:spacing w:after="0"/>
              <w:rPr>
                <w:sz w:val="3"/>
                <w:szCs w:val="3"/>
                <w:color w:val="auto"/>
              </w:rPr>
            </w:pPr>
          </w:p>
        </w:tc>
        <w:tc>
          <w:tcPr>
            <w:tcW w:w="820" w:type="dxa"/>
            <w:vAlign w:val="bottom"/>
            <w:tcBorders>
              <w:bottom w:val="single" w:sz="8" w:color="808285"/>
            </w:tcBorders>
          </w:tcPr>
          <w:p>
            <w:pPr>
              <w:spacing w:after="0"/>
              <w:rPr>
                <w:sz w:val="3"/>
                <w:szCs w:val="3"/>
                <w:color w:val="auto"/>
              </w:rPr>
            </w:pPr>
          </w:p>
        </w:tc>
        <w:tc>
          <w:tcPr>
            <w:tcW w:w="660" w:type="dxa"/>
            <w:vAlign w:val="bottom"/>
            <w:tcBorders>
              <w:bottom w:val="single" w:sz="8" w:color="808285"/>
            </w:tcBorders>
          </w:tcPr>
          <w:p>
            <w:pPr>
              <w:spacing w:after="0"/>
              <w:rPr>
                <w:sz w:val="3"/>
                <w:szCs w:val="3"/>
                <w:color w:val="auto"/>
              </w:rPr>
            </w:pPr>
          </w:p>
        </w:tc>
        <w:tc>
          <w:tcPr>
            <w:tcW w:w="1020" w:type="dxa"/>
            <w:vAlign w:val="bottom"/>
            <w:tcBorders>
              <w:bottom w:val="single" w:sz="8" w:color="808285"/>
            </w:tcBorders>
          </w:tcPr>
          <w:p>
            <w:pPr>
              <w:spacing w:after="0"/>
              <w:rPr>
                <w:sz w:val="3"/>
                <w:szCs w:val="3"/>
                <w:color w:val="auto"/>
              </w:rPr>
            </w:pPr>
          </w:p>
        </w:tc>
        <w:tc>
          <w:tcPr>
            <w:tcW w:w="160" w:type="dxa"/>
            <w:vAlign w:val="bottom"/>
            <w:tcBorders>
              <w:bottom w:val="single" w:sz="8" w:color="808285"/>
            </w:tcBorders>
          </w:tcPr>
          <w:p>
            <w:pPr>
              <w:spacing w:after="0"/>
              <w:rPr>
                <w:sz w:val="3"/>
                <w:szCs w:val="3"/>
                <w:color w:val="auto"/>
              </w:rPr>
            </w:pPr>
          </w:p>
        </w:tc>
        <w:tc>
          <w:tcPr>
            <w:tcW w:w="880" w:type="dxa"/>
            <w:vAlign w:val="bottom"/>
            <w:tcBorders>
              <w:bottom w:val="single" w:sz="8" w:color="808285"/>
            </w:tcBorders>
          </w:tcPr>
          <w:p>
            <w:pPr>
              <w:spacing w:after="0"/>
              <w:rPr>
                <w:sz w:val="3"/>
                <w:szCs w:val="3"/>
                <w:color w:val="auto"/>
              </w:rPr>
            </w:pPr>
          </w:p>
        </w:tc>
        <w:tc>
          <w:tcPr>
            <w:tcW w:w="180" w:type="dxa"/>
            <w:vAlign w:val="bottom"/>
            <w:tcBorders>
              <w:bottom w:val="single" w:sz="8" w:color="808285"/>
            </w:tcBorders>
          </w:tcPr>
          <w:p>
            <w:pPr>
              <w:spacing w:after="0"/>
              <w:rPr>
                <w:sz w:val="3"/>
                <w:szCs w:val="3"/>
                <w:color w:val="auto"/>
              </w:rPr>
            </w:pPr>
          </w:p>
        </w:tc>
        <w:tc>
          <w:tcPr>
            <w:tcW w:w="780" w:type="dxa"/>
            <w:vAlign w:val="bottom"/>
            <w:tcBorders>
              <w:bottom w:val="single" w:sz="8" w:color="808285"/>
            </w:tcBorders>
          </w:tcPr>
          <w:p>
            <w:pPr>
              <w:spacing w:after="0"/>
              <w:rPr>
                <w:sz w:val="3"/>
                <w:szCs w:val="3"/>
                <w:color w:val="auto"/>
              </w:rPr>
            </w:pPr>
          </w:p>
        </w:tc>
        <w:tc>
          <w:tcPr>
            <w:tcW w:w="600" w:type="dxa"/>
            <w:vAlign w:val="bottom"/>
            <w:tcBorders>
              <w:bottom w:val="single" w:sz="8" w:color="808285"/>
            </w:tcBorders>
          </w:tcPr>
          <w:p>
            <w:pPr>
              <w:spacing w:after="0"/>
              <w:rPr>
                <w:sz w:val="3"/>
                <w:szCs w:val="3"/>
                <w:color w:val="auto"/>
              </w:rPr>
            </w:pPr>
          </w:p>
        </w:tc>
        <w:tc>
          <w:tcPr>
            <w:tcW w:w="460" w:type="dxa"/>
            <w:vAlign w:val="bottom"/>
            <w:tcBorders>
              <w:bottom w:val="single" w:sz="8" w:color="808285"/>
            </w:tcBorders>
          </w:tcPr>
          <w:p>
            <w:pPr>
              <w:spacing w:after="0"/>
              <w:rPr>
                <w:sz w:val="3"/>
                <w:szCs w:val="3"/>
                <w:color w:val="auto"/>
              </w:rPr>
            </w:pPr>
          </w:p>
        </w:tc>
        <w:tc>
          <w:tcPr>
            <w:tcW w:w="18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r>
      <w:tr>
        <w:trPr>
          <w:trHeight w:val="210"/>
        </w:trPr>
        <w:tc>
          <w:tcPr>
            <w:tcW w:w="2240" w:type="dxa"/>
            <w:vAlign w:val="bottom"/>
            <w:shd w:val="clear" w:color="auto" w:fill="E9E9E9"/>
          </w:tcPr>
          <w:p>
            <w:pPr>
              <w:spacing w:after="0"/>
              <w:rPr>
                <w:sz w:val="20"/>
                <w:szCs w:val="20"/>
                <w:color w:val="auto"/>
              </w:rPr>
            </w:pPr>
            <w:r>
              <w:rPr>
                <w:rFonts w:ascii="Arial" w:cs="Arial" w:eastAsia="Arial" w:hAnsi="Arial"/>
                <w:sz w:val="16"/>
                <w:szCs w:val="16"/>
                <w:color w:val="auto"/>
              </w:rPr>
              <w:t>Templeton</w:t>
            </w:r>
          </w:p>
        </w:tc>
        <w:tc>
          <w:tcPr>
            <w:tcW w:w="1980" w:type="dxa"/>
            <w:vAlign w:val="bottom"/>
            <w:shd w:val="clear" w:color="auto" w:fill="E9E9E9"/>
          </w:tcPr>
          <w:p>
            <w:pPr>
              <w:jc w:val="center"/>
              <w:ind w:left="1384"/>
              <w:spacing w:after="0"/>
              <w:rPr>
                <w:sz w:val="20"/>
                <w:szCs w:val="20"/>
                <w:color w:val="auto"/>
              </w:rPr>
            </w:pPr>
            <w:r>
              <w:rPr>
                <w:rFonts w:ascii="Arial" w:cs="Arial" w:eastAsia="Arial" w:hAnsi="Arial"/>
                <w:sz w:val="16"/>
                <w:szCs w:val="16"/>
                <w:color w:val="auto"/>
              </w:rPr>
              <w:t>(1)</w:t>
            </w:r>
          </w:p>
        </w:tc>
        <w:tc>
          <w:tcPr>
            <w:tcW w:w="6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E9E9E9"/>
          </w:tcPr>
          <w:p>
            <w:pPr>
              <w:jc w:val="right"/>
              <w:ind w:right="12"/>
              <w:spacing w:after="0"/>
              <w:rPr>
                <w:sz w:val="20"/>
                <w:szCs w:val="20"/>
                <w:color w:val="auto"/>
              </w:rPr>
            </w:pPr>
            <w:r>
              <w:rPr>
                <w:rFonts w:ascii="Arial" w:cs="Arial" w:eastAsia="Arial" w:hAnsi="Arial"/>
                <w:sz w:val="16"/>
                <w:szCs w:val="16"/>
                <w:color w:val="auto"/>
              </w:rPr>
              <w:t>$324,484</w:t>
            </w:r>
          </w:p>
        </w:tc>
        <w:tc>
          <w:tcPr>
            <w:tcW w:w="6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9E9E9"/>
          </w:tcPr>
          <w:p>
            <w:pPr>
              <w:jc w:val="right"/>
              <w:ind w:right="6"/>
              <w:spacing w:after="0"/>
              <w:rPr>
                <w:sz w:val="20"/>
                <w:szCs w:val="20"/>
                <w:color w:val="auto"/>
              </w:rPr>
            </w:pPr>
            <w:r>
              <w:rPr>
                <w:rFonts w:ascii="Arial" w:cs="Arial" w:eastAsia="Arial" w:hAnsi="Arial"/>
                <w:sz w:val="16"/>
                <w:szCs w:val="16"/>
                <w:color w:val="auto"/>
                <w:w w:val="97"/>
              </w:rPr>
              <w:t>14,307,187</w:t>
            </w:r>
          </w:p>
        </w:tc>
        <w:tc>
          <w:tcPr>
            <w:tcW w:w="1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9E9E9"/>
          </w:tcPr>
          <w:p>
            <w:pPr>
              <w:jc w:val="right"/>
              <w:ind w:right="8"/>
              <w:spacing w:after="0"/>
              <w:rPr>
                <w:sz w:val="20"/>
                <w:szCs w:val="20"/>
                <w:color w:val="auto"/>
              </w:rPr>
            </w:pPr>
            <w:r>
              <w:rPr>
                <w:rFonts w:ascii="Arial" w:cs="Arial" w:eastAsia="Arial" w:hAnsi="Arial"/>
                <w:sz w:val="16"/>
                <w:szCs w:val="16"/>
                <w:color w:val="auto"/>
                <w:w w:val="95"/>
              </w:rPr>
              <w:t>4,704,391</w:t>
            </w:r>
          </w:p>
        </w:tc>
        <w:tc>
          <w:tcPr>
            <w:tcW w:w="6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7"/>
              </w:rPr>
              <w:t>19,336,062</w:t>
            </w:r>
          </w:p>
        </w:tc>
      </w:tr>
      <w:tr>
        <w:trPr>
          <w:trHeight w:val="211"/>
        </w:trPr>
        <w:tc>
          <w:tcPr>
            <w:tcW w:w="2240" w:type="dxa"/>
            <w:vAlign w:val="bottom"/>
          </w:tcPr>
          <w:p>
            <w:pPr>
              <w:spacing w:after="0"/>
              <w:rPr>
                <w:sz w:val="20"/>
                <w:szCs w:val="20"/>
                <w:color w:val="auto"/>
              </w:rPr>
            </w:pPr>
            <w:r>
              <w:rPr>
                <w:rFonts w:ascii="Arial" w:cs="Arial" w:eastAsia="Arial" w:hAnsi="Arial"/>
                <w:sz w:val="16"/>
                <w:szCs w:val="16"/>
                <w:color w:val="auto"/>
              </w:rPr>
              <w:t>March</w:t>
            </w:r>
          </w:p>
        </w:tc>
        <w:tc>
          <w:tcPr>
            <w:tcW w:w="1980" w:type="dxa"/>
            <w:vAlign w:val="bottom"/>
          </w:tcPr>
          <w:p>
            <w:pPr>
              <w:jc w:val="center"/>
              <w:ind w:left="1384"/>
              <w:spacing w:after="0"/>
              <w:rPr>
                <w:sz w:val="20"/>
                <w:szCs w:val="20"/>
                <w:color w:val="auto"/>
              </w:rPr>
            </w:pPr>
            <w:r>
              <w:rPr>
                <w:rFonts w:ascii="Arial" w:cs="Arial" w:eastAsia="Arial" w:hAnsi="Arial"/>
                <w:sz w:val="16"/>
                <w:szCs w:val="16"/>
                <w:color w:val="auto"/>
              </w:rPr>
              <w:t>(1)</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6"/>
                <w:szCs w:val="16"/>
                <w:color w:val="auto"/>
              </w:rPr>
              <w:t>$194,321</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
              <w:spacing w:after="0"/>
              <w:rPr>
                <w:sz w:val="20"/>
                <w:szCs w:val="20"/>
                <w:color w:val="auto"/>
              </w:rPr>
            </w:pPr>
            <w:r>
              <w:rPr>
                <w:rFonts w:ascii="Arial" w:cs="Arial" w:eastAsia="Arial" w:hAnsi="Arial"/>
                <w:sz w:val="16"/>
                <w:szCs w:val="16"/>
                <w:color w:val="auto"/>
              </w:rPr>
              <w:t>2,862,503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
              <w:spacing w:after="0"/>
              <w:rPr>
                <w:sz w:val="20"/>
                <w:szCs w:val="20"/>
                <w:color w:val="auto"/>
              </w:rPr>
            </w:pPr>
            <w:r>
              <w:rPr>
                <w:rFonts w:ascii="Arial" w:cs="Arial" w:eastAsia="Arial" w:hAnsi="Arial"/>
                <w:sz w:val="16"/>
                <w:szCs w:val="16"/>
                <w:color w:val="auto"/>
                <w:w w:val="95"/>
              </w:rPr>
              <w:t>1,345,200</w:t>
            </w: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4,402,024</w:t>
            </w:r>
          </w:p>
        </w:tc>
      </w:tr>
      <w:tr>
        <w:trPr>
          <w:trHeight w:val="226"/>
        </w:trPr>
        <w:tc>
          <w:tcPr>
            <w:tcW w:w="2240" w:type="dxa"/>
            <w:vAlign w:val="bottom"/>
            <w:shd w:val="clear" w:color="auto" w:fill="E9E9E9"/>
          </w:tcPr>
          <w:p>
            <w:pPr>
              <w:spacing w:after="0"/>
              <w:rPr>
                <w:sz w:val="20"/>
                <w:szCs w:val="20"/>
                <w:color w:val="auto"/>
              </w:rPr>
            </w:pPr>
            <w:r>
              <w:rPr>
                <w:rFonts w:ascii="Arial" w:cs="Arial" w:eastAsia="Arial" w:hAnsi="Arial"/>
                <w:sz w:val="16"/>
                <w:szCs w:val="16"/>
                <w:color w:val="auto"/>
              </w:rPr>
              <w:t>Lowe</w:t>
            </w:r>
          </w:p>
        </w:tc>
        <w:tc>
          <w:tcPr>
            <w:tcW w:w="1980" w:type="dxa"/>
            <w:vAlign w:val="bottom"/>
            <w:shd w:val="clear" w:color="auto" w:fill="E9E9E9"/>
          </w:tcPr>
          <w:p>
            <w:pPr>
              <w:jc w:val="center"/>
              <w:ind w:left="1384"/>
              <w:spacing w:after="0"/>
              <w:rPr>
                <w:sz w:val="20"/>
                <w:szCs w:val="20"/>
                <w:color w:val="auto"/>
              </w:rPr>
            </w:pPr>
            <w:r>
              <w:rPr>
                <w:rFonts w:ascii="Arial" w:cs="Arial" w:eastAsia="Arial" w:hAnsi="Arial"/>
                <w:sz w:val="16"/>
                <w:szCs w:val="16"/>
                <w:color w:val="auto"/>
              </w:rPr>
              <w:t>(1)</w:t>
            </w:r>
          </w:p>
        </w:tc>
        <w:tc>
          <w:tcPr>
            <w:tcW w:w="6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E9E9E9"/>
          </w:tcPr>
          <w:p>
            <w:pPr>
              <w:jc w:val="right"/>
              <w:ind w:right="12"/>
              <w:spacing w:after="0"/>
              <w:rPr>
                <w:sz w:val="20"/>
                <w:szCs w:val="20"/>
                <w:color w:val="auto"/>
              </w:rPr>
            </w:pPr>
            <w:r>
              <w:rPr>
                <w:rFonts w:ascii="Arial" w:cs="Arial" w:eastAsia="Arial" w:hAnsi="Arial"/>
                <w:sz w:val="16"/>
                <w:szCs w:val="16"/>
                <w:color w:val="auto"/>
              </w:rPr>
              <w:t>$296,977</w:t>
            </w:r>
          </w:p>
        </w:tc>
        <w:tc>
          <w:tcPr>
            <w:tcW w:w="6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9E9E9"/>
          </w:tcPr>
          <w:p>
            <w:pPr>
              <w:jc w:val="right"/>
              <w:ind w:right="6"/>
              <w:spacing w:after="0"/>
              <w:rPr>
                <w:sz w:val="20"/>
                <w:szCs w:val="20"/>
                <w:color w:val="auto"/>
              </w:rPr>
            </w:pPr>
            <w:r>
              <w:rPr>
                <w:rFonts w:ascii="Arial" w:cs="Arial" w:eastAsia="Arial" w:hAnsi="Arial"/>
                <w:sz w:val="16"/>
                <w:szCs w:val="16"/>
                <w:color w:val="auto"/>
              </w:rPr>
              <w:t>4,463,553</w:t>
            </w:r>
          </w:p>
        </w:tc>
        <w:tc>
          <w:tcPr>
            <w:tcW w:w="1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9E9E9"/>
          </w:tcPr>
          <w:p>
            <w:pPr>
              <w:jc w:val="right"/>
              <w:ind w:right="8"/>
              <w:spacing w:after="0"/>
              <w:rPr>
                <w:sz w:val="20"/>
                <w:szCs w:val="20"/>
                <w:color w:val="auto"/>
              </w:rPr>
            </w:pPr>
            <w:r>
              <w:rPr>
                <w:rFonts w:ascii="Arial" w:cs="Arial" w:eastAsia="Arial" w:hAnsi="Arial"/>
                <w:sz w:val="16"/>
                <w:szCs w:val="16"/>
                <w:color w:val="auto"/>
                <w:w w:val="95"/>
              </w:rPr>
              <w:t>1,982,400</w:t>
            </w:r>
          </w:p>
        </w:tc>
        <w:tc>
          <w:tcPr>
            <w:tcW w:w="6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6,742,930</w:t>
            </w:r>
          </w:p>
        </w:tc>
      </w:tr>
      <w:tr>
        <w:trPr>
          <w:trHeight w:val="211"/>
        </w:trPr>
        <w:tc>
          <w:tcPr>
            <w:tcW w:w="2240" w:type="dxa"/>
            <w:vAlign w:val="bottom"/>
          </w:tcPr>
          <w:p>
            <w:pPr>
              <w:spacing w:after="0"/>
              <w:rPr>
                <w:sz w:val="20"/>
                <w:szCs w:val="20"/>
                <w:color w:val="auto"/>
              </w:rPr>
            </w:pPr>
            <w:r>
              <w:rPr>
                <w:rFonts w:ascii="Arial" w:cs="Arial" w:eastAsia="Arial" w:hAnsi="Arial"/>
                <w:sz w:val="16"/>
                <w:szCs w:val="16"/>
                <w:color w:val="auto"/>
              </w:rPr>
              <w:t>Ritchie</w:t>
            </w:r>
          </w:p>
        </w:tc>
        <w:tc>
          <w:tcPr>
            <w:tcW w:w="1980" w:type="dxa"/>
            <w:vAlign w:val="bottom"/>
          </w:tcPr>
          <w:p>
            <w:pPr>
              <w:jc w:val="center"/>
              <w:ind w:left="1384"/>
              <w:spacing w:after="0"/>
              <w:rPr>
                <w:sz w:val="20"/>
                <w:szCs w:val="20"/>
                <w:color w:val="auto"/>
              </w:rPr>
            </w:pPr>
            <w:r>
              <w:rPr>
                <w:rFonts w:ascii="Arial" w:cs="Arial" w:eastAsia="Arial" w:hAnsi="Arial"/>
                <w:sz w:val="16"/>
                <w:szCs w:val="16"/>
                <w:color w:val="auto"/>
              </w:rPr>
              <w:t>(1)</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6"/>
                <w:szCs w:val="16"/>
                <w:color w:val="auto"/>
              </w:rPr>
              <w:t>$550,900</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
              <w:spacing w:after="0"/>
              <w:rPr>
                <w:sz w:val="20"/>
                <w:szCs w:val="20"/>
                <w:color w:val="auto"/>
              </w:rPr>
            </w:pPr>
            <w:r>
              <w:rPr>
                <w:rFonts w:ascii="Arial" w:cs="Arial" w:eastAsia="Arial" w:hAnsi="Arial"/>
                <w:sz w:val="16"/>
                <w:szCs w:val="16"/>
                <w:color w:val="auto"/>
              </w:rPr>
              <w:t>3,881,353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
              <w:spacing w:after="0"/>
              <w:rPr>
                <w:sz w:val="20"/>
                <w:szCs w:val="20"/>
                <w:color w:val="auto"/>
              </w:rPr>
            </w:pPr>
            <w:r>
              <w:rPr>
                <w:rFonts w:ascii="Arial" w:cs="Arial" w:eastAsia="Arial" w:hAnsi="Arial"/>
                <w:sz w:val="16"/>
                <w:szCs w:val="16"/>
                <w:color w:val="auto"/>
                <w:w w:val="95"/>
              </w:rPr>
              <w:t>1,770,000</w:t>
            </w: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6,202,253</w:t>
            </w:r>
          </w:p>
        </w:tc>
      </w:tr>
      <w:tr>
        <w:trPr>
          <w:trHeight w:val="226"/>
        </w:trPr>
        <w:tc>
          <w:tcPr>
            <w:tcW w:w="2240" w:type="dxa"/>
            <w:vAlign w:val="bottom"/>
            <w:shd w:val="clear" w:color="auto" w:fill="E9E9E9"/>
          </w:tcPr>
          <w:p>
            <w:pPr>
              <w:spacing w:after="0"/>
              <w:rPr>
                <w:sz w:val="20"/>
                <w:szCs w:val="20"/>
                <w:color w:val="auto"/>
              </w:rPr>
            </w:pPr>
            <w:r>
              <w:rPr>
                <w:rFonts w:ascii="Arial" w:cs="Arial" w:eastAsia="Arial" w:hAnsi="Arial"/>
                <w:sz w:val="16"/>
                <w:szCs w:val="16"/>
                <w:color w:val="auto"/>
              </w:rPr>
              <w:t>Crutcher</w:t>
            </w:r>
          </w:p>
        </w:tc>
        <w:tc>
          <w:tcPr>
            <w:tcW w:w="1980" w:type="dxa"/>
            <w:vAlign w:val="bottom"/>
            <w:shd w:val="clear" w:color="auto" w:fill="E9E9E9"/>
          </w:tcPr>
          <w:p>
            <w:pPr>
              <w:jc w:val="center"/>
              <w:ind w:left="1384"/>
              <w:spacing w:after="0"/>
              <w:rPr>
                <w:sz w:val="20"/>
                <w:szCs w:val="20"/>
                <w:color w:val="auto"/>
              </w:rPr>
            </w:pPr>
            <w:r>
              <w:rPr>
                <w:rFonts w:ascii="Arial" w:cs="Arial" w:eastAsia="Arial" w:hAnsi="Arial"/>
                <w:sz w:val="16"/>
                <w:szCs w:val="16"/>
                <w:color w:val="auto"/>
              </w:rPr>
              <w:t>(1)</w:t>
            </w:r>
          </w:p>
        </w:tc>
        <w:tc>
          <w:tcPr>
            <w:tcW w:w="6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E9E9E9"/>
          </w:tcPr>
          <w:p>
            <w:pPr>
              <w:jc w:val="right"/>
              <w:ind w:right="12"/>
              <w:spacing w:after="0"/>
              <w:rPr>
                <w:sz w:val="20"/>
                <w:szCs w:val="20"/>
                <w:color w:val="auto"/>
              </w:rPr>
            </w:pPr>
            <w:r>
              <w:rPr>
                <w:rFonts w:ascii="Arial" w:cs="Arial" w:eastAsia="Arial" w:hAnsi="Arial"/>
                <w:sz w:val="16"/>
                <w:szCs w:val="16"/>
                <w:color w:val="auto"/>
              </w:rPr>
              <w:t>—</w:t>
            </w:r>
          </w:p>
        </w:tc>
        <w:tc>
          <w:tcPr>
            <w:tcW w:w="6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9E9E9"/>
          </w:tcPr>
          <w:p>
            <w:pPr>
              <w:jc w:val="right"/>
              <w:ind w:right="6"/>
              <w:spacing w:after="0"/>
              <w:rPr>
                <w:sz w:val="20"/>
                <w:szCs w:val="20"/>
                <w:color w:val="auto"/>
              </w:rPr>
            </w:pPr>
            <w:r>
              <w:rPr>
                <w:rFonts w:ascii="Arial" w:cs="Arial" w:eastAsia="Arial" w:hAnsi="Arial"/>
                <w:sz w:val="16"/>
                <w:szCs w:val="16"/>
                <w:color w:val="auto"/>
              </w:rPr>
              <w:t>1,552,553</w:t>
            </w:r>
          </w:p>
        </w:tc>
        <w:tc>
          <w:tcPr>
            <w:tcW w:w="1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9E9E9"/>
          </w:tcPr>
          <w:p>
            <w:pPr>
              <w:jc w:val="right"/>
              <w:ind w:right="8"/>
              <w:spacing w:after="0"/>
              <w:rPr>
                <w:sz w:val="20"/>
                <w:szCs w:val="20"/>
                <w:color w:val="auto"/>
              </w:rPr>
            </w:pPr>
            <w:r>
              <w:rPr>
                <w:rFonts w:ascii="Arial" w:cs="Arial" w:eastAsia="Arial" w:hAnsi="Arial"/>
                <w:sz w:val="16"/>
                <w:szCs w:val="16"/>
                <w:color w:val="auto"/>
              </w:rPr>
              <w:t>708,000</w:t>
            </w:r>
          </w:p>
        </w:tc>
        <w:tc>
          <w:tcPr>
            <w:tcW w:w="60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2,260,553</w:t>
            </w:r>
          </w:p>
        </w:tc>
      </w:tr>
    </w:tbl>
    <w:p>
      <w:pPr>
        <w:spacing w:after="0" w:line="233" w:lineRule="exact"/>
        <w:rPr>
          <w:sz w:val="20"/>
          <w:szCs w:val="20"/>
          <w:color w:val="auto"/>
        </w:rPr>
      </w:pPr>
    </w:p>
    <w:p>
      <w:pPr>
        <w:ind w:left="443" w:hanging="443"/>
        <w:spacing w:after="0"/>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See note 1 to the Termination Due to Disability table.</w:t>
      </w:r>
    </w:p>
    <w:p>
      <w:pPr>
        <w:spacing w:after="0" w:line="240" w:lineRule="exact"/>
        <w:rPr>
          <w:rFonts w:ascii="Arial" w:cs="Arial" w:eastAsia="Arial" w:hAnsi="Arial"/>
          <w:sz w:val="16"/>
          <w:szCs w:val="16"/>
          <w:color w:val="auto"/>
        </w:rPr>
      </w:pPr>
    </w:p>
    <w:p>
      <w:pPr>
        <w:ind w:left="443" w:hanging="443"/>
        <w:spacing w:after="0"/>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Lump sum value of the December 31, 2011, accrued benefit calculated as required by the terms of the plan assuming the earliest possible payment date.</w:t>
      </w:r>
    </w:p>
    <w:p>
      <w:pPr>
        <w:spacing w:after="0" w:line="216" w:lineRule="exact"/>
        <w:rPr>
          <w:rFonts w:ascii="Arial" w:cs="Arial" w:eastAsia="Arial" w:hAnsi="Arial"/>
          <w:sz w:val="16"/>
          <w:szCs w:val="16"/>
          <w:color w:val="auto"/>
        </w:rPr>
      </w:pPr>
    </w:p>
    <w:p>
      <w:pPr>
        <w:ind w:left="443" w:hanging="443"/>
        <w:spacing w:after="0"/>
        <w:tabs>
          <w:tab w:leader="none" w:pos="443" w:val="left"/>
        </w:tabs>
        <w:numPr>
          <w:ilvl w:val="0"/>
          <w:numId w:val="42"/>
        </w:numPr>
        <w:rPr>
          <w:rFonts w:ascii="Arial" w:cs="Arial" w:eastAsia="Arial" w:hAnsi="Arial"/>
          <w:sz w:val="15"/>
          <w:szCs w:val="15"/>
          <w:color w:val="auto"/>
        </w:rPr>
      </w:pPr>
      <w:r>
        <w:rPr>
          <w:rFonts w:ascii="Arial" w:cs="Arial" w:eastAsia="Arial" w:hAnsi="Arial"/>
          <w:sz w:val="15"/>
          <w:szCs w:val="15"/>
          <w:color w:val="auto"/>
        </w:rPr>
        <w:t>Calculated by multiplying the number of RSUs granted prior to 2010 by the closing price of the company’s common stock as of December 31, 2011 ($29.11).</w:t>
      </w:r>
    </w:p>
    <w:p>
      <w:pPr>
        <w:spacing w:after="0" w:line="227" w:lineRule="exact"/>
        <w:rPr>
          <w:rFonts w:ascii="Arial" w:cs="Arial" w:eastAsia="Arial" w:hAnsi="Arial"/>
          <w:sz w:val="15"/>
          <w:szCs w:val="15"/>
          <w:color w:val="auto"/>
        </w:rPr>
      </w:pPr>
    </w:p>
    <w:p>
      <w:pPr>
        <w:ind w:left="443" w:right="420" w:hanging="443"/>
        <w:spacing w:after="0"/>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Upon a change in control meeting the pre-2010 definition (please see page 84), all outstanding options granted prior to 2010 become immediately exercisable. Calculated as the difference between the grant price of in-the-money options not already exercisable and the closing price of the company’s common stock as of December 31, 2011 ($29.11), multiplied by the number of those options as of December 31, 2011.</w:t>
      </w:r>
    </w:p>
    <w:p>
      <w:pPr>
        <w:spacing w:after="0" w:line="188" w:lineRule="exact"/>
        <w:rPr>
          <w:sz w:val="20"/>
          <w:szCs w:val="20"/>
          <w:color w:val="auto"/>
        </w:rPr>
      </w:pPr>
    </w:p>
    <w:p>
      <w:pPr>
        <w:ind w:left="3" w:right="320"/>
        <w:spacing w:after="0" w:line="243" w:lineRule="auto"/>
        <w:rPr>
          <w:sz w:val="20"/>
          <w:szCs w:val="20"/>
          <w:color w:val="auto"/>
        </w:rPr>
      </w:pPr>
      <w:r>
        <w:rPr>
          <w:rFonts w:ascii="Arial" w:cs="Arial" w:eastAsia="Arial" w:hAnsi="Arial"/>
          <w:sz w:val="16"/>
          <w:szCs w:val="16"/>
          <w:color w:val="auto"/>
        </w:rPr>
        <w:t>An involuntary termination (not for cause) within 24 months after a change in control of TI will accelerate, to the extent permitted by Section 409A of the IRC, the vesting of options and RSUs granted after 2009.</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Audit Committee report</w:t>
      </w:r>
    </w:p>
    <w:p>
      <w:pPr>
        <w:spacing w:after="0" w:line="3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Audit Committee of the board of directors has furnished the following report:</w:t>
      </w:r>
    </w:p>
    <w:p>
      <w:pPr>
        <w:spacing w:after="0" w:line="22" w:lineRule="exact"/>
        <w:rPr>
          <w:sz w:val="20"/>
          <w:szCs w:val="20"/>
          <w:color w:val="auto"/>
        </w:rPr>
      </w:pPr>
    </w:p>
    <w:p>
      <w:pPr>
        <w:ind w:left="3" w:right="140" w:firstLine="243"/>
        <w:spacing w:after="0" w:line="244" w:lineRule="auto"/>
        <w:rPr>
          <w:sz w:val="20"/>
          <w:szCs w:val="20"/>
          <w:color w:val="auto"/>
        </w:rPr>
      </w:pPr>
      <w:r>
        <w:rPr>
          <w:rFonts w:ascii="Arial" w:cs="Arial" w:eastAsia="Arial" w:hAnsi="Arial"/>
          <w:sz w:val="16"/>
          <w:szCs w:val="16"/>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16" w:lineRule="exact"/>
        <w:rPr>
          <w:sz w:val="20"/>
          <w:szCs w:val="20"/>
          <w:color w:val="auto"/>
        </w:rPr>
      </w:pPr>
    </w:p>
    <w:p>
      <w:pPr>
        <w:ind w:left="3" w:right="100" w:firstLine="243"/>
        <w:spacing w:after="0" w:line="259" w:lineRule="auto"/>
        <w:rPr>
          <w:sz w:val="20"/>
          <w:szCs w:val="20"/>
          <w:color w:val="auto"/>
        </w:rPr>
      </w:pPr>
      <w:r>
        <w:rPr>
          <w:rFonts w:ascii="Arial" w:cs="Arial" w:eastAsia="Arial" w:hAnsi="Arial"/>
          <w:sz w:val="16"/>
          <w:szCs w:val="16"/>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3" w:lineRule="exact"/>
        <w:rPr>
          <w:sz w:val="20"/>
          <w:szCs w:val="20"/>
          <w:color w:val="auto"/>
        </w:rPr>
      </w:pPr>
    </w:p>
    <w:p>
      <w:pPr>
        <w:ind w:left="3" w:right="660" w:firstLine="243"/>
        <w:spacing w:after="0" w:line="259" w:lineRule="auto"/>
        <w:rPr>
          <w:sz w:val="20"/>
          <w:szCs w:val="20"/>
          <w:color w:val="auto"/>
        </w:rPr>
      </w:pPr>
      <w:r>
        <w:rPr>
          <w:rFonts w:ascii="Arial" w:cs="Arial" w:eastAsia="Arial" w:hAnsi="Arial"/>
          <w:sz w:val="16"/>
          <w:szCs w:val="16"/>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3" w:lineRule="exact"/>
        <w:rPr>
          <w:sz w:val="20"/>
          <w:szCs w:val="20"/>
          <w:color w:val="auto"/>
        </w:rPr>
      </w:pPr>
    </w:p>
    <w:p>
      <w:pPr>
        <w:ind w:left="3" w:right="400" w:firstLine="243"/>
        <w:spacing w:after="0" w:line="248" w:lineRule="auto"/>
        <w:rPr>
          <w:sz w:val="20"/>
          <w:szCs w:val="20"/>
          <w:color w:val="auto"/>
        </w:rPr>
      </w:pPr>
      <w:r>
        <w:rPr>
          <w:rFonts w:ascii="Arial" w:cs="Arial" w:eastAsia="Arial" w:hAnsi="Arial"/>
          <w:sz w:val="16"/>
          <w:szCs w:val="16"/>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2" w:lineRule="exact"/>
        <w:rPr>
          <w:sz w:val="20"/>
          <w:szCs w:val="20"/>
          <w:color w:val="auto"/>
        </w:rPr>
      </w:pPr>
    </w:p>
    <w:p>
      <w:pPr>
        <w:ind w:left="3" w:right="120" w:firstLine="243"/>
        <w:spacing w:after="0" w:line="259" w:lineRule="auto"/>
        <w:rPr>
          <w:sz w:val="20"/>
          <w:szCs w:val="20"/>
          <w:color w:val="auto"/>
        </w:rPr>
      </w:pPr>
      <w:r>
        <w:rPr>
          <w:rFonts w:ascii="Arial" w:cs="Arial" w:eastAsia="Arial" w:hAnsi="Arial"/>
          <w:sz w:val="16"/>
          <w:szCs w:val="16"/>
          <w:color w:val="auto"/>
        </w:rPr>
        <w:t>Based on the review and discussions referred to above, the committee recommended to the board of directors that the audited financial statements be included in the company’s Annual Report on Form 10-K for 2011 for filing with the SEC.</w:t>
      </w:r>
    </w:p>
    <w:p>
      <w:pPr>
        <w:spacing w:after="0" w:line="173" w:lineRule="exact"/>
        <w:rPr>
          <w:sz w:val="20"/>
          <w:szCs w:val="20"/>
          <w:color w:val="auto"/>
        </w:rPr>
      </w:pPr>
    </w:p>
    <w:tbl>
      <w:tblPr>
        <w:tblLayout w:type="fixed"/>
        <w:tblInd w:w="3" w:type="dxa"/>
        <w:tblCellMar>
          <w:top w:w="0" w:type="dxa"/>
          <w:left w:w="0" w:type="dxa"/>
          <w:bottom w:w="0" w:type="dxa"/>
          <w:right w:w="0" w:type="dxa"/>
        </w:tblCellMar>
      </w:tblPr>
      <w:tr>
        <w:trPr>
          <w:trHeight w:val="189"/>
        </w:trPr>
        <w:tc>
          <w:tcPr>
            <w:tcW w:w="3920" w:type="dxa"/>
            <w:vAlign w:val="bottom"/>
          </w:tcPr>
          <w:p>
            <w:pPr>
              <w:ind w:left="1020"/>
              <w:spacing w:after="0"/>
              <w:rPr>
                <w:sz w:val="20"/>
                <w:szCs w:val="20"/>
                <w:color w:val="auto"/>
              </w:rPr>
            </w:pPr>
            <w:r>
              <w:rPr>
                <w:rFonts w:ascii="Arial" w:cs="Arial" w:eastAsia="Arial" w:hAnsi="Arial"/>
                <w:sz w:val="16"/>
                <w:szCs w:val="16"/>
                <w:color w:val="auto"/>
              </w:rPr>
              <w:t>Pamela H. Patsley, Chair</w:t>
            </w:r>
          </w:p>
        </w:tc>
        <w:tc>
          <w:tcPr>
            <w:tcW w:w="3700" w:type="dxa"/>
            <w:vAlign w:val="bottom"/>
          </w:tcPr>
          <w:p>
            <w:pPr>
              <w:ind w:left="1140"/>
              <w:spacing w:after="0"/>
              <w:rPr>
                <w:sz w:val="20"/>
                <w:szCs w:val="20"/>
                <w:color w:val="auto"/>
              </w:rPr>
            </w:pPr>
            <w:r>
              <w:rPr>
                <w:rFonts w:ascii="Arial" w:cs="Arial" w:eastAsia="Arial" w:hAnsi="Arial"/>
                <w:sz w:val="16"/>
                <w:szCs w:val="16"/>
                <w:color w:val="auto"/>
              </w:rPr>
              <w:t>Ralph W. Babb, Jr.</w:t>
            </w:r>
          </w:p>
        </w:tc>
        <w:tc>
          <w:tcPr>
            <w:tcW w:w="3840" w:type="dxa"/>
            <w:vAlign w:val="bottom"/>
          </w:tcPr>
          <w:p>
            <w:pPr>
              <w:ind w:left="1240"/>
              <w:spacing w:after="0"/>
              <w:rPr>
                <w:sz w:val="20"/>
                <w:szCs w:val="20"/>
                <w:color w:val="auto"/>
              </w:rPr>
            </w:pPr>
            <w:r>
              <w:rPr>
                <w:rFonts w:ascii="Arial" w:cs="Arial" w:eastAsia="Arial" w:hAnsi="Arial"/>
                <w:sz w:val="16"/>
                <w:szCs w:val="16"/>
                <w:color w:val="auto"/>
              </w:rPr>
              <w:t>Robert E. Sanchez</w:t>
            </w:r>
          </w:p>
        </w:tc>
      </w:tr>
      <w:tr>
        <w:trPr>
          <w:trHeight w:val="390"/>
        </w:trPr>
        <w:tc>
          <w:tcPr>
            <w:tcW w:w="3920" w:type="dxa"/>
            <w:vAlign w:val="bottom"/>
          </w:tcPr>
          <w:p>
            <w:pPr>
              <w:spacing w:after="0"/>
              <w:rPr>
                <w:sz w:val="20"/>
                <w:szCs w:val="20"/>
                <w:color w:val="auto"/>
              </w:rPr>
            </w:pPr>
            <w:r>
              <w:rPr>
                <w:rFonts w:ascii="Arial" w:cs="Arial" w:eastAsia="Arial" w:hAnsi="Arial"/>
                <w:sz w:val="12"/>
                <w:szCs w:val="12"/>
                <w:b w:val="1"/>
                <w:bCs w:val="1"/>
                <w:color w:val="808285"/>
              </w:rPr>
              <w:t>TEXAS INSTRUMENTS</w:t>
            </w:r>
          </w:p>
        </w:tc>
        <w:tc>
          <w:tcPr>
            <w:tcW w:w="3700" w:type="dxa"/>
            <w:vAlign w:val="bottom"/>
          </w:tcPr>
          <w:p>
            <w:pPr>
              <w:spacing w:after="0"/>
              <w:rPr>
                <w:sz w:val="24"/>
                <w:szCs w:val="24"/>
                <w:color w:val="auto"/>
              </w:rPr>
            </w:pPr>
          </w:p>
        </w:tc>
        <w:tc>
          <w:tcPr>
            <w:tcW w:w="3840" w:type="dxa"/>
            <w:vAlign w:val="bottom"/>
          </w:tcPr>
          <w:p>
            <w:pPr>
              <w:ind w:left="2040"/>
              <w:spacing w:after="0"/>
              <w:rPr>
                <w:sz w:val="20"/>
                <w:szCs w:val="20"/>
                <w:color w:val="auto"/>
              </w:rPr>
            </w:pP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93</w:t>
            </w:r>
          </w:p>
        </w:tc>
      </w:tr>
      <w:tr>
        <w:trPr>
          <w:trHeight w:val="360"/>
        </w:trPr>
        <w:tc>
          <w:tcPr>
            <w:tcW w:w="392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7265670</wp:posOffset>
            </wp:positionH>
            <wp:positionV relativeFrom="paragraph">
              <wp:posOffset>-13335</wp:posOffset>
            </wp:positionV>
            <wp:extent cx="127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3"/>
          </w:cols>
          <w:pgMar w:left="237" w:top="552" w:right="199" w:bottom="1440" w:gutter="0" w:footer="0" w:header="0"/>
        </w:sectPr>
      </w:pPr>
    </w:p>
    <w:bookmarkStart w:id="40" w:name="page41"/>
    <w:bookmarkEnd w:id="40"/>
    <w:p>
      <w:pPr>
        <w:spacing w:after="0"/>
        <w:rPr>
          <w:sz w:val="20"/>
          <w:szCs w:val="20"/>
          <w:color w:val="auto"/>
        </w:rPr>
      </w:pPr>
      <w:r>
        <w:rPr>
          <w:rFonts w:ascii="Arial" w:cs="Arial" w:eastAsia="Arial" w:hAnsi="Arial"/>
          <w:sz w:val="19"/>
          <w:szCs w:val="19"/>
          <w:b w:val="1"/>
          <w:bCs w:val="1"/>
          <w:color w:val="auto"/>
        </w:rPr>
        <w:t>Proposal to ratify appointment of independent registered public accounting firm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of the board has appointed Ernst &amp; Young LLP to be TI’s independent registered public accounting firm for 2012.</w:t>
      </w:r>
    </w:p>
    <w:p>
      <w:pPr>
        <w:spacing w:after="0" w:line="22" w:lineRule="exact"/>
        <w:rPr>
          <w:sz w:val="20"/>
          <w:szCs w:val="20"/>
          <w:color w:val="auto"/>
        </w:rPr>
      </w:pPr>
    </w:p>
    <w:p>
      <w:pPr>
        <w:ind w:right="140" w:firstLine="238"/>
        <w:spacing w:after="0" w:line="259" w:lineRule="auto"/>
        <w:rPr>
          <w:sz w:val="20"/>
          <w:szCs w:val="20"/>
          <w:color w:val="auto"/>
        </w:rPr>
      </w:pPr>
      <w:r>
        <w:rPr>
          <w:rFonts w:ascii="Arial" w:cs="Arial" w:eastAsia="Arial" w:hAnsi="Arial"/>
          <w:sz w:val="16"/>
          <w:szCs w:val="16"/>
          <w:color w:val="auto"/>
        </w:rPr>
        <w:t>The board asks the stockholders to ratify the appointment of Ernst &amp; Young. If the stockholders do not ratify the appointment, the Audit Committee will consider whether it should appoint another independent registered public accounting firm.</w:t>
      </w:r>
    </w:p>
    <w:p>
      <w:pPr>
        <w:spacing w:after="0" w:line="3" w:lineRule="exact"/>
        <w:rPr>
          <w:sz w:val="20"/>
          <w:szCs w:val="20"/>
          <w:color w:val="auto"/>
        </w:rPr>
      </w:pPr>
    </w:p>
    <w:p>
      <w:pPr>
        <w:ind w:right="300" w:firstLine="243"/>
        <w:spacing w:after="0" w:line="259" w:lineRule="auto"/>
        <w:rPr>
          <w:sz w:val="20"/>
          <w:szCs w:val="20"/>
          <w:color w:val="auto"/>
        </w:rPr>
      </w:pPr>
      <w:r>
        <w:rPr>
          <w:rFonts w:ascii="Arial" w:cs="Arial" w:eastAsia="Arial" w:hAnsi="Arial"/>
          <w:sz w:val="16"/>
          <w:szCs w:val="16"/>
          <w:color w:val="auto"/>
        </w:rPr>
        <w:t>Representatives of Ernst &amp; Young are expected to be present, and to be available to respond to appropriate questions, at the annual meeting. They have the opportunity to make a statement if they desire to do so; they have indicated that, as of this date, they do not.</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has paid fees to Ernst &amp; Young for the services described below:</w:t>
      </w:r>
    </w:p>
    <w:p>
      <w:pPr>
        <w:spacing w:after="0" w:line="204" w:lineRule="exact"/>
        <w:rPr>
          <w:sz w:val="20"/>
          <w:szCs w:val="20"/>
          <w:color w:val="auto"/>
        </w:rPr>
      </w:pPr>
    </w:p>
    <w:p>
      <w:pPr>
        <w:ind w:right="140"/>
        <w:spacing w:after="0"/>
        <w:rPr>
          <w:sz w:val="20"/>
          <w:szCs w:val="20"/>
          <w:color w:val="auto"/>
        </w:rPr>
      </w:pPr>
      <w:r>
        <w:rPr>
          <w:rFonts w:ascii="Arial" w:cs="Arial" w:eastAsia="Arial" w:hAnsi="Arial"/>
          <w:sz w:val="16"/>
          <w:szCs w:val="16"/>
          <w:u w:val="single" w:color="auto"/>
          <w:color w:val="auto"/>
        </w:rPr>
        <w:t>Audit fees</w:t>
      </w:r>
      <w:r>
        <w:rPr>
          <w:rFonts w:ascii="Arial" w:cs="Arial" w:eastAsia="Arial" w:hAnsi="Arial"/>
          <w:sz w:val="16"/>
          <w:szCs w:val="16"/>
          <w:color w:val="auto"/>
        </w:rPr>
        <w:t>. Ernst &amp; Young’s Audit Fees were $8,435,000 in 2011 and $6,881,000 in 2010. The services provided in exchange for these fees were our annual audit, including the audit of internal control over financial reporting, reports on Form 10-Q, assistance with a public debt offering, and statutory audits required internationally.</w:t>
      </w:r>
    </w:p>
    <w:p>
      <w:pPr>
        <w:spacing w:after="0" w:line="188" w:lineRule="exact"/>
        <w:rPr>
          <w:sz w:val="20"/>
          <w:szCs w:val="20"/>
          <w:color w:val="auto"/>
        </w:rPr>
      </w:pPr>
    </w:p>
    <w:p>
      <w:pPr>
        <w:jc w:val="both"/>
        <w:ind w:right="200"/>
        <w:spacing w:after="0"/>
        <w:rPr>
          <w:sz w:val="20"/>
          <w:szCs w:val="20"/>
          <w:color w:val="auto"/>
        </w:rPr>
      </w:pPr>
      <w:r>
        <w:rPr>
          <w:rFonts w:ascii="Arial" w:cs="Arial" w:eastAsia="Arial" w:hAnsi="Arial"/>
          <w:sz w:val="16"/>
          <w:szCs w:val="16"/>
          <w:u w:val="single" w:color="auto"/>
          <w:color w:val="auto"/>
        </w:rPr>
        <w:t>Audit-related fees</w:t>
      </w:r>
      <w:r>
        <w:rPr>
          <w:rFonts w:ascii="Arial" w:cs="Arial" w:eastAsia="Arial" w:hAnsi="Arial"/>
          <w:sz w:val="16"/>
          <w:szCs w:val="16"/>
          <w:color w:val="auto"/>
        </w:rPr>
        <w:t>. In addition to the Audit Fees, the company paid Ernst &amp; Young $846,000 in 2011 and $706,000 in 2010. The services provided in exchange for these fees included acquisition due diligence, employee benefit plan audits, financial reporting system access testing, access to Ernst &amp; Young’s online research tool and, for various non-U.S. subsidiaries, audits relating to compliance with local-government standards.</w:t>
      </w:r>
    </w:p>
    <w:p>
      <w:pPr>
        <w:spacing w:after="0" w:line="188"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u w:val="single" w:color="auto"/>
          <w:color w:val="auto"/>
        </w:rPr>
        <w:t>Tax fees</w:t>
      </w:r>
      <w:r>
        <w:rPr>
          <w:rFonts w:ascii="Arial" w:cs="Arial" w:eastAsia="Arial" w:hAnsi="Arial"/>
          <w:sz w:val="16"/>
          <w:szCs w:val="16"/>
          <w:color w:val="auto"/>
        </w:rPr>
        <w:t>. Ernst &amp; Young’s fees for professional services rendered for tax compliance (preparation and review of income tax returns and other tax-related filings), tax advice on U.S. and foreign tax matters, and tax assistance related to acquisitions were $1,371,000 in 2011 and $856,000 in 2010.</w:t>
      </w:r>
    </w:p>
    <w:p>
      <w:pPr>
        <w:spacing w:after="0" w:line="185" w:lineRule="exact"/>
        <w:rPr>
          <w:sz w:val="20"/>
          <w:szCs w:val="20"/>
          <w:color w:val="auto"/>
        </w:rPr>
      </w:pPr>
    </w:p>
    <w:p>
      <w:pPr>
        <w:ind w:right="300"/>
        <w:spacing w:after="0" w:line="243" w:lineRule="auto"/>
        <w:rPr>
          <w:sz w:val="20"/>
          <w:szCs w:val="20"/>
          <w:color w:val="auto"/>
        </w:rPr>
      </w:pPr>
      <w:r>
        <w:rPr>
          <w:rFonts w:ascii="Arial" w:cs="Arial" w:eastAsia="Arial" w:hAnsi="Arial"/>
          <w:sz w:val="16"/>
          <w:szCs w:val="16"/>
          <w:u w:val="single" w:color="auto"/>
          <w:color w:val="auto"/>
        </w:rPr>
        <w:t>All other fees</w:t>
      </w:r>
      <w:r>
        <w:rPr>
          <w:rFonts w:ascii="Arial" w:cs="Arial" w:eastAsia="Arial" w:hAnsi="Arial"/>
          <w:sz w:val="16"/>
          <w:szCs w:val="16"/>
          <w:color w:val="auto"/>
        </w:rPr>
        <w:t>. Ernst &amp; Young’s fees for all other professional services rendered were $323,000 in 2011 and $35,000 in 2010 for the TI Foundation audit, training, and assistance with insurance claims.</w:t>
      </w:r>
    </w:p>
    <w:p>
      <w:pPr>
        <w:spacing w:after="0" w:line="185" w:lineRule="exact"/>
        <w:rPr>
          <w:sz w:val="20"/>
          <w:szCs w:val="20"/>
          <w:color w:val="auto"/>
        </w:rPr>
      </w:pPr>
    </w:p>
    <w:p>
      <w:pPr>
        <w:ind w:right="660"/>
        <w:spacing w:after="0" w:line="243" w:lineRule="auto"/>
        <w:rPr>
          <w:sz w:val="20"/>
          <w:szCs w:val="20"/>
          <w:color w:val="auto"/>
        </w:rPr>
      </w:pPr>
      <w:r>
        <w:rPr>
          <w:rFonts w:ascii="Arial" w:cs="Arial" w:eastAsia="Arial" w:hAnsi="Arial"/>
          <w:sz w:val="16"/>
          <w:szCs w:val="16"/>
          <w:u w:val="single" w:color="auto"/>
          <w:color w:val="auto"/>
        </w:rPr>
        <w:t>Pre-approval policy</w:t>
      </w:r>
      <w:r>
        <w:rPr>
          <w:rFonts w:ascii="Arial" w:cs="Arial" w:eastAsia="Arial" w:hAnsi="Arial"/>
          <w:sz w:val="16"/>
          <w:szCs w:val="16"/>
          <w:color w:val="auto"/>
        </w:rPr>
        <w:t>. The Audit Committee is required to pre-approve the audit and non-audit services to be performed by the independent registered public accounting firm in order to assure that the provision of such services does not impair the firm’s independence.</w:t>
      </w:r>
    </w:p>
    <w:p>
      <w:pPr>
        <w:spacing w:after="0" w:line="209" w:lineRule="exact"/>
        <w:rPr>
          <w:sz w:val="20"/>
          <w:szCs w:val="20"/>
          <w:color w:val="auto"/>
        </w:rPr>
      </w:pPr>
    </w:p>
    <w:p>
      <w:pPr>
        <w:ind w:right="20" w:firstLine="243"/>
        <w:spacing w:after="0"/>
        <w:rPr>
          <w:sz w:val="20"/>
          <w:szCs w:val="20"/>
          <w:color w:val="auto"/>
        </w:rPr>
      </w:pPr>
      <w:r>
        <w:rPr>
          <w:rFonts w:ascii="Arial" w:cs="Arial" w:eastAsia="Arial" w:hAnsi="Arial"/>
          <w:sz w:val="16"/>
          <w:szCs w:val="16"/>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of 1934).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22" w:lineRule="exact"/>
        <w:rPr>
          <w:sz w:val="20"/>
          <w:szCs w:val="20"/>
          <w:color w:val="auto"/>
        </w:rPr>
      </w:pPr>
    </w:p>
    <w:p>
      <w:pPr>
        <w:ind w:right="80" w:firstLine="243"/>
        <w:spacing w:after="0" w:line="248" w:lineRule="auto"/>
        <w:rPr>
          <w:sz w:val="20"/>
          <w:szCs w:val="20"/>
          <w:color w:val="auto"/>
        </w:rPr>
      </w:pPr>
      <w:r>
        <w:rPr>
          <w:rFonts w:ascii="Arial" w:cs="Arial" w:eastAsia="Arial" w:hAnsi="Arial"/>
          <w:sz w:val="16"/>
          <w:szCs w:val="16"/>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Audit Committee or its Chair pre-approved all services provided by Ernst &amp; Young during 2011.</w:t>
      </w:r>
    </w:p>
    <w:p>
      <w:pPr>
        <w:spacing w:after="0" w:line="208" w:lineRule="exact"/>
        <w:rPr>
          <w:sz w:val="20"/>
          <w:szCs w:val="20"/>
          <w:color w:val="auto"/>
        </w:rPr>
      </w:pPr>
    </w:p>
    <w:p>
      <w:pPr>
        <w:ind w:right="500" w:firstLine="243"/>
        <w:spacing w:after="0" w:line="285" w:lineRule="auto"/>
        <w:rPr>
          <w:sz w:val="20"/>
          <w:szCs w:val="20"/>
          <w:color w:val="auto"/>
        </w:rPr>
      </w:pPr>
      <w:r>
        <w:rPr>
          <w:rFonts w:ascii="Arial" w:cs="Arial" w:eastAsia="Arial" w:hAnsi="Arial"/>
          <w:sz w:val="16"/>
          <w:szCs w:val="16"/>
          <w:b w:val="1"/>
          <w:bCs w:val="1"/>
          <w:color w:val="auto"/>
        </w:rPr>
        <w:t>The board of directors recommends a vote FOR ratification of the appointment of Ernst &amp; Young LLP as the company’s independent registered public accounting firm for 2012.</w:t>
      </w:r>
    </w:p>
    <w:p>
      <w:pPr>
        <w:spacing w:after="0" w:line="172" w:lineRule="exact"/>
        <w:rPr>
          <w:sz w:val="20"/>
          <w:szCs w:val="20"/>
          <w:color w:val="auto"/>
        </w:rPr>
      </w:pPr>
    </w:p>
    <w:p>
      <w:pPr>
        <w:spacing w:after="0"/>
        <w:tabs>
          <w:tab w:leader="none" w:pos="10100" w:val="left"/>
        </w:tabs>
        <w:rPr>
          <w:sz w:val="20"/>
          <w:szCs w:val="20"/>
          <w:color w:val="auto"/>
        </w:rPr>
      </w:pPr>
      <w:r>
        <w:rPr>
          <w:rFonts w:ascii="Arial" w:cs="Arial" w:eastAsia="Arial" w:hAnsi="Arial"/>
          <w:sz w:val="12"/>
          <w:szCs w:val="12"/>
          <w:b w:val="1"/>
          <w:bCs w:val="1"/>
          <w:color w:val="auto"/>
        </w:rPr>
        <w:t xml:space="preserve">94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22" w:right="219" w:bottom="1440" w:gutter="0" w:footer="0" w:header="0"/>
        </w:sectPr>
      </w:pPr>
    </w:p>
    <w:bookmarkStart w:id="41" w:name="page42"/>
    <w:bookmarkEnd w:id="41"/>
    <w:p>
      <w:pPr>
        <w:ind w:left="3"/>
        <w:spacing w:after="0"/>
        <w:rPr>
          <w:sz w:val="20"/>
          <w:szCs w:val="20"/>
          <w:color w:val="auto"/>
        </w:rPr>
      </w:pPr>
      <w:r>
        <w:rPr>
          <w:rFonts w:ascii="Arial" w:cs="Arial" w:eastAsia="Arial" w:hAnsi="Arial"/>
          <w:sz w:val="19"/>
          <w:szCs w:val="19"/>
          <w:b w:val="1"/>
          <w:bCs w:val="1"/>
          <w:color w:val="auto"/>
        </w:rPr>
        <w:t>Additional information</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Voting securities</w:t>
      </w:r>
    </w:p>
    <w:p>
      <w:pPr>
        <w:spacing w:after="0" w:line="212" w:lineRule="exact"/>
        <w:rPr>
          <w:sz w:val="20"/>
          <w:szCs w:val="20"/>
          <w:color w:val="auto"/>
        </w:rPr>
      </w:pPr>
    </w:p>
    <w:p>
      <w:pPr>
        <w:ind w:left="3" w:right="160"/>
        <w:spacing w:after="0"/>
        <w:rPr>
          <w:sz w:val="20"/>
          <w:szCs w:val="20"/>
          <w:color w:val="auto"/>
        </w:rPr>
      </w:pPr>
      <w:r>
        <w:rPr>
          <w:rFonts w:ascii="Arial" w:cs="Arial" w:eastAsia="Arial" w:hAnsi="Arial"/>
          <w:sz w:val="16"/>
          <w:szCs w:val="16"/>
          <w:color w:val="auto"/>
        </w:rPr>
        <w:t>As of February 21, 2012, 1,142,083,207 shares of the company’s common stock were outstanding. This is the only class of capital stock entitled to vote at the meeting. Each holder of common stock has one vote for each share held. As stated in the notice of meeting, holders of record of the common stock at the close of business on February 21, 2012, may vote at the meeting or any adjournment of the meeting.</w:t>
      </w:r>
    </w:p>
    <w:p>
      <w:pPr>
        <w:spacing w:after="0" w:line="16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Security ownership of certain beneficial owners</w:t>
      </w:r>
    </w:p>
    <w:p>
      <w:pPr>
        <w:spacing w:after="0" w:line="212" w:lineRule="exact"/>
        <w:rPr>
          <w:sz w:val="20"/>
          <w:szCs w:val="20"/>
          <w:color w:val="auto"/>
        </w:rPr>
      </w:pPr>
    </w:p>
    <w:p>
      <w:pPr>
        <w:ind w:left="3" w:right="20"/>
        <w:spacing w:after="0"/>
        <w:rPr>
          <w:sz w:val="20"/>
          <w:szCs w:val="20"/>
          <w:color w:val="auto"/>
        </w:rPr>
      </w:pPr>
      <w:r>
        <w:rPr>
          <w:rFonts w:ascii="Arial" w:cs="Arial" w:eastAsia="Arial" w:hAnsi="Arial"/>
          <w:sz w:val="16"/>
          <w:szCs w:val="16"/>
          <w:color w:val="auto"/>
        </w:rPr>
        <w:t>The following table shows the only persons who have reported beneficial ownership of more than 5 percent of the common stock of the company. Persons generally “beneficially own” shares if they have the right to either vote those shares or dispose of them. More than one person may be considered to beneficially own the same shares.</w:t>
      </w:r>
    </w:p>
    <w:p>
      <w:pPr>
        <w:spacing w:after="0" w:line="207"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9460" w:type="dxa"/>
            <w:vAlign w:val="bottom"/>
          </w:tcPr>
          <w:p>
            <w:pPr>
              <w:spacing w:after="0"/>
              <w:rPr>
                <w:sz w:val="13"/>
                <w:szCs w:val="13"/>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2"/>
                <w:szCs w:val="12"/>
                <w:b w:val="1"/>
                <w:bCs w:val="1"/>
                <w:color w:val="auto"/>
              </w:rPr>
              <w:t>Shares Owned at</w:t>
            </w: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Percent</w:t>
            </w:r>
          </w:p>
        </w:tc>
      </w:tr>
      <w:tr>
        <w:trPr>
          <w:trHeight w:val="218"/>
        </w:trPr>
        <w:tc>
          <w:tcPr>
            <w:tcW w:w="9460" w:type="dxa"/>
            <w:vAlign w:val="bottom"/>
          </w:tcPr>
          <w:p>
            <w:pPr>
              <w:spacing w:after="0"/>
              <w:rPr>
                <w:sz w:val="20"/>
                <w:szCs w:val="20"/>
                <w:color w:val="auto"/>
              </w:rPr>
            </w:pPr>
            <w:r>
              <w:rPr>
                <w:rFonts w:ascii="Arial" w:cs="Arial" w:eastAsia="Arial" w:hAnsi="Arial"/>
                <w:sz w:val="12"/>
                <w:szCs w:val="12"/>
                <w:b w:val="1"/>
                <w:bCs w:val="1"/>
                <w:color w:val="auto"/>
              </w:rPr>
              <w:t>Name and Address</w:t>
            </w:r>
          </w:p>
        </w:tc>
        <w:tc>
          <w:tcPr>
            <w:tcW w:w="1380" w:type="dxa"/>
            <w:vAlign w:val="bottom"/>
            <w:gridSpan w:val="2"/>
          </w:tcPr>
          <w:p>
            <w:pPr>
              <w:jc w:val="right"/>
              <w:ind w:right="61"/>
              <w:spacing w:after="0"/>
              <w:rPr>
                <w:sz w:val="20"/>
                <w:szCs w:val="20"/>
                <w:color w:val="auto"/>
              </w:rPr>
            </w:pPr>
            <w:r>
              <w:rPr>
                <w:rFonts w:ascii="Arial" w:cs="Arial" w:eastAsia="Arial" w:hAnsi="Arial"/>
                <w:sz w:val="12"/>
                <w:szCs w:val="12"/>
                <w:b w:val="1"/>
                <w:bCs w:val="1"/>
                <w:color w:val="auto"/>
              </w:rPr>
              <w:t>December 31, 2011</w:t>
            </w: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of Class</w:t>
            </w:r>
          </w:p>
        </w:tc>
      </w:tr>
      <w:tr>
        <w:trPr>
          <w:trHeight w:val="37"/>
        </w:trPr>
        <w:tc>
          <w:tcPr>
            <w:tcW w:w="9460" w:type="dxa"/>
            <w:vAlign w:val="bottom"/>
            <w:tcBorders>
              <w:bottom w:val="single" w:sz="8" w:color="808285"/>
            </w:tcBorders>
          </w:tcPr>
          <w:p>
            <w:pPr>
              <w:spacing w:after="0"/>
              <w:rPr>
                <w:sz w:val="3"/>
                <w:szCs w:val="3"/>
                <w:color w:val="auto"/>
              </w:rPr>
            </w:pPr>
          </w:p>
        </w:tc>
        <w:tc>
          <w:tcPr>
            <w:tcW w:w="1040" w:type="dxa"/>
            <w:vAlign w:val="bottom"/>
            <w:tcBorders>
              <w:bottom w:val="single" w:sz="8" w:color="808285"/>
            </w:tcBorders>
          </w:tcPr>
          <w:p>
            <w:pPr>
              <w:spacing w:after="0"/>
              <w:rPr>
                <w:sz w:val="3"/>
                <w:szCs w:val="3"/>
                <w:color w:val="auto"/>
              </w:rPr>
            </w:pPr>
          </w:p>
        </w:tc>
        <w:tc>
          <w:tcPr>
            <w:tcW w:w="340" w:type="dxa"/>
            <w:vAlign w:val="bottom"/>
            <w:tcBorders>
              <w:bottom w:val="single" w:sz="8" w:color="808285"/>
            </w:tcBorders>
          </w:tcPr>
          <w:p>
            <w:pPr>
              <w:spacing w:after="0"/>
              <w:rPr>
                <w:sz w:val="3"/>
                <w:szCs w:val="3"/>
                <w:color w:val="auto"/>
              </w:rPr>
            </w:pPr>
          </w:p>
        </w:tc>
        <w:tc>
          <w:tcPr>
            <w:tcW w:w="600" w:type="dxa"/>
            <w:vAlign w:val="bottom"/>
            <w:tcBorders>
              <w:bottom w:val="single" w:sz="8" w:color="808285"/>
            </w:tcBorders>
          </w:tcPr>
          <w:p>
            <w:pPr>
              <w:spacing w:after="0"/>
              <w:rPr>
                <w:sz w:val="3"/>
                <w:szCs w:val="3"/>
                <w:color w:val="auto"/>
              </w:rPr>
            </w:pPr>
          </w:p>
        </w:tc>
      </w:tr>
      <w:tr>
        <w:trPr>
          <w:trHeight w:val="196"/>
        </w:trPr>
        <w:tc>
          <w:tcPr>
            <w:tcW w:w="9460" w:type="dxa"/>
            <w:vAlign w:val="bottom"/>
            <w:shd w:val="clear" w:color="auto" w:fill="E9E9E9"/>
          </w:tcPr>
          <w:p>
            <w:pPr>
              <w:spacing w:after="0"/>
              <w:rPr>
                <w:sz w:val="20"/>
                <w:szCs w:val="20"/>
                <w:color w:val="auto"/>
              </w:rPr>
            </w:pPr>
            <w:r>
              <w:rPr>
                <w:rFonts w:ascii="Arial" w:cs="Arial" w:eastAsia="Arial" w:hAnsi="Arial"/>
                <w:sz w:val="16"/>
                <w:szCs w:val="16"/>
                <w:color w:val="auto"/>
              </w:rPr>
              <w:t>Capital World Investors (1)</w:t>
            </w:r>
          </w:p>
        </w:tc>
        <w:tc>
          <w:tcPr>
            <w:tcW w:w="1040" w:type="dxa"/>
            <w:vAlign w:val="bottom"/>
            <w:shd w:val="clear" w:color="auto" w:fill="E9E9E9"/>
          </w:tcPr>
          <w:p>
            <w:pPr>
              <w:spacing w:after="0"/>
              <w:rPr>
                <w:sz w:val="17"/>
                <w:szCs w:val="17"/>
                <w:color w:val="auto"/>
              </w:rPr>
            </w:pPr>
          </w:p>
        </w:tc>
        <w:tc>
          <w:tcPr>
            <w:tcW w:w="340" w:type="dxa"/>
            <w:vAlign w:val="bottom"/>
            <w:shd w:val="clear" w:color="auto" w:fill="E9E9E9"/>
          </w:tcPr>
          <w:p>
            <w:pPr>
              <w:spacing w:after="0"/>
              <w:rPr>
                <w:sz w:val="17"/>
                <w:szCs w:val="17"/>
                <w:color w:val="auto"/>
              </w:rPr>
            </w:pPr>
          </w:p>
        </w:tc>
        <w:tc>
          <w:tcPr>
            <w:tcW w:w="600" w:type="dxa"/>
            <w:vAlign w:val="bottom"/>
            <w:shd w:val="clear" w:color="auto" w:fill="E9E9E9"/>
          </w:tcPr>
          <w:p>
            <w:pPr>
              <w:spacing w:after="0"/>
              <w:rPr>
                <w:sz w:val="17"/>
                <w:szCs w:val="17"/>
                <w:color w:val="auto"/>
              </w:rPr>
            </w:pPr>
          </w:p>
        </w:tc>
      </w:tr>
      <w:tr>
        <w:trPr>
          <w:trHeight w:val="218"/>
        </w:trPr>
        <w:tc>
          <w:tcPr>
            <w:tcW w:w="9460" w:type="dxa"/>
            <w:vAlign w:val="bottom"/>
            <w:shd w:val="clear" w:color="auto" w:fill="E9E9E9"/>
          </w:tcPr>
          <w:p>
            <w:pPr>
              <w:spacing w:after="0"/>
              <w:rPr>
                <w:sz w:val="20"/>
                <w:szCs w:val="20"/>
                <w:color w:val="auto"/>
              </w:rPr>
            </w:pPr>
            <w:r>
              <w:rPr>
                <w:rFonts w:ascii="Arial" w:cs="Arial" w:eastAsia="Arial" w:hAnsi="Arial"/>
                <w:sz w:val="16"/>
                <w:szCs w:val="16"/>
                <w:color w:val="auto"/>
              </w:rPr>
              <w:t>333 South Hope St.</w:t>
            </w:r>
          </w:p>
        </w:tc>
        <w:tc>
          <w:tcPr>
            <w:tcW w:w="1040" w:type="dxa"/>
            <w:vAlign w:val="bottom"/>
            <w:shd w:val="clear" w:color="auto" w:fill="E9E9E9"/>
          </w:tcPr>
          <w:p>
            <w:pPr>
              <w:spacing w:after="0"/>
              <w:rPr>
                <w:sz w:val="18"/>
                <w:szCs w:val="18"/>
                <w:color w:val="auto"/>
              </w:rPr>
            </w:pPr>
          </w:p>
        </w:tc>
        <w:tc>
          <w:tcPr>
            <w:tcW w:w="340" w:type="dxa"/>
            <w:vAlign w:val="bottom"/>
            <w:shd w:val="clear" w:color="auto" w:fill="E9E9E9"/>
          </w:tcPr>
          <w:p>
            <w:pPr>
              <w:spacing w:after="0"/>
              <w:rPr>
                <w:sz w:val="18"/>
                <w:szCs w:val="18"/>
                <w:color w:val="auto"/>
              </w:rPr>
            </w:pPr>
          </w:p>
        </w:tc>
        <w:tc>
          <w:tcPr>
            <w:tcW w:w="600" w:type="dxa"/>
            <w:vAlign w:val="bottom"/>
            <w:shd w:val="clear" w:color="auto" w:fill="E9E9E9"/>
          </w:tcPr>
          <w:p>
            <w:pPr>
              <w:spacing w:after="0"/>
              <w:rPr>
                <w:sz w:val="18"/>
                <w:szCs w:val="18"/>
                <w:color w:val="auto"/>
              </w:rPr>
            </w:pPr>
          </w:p>
        </w:tc>
      </w:tr>
      <w:tr>
        <w:trPr>
          <w:trHeight w:val="233"/>
        </w:trPr>
        <w:tc>
          <w:tcPr>
            <w:tcW w:w="9460" w:type="dxa"/>
            <w:vAlign w:val="bottom"/>
            <w:shd w:val="clear" w:color="auto" w:fill="E9E9E9"/>
          </w:tcPr>
          <w:p>
            <w:pPr>
              <w:spacing w:after="0"/>
              <w:rPr>
                <w:sz w:val="20"/>
                <w:szCs w:val="20"/>
                <w:color w:val="auto"/>
              </w:rPr>
            </w:pPr>
            <w:r>
              <w:rPr>
                <w:rFonts w:ascii="Arial" w:cs="Arial" w:eastAsia="Arial" w:hAnsi="Arial"/>
                <w:sz w:val="16"/>
                <w:szCs w:val="16"/>
                <w:color w:val="auto"/>
              </w:rPr>
              <w:t>Los Angeles, CA 90071</w:t>
            </w:r>
          </w:p>
        </w:tc>
        <w:tc>
          <w:tcPr>
            <w:tcW w:w="10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104,250,262</w:t>
            </w:r>
          </w:p>
        </w:tc>
        <w:tc>
          <w:tcPr>
            <w:tcW w:w="34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w w:val="91"/>
              </w:rPr>
              <w:t>(2)</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9.1%</w:t>
            </w:r>
          </w:p>
        </w:tc>
      </w:tr>
      <w:tr>
        <w:trPr>
          <w:trHeight w:val="218"/>
        </w:trPr>
        <w:tc>
          <w:tcPr>
            <w:tcW w:w="9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4"/>
        </w:trPr>
        <w:tc>
          <w:tcPr>
            <w:tcW w:w="9460" w:type="dxa"/>
            <w:vAlign w:val="bottom"/>
            <w:shd w:val="clear" w:color="auto" w:fill="E9E9E9"/>
          </w:tcPr>
          <w:p>
            <w:pPr>
              <w:spacing w:after="0"/>
              <w:rPr>
                <w:sz w:val="20"/>
                <w:szCs w:val="20"/>
                <w:color w:val="auto"/>
              </w:rPr>
            </w:pPr>
            <w:r>
              <w:rPr>
                <w:rFonts w:ascii="Arial" w:cs="Arial" w:eastAsia="Arial" w:hAnsi="Arial"/>
                <w:sz w:val="16"/>
                <w:szCs w:val="16"/>
                <w:color w:val="auto"/>
              </w:rPr>
              <w:t>PRIMECAP Management Company</w:t>
            </w:r>
          </w:p>
        </w:tc>
        <w:tc>
          <w:tcPr>
            <w:tcW w:w="1040" w:type="dxa"/>
            <w:vAlign w:val="bottom"/>
            <w:shd w:val="clear" w:color="auto" w:fill="E9E9E9"/>
          </w:tcPr>
          <w:p>
            <w:pPr>
              <w:spacing w:after="0"/>
              <w:rPr>
                <w:sz w:val="17"/>
                <w:szCs w:val="17"/>
                <w:color w:val="auto"/>
              </w:rPr>
            </w:pPr>
          </w:p>
        </w:tc>
        <w:tc>
          <w:tcPr>
            <w:tcW w:w="340" w:type="dxa"/>
            <w:vAlign w:val="bottom"/>
            <w:shd w:val="clear" w:color="auto" w:fill="E9E9E9"/>
          </w:tcPr>
          <w:p>
            <w:pPr>
              <w:spacing w:after="0"/>
              <w:rPr>
                <w:sz w:val="17"/>
                <w:szCs w:val="17"/>
                <w:color w:val="auto"/>
              </w:rPr>
            </w:pPr>
          </w:p>
        </w:tc>
        <w:tc>
          <w:tcPr>
            <w:tcW w:w="600" w:type="dxa"/>
            <w:vAlign w:val="bottom"/>
            <w:shd w:val="clear" w:color="auto" w:fill="E9E9E9"/>
          </w:tcPr>
          <w:p>
            <w:pPr>
              <w:spacing w:after="0"/>
              <w:rPr>
                <w:sz w:val="17"/>
                <w:szCs w:val="17"/>
                <w:color w:val="auto"/>
              </w:rPr>
            </w:pPr>
          </w:p>
        </w:tc>
      </w:tr>
      <w:tr>
        <w:trPr>
          <w:trHeight w:val="218"/>
        </w:trPr>
        <w:tc>
          <w:tcPr>
            <w:tcW w:w="9460" w:type="dxa"/>
            <w:vAlign w:val="bottom"/>
            <w:shd w:val="clear" w:color="auto" w:fill="E9E9E9"/>
          </w:tcPr>
          <w:p>
            <w:pPr>
              <w:spacing w:after="0"/>
              <w:rPr>
                <w:sz w:val="20"/>
                <w:szCs w:val="20"/>
                <w:color w:val="auto"/>
              </w:rPr>
            </w:pPr>
            <w:r>
              <w:rPr>
                <w:rFonts w:ascii="Arial" w:cs="Arial" w:eastAsia="Arial" w:hAnsi="Arial"/>
                <w:sz w:val="16"/>
                <w:szCs w:val="16"/>
                <w:color w:val="auto"/>
              </w:rPr>
              <w:t>225 South Lake Ave # 400</w:t>
            </w:r>
          </w:p>
        </w:tc>
        <w:tc>
          <w:tcPr>
            <w:tcW w:w="1040" w:type="dxa"/>
            <w:vAlign w:val="bottom"/>
            <w:shd w:val="clear" w:color="auto" w:fill="E9E9E9"/>
          </w:tcPr>
          <w:p>
            <w:pPr>
              <w:spacing w:after="0"/>
              <w:rPr>
                <w:sz w:val="18"/>
                <w:szCs w:val="18"/>
                <w:color w:val="auto"/>
              </w:rPr>
            </w:pPr>
          </w:p>
        </w:tc>
        <w:tc>
          <w:tcPr>
            <w:tcW w:w="340" w:type="dxa"/>
            <w:vAlign w:val="bottom"/>
            <w:shd w:val="clear" w:color="auto" w:fill="E9E9E9"/>
          </w:tcPr>
          <w:p>
            <w:pPr>
              <w:spacing w:after="0"/>
              <w:rPr>
                <w:sz w:val="18"/>
                <w:szCs w:val="18"/>
                <w:color w:val="auto"/>
              </w:rPr>
            </w:pPr>
          </w:p>
        </w:tc>
        <w:tc>
          <w:tcPr>
            <w:tcW w:w="600" w:type="dxa"/>
            <w:vAlign w:val="bottom"/>
            <w:shd w:val="clear" w:color="auto" w:fill="E9E9E9"/>
          </w:tcPr>
          <w:p>
            <w:pPr>
              <w:spacing w:after="0"/>
              <w:rPr>
                <w:sz w:val="18"/>
                <w:szCs w:val="18"/>
                <w:color w:val="auto"/>
              </w:rPr>
            </w:pPr>
          </w:p>
        </w:tc>
      </w:tr>
      <w:tr>
        <w:trPr>
          <w:trHeight w:val="233"/>
        </w:trPr>
        <w:tc>
          <w:tcPr>
            <w:tcW w:w="9460" w:type="dxa"/>
            <w:vAlign w:val="bottom"/>
            <w:shd w:val="clear" w:color="auto" w:fill="E9E9E9"/>
          </w:tcPr>
          <w:p>
            <w:pPr>
              <w:spacing w:after="0"/>
              <w:rPr>
                <w:sz w:val="20"/>
                <w:szCs w:val="20"/>
                <w:color w:val="auto"/>
              </w:rPr>
            </w:pPr>
            <w:r>
              <w:rPr>
                <w:rFonts w:ascii="Arial" w:cs="Arial" w:eastAsia="Arial" w:hAnsi="Arial"/>
                <w:sz w:val="16"/>
                <w:szCs w:val="16"/>
                <w:color w:val="auto"/>
              </w:rPr>
              <w:t>Pasadena, CA 91101</w:t>
            </w:r>
          </w:p>
        </w:tc>
        <w:tc>
          <w:tcPr>
            <w:tcW w:w="104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60,169,997</w:t>
            </w:r>
          </w:p>
        </w:tc>
        <w:tc>
          <w:tcPr>
            <w:tcW w:w="340" w:type="dxa"/>
            <w:vAlign w:val="bottom"/>
            <w:shd w:val="clear" w:color="auto" w:fill="E9E9E9"/>
          </w:tcPr>
          <w:p>
            <w:pPr>
              <w:jc w:val="right"/>
              <w:ind w:right="61"/>
              <w:spacing w:after="0"/>
              <w:rPr>
                <w:sz w:val="20"/>
                <w:szCs w:val="20"/>
                <w:color w:val="auto"/>
              </w:rPr>
            </w:pPr>
            <w:r>
              <w:rPr>
                <w:rFonts w:ascii="Arial" w:cs="Arial" w:eastAsia="Arial" w:hAnsi="Arial"/>
                <w:sz w:val="16"/>
                <w:szCs w:val="16"/>
                <w:color w:val="auto"/>
                <w:w w:val="91"/>
                <w:shd w:val="clear" w:color="auto" w:fill="E9E9E9"/>
              </w:rPr>
              <w:t>(3)</w:t>
            </w:r>
          </w:p>
        </w:tc>
        <w:tc>
          <w:tcPr>
            <w:tcW w:w="600" w:type="dxa"/>
            <w:vAlign w:val="bottom"/>
            <w:shd w:val="clear" w:color="auto" w:fill="E9E9E9"/>
          </w:tcPr>
          <w:p>
            <w:pPr>
              <w:jc w:val="right"/>
              <w:spacing w:after="0"/>
              <w:rPr>
                <w:sz w:val="20"/>
                <w:szCs w:val="20"/>
                <w:color w:val="auto"/>
              </w:rPr>
            </w:pPr>
            <w:r>
              <w:rPr>
                <w:rFonts w:ascii="Arial" w:cs="Arial" w:eastAsia="Arial" w:hAnsi="Arial"/>
                <w:sz w:val="16"/>
                <w:szCs w:val="16"/>
                <w:color w:val="auto"/>
                <w:shd w:val="clear" w:color="auto" w:fill="E9E9E9"/>
              </w:rPr>
              <w:t>5.27%</w:t>
            </w:r>
          </w:p>
        </w:tc>
      </w:tr>
    </w:tbl>
    <w:p>
      <w:pPr>
        <w:spacing w:after="0" w:line="233" w:lineRule="exact"/>
        <w:rPr>
          <w:sz w:val="20"/>
          <w:szCs w:val="20"/>
          <w:color w:val="auto"/>
        </w:rPr>
      </w:pPr>
    </w:p>
    <w:p>
      <w:pPr>
        <w:ind w:left="443" w:hanging="443"/>
        <w:spacing w:after="0"/>
        <w:tabs>
          <w:tab w:leader="none" w:pos="4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division of Capital Research and Management Company (CRMC).</w:t>
      </w:r>
    </w:p>
    <w:p>
      <w:pPr>
        <w:spacing w:after="0" w:line="22" w:lineRule="exact"/>
        <w:rPr>
          <w:rFonts w:ascii="Arial" w:cs="Arial" w:eastAsia="Arial" w:hAnsi="Arial"/>
          <w:sz w:val="16"/>
          <w:szCs w:val="16"/>
          <w:color w:val="auto"/>
        </w:rPr>
      </w:pPr>
    </w:p>
    <w:p>
      <w:pPr>
        <w:ind w:left="443" w:right="360" w:hanging="443"/>
        <w:spacing w:after="0" w:line="253" w:lineRule="auto"/>
        <w:tabs>
          <w:tab w:leader="none" w:pos="443" w:val="left"/>
        </w:tabs>
        <w:numPr>
          <w:ilvl w:val="0"/>
          <w:numId w:val="43"/>
        </w:numPr>
        <w:rPr>
          <w:rFonts w:ascii="Arial" w:cs="Arial" w:eastAsia="Arial" w:hAnsi="Arial"/>
          <w:sz w:val="15"/>
          <w:szCs w:val="15"/>
          <w:color w:val="auto"/>
        </w:rPr>
      </w:pPr>
      <w:r>
        <w:rPr>
          <w:rFonts w:ascii="Arial" w:cs="Arial" w:eastAsia="Arial" w:hAnsi="Arial"/>
          <w:sz w:val="15"/>
          <w:szCs w:val="15"/>
          <w:color w:val="auto"/>
        </w:rPr>
        <w:t>TI understands that Capital World Investors is deemed to be the beneficial owner of these shares as a result of CRMC acting as an investment advisor to various investment companies. Capital World Investors has sole voting power for 85,707,762 shares and sole dispositive power for 104,250,262 shares.</w:t>
      </w:r>
    </w:p>
    <w:p>
      <w:pPr>
        <w:ind w:left="443" w:hanging="443"/>
        <w:spacing w:after="0"/>
        <w:tabs>
          <w:tab w:leader="none" w:pos="4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TI understands that PRIMECAP Management Company has sole voting power for 16,266,397 shares and sole dispositive power for 60,169,997 shares.</w:t>
      </w:r>
    </w:p>
    <w:p>
      <w:pPr>
        <w:spacing w:after="0" w:line="259" w:lineRule="exact"/>
        <w:rPr>
          <w:sz w:val="20"/>
          <w:szCs w:val="20"/>
          <w:color w:val="auto"/>
        </w:rPr>
      </w:pPr>
    </w:p>
    <w:p>
      <w:pPr>
        <w:ind w:left="3"/>
        <w:spacing w:after="0"/>
        <w:tabs>
          <w:tab w:leader="none" w:pos="9643"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80910"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22" w:right="2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Security ownership of directors and management</w:t>
      </w:r>
    </w:p>
    <w:p>
      <w:pPr>
        <w:spacing w:after="0" w:line="212"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The following table shows the beneficial ownership of TI common stock by directors, the named executive officers and all executive officers and directors as a group. Each director and named executive officer has sole voting power (except for shares obtainable within 60 days, shares subject to RSUs and shares credited to deferred compensation accounts as detailed in the footnotes to the table) and sole investment power with respect to the shares owned. The table excludes shares held by a family member if a director or executive officer has disclaimed beneficial ownership. No director or executive officer has pledged shares of TI common stock.</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80" w:type="dxa"/>
            <w:vAlign w:val="bottom"/>
            <w:gridSpan w:val="2"/>
          </w:tcPr>
          <w:p>
            <w:pPr>
              <w:jc w:val="center"/>
              <w:ind w:left="224"/>
              <w:spacing w:after="0"/>
              <w:rPr>
                <w:sz w:val="20"/>
                <w:szCs w:val="20"/>
                <w:color w:val="auto"/>
              </w:rPr>
            </w:pPr>
            <w:r>
              <w:rPr>
                <w:rFonts w:ascii="Arial" w:cs="Arial" w:eastAsia="Arial" w:hAnsi="Arial"/>
                <w:sz w:val="12"/>
                <w:szCs w:val="12"/>
                <w:b w:val="1"/>
                <w:bCs w:val="1"/>
                <w:color w:val="auto"/>
              </w:rPr>
              <w:t>Shares Owned at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218"/>
        </w:trPr>
        <w:tc>
          <w:tcPr>
            <w:tcW w:w="532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gridSpan w:val="2"/>
          </w:tcPr>
          <w:p>
            <w:pPr>
              <w:jc w:val="center"/>
              <w:ind w:left="224"/>
              <w:spacing w:after="0"/>
              <w:rPr>
                <w:sz w:val="20"/>
                <w:szCs w:val="20"/>
                <w:color w:val="auto"/>
              </w:rPr>
            </w:pPr>
            <w:r>
              <w:rPr>
                <w:rFonts w:ascii="Arial" w:cs="Arial" w:eastAsia="Arial" w:hAnsi="Arial"/>
                <w:sz w:val="12"/>
                <w:szCs w:val="12"/>
                <w:b w:val="1"/>
                <w:bCs w:val="1"/>
                <w:color w:val="auto"/>
                <w:w w:val="99"/>
              </w:rPr>
              <w:t>December 31, 2011</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of Class</w:t>
            </w:r>
          </w:p>
        </w:tc>
        <w:tc>
          <w:tcPr>
            <w:tcW w:w="0" w:type="dxa"/>
            <w:vAlign w:val="bottom"/>
          </w:tcPr>
          <w:p>
            <w:pPr>
              <w:spacing w:after="0"/>
              <w:rPr>
                <w:sz w:val="1"/>
                <w:szCs w:val="1"/>
                <w:color w:val="auto"/>
              </w:rPr>
            </w:pPr>
          </w:p>
        </w:tc>
      </w:tr>
      <w:tr>
        <w:trPr>
          <w:trHeight w:val="37"/>
        </w:trPr>
        <w:tc>
          <w:tcPr>
            <w:tcW w:w="240" w:type="dxa"/>
            <w:vAlign w:val="bottom"/>
            <w:gridSpan w:val="2"/>
          </w:tcPr>
          <w:p>
            <w:pPr>
              <w:spacing w:after="0"/>
              <w:rPr>
                <w:sz w:val="3"/>
                <w:szCs w:val="3"/>
                <w:color w:val="auto"/>
              </w:rPr>
            </w:pPr>
          </w:p>
        </w:tc>
        <w:tc>
          <w:tcPr>
            <w:tcW w:w="50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808285"/>
            </w:tcBorders>
            <w:gridSpan w:val="2"/>
            <w:shd w:val="clear" w:color="auto" w:fill="E9E9E9"/>
          </w:tcPr>
          <w:p>
            <w:pPr>
              <w:spacing w:after="0"/>
              <w:rPr>
                <w:sz w:val="20"/>
                <w:szCs w:val="20"/>
                <w:color w:val="auto"/>
              </w:rPr>
            </w:pPr>
            <w:r>
              <w:rPr>
                <w:rFonts w:ascii="Arial" w:cs="Arial" w:eastAsia="Arial" w:hAnsi="Arial"/>
                <w:sz w:val="16"/>
                <w:szCs w:val="16"/>
                <w:b w:val="1"/>
                <w:bCs w:val="1"/>
                <w:color w:val="auto"/>
              </w:rPr>
              <w:t>Directors (1)</w:t>
            </w:r>
          </w:p>
        </w:tc>
        <w:tc>
          <w:tcPr>
            <w:tcW w:w="2760" w:type="dxa"/>
            <w:vAlign w:val="bottom"/>
            <w:tcBorders>
              <w:top w:val="single" w:sz="8" w:color="808285"/>
            </w:tcBorders>
            <w:shd w:val="clear" w:color="auto" w:fill="E9E9E9"/>
          </w:tcPr>
          <w:p>
            <w:pPr>
              <w:spacing w:after="0"/>
              <w:rPr>
                <w:sz w:val="18"/>
                <w:szCs w:val="18"/>
                <w:color w:val="auto"/>
              </w:rPr>
            </w:pPr>
          </w:p>
        </w:tc>
        <w:tc>
          <w:tcPr>
            <w:tcW w:w="1220" w:type="dxa"/>
            <w:vAlign w:val="bottom"/>
            <w:tcBorders>
              <w:top w:val="single" w:sz="8" w:color="808285"/>
            </w:tcBorders>
            <w:shd w:val="clear" w:color="auto" w:fill="E9E9E9"/>
          </w:tcPr>
          <w:p>
            <w:pPr>
              <w:spacing w:after="0"/>
              <w:rPr>
                <w:sz w:val="18"/>
                <w:szCs w:val="18"/>
                <w:color w:val="auto"/>
              </w:rPr>
            </w:pPr>
          </w:p>
        </w:tc>
        <w:tc>
          <w:tcPr>
            <w:tcW w:w="1240" w:type="dxa"/>
            <w:vAlign w:val="bottom"/>
            <w:tcBorders>
              <w:top w:val="single" w:sz="8" w:color="808285"/>
            </w:tcBorders>
            <w:shd w:val="clear" w:color="auto" w:fill="E9E9E9"/>
          </w:tcPr>
          <w:p>
            <w:pPr>
              <w:spacing w:after="0"/>
              <w:rPr>
                <w:sz w:val="18"/>
                <w:szCs w:val="18"/>
                <w:color w:val="auto"/>
              </w:rPr>
            </w:pPr>
          </w:p>
        </w:tc>
        <w:tc>
          <w:tcPr>
            <w:tcW w:w="140" w:type="dxa"/>
            <w:vAlign w:val="bottom"/>
            <w:tcBorders>
              <w:top w:val="single" w:sz="8" w:color="808285"/>
            </w:tcBorders>
            <w:shd w:val="clear" w:color="auto" w:fill="E9E9E9"/>
          </w:tcPr>
          <w:p>
            <w:pPr>
              <w:spacing w:after="0"/>
              <w:rPr>
                <w:sz w:val="18"/>
                <w:szCs w:val="18"/>
                <w:color w:val="auto"/>
              </w:rPr>
            </w:pPr>
          </w:p>
        </w:tc>
        <w:tc>
          <w:tcPr>
            <w:tcW w:w="760" w:type="dxa"/>
            <w:vAlign w:val="bottom"/>
            <w:tcBorders>
              <w:top w:val="single" w:sz="8" w:color="808285"/>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gridSpan w:val="3"/>
          </w:tcPr>
          <w:p>
            <w:pPr>
              <w:spacing w:after="0"/>
              <w:rPr>
                <w:sz w:val="20"/>
                <w:szCs w:val="20"/>
                <w:color w:val="auto"/>
              </w:rPr>
            </w:pPr>
            <w:r>
              <w:rPr>
                <w:rFonts w:ascii="Arial" w:cs="Arial" w:eastAsia="Arial" w:hAnsi="Arial"/>
                <w:sz w:val="16"/>
                <w:szCs w:val="16"/>
                <w:color w:val="auto"/>
              </w:rPr>
              <w:t>R. W. Babb, Jr.</w:t>
            </w: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13,392</w:t>
            </w:r>
          </w:p>
        </w:tc>
        <w:tc>
          <w:tcPr>
            <w:tcW w:w="140" w:type="dxa"/>
            <w:vAlign w:val="bottom"/>
          </w:tcPr>
          <w:p>
            <w:pPr>
              <w:spacing w:after="0"/>
              <w:rPr>
                <w:sz w:val="18"/>
                <w:szCs w:val="18"/>
                <w:color w:val="auto"/>
              </w:rPr>
            </w:pPr>
          </w:p>
        </w:tc>
        <w:tc>
          <w:tcPr>
            <w:tcW w:w="7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D. A. Carp</w:t>
            </w:r>
          </w:p>
        </w:tc>
        <w:tc>
          <w:tcPr>
            <w:tcW w:w="2760" w:type="dxa"/>
            <w:vAlign w:val="bottom"/>
            <w:shd w:val="clear" w:color="auto" w:fill="E9E9E9"/>
          </w:tcPr>
          <w:p>
            <w:pPr>
              <w:spacing w:after="0"/>
              <w:rPr>
                <w:sz w:val="19"/>
                <w:szCs w:val="19"/>
                <w:color w:val="auto"/>
              </w:rPr>
            </w:pPr>
          </w:p>
        </w:tc>
        <w:tc>
          <w:tcPr>
            <w:tcW w:w="1220" w:type="dxa"/>
            <w:vAlign w:val="bottom"/>
            <w:shd w:val="clear" w:color="auto" w:fill="E9E9E9"/>
          </w:tcPr>
          <w:p>
            <w:pPr>
              <w:spacing w:after="0"/>
              <w:rPr>
                <w:sz w:val="19"/>
                <w:szCs w:val="19"/>
                <w:color w:val="auto"/>
              </w:rPr>
            </w:pPr>
          </w:p>
        </w:tc>
        <w:tc>
          <w:tcPr>
            <w:tcW w:w="1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134,588</w:t>
            </w:r>
          </w:p>
        </w:tc>
        <w:tc>
          <w:tcPr>
            <w:tcW w:w="140" w:type="dxa"/>
            <w:vAlign w:val="bottom"/>
            <w:shd w:val="clear" w:color="auto" w:fill="E9E9E9"/>
          </w:tcPr>
          <w:p>
            <w:pPr>
              <w:spacing w:after="0"/>
              <w:rPr>
                <w:sz w:val="19"/>
                <w:szCs w:val="19"/>
                <w:color w:val="auto"/>
              </w:rPr>
            </w:pPr>
          </w:p>
        </w:tc>
        <w:tc>
          <w:tcPr>
            <w:tcW w:w="76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320" w:type="dxa"/>
            <w:vAlign w:val="bottom"/>
            <w:gridSpan w:val="3"/>
          </w:tcPr>
          <w:p>
            <w:pPr>
              <w:spacing w:after="0"/>
              <w:rPr>
                <w:sz w:val="20"/>
                <w:szCs w:val="20"/>
                <w:color w:val="auto"/>
              </w:rPr>
            </w:pPr>
            <w:r>
              <w:rPr>
                <w:rFonts w:ascii="Arial" w:cs="Arial" w:eastAsia="Arial" w:hAnsi="Arial"/>
                <w:sz w:val="16"/>
                <w:szCs w:val="16"/>
                <w:color w:val="auto"/>
              </w:rPr>
              <w:t>C. S. Cox</w:t>
            </w: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74,217</w:t>
            </w:r>
          </w:p>
        </w:tc>
        <w:tc>
          <w:tcPr>
            <w:tcW w:w="140" w:type="dxa"/>
            <w:vAlign w:val="bottom"/>
          </w:tcPr>
          <w:p>
            <w:pPr>
              <w:spacing w:after="0"/>
              <w:rPr>
                <w:sz w:val="18"/>
                <w:szCs w:val="18"/>
                <w:color w:val="auto"/>
              </w:rPr>
            </w:pPr>
          </w:p>
        </w:tc>
        <w:tc>
          <w:tcPr>
            <w:tcW w:w="7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P. H. Patsley</w:t>
            </w:r>
          </w:p>
        </w:tc>
        <w:tc>
          <w:tcPr>
            <w:tcW w:w="2760" w:type="dxa"/>
            <w:vAlign w:val="bottom"/>
            <w:shd w:val="clear" w:color="auto" w:fill="E9E9E9"/>
          </w:tcPr>
          <w:p>
            <w:pPr>
              <w:spacing w:after="0"/>
              <w:rPr>
                <w:sz w:val="19"/>
                <w:szCs w:val="19"/>
                <w:color w:val="auto"/>
              </w:rPr>
            </w:pPr>
          </w:p>
        </w:tc>
        <w:tc>
          <w:tcPr>
            <w:tcW w:w="1220" w:type="dxa"/>
            <w:vAlign w:val="bottom"/>
            <w:shd w:val="clear" w:color="auto" w:fill="E9E9E9"/>
          </w:tcPr>
          <w:p>
            <w:pPr>
              <w:spacing w:after="0"/>
              <w:rPr>
                <w:sz w:val="19"/>
                <w:szCs w:val="19"/>
                <w:color w:val="auto"/>
              </w:rPr>
            </w:pPr>
          </w:p>
        </w:tc>
        <w:tc>
          <w:tcPr>
            <w:tcW w:w="1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96,702</w:t>
            </w:r>
          </w:p>
        </w:tc>
        <w:tc>
          <w:tcPr>
            <w:tcW w:w="140" w:type="dxa"/>
            <w:vAlign w:val="bottom"/>
            <w:shd w:val="clear" w:color="auto" w:fill="E9E9E9"/>
          </w:tcPr>
          <w:p>
            <w:pPr>
              <w:spacing w:after="0"/>
              <w:rPr>
                <w:sz w:val="19"/>
                <w:szCs w:val="19"/>
                <w:color w:val="auto"/>
              </w:rPr>
            </w:pPr>
          </w:p>
        </w:tc>
        <w:tc>
          <w:tcPr>
            <w:tcW w:w="76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320" w:type="dxa"/>
            <w:vAlign w:val="bottom"/>
            <w:gridSpan w:val="3"/>
          </w:tcPr>
          <w:p>
            <w:pPr>
              <w:spacing w:after="0"/>
              <w:rPr>
                <w:sz w:val="20"/>
                <w:szCs w:val="20"/>
                <w:color w:val="auto"/>
              </w:rPr>
            </w:pPr>
            <w:r>
              <w:rPr>
                <w:rFonts w:ascii="Arial" w:cs="Arial" w:eastAsia="Arial" w:hAnsi="Arial"/>
                <w:sz w:val="16"/>
                <w:szCs w:val="16"/>
                <w:color w:val="auto"/>
              </w:rPr>
              <w:t>R. E. Sanchez</w:t>
            </w: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w:t>
            </w:r>
          </w:p>
        </w:tc>
        <w:tc>
          <w:tcPr>
            <w:tcW w:w="140" w:type="dxa"/>
            <w:vAlign w:val="bottom"/>
          </w:tcPr>
          <w:p>
            <w:pPr>
              <w:spacing w:after="0"/>
              <w:rPr>
                <w:sz w:val="18"/>
                <w:szCs w:val="18"/>
                <w:color w:val="auto"/>
              </w:rPr>
            </w:pPr>
          </w:p>
        </w:tc>
        <w:tc>
          <w:tcPr>
            <w:tcW w:w="7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W. R. Sanders</w:t>
            </w:r>
          </w:p>
        </w:tc>
        <w:tc>
          <w:tcPr>
            <w:tcW w:w="2760" w:type="dxa"/>
            <w:vAlign w:val="bottom"/>
            <w:shd w:val="clear" w:color="auto" w:fill="E9E9E9"/>
          </w:tcPr>
          <w:p>
            <w:pPr>
              <w:spacing w:after="0"/>
              <w:rPr>
                <w:sz w:val="19"/>
                <w:szCs w:val="19"/>
                <w:color w:val="auto"/>
              </w:rPr>
            </w:pPr>
          </w:p>
        </w:tc>
        <w:tc>
          <w:tcPr>
            <w:tcW w:w="1220" w:type="dxa"/>
            <w:vAlign w:val="bottom"/>
            <w:shd w:val="clear" w:color="auto" w:fill="E9E9E9"/>
          </w:tcPr>
          <w:p>
            <w:pPr>
              <w:spacing w:after="0"/>
              <w:rPr>
                <w:sz w:val="19"/>
                <w:szCs w:val="19"/>
                <w:color w:val="auto"/>
              </w:rPr>
            </w:pPr>
          </w:p>
        </w:tc>
        <w:tc>
          <w:tcPr>
            <w:tcW w:w="1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99,756</w:t>
            </w:r>
          </w:p>
        </w:tc>
        <w:tc>
          <w:tcPr>
            <w:tcW w:w="140" w:type="dxa"/>
            <w:vAlign w:val="bottom"/>
            <w:shd w:val="clear" w:color="auto" w:fill="E9E9E9"/>
          </w:tcPr>
          <w:p>
            <w:pPr>
              <w:spacing w:after="0"/>
              <w:rPr>
                <w:sz w:val="19"/>
                <w:szCs w:val="19"/>
                <w:color w:val="auto"/>
              </w:rPr>
            </w:pPr>
          </w:p>
        </w:tc>
        <w:tc>
          <w:tcPr>
            <w:tcW w:w="76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320" w:type="dxa"/>
            <w:vAlign w:val="bottom"/>
            <w:gridSpan w:val="3"/>
          </w:tcPr>
          <w:p>
            <w:pPr>
              <w:spacing w:after="0"/>
              <w:rPr>
                <w:sz w:val="20"/>
                <w:szCs w:val="20"/>
                <w:color w:val="auto"/>
              </w:rPr>
            </w:pPr>
            <w:r>
              <w:rPr>
                <w:rFonts w:ascii="Arial" w:cs="Arial" w:eastAsia="Arial" w:hAnsi="Arial"/>
                <w:sz w:val="16"/>
                <w:szCs w:val="16"/>
                <w:color w:val="auto"/>
              </w:rPr>
              <w:t>R. J. Simmons</w:t>
            </w: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127,212</w:t>
            </w:r>
          </w:p>
        </w:tc>
        <w:tc>
          <w:tcPr>
            <w:tcW w:w="140" w:type="dxa"/>
            <w:vAlign w:val="bottom"/>
          </w:tcPr>
          <w:p>
            <w:pPr>
              <w:spacing w:after="0"/>
              <w:rPr>
                <w:sz w:val="18"/>
                <w:szCs w:val="18"/>
                <w:color w:val="auto"/>
              </w:rPr>
            </w:pPr>
          </w:p>
        </w:tc>
        <w:tc>
          <w:tcPr>
            <w:tcW w:w="7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R. K. Templeton</w:t>
            </w:r>
          </w:p>
        </w:tc>
        <w:tc>
          <w:tcPr>
            <w:tcW w:w="2760" w:type="dxa"/>
            <w:vAlign w:val="bottom"/>
            <w:shd w:val="clear" w:color="auto" w:fill="E9E9E9"/>
          </w:tcPr>
          <w:p>
            <w:pPr>
              <w:spacing w:after="0"/>
              <w:rPr>
                <w:sz w:val="19"/>
                <w:szCs w:val="19"/>
                <w:color w:val="auto"/>
              </w:rPr>
            </w:pPr>
          </w:p>
        </w:tc>
        <w:tc>
          <w:tcPr>
            <w:tcW w:w="1220" w:type="dxa"/>
            <w:vAlign w:val="bottom"/>
            <w:shd w:val="clear" w:color="auto" w:fill="E9E9E9"/>
          </w:tcPr>
          <w:p>
            <w:pPr>
              <w:spacing w:after="0"/>
              <w:rPr>
                <w:sz w:val="19"/>
                <w:szCs w:val="19"/>
                <w:color w:val="auto"/>
              </w:rPr>
            </w:pPr>
          </w:p>
        </w:tc>
        <w:tc>
          <w:tcPr>
            <w:tcW w:w="1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5,126,873</w:t>
            </w:r>
          </w:p>
        </w:tc>
        <w:tc>
          <w:tcPr>
            <w:tcW w:w="140" w:type="dxa"/>
            <w:vAlign w:val="bottom"/>
            <w:shd w:val="clear" w:color="auto" w:fill="E9E9E9"/>
          </w:tcPr>
          <w:p>
            <w:pPr>
              <w:spacing w:after="0"/>
              <w:rPr>
                <w:sz w:val="19"/>
                <w:szCs w:val="19"/>
                <w:color w:val="auto"/>
              </w:rPr>
            </w:pPr>
          </w:p>
        </w:tc>
        <w:tc>
          <w:tcPr>
            <w:tcW w:w="76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320" w:type="dxa"/>
            <w:vAlign w:val="bottom"/>
            <w:gridSpan w:val="3"/>
          </w:tcPr>
          <w:p>
            <w:pPr>
              <w:spacing w:after="0"/>
              <w:rPr>
                <w:sz w:val="20"/>
                <w:szCs w:val="20"/>
                <w:color w:val="auto"/>
              </w:rPr>
            </w:pPr>
            <w:r>
              <w:rPr>
                <w:rFonts w:ascii="Arial" w:cs="Arial" w:eastAsia="Arial" w:hAnsi="Arial"/>
                <w:sz w:val="16"/>
                <w:szCs w:val="16"/>
                <w:color w:val="auto"/>
              </w:rPr>
              <w:t>C. T. Whitman</w:t>
            </w:r>
          </w:p>
        </w:tc>
        <w:tc>
          <w:tcPr>
            <w:tcW w:w="2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92,049</w:t>
            </w:r>
          </w:p>
        </w:tc>
        <w:tc>
          <w:tcPr>
            <w:tcW w:w="140" w:type="dxa"/>
            <w:vAlign w:val="bottom"/>
          </w:tcPr>
          <w:p>
            <w:pPr>
              <w:spacing w:after="0"/>
              <w:rPr>
                <w:sz w:val="17"/>
                <w:szCs w:val="17"/>
                <w:color w:val="auto"/>
              </w:rPr>
            </w:pPr>
          </w:p>
        </w:tc>
        <w:tc>
          <w:tcPr>
            <w:tcW w:w="7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5300" w:type="dxa"/>
            <w:vAlign w:val="bottom"/>
            <w:gridSpan w:val="2"/>
            <w:shd w:val="clear" w:color="auto" w:fill="E9E9E9"/>
          </w:tcPr>
          <w:p>
            <w:pPr>
              <w:spacing w:after="0"/>
              <w:rPr>
                <w:sz w:val="20"/>
                <w:szCs w:val="20"/>
                <w:color w:val="auto"/>
              </w:rPr>
            </w:pPr>
            <w:r>
              <w:rPr>
                <w:rFonts w:ascii="Arial" w:cs="Arial" w:eastAsia="Arial" w:hAnsi="Arial"/>
                <w:sz w:val="16"/>
                <w:szCs w:val="16"/>
                <w:b w:val="1"/>
                <w:bCs w:val="1"/>
                <w:color w:val="auto"/>
              </w:rPr>
              <w:t>Management (2)</w:t>
            </w:r>
          </w:p>
        </w:tc>
        <w:tc>
          <w:tcPr>
            <w:tcW w:w="2760" w:type="dxa"/>
            <w:vAlign w:val="bottom"/>
            <w:shd w:val="clear" w:color="auto" w:fill="E9E9E9"/>
          </w:tcPr>
          <w:p>
            <w:pPr>
              <w:spacing w:after="0"/>
              <w:rPr>
                <w:sz w:val="18"/>
                <w:szCs w:val="18"/>
                <w:color w:val="auto"/>
              </w:rPr>
            </w:pPr>
          </w:p>
        </w:tc>
        <w:tc>
          <w:tcPr>
            <w:tcW w:w="1220" w:type="dxa"/>
            <w:vAlign w:val="bottom"/>
            <w:shd w:val="clear" w:color="auto" w:fill="E9E9E9"/>
          </w:tcPr>
          <w:p>
            <w:pPr>
              <w:spacing w:after="0"/>
              <w:rPr>
                <w:sz w:val="18"/>
                <w:szCs w:val="18"/>
                <w:color w:val="auto"/>
              </w:rPr>
            </w:pPr>
          </w:p>
        </w:tc>
        <w:tc>
          <w:tcPr>
            <w:tcW w:w="124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76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gridSpan w:val="3"/>
          </w:tcPr>
          <w:p>
            <w:pPr>
              <w:spacing w:after="0"/>
              <w:rPr>
                <w:sz w:val="20"/>
                <w:szCs w:val="20"/>
                <w:color w:val="auto"/>
              </w:rPr>
            </w:pPr>
            <w:r>
              <w:rPr>
                <w:rFonts w:ascii="Arial" w:cs="Arial" w:eastAsia="Arial" w:hAnsi="Arial"/>
                <w:sz w:val="16"/>
                <w:szCs w:val="16"/>
                <w:color w:val="auto"/>
              </w:rPr>
              <w:t>K. P. March</w:t>
            </w: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980,202</w:t>
            </w:r>
          </w:p>
        </w:tc>
        <w:tc>
          <w:tcPr>
            <w:tcW w:w="140" w:type="dxa"/>
            <w:vAlign w:val="bottom"/>
          </w:tcPr>
          <w:p>
            <w:pPr>
              <w:spacing w:after="0"/>
              <w:rPr>
                <w:sz w:val="18"/>
                <w:szCs w:val="18"/>
                <w:color w:val="auto"/>
              </w:rPr>
            </w:pPr>
          </w:p>
        </w:tc>
        <w:tc>
          <w:tcPr>
            <w:tcW w:w="7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G. A. Lowe</w:t>
            </w:r>
          </w:p>
        </w:tc>
        <w:tc>
          <w:tcPr>
            <w:tcW w:w="2760" w:type="dxa"/>
            <w:vAlign w:val="bottom"/>
            <w:shd w:val="clear" w:color="auto" w:fill="E9E9E9"/>
          </w:tcPr>
          <w:p>
            <w:pPr>
              <w:spacing w:after="0"/>
              <w:rPr>
                <w:sz w:val="19"/>
                <w:szCs w:val="19"/>
                <w:color w:val="auto"/>
              </w:rPr>
            </w:pPr>
          </w:p>
        </w:tc>
        <w:tc>
          <w:tcPr>
            <w:tcW w:w="1220" w:type="dxa"/>
            <w:vAlign w:val="bottom"/>
            <w:shd w:val="clear" w:color="auto" w:fill="E9E9E9"/>
          </w:tcPr>
          <w:p>
            <w:pPr>
              <w:spacing w:after="0"/>
              <w:rPr>
                <w:sz w:val="19"/>
                <w:szCs w:val="19"/>
                <w:color w:val="auto"/>
              </w:rPr>
            </w:pPr>
          </w:p>
        </w:tc>
        <w:tc>
          <w:tcPr>
            <w:tcW w:w="1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1,191,419</w:t>
            </w:r>
          </w:p>
        </w:tc>
        <w:tc>
          <w:tcPr>
            <w:tcW w:w="140" w:type="dxa"/>
            <w:vAlign w:val="bottom"/>
            <w:shd w:val="clear" w:color="auto" w:fill="E9E9E9"/>
          </w:tcPr>
          <w:p>
            <w:pPr>
              <w:spacing w:after="0"/>
              <w:rPr>
                <w:sz w:val="19"/>
                <w:szCs w:val="19"/>
                <w:color w:val="auto"/>
              </w:rPr>
            </w:pPr>
          </w:p>
        </w:tc>
        <w:tc>
          <w:tcPr>
            <w:tcW w:w="76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320" w:type="dxa"/>
            <w:vAlign w:val="bottom"/>
            <w:gridSpan w:val="3"/>
          </w:tcPr>
          <w:p>
            <w:pPr>
              <w:spacing w:after="0"/>
              <w:rPr>
                <w:sz w:val="20"/>
                <w:szCs w:val="20"/>
                <w:color w:val="auto"/>
              </w:rPr>
            </w:pPr>
            <w:r>
              <w:rPr>
                <w:rFonts w:ascii="Arial" w:cs="Arial" w:eastAsia="Arial" w:hAnsi="Arial"/>
                <w:sz w:val="16"/>
                <w:szCs w:val="16"/>
                <w:color w:val="auto"/>
              </w:rPr>
              <w:t>K. J. Ritchie</w:t>
            </w: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1,137,169</w:t>
            </w:r>
          </w:p>
        </w:tc>
        <w:tc>
          <w:tcPr>
            <w:tcW w:w="140" w:type="dxa"/>
            <w:vAlign w:val="bottom"/>
          </w:tcPr>
          <w:p>
            <w:pPr>
              <w:spacing w:after="0"/>
              <w:rPr>
                <w:sz w:val="18"/>
                <w:szCs w:val="18"/>
                <w:color w:val="auto"/>
              </w:rPr>
            </w:pPr>
          </w:p>
        </w:tc>
        <w:tc>
          <w:tcPr>
            <w:tcW w:w="7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B. T. Crutcher</w:t>
            </w:r>
          </w:p>
        </w:tc>
        <w:tc>
          <w:tcPr>
            <w:tcW w:w="2760" w:type="dxa"/>
            <w:vAlign w:val="bottom"/>
            <w:shd w:val="clear" w:color="auto" w:fill="E9E9E9"/>
          </w:tcPr>
          <w:p>
            <w:pPr>
              <w:spacing w:after="0"/>
              <w:rPr>
                <w:sz w:val="19"/>
                <w:szCs w:val="19"/>
                <w:color w:val="auto"/>
              </w:rPr>
            </w:pPr>
          </w:p>
        </w:tc>
        <w:tc>
          <w:tcPr>
            <w:tcW w:w="1220" w:type="dxa"/>
            <w:vAlign w:val="bottom"/>
            <w:shd w:val="clear" w:color="auto" w:fill="E9E9E9"/>
          </w:tcPr>
          <w:p>
            <w:pPr>
              <w:spacing w:after="0"/>
              <w:rPr>
                <w:sz w:val="19"/>
                <w:szCs w:val="19"/>
                <w:color w:val="auto"/>
              </w:rPr>
            </w:pPr>
          </w:p>
        </w:tc>
        <w:tc>
          <w:tcPr>
            <w:tcW w:w="1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468,381</w:t>
            </w:r>
          </w:p>
        </w:tc>
        <w:tc>
          <w:tcPr>
            <w:tcW w:w="140" w:type="dxa"/>
            <w:vAlign w:val="bottom"/>
            <w:shd w:val="clear" w:color="auto" w:fill="E9E9E9"/>
          </w:tcPr>
          <w:p>
            <w:pPr>
              <w:spacing w:after="0"/>
              <w:rPr>
                <w:sz w:val="19"/>
                <w:szCs w:val="19"/>
                <w:color w:val="auto"/>
              </w:rPr>
            </w:pPr>
          </w:p>
        </w:tc>
        <w:tc>
          <w:tcPr>
            <w:tcW w:w="760" w:type="dxa"/>
            <w:vAlign w:val="bottom"/>
            <w:shd w:val="clear" w:color="auto" w:fill="E9E9E9"/>
          </w:tcPr>
          <w:p>
            <w:pPr>
              <w:jc w:val="right"/>
              <w:ind w:right="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40" w:type="dxa"/>
            <w:vAlign w:val="bottom"/>
            <w:gridSpan w:val="2"/>
          </w:tcPr>
          <w:p>
            <w:pPr>
              <w:spacing w:after="0"/>
              <w:rPr>
                <w:sz w:val="18"/>
                <w:szCs w:val="18"/>
                <w:color w:val="auto"/>
              </w:rPr>
            </w:pPr>
          </w:p>
        </w:tc>
        <w:tc>
          <w:tcPr>
            <w:tcW w:w="50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All executive officers and directors as a group (3)</w:t>
            </w:r>
          </w:p>
        </w:tc>
        <w:tc>
          <w:tcPr>
            <w:tcW w:w="2760" w:type="dxa"/>
            <w:vAlign w:val="bottom"/>
            <w:shd w:val="clear" w:color="auto" w:fill="E9E9E9"/>
          </w:tcPr>
          <w:p>
            <w:pPr>
              <w:spacing w:after="0"/>
              <w:rPr>
                <w:sz w:val="18"/>
                <w:szCs w:val="18"/>
                <w:color w:val="auto"/>
              </w:rPr>
            </w:pPr>
          </w:p>
        </w:tc>
        <w:tc>
          <w:tcPr>
            <w:tcW w:w="1220" w:type="dxa"/>
            <w:vAlign w:val="bottom"/>
            <w:shd w:val="clear" w:color="auto" w:fill="E9E9E9"/>
          </w:tcPr>
          <w:p>
            <w:pPr>
              <w:spacing w:after="0"/>
              <w:rPr>
                <w:sz w:val="18"/>
                <w:szCs w:val="18"/>
                <w:color w:val="auto"/>
              </w:rPr>
            </w:pPr>
          </w:p>
        </w:tc>
        <w:tc>
          <w:tcPr>
            <w:tcW w:w="1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13,479,761</w:t>
            </w:r>
          </w:p>
        </w:tc>
        <w:tc>
          <w:tcPr>
            <w:tcW w:w="140" w:type="dxa"/>
            <w:vAlign w:val="bottom"/>
            <w:shd w:val="clear" w:color="auto" w:fill="E9E9E9"/>
          </w:tcPr>
          <w:p>
            <w:pPr>
              <w:spacing w:after="0"/>
              <w:rPr>
                <w:sz w:val="18"/>
                <w:szCs w:val="18"/>
                <w:color w:val="auto"/>
              </w:rPr>
            </w:pPr>
          </w:p>
        </w:tc>
        <w:tc>
          <w:tcPr>
            <w:tcW w:w="7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410"/>
        </w:trPr>
        <w:tc>
          <w:tcPr>
            <w:tcW w:w="5320" w:type="dxa"/>
            <w:vAlign w:val="bottom"/>
            <w:gridSpan w:val="3"/>
          </w:tcPr>
          <w:p>
            <w:pPr>
              <w:spacing w:after="0"/>
              <w:rPr>
                <w:sz w:val="20"/>
                <w:szCs w:val="20"/>
                <w:color w:val="auto"/>
              </w:rPr>
            </w:pPr>
            <w:r>
              <w:rPr>
                <w:rFonts w:ascii="Arial" w:cs="Arial" w:eastAsia="Arial" w:hAnsi="Arial"/>
                <w:sz w:val="16"/>
                <w:szCs w:val="16"/>
                <w:color w:val="auto"/>
              </w:rPr>
              <w:t>*   less than 1 percent</w:t>
            </w:r>
          </w:p>
        </w:tc>
        <w:tc>
          <w:tcPr>
            <w:tcW w:w="2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320" w:type="dxa"/>
            <w:vAlign w:val="bottom"/>
            <w:gridSpan w:val="3"/>
          </w:tcPr>
          <w:p>
            <w:pPr>
              <w:spacing w:after="0"/>
              <w:rPr>
                <w:sz w:val="20"/>
                <w:szCs w:val="20"/>
                <w:color w:val="auto"/>
              </w:rPr>
            </w:pPr>
            <w:r>
              <w:rPr>
                <w:rFonts w:ascii="Arial" w:cs="Arial" w:eastAsia="Arial" w:hAnsi="Arial"/>
                <w:sz w:val="16"/>
                <w:szCs w:val="16"/>
                <w:color w:val="auto"/>
              </w:rPr>
              <w:t>(1) Included in the shares owned shown above are:</w:t>
            </w:r>
          </w:p>
        </w:tc>
        <w:tc>
          <w:tcPr>
            <w:tcW w:w="2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ind w:right="4"/>
              <w:spacing w:after="0"/>
              <w:rPr>
                <w:sz w:val="20"/>
                <w:szCs w:val="20"/>
                <w:color w:val="auto"/>
              </w:rPr>
            </w:pPr>
            <w:r>
              <w:rPr>
                <w:rFonts w:ascii="Arial" w:cs="Arial" w:eastAsia="Arial" w:hAnsi="Arial"/>
                <w:sz w:val="12"/>
                <w:szCs w:val="12"/>
                <w:b w:val="1"/>
                <w:bCs w:val="1"/>
                <w:color w:val="auto"/>
                <w:w w:val="99"/>
              </w:rPr>
              <w:t>Shares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24"/>
              <w:spacing w:after="0"/>
              <w:rPr>
                <w:sz w:val="20"/>
                <w:szCs w:val="20"/>
                <w:color w:val="auto"/>
              </w:rPr>
            </w:pPr>
            <w:r>
              <w:rPr>
                <w:rFonts w:ascii="Arial" w:cs="Arial" w:eastAsia="Arial" w:hAnsi="Arial"/>
                <w:sz w:val="12"/>
                <w:szCs w:val="12"/>
                <w:b w:val="1"/>
                <w:bCs w:val="1"/>
                <w:color w:val="auto"/>
              </w:rPr>
              <w:t>Credited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760" w:type="dxa"/>
            <w:vAlign w:val="bottom"/>
          </w:tcPr>
          <w:p>
            <w:pPr>
              <w:jc w:val="center"/>
              <w:ind w:left="1486"/>
              <w:spacing w:after="0"/>
              <w:rPr>
                <w:sz w:val="20"/>
                <w:szCs w:val="20"/>
                <w:color w:val="auto"/>
              </w:rPr>
            </w:pPr>
            <w:r>
              <w:rPr>
                <w:rFonts w:ascii="Arial" w:cs="Arial" w:eastAsia="Arial" w:hAnsi="Arial"/>
                <w:sz w:val="12"/>
                <w:szCs w:val="12"/>
                <w:b w:val="1"/>
                <w:bCs w:val="1"/>
                <w:color w:val="auto"/>
                <w:w w:val="99"/>
              </w:rPr>
              <w:t>Shares</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9"/>
              </w:rPr>
              <w:t>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24"/>
              <w:spacing w:after="0"/>
              <w:rPr>
                <w:sz w:val="20"/>
                <w:szCs w:val="20"/>
                <w:color w:val="auto"/>
              </w:rPr>
            </w:pPr>
            <w:r>
              <w:rPr>
                <w:rFonts w:ascii="Arial" w:cs="Arial" w:eastAsia="Arial" w:hAnsi="Arial"/>
                <w:sz w:val="12"/>
                <w:szCs w:val="12"/>
                <w:b w:val="1"/>
                <w:bCs w:val="1"/>
                <w:color w:val="auto"/>
              </w:rPr>
              <w:t>to Deferred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760" w:type="dxa"/>
            <w:vAlign w:val="bottom"/>
          </w:tcPr>
          <w:p>
            <w:pPr>
              <w:jc w:val="center"/>
              <w:ind w:left="1486"/>
              <w:spacing w:after="0"/>
              <w:rPr>
                <w:sz w:val="20"/>
                <w:szCs w:val="20"/>
                <w:color w:val="auto"/>
              </w:rPr>
            </w:pPr>
            <w:r>
              <w:rPr>
                <w:rFonts w:ascii="Arial" w:cs="Arial" w:eastAsia="Arial" w:hAnsi="Arial"/>
                <w:sz w:val="12"/>
                <w:szCs w:val="12"/>
                <w:b w:val="1"/>
                <w:bCs w:val="1"/>
                <w:color w:val="auto"/>
              </w:rPr>
              <w:t>Obtainable</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rPr>
              <w:t>Credited to</w:t>
            </w:r>
          </w:p>
        </w:tc>
        <w:tc>
          <w:tcPr>
            <w:tcW w:w="1240" w:type="dxa"/>
            <w:vAlign w:val="bottom"/>
          </w:tcPr>
          <w:p>
            <w:pPr>
              <w:jc w:val="right"/>
              <w:ind w:right="424"/>
              <w:spacing w:after="0"/>
              <w:rPr>
                <w:sz w:val="20"/>
                <w:szCs w:val="20"/>
                <w:color w:val="auto"/>
              </w:rPr>
            </w:pPr>
            <w:r>
              <w:rPr>
                <w:rFonts w:ascii="Arial" w:cs="Arial" w:eastAsia="Arial" w:hAnsi="Arial"/>
                <w:sz w:val="12"/>
                <w:szCs w:val="12"/>
                <w:b w:val="1"/>
                <w:bCs w:val="1"/>
                <w:color w:val="auto"/>
              </w:rPr>
              <w:t>RSUs</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Compensation</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2"/>
                <w:szCs w:val="12"/>
                <w:b w:val="1"/>
                <w:bCs w:val="1"/>
                <w:color w:val="auto"/>
              </w:rPr>
              <w:t>Director</w:t>
            </w:r>
          </w:p>
        </w:tc>
        <w:tc>
          <w:tcPr>
            <w:tcW w:w="2760" w:type="dxa"/>
            <w:vAlign w:val="bottom"/>
          </w:tcPr>
          <w:p>
            <w:pPr>
              <w:jc w:val="center"/>
              <w:ind w:left="1486"/>
              <w:spacing w:after="0"/>
              <w:rPr>
                <w:sz w:val="20"/>
                <w:szCs w:val="20"/>
                <w:color w:val="auto"/>
              </w:rPr>
            </w:pPr>
            <w:r>
              <w:rPr>
                <w:rFonts w:ascii="Arial" w:cs="Arial" w:eastAsia="Arial" w:hAnsi="Arial"/>
                <w:sz w:val="12"/>
                <w:szCs w:val="12"/>
                <w:b w:val="1"/>
                <w:bCs w:val="1"/>
                <w:color w:val="auto"/>
              </w:rPr>
              <w:t>within 60 Days</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9"/>
              </w:rPr>
              <w:t>401(k) Account</w:t>
            </w:r>
          </w:p>
        </w:tc>
        <w:tc>
          <w:tcPr>
            <w:tcW w:w="1240" w:type="dxa"/>
            <w:vAlign w:val="bottom"/>
          </w:tcPr>
          <w:p>
            <w:pPr>
              <w:jc w:val="right"/>
              <w:ind w:right="184"/>
              <w:spacing w:after="0"/>
              <w:rPr>
                <w:sz w:val="20"/>
                <w:szCs w:val="20"/>
                <w:color w:val="auto"/>
              </w:rPr>
            </w:pPr>
            <w:r>
              <w:rPr>
                <w:rFonts w:ascii="Arial" w:cs="Arial" w:eastAsia="Arial" w:hAnsi="Arial"/>
                <w:sz w:val="12"/>
                <w:szCs w:val="12"/>
                <w:b w:val="1"/>
                <w:bCs w:val="1"/>
                <w:color w:val="auto"/>
              </w:rPr>
              <w:t>(in Shares) (a)</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rPr>
              <w:t>Accounts (b)</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80" w:type="dxa"/>
            <w:vAlign w:val="bottom"/>
            <w:tcBorders>
              <w:bottom w:val="single" w:sz="8" w:color="808285"/>
            </w:tcBorders>
          </w:tcPr>
          <w:p>
            <w:pPr>
              <w:spacing w:after="0"/>
              <w:rPr>
                <w:sz w:val="3"/>
                <w:szCs w:val="3"/>
                <w:color w:val="auto"/>
              </w:rPr>
            </w:pPr>
          </w:p>
        </w:tc>
        <w:tc>
          <w:tcPr>
            <w:tcW w:w="2760" w:type="dxa"/>
            <w:vAlign w:val="bottom"/>
            <w:tcBorders>
              <w:bottom w:val="single" w:sz="8" w:color="808285"/>
            </w:tcBorders>
          </w:tcPr>
          <w:p>
            <w:pPr>
              <w:spacing w:after="0"/>
              <w:rPr>
                <w:sz w:val="3"/>
                <w:szCs w:val="3"/>
                <w:color w:val="auto"/>
              </w:rPr>
            </w:pPr>
          </w:p>
        </w:tc>
        <w:tc>
          <w:tcPr>
            <w:tcW w:w="1220" w:type="dxa"/>
            <w:vAlign w:val="bottom"/>
            <w:tcBorders>
              <w:bottom w:val="single" w:sz="8" w:color="808285"/>
            </w:tcBorders>
          </w:tcPr>
          <w:p>
            <w:pPr>
              <w:spacing w:after="0"/>
              <w:rPr>
                <w:sz w:val="3"/>
                <w:szCs w:val="3"/>
                <w:color w:val="auto"/>
              </w:rPr>
            </w:pPr>
          </w:p>
        </w:tc>
        <w:tc>
          <w:tcPr>
            <w:tcW w:w="1240" w:type="dxa"/>
            <w:vAlign w:val="bottom"/>
            <w:tcBorders>
              <w:bottom w:val="single" w:sz="8" w:color="808285"/>
            </w:tcBorders>
          </w:tcPr>
          <w:p>
            <w:pPr>
              <w:spacing w:after="0"/>
              <w:rPr>
                <w:sz w:val="3"/>
                <w:szCs w:val="3"/>
                <w:color w:val="auto"/>
              </w:rPr>
            </w:pPr>
          </w:p>
        </w:tc>
        <w:tc>
          <w:tcPr>
            <w:tcW w:w="140" w:type="dxa"/>
            <w:vAlign w:val="bottom"/>
            <w:tcBorders>
              <w:bottom w:val="single" w:sz="8" w:color="808285"/>
            </w:tcBorders>
          </w:tcPr>
          <w:p>
            <w:pPr>
              <w:spacing w:after="0"/>
              <w:rPr>
                <w:sz w:val="3"/>
                <w:szCs w:val="3"/>
                <w:color w:val="auto"/>
              </w:rPr>
            </w:pPr>
          </w:p>
        </w:tc>
        <w:tc>
          <w:tcPr>
            <w:tcW w:w="760" w:type="dxa"/>
            <w:vAlign w:val="bottom"/>
            <w:tcBorders>
              <w:bottom w:val="single" w:sz="8" w:color="808285"/>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shd w:val="clear" w:color="auto" w:fill="E9E9E9"/>
          </w:tcPr>
          <w:p>
            <w:pPr>
              <w:spacing w:after="0"/>
              <w:rPr>
                <w:sz w:val="20"/>
                <w:szCs w:val="20"/>
                <w:color w:val="auto"/>
              </w:rPr>
            </w:pPr>
            <w:r>
              <w:rPr>
                <w:rFonts w:ascii="Arial" w:cs="Arial" w:eastAsia="Arial" w:hAnsi="Arial"/>
                <w:sz w:val="16"/>
                <w:szCs w:val="16"/>
                <w:color w:val="auto"/>
              </w:rPr>
              <w:t>R. W. Babb, Jr.</w:t>
            </w:r>
          </w:p>
        </w:tc>
        <w:tc>
          <w:tcPr>
            <w:tcW w:w="2760" w:type="dxa"/>
            <w:vAlign w:val="bottom"/>
            <w:shd w:val="clear" w:color="auto" w:fill="E9E9E9"/>
          </w:tcPr>
          <w:p>
            <w:pPr>
              <w:jc w:val="right"/>
              <w:ind w:right="186"/>
              <w:spacing w:after="0"/>
              <w:rPr>
                <w:sz w:val="20"/>
                <w:szCs w:val="20"/>
                <w:color w:val="auto"/>
              </w:rPr>
            </w:pPr>
            <w:r>
              <w:rPr>
                <w:rFonts w:ascii="Arial" w:cs="Arial" w:eastAsia="Arial" w:hAnsi="Arial"/>
                <w:sz w:val="16"/>
                <w:szCs w:val="16"/>
                <w:color w:val="auto"/>
              </w:rPr>
              <w:t>2,500</w:t>
            </w:r>
          </w:p>
        </w:tc>
        <w:tc>
          <w:tcPr>
            <w:tcW w:w="1220" w:type="dxa"/>
            <w:vAlign w:val="bottom"/>
            <w:shd w:val="clear" w:color="auto" w:fill="E9E9E9"/>
          </w:tcPr>
          <w:p>
            <w:pPr>
              <w:jc w:val="right"/>
              <w:ind w:right="286"/>
              <w:spacing w:after="0"/>
              <w:rPr>
                <w:sz w:val="20"/>
                <w:szCs w:val="20"/>
                <w:color w:val="auto"/>
              </w:rPr>
            </w:pPr>
            <w:r>
              <w:rPr>
                <w:rFonts w:ascii="Arial" w:cs="Arial" w:eastAsia="Arial" w:hAnsi="Arial"/>
                <w:sz w:val="16"/>
                <w:szCs w:val="16"/>
                <w:color w:val="auto"/>
              </w:rPr>
              <w:t>—</w:t>
            </w:r>
          </w:p>
        </w:tc>
        <w:tc>
          <w:tcPr>
            <w:tcW w:w="1240" w:type="dxa"/>
            <w:vAlign w:val="bottom"/>
            <w:shd w:val="clear" w:color="auto" w:fill="E9E9E9"/>
          </w:tcPr>
          <w:p>
            <w:pPr>
              <w:jc w:val="right"/>
              <w:ind w:right="304"/>
              <w:spacing w:after="0"/>
              <w:rPr>
                <w:sz w:val="20"/>
                <w:szCs w:val="20"/>
                <w:color w:val="auto"/>
              </w:rPr>
            </w:pPr>
            <w:r>
              <w:rPr>
                <w:rFonts w:ascii="Arial" w:cs="Arial" w:eastAsia="Arial" w:hAnsi="Arial"/>
                <w:sz w:val="16"/>
                <w:szCs w:val="16"/>
                <w:color w:val="auto"/>
              </w:rPr>
              <w:t>4,887</w:t>
            </w:r>
          </w:p>
        </w:tc>
        <w:tc>
          <w:tcPr>
            <w:tcW w:w="140" w:type="dxa"/>
            <w:vAlign w:val="bottom"/>
            <w:shd w:val="clear" w:color="auto" w:fill="E9E9E9"/>
          </w:tcPr>
          <w:p>
            <w:pPr>
              <w:spacing w:after="0"/>
              <w:rPr>
                <w:sz w:val="18"/>
                <w:szCs w:val="18"/>
                <w:color w:val="auto"/>
              </w:rPr>
            </w:pPr>
          </w:p>
        </w:tc>
        <w:tc>
          <w:tcPr>
            <w:tcW w:w="76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5,005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D. A. Carp</w:t>
            </w:r>
          </w:p>
        </w:tc>
        <w:tc>
          <w:tcPr>
            <w:tcW w:w="2760" w:type="dxa"/>
            <w:vAlign w:val="bottom"/>
          </w:tcPr>
          <w:p>
            <w:pPr>
              <w:jc w:val="right"/>
              <w:ind w:right="186"/>
              <w:spacing w:after="0"/>
              <w:rPr>
                <w:sz w:val="20"/>
                <w:szCs w:val="20"/>
                <w:color w:val="auto"/>
              </w:rPr>
            </w:pPr>
            <w:r>
              <w:rPr>
                <w:rFonts w:ascii="Arial" w:cs="Arial" w:eastAsia="Arial" w:hAnsi="Arial"/>
                <w:sz w:val="16"/>
                <w:szCs w:val="16"/>
                <w:color w:val="auto"/>
              </w:rPr>
              <w:t>80,250</w:t>
            </w:r>
          </w:p>
        </w:tc>
        <w:tc>
          <w:tcPr>
            <w:tcW w:w="1220" w:type="dxa"/>
            <w:vAlign w:val="bottom"/>
          </w:tcPr>
          <w:p>
            <w:pPr>
              <w:jc w:val="right"/>
              <w:ind w:right="286"/>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21,551</w:t>
            </w:r>
          </w:p>
        </w:tc>
        <w:tc>
          <w:tcPr>
            <w:tcW w:w="140" w:type="dxa"/>
            <w:vAlign w:val="bottom"/>
          </w:tcPr>
          <w:p>
            <w:pPr>
              <w:spacing w:after="0"/>
              <w:rPr>
                <w:sz w:val="18"/>
                <w:szCs w:val="18"/>
                <w:color w:val="auto"/>
              </w:rPr>
            </w:pPr>
          </w:p>
        </w:tc>
        <w:tc>
          <w:tcPr>
            <w:tcW w:w="760" w:type="dxa"/>
            <w:vAlign w:val="bottom"/>
          </w:tcPr>
          <w:p>
            <w:pPr>
              <w:jc w:val="right"/>
              <w:ind w:right="144"/>
              <w:spacing w:after="0"/>
              <w:rPr>
                <w:sz w:val="20"/>
                <w:szCs w:val="20"/>
                <w:color w:val="auto"/>
              </w:rPr>
            </w:pPr>
            <w:r>
              <w:rPr>
                <w:rFonts w:ascii="Arial" w:cs="Arial" w:eastAsia="Arial" w:hAnsi="Arial"/>
                <w:sz w:val="16"/>
                <w:szCs w:val="16"/>
                <w:color w:val="auto"/>
              </w:rPr>
              <w:t>32,787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shd w:val="clear" w:color="auto" w:fill="E9E9E9"/>
          </w:tcPr>
          <w:p>
            <w:pPr>
              <w:spacing w:after="0"/>
              <w:rPr>
                <w:sz w:val="20"/>
                <w:szCs w:val="20"/>
                <w:color w:val="auto"/>
              </w:rPr>
            </w:pPr>
            <w:r>
              <w:rPr>
                <w:rFonts w:ascii="Arial" w:cs="Arial" w:eastAsia="Arial" w:hAnsi="Arial"/>
                <w:sz w:val="16"/>
                <w:szCs w:val="16"/>
                <w:color w:val="auto"/>
              </w:rPr>
              <w:t>C. S. Cox</w:t>
            </w:r>
          </w:p>
        </w:tc>
        <w:tc>
          <w:tcPr>
            <w:tcW w:w="2760" w:type="dxa"/>
            <w:vAlign w:val="bottom"/>
            <w:shd w:val="clear" w:color="auto" w:fill="E9E9E9"/>
          </w:tcPr>
          <w:p>
            <w:pPr>
              <w:jc w:val="right"/>
              <w:ind w:right="186"/>
              <w:spacing w:after="0"/>
              <w:rPr>
                <w:sz w:val="20"/>
                <w:szCs w:val="20"/>
                <w:color w:val="auto"/>
              </w:rPr>
            </w:pPr>
            <w:r>
              <w:rPr>
                <w:rFonts w:ascii="Arial" w:cs="Arial" w:eastAsia="Arial" w:hAnsi="Arial"/>
                <w:sz w:val="16"/>
                <w:szCs w:val="16"/>
                <w:color w:val="auto"/>
              </w:rPr>
              <w:t>55,250</w:t>
            </w:r>
          </w:p>
        </w:tc>
        <w:tc>
          <w:tcPr>
            <w:tcW w:w="1220" w:type="dxa"/>
            <w:vAlign w:val="bottom"/>
            <w:shd w:val="clear" w:color="auto" w:fill="E9E9E9"/>
          </w:tcPr>
          <w:p>
            <w:pPr>
              <w:jc w:val="right"/>
              <w:ind w:right="286"/>
              <w:spacing w:after="0"/>
              <w:rPr>
                <w:sz w:val="20"/>
                <w:szCs w:val="20"/>
                <w:color w:val="auto"/>
              </w:rPr>
            </w:pPr>
            <w:r>
              <w:rPr>
                <w:rFonts w:ascii="Arial" w:cs="Arial" w:eastAsia="Arial" w:hAnsi="Arial"/>
                <w:sz w:val="16"/>
                <w:szCs w:val="16"/>
                <w:color w:val="auto"/>
              </w:rPr>
              <w:t>—</w:t>
            </w:r>
          </w:p>
        </w:tc>
        <w:tc>
          <w:tcPr>
            <w:tcW w:w="1240" w:type="dxa"/>
            <w:vAlign w:val="bottom"/>
            <w:shd w:val="clear" w:color="auto" w:fill="E9E9E9"/>
          </w:tcPr>
          <w:p>
            <w:pPr>
              <w:jc w:val="right"/>
              <w:ind w:right="304"/>
              <w:spacing w:after="0"/>
              <w:rPr>
                <w:sz w:val="20"/>
                <w:szCs w:val="20"/>
                <w:color w:val="auto"/>
              </w:rPr>
            </w:pPr>
            <w:r>
              <w:rPr>
                <w:rFonts w:ascii="Arial" w:cs="Arial" w:eastAsia="Arial" w:hAnsi="Arial"/>
                <w:sz w:val="16"/>
                <w:szCs w:val="16"/>
                <w:color w:val="auto"/>
              </w:rPr>
              <w:t>14,887</w:t>
            </w:r>
          </w:p>
        </w:tc>
        <w:tc>
          <w:tcPr>
            <w:tcW w:w="140" w:type="dxa"/>
            <w:vAlign w:val="bottom"/>
            <w:shd w:val="clear" w:color="auto" w:fill="E9E9E9"/>
          </w:tcPr>
          <w:p>
            <w:pPr>
              <w:spacing w:after="0"/>
              <w:rPr>
                <w:sz w:val="19"/>
                <w:szCs w:val="19"/>
                <w:color w:val="auto"/>
              </w:rPr>
            </w:pPr>
          </w:p>
        </w:tc>
        <w:tc>
          <w:tcPr>
            <w:tcW w:w="76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P. H. Patsley</w:t>
            </w:r>
          </w:p>
        </w:tc>
        <w:tc>
          <w:tcPr>
            <w:tcW w:w="2760" w:type="dxa"/>
            <w:vAlign w:val="bottom"/>
          </w:tcPr>
          <w:p>
            <w:pPr>
              <w:jc w:val="right"/>
              <w:ind w:right="186"/>
              <w:spacing w:after="0"/>
              <w:rPr>
                <w:sz w:val="20"/>
                <w:szCs w:val="20"/>
                <w:color w:val="auto"/>
              </w:rPr>
            </w:pPr>
            <w:r>
              <w:rPr>
                <w:rFonts w:ascii="Arial" w:cs="Arial" w:eastAsia="Arial" w:hAnsi="Arial"/>
                <w:sz w:val="16"/>
                <w:szCs w:val="16"/>
                <w:color w:val="auto"/>
              </w:rPr>
              <w:t>55,250</w:t>
            </w:r>
          </w:p>
        </w:tc>
        <w:tc>
          <w:tcPr>
            <w:tcW w:w="1220" w:type="dxa"/>
            <w:vAlign w:val="bottom"/>
          </w:tcPr>
          <w:p>
            <w:pPr>
              <w:jc w:val="right"/>
              <w:ind w:right="286"/>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12,387</w:t>
            </w:r>
          </w:p>
        </w:tc>
        <w:tc>
          <w:tcPr>
            <w:tcW w:w="140" w:type="dxa"/>
            <w:vAlign w:val="bottom"/>
          </w:tcPr>
          <w:p>
            <w:pPr>
              <w:spacing w:after="0"/>
              <w:rPr>
                <w:sz w:val="18"/>
                <w:szCs w:val="18"/>
                <w:color w:val="auto"/>
              </w:rPr>
            </w:pPr>
          </w:p>
        </w:tc>
        <w:tc>
          <w:tcPr>
            <w:tcW w:w="760" w:type="dxa"/>
            <w:vAlign w:val="bottom"/>
          </w:tcPr>
          <w:p>
            <w:pPr>
              <w:jc w:val="right"/>
              <w:ind w:right="144"/>
              <w:spacing w:after="0"/>
              <w:rPr>
                <w:sz w:val="20"/>
                <w:szCs w:val="20"/>
                <w:color w:val="auto"/>
              </w:rPr>
            </w:pPr>
            <w:r>
              <w:rPr>
                <w:rFonts w:ascii="Arial" w:cs="Arial" w:eastAsia="Arial" w:hAnsi="Arial"/>
                <w:sz w:val="16"/>
                <w:szCs w:val="16"/>
                <w:color w:val="auto"/>
              </w:rPr>
              <w:t>26,565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shd w:val="clear" w:color="auto" w:fill="E9E9E9"/>
          </w:tcPr>
          <w:p>
            <w:pPr>
              <w:spacing w:after="0"/>
              <w:rPr>
                <w:sz w:val="20"/>
                <w:szCs w:val="20"/>
                <w:color w:val="auto"/>
              </w:rPr>
            </w:pPr>
            <w:r>
              <w:rPr>
                <w:rFonts w:ascii="Arial" w:cs="Arial" w:eastAsia="Arial" w:hAnsi="Arial"/>
                <w:sz w:val="16"/>
                <w:szCs w:val="16"/>
                <w:color w:val="auto"/>
              </w:rPr>
              <w:t>R. E. Sanchez</w:t>
            </w:r>
          </w:p>
        </w:tc>
        <w:tc>
          <w:tcPr>
            <w:tcW w:w="2760" w:type="dxa"/>
            <w:vAlign w:val="bottom"/>
            <w:shd w:val="clear" w:color="auto" w:fill="E9E9E9"/>
          </w:tcPr>
          <w:p>
            <w:pPr>
              <w:jc w:val="right"/>
              <w:ind w:right="186"/>
              <w:spacing w:after="0"/>
              <w:rPr>
                <w:sz w:val="20"/>
                <w:szCs w:val="20"/>
                <w:color w:val="auto"/>
              </w:rPr>
            </w:pPr>
            <w:r>
              <w:rPr>
                <w:rFonts w:ascii="Arial" w:cs="Arial" w:eastAsia="Arial" w:hAnsi="Arial"/>
                <w:sz w:val="16"/>
                <w:szCs w:val="16"/>
                <w:color w:val="auto"/>
              </w:rPr>
              <w:t>—</w:t>
            </w:r>
          </w:p>
        </w:tc>
        <w:tc>
          <w:tcPr>
            <w:tcW w:w="1220" w:type="dxa"/>
            <w:vAlign w:val="bottom"/>
            <w:shd w:val="clear" w:color="auto" w:fill="E9E9E9"/>
          </w:tcPr>
          <w:p>
            <w:pPr>
              <w:jc w:val="right"/>
              <w:ind w:right="286"/>
              <w:spacing w:after="0"/>
              <w:rPr>
                <w:sz w:val="20"/>
                <w:szCs w:val="20"/>
                <w:color w:val="auto"/>
              </w:rPr>
            </w:pPr>
            <w:r>
              <w:rPr>
                <w:rFonts w:ascii="Arial" w:cs="Arial" w:eastAsia="Arial" w:hAnsi="Arial"/>
                <w:sz w:val="16"/>
                <w:szCs w:val="16"/>
                <w:color w:val="auto"/>
              </w:rPr>
              <w:t>—</w:t>
            </w:r>
          </w:p>
        </w:tc>
        <w:tc>
          <w:tcPr>
            <w:tcW w:w="1240" w:type="dxa"/>
            <w:vAlign w:val="bottom"/>
            <w:shd w:val="clear" w:color="auto" w:fill="E9E9E9"/>
          </w:tcPr>
          <w:p>
            <w:pPr>
              <w:jc w:val="right"/>
              <w:ind w:right="304"/>
              <w:spacing w:after="0"/>
              <w:rPr>
                <w:sz w:val="20"/>
                <w:szCs w:val="20"/>
                <w:color w:val="auto"/>
              </w:rPr>
            </w:pPr>
            <w:r>
              <w:rPr>
                <w:rFonts w:ascii="Arial" w:cs="Arial" w:eastAsia="Arial" w:hAnsi="Arial"/>
                <w:sz w:val="16"/>
                <w:szCs w:val="16"/>
                <w:color w:val="auto"/>
              </w:rPr>
              <w:t>2,000</w:t>
            </w:r>
          </w:p>
        </w:tc>
        <w:tc>
          <w:tcPr>
            <w:tcW w:w="140" w:type="dxa"/>
            <w:vAlign w:val="bottom"/>
            <w:shd w:val="clear" w:color="auto" w:fill="E9E9E9"/>
          </w:tcPr>
          <w:p>
            <w:pPr>
              <w:spacing w:after="0"/>
              <w:rPr>
                <w:sz w:val="19"/>
                <w:szCs w:val="19"/>
                <w:color w:val="auto"/>
              </w:rPr>
            </w:pPr>
          </w:p>
        </w:tc>
        <w:tc>
          <w:tcPr>
            <w:tcW w:w="76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W. R. Sanders</w:t>
            </w:r>
          </w:p>
        </w:tc>
        <w:tc>
          <w:tcPr>
            <w:tcW w:w="2760" w:type="dxa"/>
            <w:vAlign w:val="bottom"/>
          </w:tcPr>
          <w:p>
            <w:pPr>
              <w:jc w:val="right"/>
              <w:ind w:right="186"/>
              <w:spacing w:after="0"/>
              <w:rPr>
                <w:sz w:val="20"/>
                <w:szCs w:val="20"/>
                <w:color w:val="auto"/>
              </w:rPr>
            </w:pPr>
            <w:r>
              <w:rPr>
                <w:rFonts w:ascii="Arial" w:cs="Arial" w:eastAsia="Arial" w:hAnsi="Arial"/>
                <w:sz w:val="16"/>
                <w:szCs w:val="16"/>
                <w:color w:val="auto"/>
              </w:rPr>
              <w:t>70,250</w:t>
            </w:r>
          </w:p>
        </w:tc>
        <w:tc>
          <w:tcPr>
            <w:tcW w:w="1220" w:type="dxa"/>
            <w:vAlign w:val="bottom"/>
          </w:tcPr>
          <w:p>
            <w:pPr>
              <w:jc w:val="right"/>
              <w:ind w:right="286"/>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19,987</w:t>
            </w:r>
          </w:p>
        </w:tc>
        <w:tc>
          <w:tcPr>
            <w:tcW w:w="140" w:type="dxa"/>
            <w:vAlign w:val="bottom"/>
          </w:tcPr>
          <w:p>
            <w:pPr>
              <w:spacing w:after="0"/>
              <w:rPr>
                <w:sz w:val="18"/>
                <w:szCs w:val="18"/>
                <w:color w:val="auto"/>
              </w:rPr>
            </w:pPr>
          </w:p>
        </w:tc>
        <w:tc>
          <w:tcPr>
            <w:tcW w:w="760" w:type="dxa"/>
            <w:vAlign w:val="bottom"/>
          </w:tcPr>
          <w:p>
            <w:pPr>
              <w:jc w:val="right"/>
              <w:ind w:right="144"/>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shd w:val="clear" w:color="auto" w:fill="E9E9E9"/>
          </w:tcPr>
          <w:p>
            <w:pPr>
              <w:spacing w:after="0"/>
              <w:rPr>
                <w:sz w:val="20"/>
                <w:szCs w:val="20"/>
                <w:color w:val="auto"/>
              </w:rPr>
            </w:pPr>
            <w:r>
              <w:rPr>
                <w:rFonts w:ascii="Arial" w:cs="Arial" w:eastAsia="Arial" w:hAnsi="Arial"/>
                <w:sz w:val="16"/>
                <w:szCs w:val="16"/>
                <w:color w:val="auto"/>
              </w:rPr>
              <w:t>R. J. Simmons</w:t>
            </w:r>
          </w:p>
        </w:tc>
        <w:tc>
          <w:tcPr>
            <w:tcW w:w="2760" w:type="dxa"/>
            <w:vAlign w:val="bottom"/>
            <w:shd w:val="clear" w:color="auto" w:fill="E9E9E9"/>
          </w:tcPr>
          <w:p>
            <w:pPr>
              <w:jc w:val="right"/>
              <w:ind w:right="186"/>
              <w:spacing w:after="0"/>
              <w:rPr>
                <w:sz w:val="20"/>
                <w:szCs w:val="20"/>
                <w:color w:val="auto"/>
              </w:rPr>
            </w:pPr>
            <w:r>
              <w:rPr>
                <w:rFonts w:ascii="Arial" w:cs="Arial" w:eastAsia="Arial" w:hAnsi="Arial"/>
                <w:sz w:val="16"/>
                <w:szCs w:val="16"/>
                <w:color w:val="auto"/>
              </w:rPr>
              <w:t>90,250</w:t>
            </w:r>
          </w:p>
        </w:tc>
        <w:tc>
          <w:tcPr>
            <w:tcW w:w="1220" w:type="dxa"/>
            <w:vAlign w:val="bottom"/>
            <w:shd w:val="clear" w:color="auto" w:fill="E9E9E9"/>
          </w:tcPr>
          <w:p>
            <w:pPr>
              <w:jc w:val="right"/>
              <w:ind w:right="286"/>
              <w:spacing w:after="0"/>
              <w:rPr>
                <w:sz w:val="20"/>
                <w:szCs w:val="20"/>
                <w:color w:val="auto"/>
              </w:rPr>
            </w:pPr>
            <w:r>
              <w:rPr>
                <w:rFonts w:ascii="Arial" w:cs="Arial" w:eastAsia="Arial" w:hAnsi="Arial"/>
                <w:sz w:val="16"/>
                <w:szCs w:val="16"/>
                <w:color w:val="auto"/>
              </w:rPr>
              <w:t>—</w:t>
            </w:r>
          </w:p>
        </w:tc>
        <w:tc>
          <w:tcPr>
            <w:tcW w:w="1240" w:type="dxa"/>
            <w:vAlign w:val="bottom"/>
            <w:shd w:val="clear" w:color="auto" w:fill="E9E9E9"/>
          </w:tcPr>
          <w:p>
            <w:pPr>
              <w:jc w:val="right"/>
              <w:ind w:right="304"/>
              <w:spacing w:after="0"/>
              <w:rPr>
                <w:sz w:val="20"/>
                <w:szCs w:val="20"/>
                <w:color w:val="auto"/>
              </w:rPr>
            </w:pPr>
            <w:r>
              <w:rPr>
                <w:rFonts w:ascii="Arial" w:cs="Arial" w:eastAsia="Arial" w:hAnsi="Arial"/>
                <w:sz w:val="16"/>
                <w:szCs w:val="16"/>
                <w:color w:val="auto"/>
              </w:rPr>
              <w:t>20,887</w:t>
            </w:r>
          </w:p>
        </w:tc>
        <w:tc>
          <w:tcPr>
            <w:tcW w:w="140" w:type="dxa"/>
            <w:vAlign w:val="bottom"/>
            <w:shd w:val="clear" w:color="auto" w:fill="E9E9E9"/>
          </w:tcPr>
          <w:p>
            <w:pPr>
              <w:spacing w:after="0"/>
              <w:rPr>
                <w:sz w:val="19"/>
                <w:szCs w:val="19"/>
                <w:color w:val="auto"/>
              </w:rPr>
            </w:pPr>
          </w:p>
        </w:tc>
        <w:tc>
          <w:tcPr>
            <w:tcW w:w="76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16,075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R. K. Templeton</w:t>
            </w:r>
          </w:p>
        </w:tc>
        <w:tc>
          <w:tcPr>
            <w:tcW w:w="2760" w:type="dxa"/>
            <w:vAlign w:val="bottom"/>
          </w:tcPr>
          <w:p>
            <w:pPr>
              <w:jc w:val="right"/>
              <w:ind w:right="186"/>
              <w:spacing w:after="0"/>
              <w:rPr>
                <w:sz w:val="20"/>
                <w:szCs w:val="20"/>
                <w:color w:val="auto"/>
              </w:rPr>
            </w:pPr>
            <w:r>
              <w:rPr>
                <w:rFonts w:ascii="Arial" w:cs="Arial" w:eastAsia="Arial" w:hAnsi="Arial"/>
                <w:sz w:val="16"/>
                <w:szCs w:val="16"/>
                <w:color w:val="auto"/>
              </w:rPr>
              <w:t>3,971,051</w:t>
            </w:r>
          </w:p>
        </w:tc>
        <w:tc>
          <w:tcPr>
            <w:tcW w:w="1220" w:type="dxa"/>
            <w:vAlign w:val="bottom"/>
          </w:tcPr>
          <w:p>
            <w:pPr>
              <w:jc w:val="right"/>
              <w:ind w:right="286"/>
              <w:spacing w:after="0"/>
              <w:rPr>
                <w:sz w:val="20"/>
                <w:szCs w:val="20"/>
                <w:color w:val="auto"/>
              </w:rPr>
            </w:pPr>
            <w:r>
              <w:rPr>
                <w:rFonts w:ascii="Arial" w:cs="Arial" w:eastAsia="Arial" w:hAnsi="Arial"/>
                <w:sz w:val="16"/>
                <w:szCs w:val="16"/>
                <w:color w:val="auto"/>
              </w:rPr>
              <w:t>11,992</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821,487</w:t>
            </w:r>
          </w:p>
        </w:tc>
        <w:tc>
          <w:tcPr>
            <w:tcW w:w="140" w:type="dxa"/>
            <w:vAlign w:val="bottom"/>
          </w:tcPr>
          <w:p>
            <w:pPr>
              <w:spacing w:after="0"/>
              <w:rPr>
                <w:sz w:val="18"/>
                <w:szCs w:val="18"/>
                <w:color w:val="auto"/>
              </w:rPr>
            </w:pPr>
          </w:p>
        </w:tc>
        <w:tc>
          <w:tcPr>
            <w:tcW w:w="76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shd w:val="clear" w:color="auto" w:fill="E9E9E9"/>
          </w:tcPr>
          <w:p>
            <w:pPr>
              <w:spacing w:after="0"/>
              <w:rPr>
                <w:sz w:val="20"/>
                <w:szCs w:val="20"/>
                <w:color w:val="auto"/>
              </w:rPr>
            </w:pPr>
            <w:r>
              <w:rPr>
                <w:rFonts w:ascii="Arial" w:cs="Arial" w:eastAsia="Arial" w:hAnsi="Arial"/>
                <w:sz w:val="16"/>
                <w:szCs w:val="16"/>
                <w:color w:val="auto"/>
              </w:rPr>
              <w:t>C. T. Whitman</w:t>
            </w:r>
          </w:p>
        </w:tc>
        <w:tc>
          <w:tcPr>
            <w:tcW w:w="2760" w:type="dxa"/>
            <w:vAlign w:val="bottom"/>
            <w:shd w:val="clear" w:color="auto" w:fill="E9E9E9"/>
          </w:tcPr>
          <w:p>
            <w:pPr>
              <w:jc w:val="right"/>
              <w:ind w:right="186"/>
              <w:spacing w:after="0"/>
              <w:rPr>
                <w:sz w:val="20"/>
                <w:szCs w:val="20"/>
                <w:color w:val="auto"/>
              </w:rPr>
            </w:pPr>
            <w:r>
              <w:rPr>
                <w:rFonts w:ascii="Arial" w:cs="Arial" w:eastAsia="Arial" w:hAnsi="Arial"/>
                <w:sz w:val="16"/>
                <w:szCs w:val="16"/>
                <w:color w:val="auto"/>
              </w:rPr>
              <w:t>70,250</w:t>
            </w:r>
          </w:p>
        </w:tc>
        <w:tc>
          <w:tcPr>
            <w:tcW w:w="1220" w:type="dxa"/>
            <w:vAlign w:val="bottom"/>
            <w:shd w:val="clear" w:color="auto" w:fill="E9E9E9"/>
          </w:tcPr>
          <w:p>
            <w:pPr>
              <w:jc w:val="right"/>
              <w:ind w:right="286"/>
              <w:spacing w:after="0"/>
              <w:rPr>
                <w:sz w:val="20"/>
                <w:szCs w:val="20"/>
                <w:color w:val="auto"/>
              </w:rPr>
            </w:pPr>
            <w:r>
              <w:rPr>
                <w:rFonts w:ascii="Arial" w:cs="Arial" w:eastAsia="Arial" w:hAnsi="Arial"/>
                <w:sz w:val="16"/>
                <w:szCs w:val="16"/>
                <w:color w:val="auto"/>
              </w:rPr>
              <w:t>—</w:t>
            </w:r>
          </w:p>
        </w:tc>
        <w:tc>
          <w:tcPr>
            <w:tcW w:w="1240" w:type="dxa"/>
            <w:vAlign w:val="bottom"/>
            <w:shd w:val="clear" w:color="auto" w:fill="E9E9E9"/>
          </w:tcPr>
          <w:p>
            <w:pPr>
              <w:jc w:val="right"/>
              <w:ind w:right="304"/>
              <w:spacing w:after="0"/>
              <w:rPr>
                <w:sz w:val="20"/>
                <w:szCs w:val="20"/>
                <w:color w:val="auto"/>
              </w:rPr>
            </w:pPr>
            <w:r>
              <w:rPr>
                <w:rFonts w:ascii="Arial" w:cs="Arial" w:eastAsia="Arial" w:hAnsi="Arial"/>
                <w:sz w:val="16"/>
                <w:szCs w:val="16"/>
                <w:color w:val="auto"/>
              </w:rPr>
              <w:t>12,887</w:t>
            </w:r>
          </w:p>
        </w:tc>
        <w:tc>
          <w:tcPr>
            <w:tcW w:w="140" w:type="dxa"/>
            <w:vAlign w:val="bottom"/>
            <w:shd w:val="clear" w:color="auto" w:fill="E9E9E9"/>
          </w:tcPr>
          <w:p>
            <w:pPr>
              <w:spacing w:after="0"/>
              <w:rPr>
                <w:sz w:val="19"/>
                <w:szCs w:val="19"/>
                <w:color w:val="auto"/>
              </w:rPr>
            </w:pPr>
          </w:p>
        </w:tc>
        <w:tc>
          <w:tcPr>
            <w:tcW w:w="760" w:type="dxa"/>
            <w:vAlign w:val="bottom"/>
            <w:shd w:val="clear" w:color="auto" w:fill="E9E9E9"/>
          </w:tcPr>
          <w:p>
            <w:pPr>
              <w:jc w:val="right"/>
              <w:ind w:right="144"/>
              <w:spacing w:after="0"/>
              <w:rPr>
                <w:sz w:val="20"/>
                <w:szCs w:val="20"/>
                <w:color w:val="auto"/>
              </w:rPr>
            </w:pPr>
            <w:r>
              <w:rPr>
                <w:rFonts w:ascii="Arial" w:cs="Arial" w:eastAsia="Arial" w:hAnsi="Arial"/>
                <w:sz w:val="16"/>
                <w:szCs w:val="16"/>
                <w:color w:val="auto"/>
              </w:rPr>
              <w:t>6,912</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580" w:right="200" w:hanging="389"/>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non-employee directors’ RSUs granted before 2007 are settled in TI stock generally upon the director’s termination of service provided he or she has served at least eight years or has reached the company’s retirement age for directors. RSUs granted after 2006 are settled in TI stock generally upon the fourth anniversary of the grant date.</w:t>
      </w:r>
    </w:p>
    <w:p>
      <w:pPr>
        <w:spacing w:after="0" w:line="211" w:lineRule="exact"/>
        <w:rPr>
          <w:rFonts w:ascii="Arial" w:cs="Arial" w:eastAsia="Arial" w:hAnsi="Arial"/>
          <w:sz w:val="16"/>
          <w:szCs w:val="16"/>
          <w:color w:val="auto"/>
        </w:rPr>
      </w:pPr>
    </w:p>
    <w:p>
      <w:pPr>
        <w:ind w:left="580" w:hanging="389"/>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shares in deferred compensation accounts are issued following the director’s termination of service.</w:t>
      </w:r>
    </w:p>
    <w:p>
      <w:pPr>
        <w:spacing w:after="0" w:line="235" w:lineRule="exact"/>
        <w:rPr>
          <w:sz w:val="20"/>
          <w:szCs w:val="20"/>
          <w:color w:val="auto"/>
        </w:rPr>
      </w:pPr>
    </w:p>
    <w:p>
      <w:pPr>
        <w:spacing w:after="0"/>
        <w:tabs>
          <w:tab w:leader="none" w:pos="10100" w:val="left"/>
        </w:tabs>
        <w:rPr>
          <w:sz w:val="20"/>
          <w:szCs w:val="20"/>
          <w:color w:val="auto"/>
        </w:rPr>
      </w:pPr>
      <w:r>
        <w:rPr>
          <w:rFonts w:ascii="Arial" w:cs="Arial" w:eastAsia="Arial" w:hAnsi="Arial"/>
          <w:sz w:val="12"/>
          <w:szCs w:val="12"/>
          <w:b w:val="1"/>
          <w:bCs w:val="1"/>
          <w:color w:val="auto"/>
        </w:rPr>
        <w:t xml:space="preserve">96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43" w:name="page44"/>
    <w:bookmarkEnd w:id="43"/>
    <w:p>
      <w:pPr>
        <w:ind w:left="3"/>
        <w:spacing w:after="0"/>
        <w:rPr>
          <w:sz w:val="20"/>
          <w:szCs w:val="20"/>
          <w:color w:val="auto"/>
        </w:rPr>
      </w:pPr>
      <w:r>
        <w:rPr>
          <w:rFonts w:ascii="Arial" w:cs="Arial" w:eastAsia="Arial" w:hAnsi="Arial"/>
          <w:sz w:val="16"/>
          <w:szCs w:val="16"/>
          <w:color w:val="auto"/>
        </w:rPr>
        <w:t>(2) Included in the shares owned shown above are:</w:t>
      </w:r>
    </w:p>
    <w:p>
      <w:pPr>
        <w:spacing w:after="0" w:line="211" w:lineRule="exact"/>
        <w:rPr>
          <w:sz w:val="20"/>
          <w:szCs w:val="20"/>
          <w:color w:val="auto"/>
        </w:rPr>
      </w:pPr>
    </w:p>
    <w:tbl>
      <w:tblPr>
        <w:tblLayout w:type="fixed"/>
        <w:tblInd w:w="243" w:type="dxa"/>
        <w:tblCellMar>
          <w:top w:w="0" w:type="dxa"/>
          <w:left w:w="0" w:type="dxa"/>
          <w:bottom w:w="0" w:type="dxa"/>
          <w:right w:w="0" w:type="dxa"/>
        </w:tblCellMar>
      </w:tblPr>
      <w:tr>
        <w:trPr>
          <w:trHeight w:val="160"/>
        </w:trPr>
        <w:tc>
          <w:tcPr>
            <w:tcW w:w="4680" w:type="dxa"/>
            <w:vAlign w:val="bottom"/>
          </w:tcPr>
          <w:p>
            <w:pPr>
              <w:spacing w:after="0"/>
              <w:rPr>
                <w:sz w:val="13"/>
                <w:szCs w:val="13"/>
                <w:color w:val="auto"/>
              </w:rPr>
            </w:pPr>
          </w:p>
        </w:tc>
        <w:tc>
          <w:tcPr>
            <w:tcW w:w="4640" w:type="dxa"/>
            <w:vAlign w:val="bottom"/>
          </w:tcPr>
          <w:p>
            <w:pPr>
              <w:jc w:val="center"/>
              <w:ind w:left="3489"/>
              <w:spacing w:after="0"/>
              <w:rPr>
                <w:sz w:val="20"/>
                <w:szCs w:val="20"/>
                <w:color w:val="auto"/>
              </w:rPr>
            </w:pPr>
            <w:r>
              <w:rPr>
                <w:rFonts w:ascii="Arial" w:cs="Arial" w:eastAsia="Arial" w:hAnsi="Arial"/>
                <w:sz w:val="12"/>
                <w:szCs w:val="12"/>
                <w:b w:val="1"/>
                <w:bCs w:val="1"/>
                <w:color w:val="auto"/>
                <w:w w:val="99"/>
              </w:rPr>
              <w:t>Shares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9"/>
              </w:rPr>
              <w:t>Shares</w:t>
            </w:r>
          </w:p>
        </w:tc>
        <w:tc>
          <w:tcPr>
            <w:tcW w:w="760" w:type="dxa"/>
            <w:vAlign w:val="bottom"/>
          </w:tcPr>
          <w:p>
            <w:pPr>
              <w:spacing w:after="0"/>
              <w:rPr>
                <w:sz w:val="13"/>
                <w:szCs w:val="13"/>
                <w:color w:val="auto"/>
              </w:rPr>
            </w:pPr>
          </w:p>
        </w:tc>
      </w:tr>
      <w:tr>
        <w:trPr>
          <w:trHeight w:val="218"/>
        </w:trPr>
        <w:tc>
          <w:tcPr>
            <w:tcW w:w="4680" w:type="dxa"/>
            <w:vAlign w:val="bottom"/>
          </w:tcPr>
          <w:p>
            <w:pPr>
              <w:spacing w:after="0"/>
              <w:rPr>
                <w:sz w:val="18"/>
                <w:szCs w:val="18"/>
                <w:color w:val="auto"/>
              </w:rPr>
            </w:pPr>
          </w:p>
        </w:tc>
        <w:tc>
          <w:tcPr>
            <w:tcW w:w="4640" w:type="dxa"/>
            <w:vAlign w:val="bottom"/>
          </w:tcPr>
          <w:p>
            <w:pPr>
              <w:jc w:val="center"/>
              <w:ind w:left="3489"/>
              <w:spacing w:after="0"/>
              <w:rPr>
                <w:sz w:val="20"/>
                <w:szCs w:val="20"/>
                <w:color w:val="auto"/>
              </w:rPr>
            </w:pPr>
            <w:r>
              <w:rPr>
                <w:rFonts w:ascii="Arial" w:cs="Arial" w:eastAsia="Arial" w:hAnsi="Arial"/>
                <w:sz w:val="12"/>
                <w:szCs w:val="12"/>
                <w:b w:val="1"/>
                <w:bCs w:val="1"/>
                <w:color w:val="auto"/>
              </w:rPr>
              <w:t>Obtainable</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Credited to</w:t>
            </w:r>
          </w:p>
        </w:tc>
        <w:tc>
          <w:tcPr>
            <w:tcW w:w="760" w:type="dxa"/>
            <w:vAlign w:val="bottom"/>
          </w:tcPr>
          <w:p>
            <w:pPr>
              <w:jc w:val="center"/>
              <w:ind w:left="47"/>
              <w:spacing w:after="0"/>
              <w:rPr>
                <w:sz w:val="20"/>
                <w:szCs w:val="20"/>
                <w:color w:val="auto"/>
              </w:rPr>
            </w:pPr>
            <w:r>
              <w:rPr>
                <w:rFonts w:ascii="Arial" w:cs="Arial" w:eastAsia="Arial" w:hAnsi="Arial"/>
                <w:sz w:val="12"/>
                <w:szCs w:val="12"/>
                <w:b w:val="1"/>
                <w:bCs w:val="1"/>
                <w:color w:val="auto"/>
                <w:w w:val="99"/>
              </w:rPr>
              <w:t>RSUs</w:t>
            </w:r>
          </w:p>
        </w:tc>
      </w:tr>
      <w:tr>
        <w:trPr>
          <w:trHeight w:val="218"/>
        </w:trPr>
        <w:tc>
          <w:tcPr>
            <w:tcW w:w="4680" w:type="dxa"/>
            <w:vAlign w:val="bottom"/>
          </w:tcPr>
          <w:p>
            <w:pPr>
              <w:spacing w:after="0"/>
              <w:rPr>
                <w:sz w:val="20"/>
                <w:szCs w:val="20"/>
                <w:color w:val="auto"/>
              </w:rPr>
            </w:pPr>
            <w:r>
              <w:rPr>
                <w:rFonts w:ascii="Arial" w:cs="Arial" w:eastAsia="Arial" w:hAnsi="Arial"/>
                <w:sz w:val="12"/>
                <w:szCs w:val="12"/>
                <w:b w:val="1"/>
                <w:bCs w:val="1"/>
                <w:color w:val="auto"/>
              </w:rPr>
              <w:t>Executive Officer</w:t>
            </w:r>
          </w:p>
        </w:tc>
        <w:tc>
          <w:tcPr>
            <w:tcW w:w="4640" w:type="dxa"/>
            <w:vAlign w:val="bottom"/>
          </w:tcPr>
          <w:p>
            <w:pPr>
              <w:jc w:val="center"/>
              <w:ind w:left="3489"/>
              <w:spacing w:after="0"/>
              <w:rPr>
                <w:sz w:val="20"/>
                <w:szCs w:val="20"/>
                <w:color w:val="auto"/>
              </w:rPr>
            </w:pPr>
            <w:r>
              <w:rPr>
                <w:rFonts w:ascii="Arial" w:cs="Arial" w:eastAsia="Arial" w:hAnsi="Arial"/>
                <w:sz w:val="12"/>
                <w:szCs w:val="12"/>
                <w:b w:val="1"/>
                <w:bCs w:val="1"/>
                <w:color w:val="auto"/>
              </w:rPr>
              <w:t>within 60 Days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401(k) Account</w:t>
            </w:r>
          </w:p>
        </w:tc>
        <w:tc>
          <w:tcPr>
            <w:tcW w:w="760" w:type="dxa"/>
            <w:vAlign w:val="bottom"/>
          </w:tcPr>
          <w:p>
            <w:pPr>
              <w:jc w:val="center"/>
              <w:ind w:left="27"/>
              <w:spacing w:after="0"/>
              <w:rPr>
                <w:sz w:val="20"/>
                <w:szCs w:val="20"/>
                <w:color w:val="auto"/>
              </w:rPr>
            </w:pPr>
            <w:r>
              <w:rPr>
                <w:rFonts w:ascii="Arial" w:cs="Arial" w:eastAsia="Arial" w:hAnsi="Arial"/>
                <w:sz w:val="12"/>
                <w:szCs w:val="12"/>
                <w:b w:val="1"/>
                <w:bCs w:val="1"/>
                <w:color w:val="auto"/>
                <w:w w:val="99"/>
              </w:rPr>
              <w:t>(in Shares)</w:t>
            </w:r>
          </w:p>
        </w:tc>
      </w:tr>
      <w:tr>
        <w:trPr>
          <w:trHeight w:val="37"/>
        </w:trPr>
        <w:tc>
          <w:tcPr>
            <w:tcW w:w="4680" w:type="dxa"/>
            <w:vAlign w:val="bottom"/>
            <w:tcBorders>
              <w:bottom w:val="single" w:sz="8" w:color="808285"/>
            </w:tcBorders>
          </w:tcPr>
          <w:p>
            <w:pPr>
              <w:spacing w:after="0"/>
              <w:rPr>
                <w:sz w:val="3"/>
                <w:szCs w:val="3"/>
                <w:color w:val="auto"/>
              </w:rPr>
            </w:pPr>
          </w:p>
        </w:tc>
        <w:tc>
          <w:tcPr>
            <w:tcW w:w="4640" w:type="dxa"/>
            <w:vAlign w:val="bottom"/>
            <w:tcBorders>
              <w:bottom w:val="single" w:sz="8" w:color="808285"/>
            </w:tcBorders>
          </w:tcPr>
          <w:p>
            <w:pPr>
              <w:spacing w:after="0"/>
              <w:rPr>
                <w:sz w:val="3"/>
                <w:szCs w:val="3"/>
                <w:color w:val="auto"/>
              </w:rPr>
            </w:pPr>
          </w:p>
        </w:tc>
        <w:tc>
          <w:tcPr>
            <w:tcW w:w="1120" w:type="dxa"/>
            <w:vAlign w:val="bottom"/>
            <w:tcBorders>
              <w:bottom w:val="single" w:sz="8" w:color="808285"/>
            </w:tcBorders>
          </w:tcPr>
          <w:p>
            <w:pPr>
              <w:spacing w:after="0"/>
              <w:rPr>
                <w:sz w:val="3"/>
                <w:szCs w:val="3"/>
                <w:color w:val="auto"/>
              </w:rPr>
            </w:pPr>
          </w:p>
        </w:tc>
        <w:tc>
          <w:tcPr>
            <w:tcW w:w="760" w:type="dxa"/>
            <w:vAlign w:val="bottom"/>
            <w:tcBorders>
              <w:bottom w:val="single" w:sz="8" w:color="808285"/>
            </w:tcBorders>
          </w:tcPr>
          <w:p>
            <w:pPr>
              <w:spacing w:after="0"/>
              <w:rPr>
                <w:sz w:val="3"/>
                <w:szCs w:val="3"/>
                <w:color w:val="auto"/>
              </w:rPr>
            </w:pPr>
          </w:p>
        </w:tc>
      </w:tr>
      <w:tr>
        <w:trPr>
          <w:trHeight w:val="210"/>
        </w:trPr>
        <w:tc>
          <w:tcPr>
            <w:tcW w:w="4680" w:type="dxa"/>
            <w:vAlign w:val="bottom"/>
            <w:shd w:val="clear" w:color="auto" w:fill="E9E9E9"/>
          </w:tcPr>
          <w:p>
            <w:pPr>
              <w:spacing w:after="0"/>
              <w:rPr>
                <w:sz w:val="20"/>
                <w:szCs w:val="20"/>
                <w:color w:val="auto"/>
              </w:rPr>
            </w:pPr>
            <w:r>
              <w:rPr>
                <w:rFonts w:ascii="Arial" w:cs="Arial" w:eastAsia="Arial" w:hAnsi="Arial"/>
                <w:sz w:val="16"/>
                <w:szCs w:val="16"/>
                <w:color w:val="auto"/>
              </w:rPr>
              <w:t>K. P. March</w:t>
            </w:r>
          </w:p>
        </w:tc>
        <w:tc>
          <w:tcPr>
            <w:tcW w:w="4640" w:type="dxa"/>
            <w:vAlign w:val="bottom"/>
            <w:shd w:val="clear" w:color="auto" w:fill="E9E9E9"/>
          </w:tcPr>
          <w:p>
            <w:pPr>
              <w:jc w:val="center"/>
              <w:ind w:left="3489"/>
              <w:spacing w:after="0"/>
              <w:rPr>
                <w:sz w:val="20"/>
                <w:szCs w:val="20"/>
                <w:color w:val="auto"/>
              </w:rPr>
            </w:pPr>
            <w:r>
              <w:rPr>
                <w:rFonts w:ascii="Arial" w:cs="Arial" w:eastAsia="Arial" w:hAnsi="Arial"/>
                <w:sz w:val="16"/>
                <w:szCs w:val="16"/>
                <w:color w:val="auto"/>
                <w:w w:val="96"/>
              </w:rPr>
              <w:t>712,706</w:t>
            </w:r>
          </w:p>
        </w:tc>
        <w:tc>
          <w:tcPr>
            <w:tcW w:w="11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1,933</w:t>
            </w:r>
          </w:p>
        </w:tc>
        <w:tc>
          <w:tcPr>
            <w:tcW w:w="760" w:type="dxa"/>
            <w:vAlign w:val="bottom"/>
            <w:shd w:val="clear" w:color="auto" w:fill="E9E9E9"/>
          </w:tcPr>
          <w:p>
            <w:pPr>
              <w:jc w:val="center"/>
              <w:ind w:left="47"/>
              <w:spacing w:after="0"/>
              <w:rPr>
                <w:sz w:val="20"/>
                <w:szCs w:val="20"/>
                <w:color w:val="auto"/>
              </w:rPr>
            </w:pPr>
            <w:r>
              <w:rPr>
                <w:rFonts w:ascii="Arial" w:cs="Arial" w:eastAsia="Arial" w:hAnsi="Arial"/>
                <w:sz w:val="16"/>
                <w:szCs w:val="16"/>
                <w:color w:val="auto"/>
                <w:w w:val="96"/>
              </w:rPr>
              <w:t>197,919</w:t>
            </w:r>
          </w:p>
        </w:tc>
      </w:tr>
      <w:tr>
        <w:trPr>
          <w:trHeight w:val="211"/>
        </w:trPr>
        <w:tc>
          <w:tcPr>
            <w:tcW w:w="4680" w:type="dxa"/>
            <w:vAlign w:val="bottom"/>
          </w:tcPr>
          <w:p>
            <w:pPr>
              <w:spacing w:after="0"/>
              <w:rPr>
                <w:sz w:val="20"/>
                <w:szCs w:val="20"/>
                <w:color w:val="auto"/>
              </w:rPr>
            </w:pPr>
            <w:r>
              <w:rPr>
                <w:rFonts w:ascii="Arial" w:cs="Arial" w:eastAsia="Arial" w:hAnsi="Arial"/>
                <w:sz w:val="16"/>
                <w:szCs w:val="16"/>
                <w:color w:val="auto"/>
              </w:rPr>
              <w:t>G. A. Lowe</w:t>
            </w:r>
          </w:p>
        </w:tc>
        <w:tc>
          <w:tcPr>
            <w:tcW w:w="4640" w:type="dxa"/>
            <w:vAlign w:val="bottom"/>
          </w:tcPr>
          <w:p>
            <w:pPr>
              <w:jc w:val="center"/>
              <w:ind w:left="3489"/>
              <w:spacing w:after="0"/>
              <w:rPr>
                <w:sz w:val="20"/>
                <w:szCs w:val="20"/>
                <w:color w:val="auto"/>
              </w:rPr>
            </w:pPr>
            <w:r>
              <w:rPr>
                <w:rFonts w:ascii="Arial" w:cs="Arial" w:eastAsia="Arial" w:hAnsi="Arial"/>
                <w:sz w:val="16"/>
                <w:szCs w:val="16"/>
                <w:color w:val="auto"/>
                <w:w w:val="96"/>
              </w:rPr>
              <w:t>875,206</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3,727</w:t>
            </w:r>
          </w:p>
        </w:tc>
        <w:tc>
          <w:tcPr>
            <w:tcW w:w="760" w:type="dxa"/>
            <w:vAlign w:val="bottom"/>
          </w:tcPr>
          <w:p>
            <w:pPr>
              <w:jc w:val="center"/>
              <w:ind w:left="47"/>
              <w:spacing w:after="0"/>
              <w:rPr>
                <w:sz w:val="20"/>
                <w:szCs w:val="20"/>
                <w:color w:val="auto"/>
              </w:rPr>
            </w:pPr>
            <w:r>
              <w:rPr>
                <w:rFonts w:ascii="Arial" w:cs="Arial" w:eastAsia="Arial" w:hAnsi="Arial"/>
                <w:sz w:val="16"/>
                <w:szCs w:val="16"/>
                <w:color w:val="auto"/>
                <w:w w:val="96"/>
              </w:rPr>
              <w:t>307,502</w:t>
            </w:r>
          </w:p>
        </w:tc>
      </w:tr>
      <w:tr>
        <w:trPr>
          <w:trHeight w:val="226"/>
        </w:trPr>
        <w:tc>
          <w:tcPr>
            <w:tcW w:w="4680" w:type="dxa"/>
            <w:vAlign w:val="bottom"/>
            <w:shd w:val="clear" w:color="auto" w:fill="E9E9E9"/>
          </w:tcPr>
          <w:p>
            <w:pPr>
              <w:spacing w:after="0"/>
              <w:rPr>
                <w:sz w:val="20"/>
                <w:szCs w:val="20"/>
                <w:color w:val="auto"/>
              </w:rPr>
            </w:pPr>
            <w:r>
              <w:rPr>
                <w:rFonts w:ascii="Arial" w:cs="Arial" w:eastAsia="Arial" w:hAnsi="Arial"/>
                <w:sz w:val="16"/>
                <w:szCs w:val="16"/>
                <w:color w:val="auto"/>
              </w:rPr>
              <w:t>K. J. Ritchie</w:t>
            </w:r>
          </w:p>
        </w:tc>
        <w:tc>
          <w:tcPr>
            <w:tcW w:w="4640" w:type="dxa"/>
            <w:vAlign w:val="bottom"/>
            <w:shd w:val="clear" w:color="auto" w:fill="E9E9E9"/>
          </w:tcPr>
          <w:p>
            <w:pPr>
              <w:jc w:val="center"/>
              <w:ind w:left="3489"/>
              <w:spacing w:after="0"/>
              <w:rPr>
                <w:sz w:val="20"/>
                <w:szCs w:val="20"/>
                <w:color w:val="auto"/>
              </w:rPr>
            </w:pPr>
            <w:r>
              <w:rPr>
                <w:rFonts w:ascii="Arial" w:cs="Arial" w:eastAsia="Arial" w:hAnsi="Arial"/>
                <w:sz w:val="16"/>
                <w:szCs w:val="16"/>
                <w:color w:val="auto"/>
                <w:w w:val="96"/>
              </w:rPr>
              <w:t>871,975</w:t>
            </w:r>
          </w:p>
        </w:tc>
        <w:tc>
          <w:tcPr>
            <w:tcW w:w="11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8,409</w:t>
            </w:r>
          </w:p>
        </w:tc>
        <w:tc>
          <w:tcPr>
            <w:tcW w:w="760" w:type="dxa"/>
            <w:vAlign w:val="bottom"/>
            <w:shd w:val="clear" w:color="auto" w:fill="E9E9E9"/>
          </w:tcPr>
          <w:p>
            <w:pPr>
              <w:jc w:val="center"/>
              <w:ind w:left="47"/>
              <w:spacing w:after="0"/>
              <w:rPr>
                <w:sz w:val="20"/>
                <w:szCs w:val="20"/>
                <w:color w:val="auto"/>
              </w:rPr>
            </w:pPr>
            <w:r>
              <w:rPr>
                <w:rFonts w:ascii="Arial" w:cs="Arial" w:eastAsia="Arial" w:hAnsi="Arial"/>
                <w:sz w:val="16"/>
                <w:szCs w:val="16"/>
                <w:color w:val="auto"/>
                <w:w w:val="96"/>
              </w:rPr>
              <w:t>250,002</w:t>
            </w:r>
          </w:p>
        </w:tc>
      </w:tr>
      <w:tr>
        <w:trPr>
          <w:trHeight w:val="204"/>
        </w:trPr>
        <w:tc>
          <w:tcPr>
            <w:tcW w:w="4680" w:type="dxa"/>
            <w:vAlign w:val="bottom"/>
          </w:tcPr>
          <w:p>
            <w:pPr>
              <w:spacing w:after="0"/>
              <w:rPr>
                <w:sz w:val="20"/>
                <w:szCs w:val="20"/>
                <w:color w:val="auto"/>
              </w:rPr>
            </w:pPr>
            <w:r>
              <w:rPr>
                <w:rFonts w:ascii="Arial" w:cs="Arial" w:eastAsia="Arial" w:hAnsi="Arial"/>
                <w:sz w:val="16"/>
                <w:szCs w:val="16"/>
                <w:color w:val="auto"/>
              </w:rPr>
              <w:t>B. T. Crutcher</w:t>
            </w:r>
          </w:p>
        </w:tc>
        <w:tc>
          <w:tcPr>
            <w:tcW w:w="4640" w:type="dxa"/>
            <w:vAlign w:val="bottom"/>
          </w:tcPr>
          <w:p>
            <w:pPr>
              <w:jc w:val="center"/>
              <w:ind w:left="3489"/>
              <w:spacing w:after="0"/>
              <w:rPr>
                <w:sz w:val="20"/>
                <w:szCs w:val="20"/>
                <w:color w:val="auto"/>
              </w:rPr>
            </w:pPr>
            <w:r>
              <w:rPr>
                <w:rFonts w:ascii="Arial" w:cs="Arial" w:eastAsia="Arial" w:hAnsi="Arial"/>
                <w:sz w:val="16"/>
                <w:szCs w:val="16"/>
                <w:color w:val="auto"/>
                <w:w w:val="96"/>
              </w:rPr>
              <w:t>208,831</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1,865</w:t>
            </w:r>
          </w:p>
        </w:tc>
        <w:tc>
          <w:tcPr>
            <w:tcW w:w="760" w:type="dxa"/>
            <w:vAlign w:val="bottom"/>
          </w:tcPr>
          <w:p>
            <w:pPr>
              <w:jc w:val="center"/>
              <w:ind w:left="47"/>
              <w:spacing w:after="0"/>
              <w:rPr>
                <w:sz w:val="20"/>
                <w:szCs w:val="20"/>
                <w:color w:val="auto"/>
              </w:rPr>
            </w:pPr>
            <w:r>
              <w:rPr>
                <w:rFonts w:ascii="Arial" w:cs="Arial" w:eastAsia="Arial" w:hAnsi="Arial"/>
                <w:sz w:val="16"/>
                <w:szCs w:val="16"/>
                <w:color w:val="auto"/>
                <w:w w:val="96"/>
              </w:rPr>
              <w:t>257,501</w:t>
            </w:r>
          </w:p>
        </w:tc>
      </w:tr>
    </w:tbl>
    <w:p>
      <w:pPr>
        <w:spacing w:after="0" w:line="200" w:lineRule="exact"/>
        <w:rPr>
          <w:sz w:val="20"/>
          <w:szCs w:val="20"/>
          <w:color w:val="auto"/>
        </w:rPr>
      </w:pPr>
    </w:p>
    <w:p>
      <w:pPr>
        <w:spacing w:after="0" w:line="230" w:lineRule="exact"/>
        <w:rPr>
          <w:sz w:val="20"/>
          <w:szCs w:val="20"/>
          <w:color w:val="auto"/>
        </w:rPr>
      </w:pPr>
    </w:p>
    <w:p>
      <w:pPr>
        <w:ind w:left="243" w:hanging="243"/>
        <w:spacing w:after="0"/>
        <w:tabs>
          <w:tab w:leader="none" w:pos="243"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w:t>
      </w:r>
    </w:p>
    <w:p>
      <w:pPr>
        <w:spacing w:after="0" w:line="204" w:lineRule="exact"/>
        <w:rPr>
          <w:rFonts w:ascii="Arial" w:cs="Arial" w:eastAsia="Arial" w:hAnsi="Arial"/>
          <w:sz w:val="16"/>
          <w:szCs w:val="16"/>
          <w:color w:val="auto"/>
        </w:rPr>
      </w:pPr>
    </w:p>
    <w:p>
      <w:pPr>
        <w:ind w:left="583" w:hanging="389"/>
        <w:spacing w:after="0"/>
        <w:tabs>
          <w:tab w:leader="none" w:pos="583" w:val="left"/>
        </w:tabs>
        <w:numPr>
          <w:ilvl w:val="1"/>
          <w:numId w:val="45"/>
        </w:numPr>
        <w:rPr>
          <w:rFonts w:ascii="Arial" w:cs="Arial" w:eastAsia="Arial" w:hAnsi="Arial"/>
          <w:sz w:val="16"/>
          <w:szCs w:val="16"/>
          <w:color w:val="auto"/>
        </w:rPr>
      </w:pPr>
      <w:r>
        <w:rPr>
          <w:rFonts w:ascii="Arial" w:cs="Arial" w:eastAsia="Arial" w:hAnsi="Arial"/>
          <w:sz w:val="16"/>
          <w:szCs w:val="16"/>
          <w:color w:val="auto"/>
        </w:rPr>
        <w:t>9,661,597 shares obtainable within 60 days;</w:t>
      </w:r>
    </w:p>
    <w:p>
      <w:pPr>
        <w:spacing w:after="0" w:line="240" w:lineRule="exact"/>
        <w:rPr>
          <w:rFonts w:ascii="Arial" w:cs="Arial" w:eastAsia="Arial" w:hAnsi="Arial"/>
          <w:sz w:val="16"/>
          <w:szCs w:val="16"/>
          <w:color w:val="auto"/>
        </w:rPr>
      </w:pPr>
    </w:p>
    <w:p>
      <w:pPr>
        <w:ind w:left="583" w:hanging="389"/>
        <w:spacing w:after="0"/>
        <w:tabs>
          <w:tab w:leader="none" w:pos="583" w:val="left"/>
        </w:tabs>
        <w:numPr>
          <w:ilvl w:val="1"/>
          <w:numId w:val="45"/>
        </w:numPr>
        <w:rPr>
          <w:rFonts w:ascii="Arial" w:cs="Arial" w:eastAsia="Arial" w:hAnsi="Arial"/>
          <w:sz w:val="16"/>
          <w:szCs w:val="16"/>
          <w:color w:val="auto"/>
        </w:rPr>
      </w:pPr>
      <w:r>
        <w:rPr>
          <w:rFonts w:ascii="Arial" w:cs="Arial" w:eastAsia="Arial" w:hAnsi="Arial"/>
          <w:sz w:val="16"/>
          <w:szCs w:val="16"/>
          <w:color w:val="auto"/>
        </w:rPr>
        <w:t>48,359 shares credited to 401(k) accounts;</w:t>
      </w:r>
    </w:p>
    <w:p>
      <w:pPr>
        <w:spacing w:after="0" w:line="216" w:lineRule="exact"/>
        <w:rPr>
          <w:rFonts w:ascii="Arial" w:cs="Arial" w:eastAsia="Arial" w:hAnsi="Arial"/>
          <w:sz w:val="16"/>
          <w:szCs w:val="16"/>
          <w:color w:val="auto"/>
        </w:rPr>
      </w:pPr>
    </w:p>
    <w:p>
      <w:pPr>
        <w:ind w:left="583" w:hanging="389"/>
        <w:spacing w:after="0"/>
        <w:tabs>
          <w:tab w:leader="none" w:pos="583" w:val="left"/>
        </w:tabs>
        <w:numPr>
          <w:ilvl w:val="1"/>
          <w:numId w:val="45"/>
        </w:numPr>
        <w:rPr>
          <w:rFonts w:ascii="Arial" w:cs="Arial" w:eastAsia="Arial" w:hAnsi="Arial"/>
          <w:sz w:val="16"/>
          <w:szCs w:val="16"/>
          <w:color w:val="auto"/>
        </w:rPr>
      </w:pPr>
      <w:r>
        <w:rPr>
          <w:rFonts w:ascii="Arial" w:cs="Arial" w:eastAsia="Arial" w:hAnsi="Arial"/>
          <w:sz w:val="16"/>
          <w:szCs w:val="16"/>
          <w:color w:val="auto"/>
        </w:rPr>
        <w:t>3,226,187 shares subject to RSU awards; for the terms of these RSUs, please see pages 64 and 84-85; and</w:t>
      </w:r>
    </w:p>
    <w:p>
      <w:pPr>
        <w:spacing w:after="0" w:line="216" w:lineRule="exact"/>
        <w:rPr>
          <w:rFonts w:ascii="Arial" w:cs="Arial" w:eastAsia="Arial" w:hAnsi="Arial"/>
          <w:sz w:val="16"/>
          <w:szCs w:val="16"/>
          <w:color w:val="auto"/>
        </w:rPr>
      </w:pPr>
    </w:p>
    <w:p>
      <w:pPr>
        <w:ind w:left="583" w:right="40" w:hanging="389"/>
        <w:spacing w:after="0" w:line="243" w:lineRule="auto"/>
        <w:tabs>
          <w:tab w:leader="none" w:pos="583" w:val="left"/>
        </w:tabs>
        <w:numPr>
          <w:ilvl w:val="1"/>
          <w:numId w:val="45"/>
        </w:numPr>
        <w:rPr>
          <w:rFonts w:ascii="Arial" w:cs="Arial" w:eastAsia="Arial" w:hAnsi="Arial"/>
          <w:sz w:val="16"/>
          <w:szCs w:val="16"/>
          <w:color w:val="auto"/>
        </w:rPr>
      </w:pPr>
      <w:r>
        <w:rPr>
          <w:rFonts w:ascii="Arial" w:cs="Arial" w:eastAsia="Arial" w:hAnsi="Arial"/>
          <w:sz w:val="16"/>
          <w:szCs w:val="16"/>
          <w:color w:val="auto"/>
        </w:rPr>
        <w:t>89,705 shares credited to certain non-employee directors’ deferred compensation accounts; shares in deferred compensation accounts are issued following a director’s termination of service.</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Related person transactions</w:t>
      </w:r>
    </w:p>
    <w:p>
      <w:pPr>
        <w:spacing w:after="0" w:line="21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company has no reportable related person transactions.</w:t>
      </w:r>
    </w:p>
    <w:p>
      <w:pPr>
        <w:spacing w:after="0" w:line="22" w:lineRule="exact"/>
        <w:rPr>
          <w:sz w:val="20"/>
          <w:szCs w:val="20"/>
          <w:color w:val="auto"/>
        </w:rPr>
      </w:pPr>
    </w:p>
    <w:p>
      <w:pPr>
        <w:ind w:left="3" w:right="120" w:firstLine="243"/>
        <w:spacing w:after="0" w:line="241" w:lineRule="auto"/>
        <w:rPr>
          <w:sz w:val="20"/>
          <w:szCs w:val="20"/>
          <w:color w:val="auto"/>
        </w:rPr>
      </w:pPr>
      <w:r>
        <w:rPr>
          <w:rFonts w:ascii="Arial" w:cs="Arial" w:eastAsia="Arial" w:hAnsi="Arial"/>
          <w:sz w:val="16"/>
          <w:szCs w:val="16"/>
          <w:color w:val="auto"/>
        </w:rPr>
        <w:t>Because we believe that company transactions with directors and executive officers of TI or with persons related to TI directors 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specified below in connection with any related person transaction. The policy applies to transactions in which:</w:t>
      </w:r>
    </w:p>
    <w:p>
      <w:pPr>
        <w:spacing w:after="0" w:line="13" w:lineRule="exact"/>
        <w:rPr>
          <w:sz w:val="20"/>
          <w:szCs w:val="20"/>
          <w:color w:val="auto"/>
        </w:rPr>
      </w:pPr>
    </w:p>
    <w:p>
      <w:pPr>
        <w:ind w:left="523" w:hanging="329"/>
        <w:spacing w:after="0"/>
        <w:tabs>
          <w:tab w:leader="none" w:pos="5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TI or any TI subsidiary is or will be a participant;</w:t>
      </w:r>
    </w:p>
    <w:p>
      <w:pPr>
        <w:spacing w:after="0" w:line="20" w:lineRule="exact"/>
        <w:rPr>
          <w:rFonts w:ascii="Arial" w:cs="Arial" w:eastAsia="Arial" w:hAnsi="Arial"/>
          <w:sz w:val="16"/>
          <w:szCs w:val="16"/>
          <w:color w:val="auto"/>
        </w:rPr>
      </w:pPr>
    </w:p>
    <w:p>
      <w:pPr>
        <w:ind w:left="523" w:hanging="329"/>
        <w:spacing w:after="0"/>
        <w:tabs>
          <w:tab w:leader="none" w:pos="5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 involved exceeds or is expected to exceed $100,000 in a fiscal year; and</w:t>
      </w:r>
    </w:p>
    <w:p>
      <w:pPr>
        <w:ind w:left="523" w:hanging="329"/>
        <w:spacing w:after="0"/>
        <w:tabs>
          <w:tab w:leader="none" w:pos="5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of the following (a “related person”) has or will have a direct or indirect interest:</w:t>
      </w:r>
    </w:p>
    <w:p>
      <w:pPr>
        <w:spacing w:after="0" w:line="10" w:lineRule="exact"/>
        <w:rPr>
          <w:rFonts w:ascii="Arial" w:cs="Arial" w:eastAsia="Arial" w:hAnsi="Arial"/>
          <w:sz w:val="16"/>
          <w:szCs w:val="16"/>
          <w:color w:val="auto"/>
        </w:rPr>
      </w:pPr>
    </w:p>
    <w:p>
      <w:pPr>
        <w:ind w:left="903" w:hanging="382"/>
        <w:spacing w:after="0"/>
        <w:tabs>
          <w:tab w:leader="none" w:pos="903" w:val="left"/>
        </w:tabs>
        <w:numPr>
          <w:ilvl w:val="1"/>
          <w:numId w:val="46"/>
        </w:numPr>
        <w:rPr>
          <w:rFonts w:ascii="Arial" w:cs="Arial" w:eastAsia="Arial" w:hAnsi="Arial"/>
          <w:sz w:val="16"/>
          <w:szCs w:val="16"/>
          <w:color w:val="auto"/>
        </w:rPr>
      </w:pPr>
      <w:r>
        <w:rPr>
          <w:rFonts w:ascii="Arial" w:cs="Arial" w:eastAsia="Arial" w:hAnsi="Arial"/>
          <w:sz w:val="16"/>
          <w:szCs w:val="16"/>
          <w:color w:val="auto"/>
        </w:rPr>
        <w:t>A TI director or executive officer, or an Immediate Family Member of a director or executive officer;</w:t>
      </w:r>
    </w:p>
    <w:p>
      <w:pPr>
        <w:spacing w:after="0" w:line="22" w:lineRule="exact"/>
        <w:rPr>
          <w:rFonts w:ascii="Arial" w:cs="Arial" w:eastAsia="Arial" w:hAnsi="Arial"/>
          <w:sz w:val="16"/>
          <w:szCs w:val="16"/>
          <w:color w:val="auto"/>
        </w:rPr>
      </w:pPr>
    </w:p>
    <w:p>
      <w:pPr>
        <w:ind w:left="903" w:right="60" w:hanging="382"/>
        <w:spacing w:after="0" w:line="237" w:lineRule="auto"/>
        <w:tabs>
          <w:tab w:leader="none" w:pos="903" w:val="left"/>
        </w:tabs>
        <w:numPr>
          <w:ilvl w:val="1"/>
          <w:numId w:val="46"/>
        </w:numPr>
        <w:rPr>
          <w:rFonts w:ascii="Arial" w:cs="Arial" w:eastAsia="Arial" w:hAnsi="Arial"/>
          <w:sz w:val="16"/>
          <w:szCs w:val="16"/>
          <w:color w:val="auto"/>
        </w:rPr>
      </w:pPr>
      <w:r>
        <w:rPr>
          <w:rFonts w:ascii="Arial" w:cs="Arial" w:eastAsia="Arial" w:hAnsi="Arial"/>
          <w:sz w:val="16"/>
          <w:szCs w:val="16"/>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 “5 percent holder”); or</w:t>
      </w:r>
    </w:p>
    <w:p>
      <w:pPr>
        <w:ind w:left="903" w:right="180" w:hanging="382"/>
        <w:spacing w:after="0" w:line="243" w:lineRule="auto"/>
        <w:tabs>
          <w:tab w:leader="none" w:pos="903"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 entity in which someone listed in (a) or (b) above has a 5 percent or greater ownership interest, by which someone listed in (a) or (b) is employed, or of which someone listed in (a) or (b) is a director, principal or partner.</w:t>
      </w:r>
    </w:p>
    <w:p>
      <w:pPr>
        <w:spacing w:after="0" w:line="209" w:lineRule="exact"/>
        <w:rPr>
          <w:sz w:val="20"/>
          <w:szCs w:val="20"/>
          <w:color w:val="auto"/>
        </w:rPr>
      </w:pPr>
    </w:p>
    <w:p>
      <w:pPr>
        <w:jc w:val="both"/>
        <w:ind w:left="3" w:right="260" w:firstLine="243"/>
        <w:spacing w:after="0" w:line="248" w:lineRule="auto"/>
        <w:rPr>
          <w:sz w:val="20"/>
          <w:szCs w:val="20"/>
          <w:color w:val="auto"/>
        </w:rPr>
      </w:pPr>
      <w:r>
        <w:rPr>
          <w:rFonts w:ascii="Arial" w:cs="Arial" w:eastAsia="Arial" w:hAnsi="Arial"/>
          <w:sz w:val="16"/>
          <w:szCs w:val="16"/>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12" w:lineRule="exact"/>
        <w:rPr>
          <w:sz w:val="20"/>
          <w:szCs w:val="20"/>
          <w:color w:val="auto"/>
        </w:rPr>
      </w:pPr>
    </w:p>
    <w:p>
      <w:pPr>
        <w:ind w:left="3" w:right="700" w:firstLine="243"/>
        <w:spacing w:after="0" w:line="259" w:lineRule="auto"/>
        <w:rPr>
          <w:sz w:val="20"/>
          <w:szCs w:val="20"/>
          <w:color w:val="auto"/>
        </w:rPr>
      </w:pPr>
      <w:r>
        <w:rPr>
          <w:rFonts w:ascii="Arial" w:cs="Arial" w:eastAsia="Arial" w:hAnsi="Arial"/>
          <w:sz w:val="16"/>
          <w:szCs w:val="16"/>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173" w:lineRule="exact"/>
        <w:rPr>
          <w:sz w:val="20"/>
          <w:szCs w:val="20"/>
          <w:color w:val="auto"/>
        </w:rPr>
      </w:pPr>
    </w:p>
    <w:p>
      <w:pPr>
        <w:ind w:left="3"/>
        <w:spacing w:after="0"/>
        <w:rPr>
          <w:sz w:val="20"/>
          <w:szCs w:val="20"/>
          <w:color w:val="auto"/>
        </w:rPr>
      </w:pPr>
      <w:r>
        <w:rPr>
          <w:rFonts w:ascii="Arial" w:cs="Arial" w:eastAsia="Arial" w:hAnsi="Arial"/>
          <w:sz w:val="16"/>
          <w:szCs w:val="16"/>
          <w:u w:val="single" w:color="auto"/>
          <w:color w:val="auto"/>
        </w:rPr>
        <w:t>Approval required</w:t>
      </w:r>
    </w:p>
    <w:p>
      <w:pPr>
        <w:spacing w:after="0" w:line="211"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5580" w:type="dxa"/>
            <w:vAlign w:val="bottom"/>
          </w:tcPr>
          <w:p>
            <w:pPr>
              <w:spacing w:after="0"/>
              <w:rPr>
                <w:sz w:val="20"/>
                <w:szCs w:val="20"/>
                <w:color w:val="auto"/>
              </w:rPr>
            </w:pPr>
            <w:r>
              <w:rPr>
                <w:rFonts w:ascii="Arial" w:cs="Arial" w:eastAsia="Arial" w:hAnsi="Arial"/>
                <w:sz w:val="12"/>
                <w:szCs w:val="12"/>
                <w:b w:val="1"/>
                <w:bCs w:val="1"/>
                <w:color w:val="auto"/>
              </w:rPr>
              <w:t>Arrangement involving:</w:t>
            </w:r>
          </w:p>
        </w:tc>
        <w:tc>
          <w:tcPr>
            <w:tcW w:w="5880" w:type="dxa"/>
            <w:vAlign w:val="bottom"/>
            <w:gridSpan w:val="2"/>
          </w:tcPr>
          <w:p>
            <w:pPr>
              <w:ind w:left="2420"/>
              <w:spacing w:after="0"/>
              <w:rPr>
                <w:sz w:val="20"/>
                <w:szCs w:val="20"/>
                <w:color w:val="auto"/>
              </w:rPr>
            </w:pPr>
            <w:r>
              <w:rPr>
                <w:rFonts w:ascii="Arial" w:cs="Arial" w:eastAsia="Arial" w:hAnsi="Arial"/>
                <w:sz w:val="12"/>
                <w:szCs w:val="12"/>
                <w:b w:val="1"/>
                <w:bCs w:val="1"/>
                <w:color w:val="auto"/>
              </w:rPr>
              <w:t>Approval required by:</w:t>
            </w:r>
          </w:p>
        </w:tc>
      </w:tr>
      <w:tr>
        <w:trPr>
          <w:trHeight w:val="37"/>
        </w:trPr>
        <w:tc>
          <w:tcPr>
            <w:tcW w:w="5580" w:type="dxa"/>
            <w:vAlign w:val="bottom"/>
          </w:tcPr>
          <w:p>
            <w:pPr>
              <w:spacing w:after="0"/>
              <w:rPr>
                <w:sz w:val="3"/>
                <w:szCs w:val="3"/>
                <w:color w:val="auto"/>
              </w:rPr>
            </w:pPr>
          </w:p>
        </w:tc>
        <w:tc>
          <w:tcPr>
            <w:tcW w:w="5880" w:type="dxa"/>
            <w:vAlign w:val="bottom"/>
            <w:gridSpan w:val="2"/>
          </w:tcPr>
          <w:p>
            <w:pPr>
              <w:spacing w:after="0"/>
              <w:rPr>
                <w:sz w:val="3"/>
                <w:szCs w:val="3"/>
                <w:color w:val="auto"/>
              </w:rPr>
            </w:pPr>
          </w:p>
        </w:tc>
      </w:tr>
      <w:tr>
        <w:trPr>
          <w:trHeight w:val="196"/>
        </w:trPr>
        <w:tc>
          <w:tcPr>
            <w:tcW w:w="5580" w:type="dxa"/>
            <w:vAlign w:val="bottom"/>
            <w:tcBorders>
              <w:top w:val="single" w:sz="8" w:color="808285"/>
            </w:tcBorders>
            <w:shd w:val="clear" w:color="auto" w:fill="E9E9E9"/>
          </w:tcPr>
          <w:p>
            <w:pPr>
              <w:spacing w:after="0"/>
              <w:rPr>
                <w:sz w:val="20"/>
                <w:szCs w:val="20"/>
                <w:color w:val="auto"/>
              </w:rPr>
            </w:pPr>
            <w:r>
              <w:rPr>
                <w:rFonts w:ascii="Arial" w:cs="Arial" w:eastAsia="Arial" w:hAnsi="Arial"/>
                <w:sz w:val="16"/>
                <w:szCs w:val="16"/>
                <w:color w:val="auto"/>
              </w:rPr>
              <w:t>Executive officer who is also a member of the TI board, an Immediate Family</w:t>
            </w:r>
          </w:p>
        </w:tc>
        <w:tc>
          <w:tcPr>
            <w:tcW w:w="5860" w:type="dxa"/>
            <w:vAlign w:val="bottom"/>
            <w:tcBorders>
              <w:top w:val="single" w:sz="8" w:color="808285"/>
            </w:tcBorders>
            <w:shd w:val="clear" w:color="auto" w:fill="E9E9E9"/>
          </w:tcPr>
          <w:p>
            <w:pPr>
              <w:ind w:left="240"/>
              <w:spacing w:after="0"/>
              <w:rPr>
                <w:sz w:val="20"/>
                <w:szCs w:val="20"/>
                <w:color w:val="auto"/>
              </w:rPr>
            </w:pPr>
            <w:r>
              <w:rPr>
                <w:rFonts w:ascii="Arial" w:cs="Arial" w:eastAsia="Arial" w:hAnsi="Arial"/>
                <w:sz w:val="16"/>
                <w:szCs w:val="16"/>
                <w:color w:val="auto"/>
              </w:rPr>
              <w:t>Governance and Stockholder Relations Committee</w:t>
            </w:r>
          </w:p>
        </w:tc>
        <w:tc>
          <w:tcPr>
            <w:tcW w:w="20" w:type="dxa"/>
            <w:vAlign w:val="bottom"/>
          </w:tcPr>
          <w:p>
            <w:pPr>
              <w:spacing w:after="0"/>
              <w:rPr>
                <w:sz w:val="17"/>
                <w:szCs w:val="17"/>
                <w:color w:val="auto"/>
              </w:rPr>
            </w:pPr>
          </w:p>
        </w:tc>
      </w:tr>
      <w:tr>
        <w:trPr>
          <w:trHeight w:val="218"/>
        </w:trPr>
        <w:tc>
          <w:tcPr>
            <w:tcW w:w="5580" w:type="dxa"/>
            <w:vAlign w:val="bottom"/>
            <w:shd w:val="clear" w:color="auto" w:fill="E9E9E9"/>
          </w:tcPr>
          <w:p>
            <w:pPr>
              <w:spacing w:after="0"/>
              <w:rPr>
                <w:sz w:val="20"/>
                <w:szCs w:val="20"/>
                <w:color w:val="auto"/>
              </w:rPr>
            </w:pPr>
            <w:r>
              <w:rPr>
                <w:rFonts w:ascii="Arial" w:cs="Arial" w:eastAsia="Arial" w:hAnsi="Arial"/>
                <w:sz w:val="16"/>
                <w:szCs w:val="16"/>
                <w:color w:val="auto"/>
              </w:rPr>
              <w:t>Member of such person, or an entity in which any of the foregoing has a 5</w:t>
            </w:r>
          </w:p>
        </w:tc>
        <w:tc>
          <w:tcPr>
            <w:tcW w:w="5860" w:type="dxa"/>
            <w:vAlign w:val="bottom"/>
            <w:shd w:val="clear" w:color="auto" w:fill="E9E9E9"/>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5580" w:type="dxa"/>
            <w:vAlign w:val="bottom"/>
            <w:shd w:val="clear" w:color="auto" w:fill="E9E9E9"/>
          </w:tcPr>
          <w:p>
            <w:pPr>
              <w:spacing w:after="0"/>
              <w:rPr>
                <w:sz w:val="20"/>
                <w:szCs w:val="20"/>
                <w:color w:val="auto"/>
              </w:rPr>
            </w:pPr>
            <w:r>
              <w:rPr>
                <w:rFonts w:ascii="Arial" w:cs="Arial" w:eastAsia="Arial" w:hAnsi="Arial"/>
                <w:sz w:val="16"/>
                <w:szCs w:val="16"/>
                <w:color w:val="auto"/>
              </w:rPr>
              <w:t>percent or greater ownership interest</w:t>
            </w:r>
          </w:p>
        </w:tc>
        <w:tc>
          <w:tcPr>
            <w:tcW w:w="586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5580" w:type="dxa"/>
            <w:vAlign w:val="bottom"/>
          </w:tcPr>
          <w:p>
            <w:pPr>
              <w:spacing w:after="0"/>
              <w:rPr>
                <w:sz w:val="18"/>
                <w:szCs w:val="18"/>
                <w:color w:val="auto"/>
              </w:rPr>
            </w:pPr>
          </w:p>
        </w:tc>
        <w:tc>
          <w:tcPr>
            <w:tcW w:w="5880" w:type="dxa"/>
            <w:vAlign w:val="bottom"/>
            <w:gridSpan w:val="2"/>
          </w:tcPr>
          <w:p>
            <w:pPr>
              <w:spacing w:after="0"/>
              <w:rPr>
                <w:sz w:val="18"/>
                <w:szCs w:val="18"/>
                <w:color w:val="auto"/>
              </w:rPr>
            </w:pPr>
          </w:p>
        </w:tc>
      </w:tr>
      <w:tr>
        <w:trPr>
          <w:trHeight w:val="204"/>
        </w:trPr>
        <w:tc>
          <w:tcPr>
            <w:tcW w:w="5580" w:type="dxa"/>
            <w:vAlign w:val="bottom"/>
            <w:shd w:val="clear" w:color="auto" w:fill="E9E9E9"/>
          </w:tcPr>
          <w:p>
            <w:pPr>
              <w:spacing w:after="0"/>
              <w:rPr>
                <w:sz w:val="20"/>
                <w:szCs w:val="20"/>
                <w:color w:val="auto"/>
              </w:rPr>
            </w:pPr>
            <w:r>
              <w:rPr>
                <w:rFonts w:ascii="Arial" w:cs="Arial" w:eastAsia="Arial" w:hAnsi="Arial"/>
                <w:sz w:val="16"/>
                <w:szCs w:val="16"/>
                <w:color w:val="auto"/>
              </w:rPr>
              <w:t>Chief compliance officer, any of his or her Immediate Family Members, or an</w:t>
            </w:r>
          </w:p>
        </w:tc>
        <w:tc>
          <w:tcPr>
            <w:tcW w:w="5860" w:type="dxa"/>
            <w:vAlign w:val="bottom"/>
            <w:shd w:val="clear" w:color="auto" w:fill="E9E9E9"/>
          </w:tcPr>
          <w:p>
            <w:pPr>
              <w:ind w:left="240"/>
              <w:spacing w:after="0"/>
              <w:rPr>
                <w:sz w:val="20"/>
                <w:szCs w:val="20"/>
                <w:color w:val="auto"/>
              </w:rPr>
            </w:pPr>
            <w:r>
              <w:rPr>
                <w:rFonts w:ascii="Arial" w:cs="Arial" w:eastAsia="Arial" w:hAnsi="Arial"/>
                <w:sz w:val="16"/>
                <w:szCs w:val="16"/>
                <w:color w:val="auto"/>
              </w:rPr>
              <w:t>Governance and Stockholder Relations Committee</w:t>
            </w:r>
          </w:p>
        </w:tc>
        <w:tc>
          <w:tcPr>
            <w:tcW w:w="20" w:type="dxa"/>
            <w:vAlign w:val="bottom"/>
          </w:tcPr>
          <w:p>
            <w:pPr>
              <w:spacing w:after="0"/>
              <w:rPr>
                <w:sz w:val="17"/>
                <w:szCs w:val="17"/>
                <w:color w:val="auto"/>
              </w:rPr>
            </w:pPr>
          </w:p>
        </w:tc>
      </w:tr>
      <w:tr>
        <w:trPr>
          <w:trHeight w:val="218"/>
        </w:trPr>
        <w:tc>
          <w:tcPr>
            <w:tcW w:w="5580" w:type="dxa"/>
            <w:vAlign w:val="bottom"/>
            <w:shd w:val="clear" w:color="auto" w:fill="E9E9E9"/>
          </w:tcPr>
          <w:p>
            <w:pPr>
              <w:spacing w:after="0"/>
              <w:rPr>
                <w:sz w:val="20"/>
                <w:szCs w:val="20"/>
                <w:color w:val="auto"/>
              </w:rPr>
            </w:pPr>
            <w:r>
              <w:rPr>
                <w:rFonts w:ascii="Arial" w:cs="Arial" w:eastAsia="Arial" w:hAnsi="Arial"/>
                <w:sz w:val="16"/>
                <w:szCs w:val="16"/>
                <w:color w:val="auto"/>
              </w:rPr>
              <w:t>entity in which any of the foregoing has a 5 percent or greater ownership</w:t>
            </w:r>
          </w:p>
        </w:tc>
        <w:tc>
          <w:tcPr>
            <w:tcW w:w="5860" w:type="dxa"/>
            <w:vAlign w:val="bottom"/>
            <w:shd w:val="clear" w:color="auto" w:fill="E9E9E9"/>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5580" w:type="dxa"/>
            <w:vAlign w:val="bottom"/>
            <w:shd w:val="clear" w:color="auto" w:fill="E9E9E9"/>
          </w:tcPr>
          <w:p>
            <w:pPr>
              <w:spacing w:after="0"/>
              <w:rPr>
                <w:sz w:val="20"/>
                <w:szCs w:val="20"/>
                <w:color w:val="auto"/>
              </w:rPr>
            </w:pPr>
            <w:r>
              <w:rPr>
                <w:rFonts w:ascii="Arial" w:cs="Arial" w:eastAsia="Arial" w:hAnsi="Arial"/>
                <w:sz w:val="16"/>
                <w:szCs w:val="16"/>
                <w:color w:val="auto"/>
              </w:rPr>
              <w:t>interest</w:t>
            </w:r>
          </w:p>
        </w:tc>
        <w:tc>
          <w:tcPr>
            <w:tcW w:w="586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5580" w:type="dxa"/>
            <w:vAlign w:val="bottom"/>
          </w:tcPr>
          <w:p>
            <w:pPr>
              <w:spacing w:after="0"/>
              <w:rPr>
                <w:sz w:val="18"/>
                <w:szCs w:val="18"/>
                <w:color w:val="auto"/>
              </w:rPr>
            </w:pPr>
          </w:p>
        </w:tc>
        <w:tc>
          <w:tcPr>
            <w:tcW w:w="5880" w:type="dxa"/>
            <w:vAlign w:val="bottom"/>
            <w:gridSpan w:val="2"/>
          </w:tcPr>
          <w:p>
            <w:pPr>
              <w:spacing w:after="0"/>
              <w:rPr>
                <w:sz w:val="18"/>
                <w:szCs w:val="18"/>
                <w:color w:val="auto"/>
              </w:rPr>
            </w:pPr>
          </w:p>
        </w:tc>
      </w:tr>
      <w:tr>
        <w:trPr>
          <w:trHeight w:val="204"/>
        </w:trPr>
        <w:tc>
          <w:tcPr>
            <w:tcW w:w="5580" w:type="dxa"/>
            <w:vAlign w:val="bottom"/>
            <w:shd w:val="clear" w:color="auto" w:fill="E9E9E9"/>
          </w:tcPr>
          <w:p>
            <w:pPr>
              <w:spacing w:after="0"/>
              <w:rPr>
                <w:sz w:val="20"/>
                <w:szCs w:val="20"/>
                <w:color w:val="auto"/>
              </w:rPr>
            </w:pPr>
            <w:r>
              <w:rPr>
                <w:rFonts w:ascii="Arial" w:cs="Arial" w:eastAsia="Arial" w:hAnsi="Arial"/>
                <w:sz w:val="16"/>
                <w:szCs w:val="16"/>
                <w:color w:val="auto"/>
              </w:rPr>
              <w:t>Any other director or executive officer, an Immediate Family Member of such</w:t>
            </w:r>
          </w:p>
        </w:tc>
        <w:tc>
          <w:tcPr>
            <w:tcW w:w="5860" w:type="dxa"/>
            <w:vAlign w:val="bottom"/>
            <w:shd w:val="clear" w:color="auto" w:fill="E9E9E9"/>
          </w:tcPr>
          <w:p>
            <w:pPr>
              <w:ind w:left="240"/>
              <w:spacing w:after="0"/>
              <w:rPr>
                <w:sz w:val="20"/>
                <w:szCs w:val="20"/>
                <w:color w:val="auto"/>
              </w:rPr>
            </w:pPr>
            <w:r>
              <w:rPr>
                <w:rFonts w:ascii="Arial" w:cs="Arial" w:eastAsia="Arial" w:hAnsi="Arial"/>
                <w:sz w:val="16"/>
                <w:szCs w:val="16"/>
                <w:color w:val="auto"/>
              </w:rPr>
              <w:t>Chief compliance officer in consultation with the Chair of the Governance and</w:t>
            </w:r>
          </w:p>
        </w:tc>
        <w:tc>
          <w:tcPr>
            <w:tcW w:w="20" w:type="dxa"/>
            <w:vAlign w:val="bottom"/>
          </w:tcPr>
          <w:p>
            <w:pPr>
              <w:spacing w:after="0"/>
              <w:rPr>
                <w:sz w:val="17"/>
                <w:szCs w:val="17"/>
                <w:color w:val="auto"/>
              </w:rPr>
            </w:pPr>
          </w:p>
        </w:tc>
      </w:tr>
      <w:tr>
        <w:trPr>
          <w:trHeight w:val="218"/>
        </w:trPr>
        <w:tc>
          <w:tcPr>
            <w:tcW w:w="5580" w:type="dxa"/>
            <w:vAlign w:val="bottom"/>
            <w:shd w:val="clear" w:color="auto" w:fill="E9E9E9"/>
          </w:tcPr>
          <w:p>
            <w:pPr>
              <w:spacing w:after="0"/>
              <w:rPr>
                <w:sz w:val="20"/>
                <w:szCs w:val="20"/>
                <w:color w:val="auto"/>
              </w:rPr>
            </w:pPr>
            <w:r>
              <w:rPr>
                <w:rFonts w:ascii="Arial" w:cs="Arial" w:eastAsia="Arial" w:hAnsi="Arial"/>
                <w:sz w:val="16"/>
                <w:szCs w:val="16"/>
                <w:color w:val="auto"/>
              </w:rPr>
              <w:t>person, or an entity in which any of the foregoing has a 5 percent or greater</w:t>
            </w:r>
          </w:p>
        </w:tc>
        <w:tc>
          <w:tcPr>
            <w:tcW w:w="5860" w:type="dxa"/>
            <w:vAlign w:val="bottom"/>
            <w:shd w:val="clear" w:color="auto" w:fill="E9E9E9"/>
          </w:tcPr>
          <w:p>
            <w:pPr>
              <w:ind w:left="240"/>
              <w:spacing w:after="0"/>
              <w:rPr>
                <w:sz w:val="20"/>
                <w:szCs w:val="20"/>
                <w:color w:val="auto"/>
              </w:rPr>
            </w:pPr>
            <w:r>
              <w:rPr>
                <w:rFonts w:ascii="Arial" w:cs="Arial" w:eastAsia="Arial" w:hAnsi="Arial"/>
                <w:sz w:val="16"/>
                <w:szCs w:val="16"/>
                <w:color w:val="auto"/>
              </w:rPr>
              <w:t>Stockholder Relations Committee</w:t>
            </w:r>
          </w:p>
        </w:tc>
        <w:tc>
          <w:tcPr>
            <w:tcW w:w="20" w:type="dxa"/>
            <w:vAlign w:val="bottom"/>
          </w:tcPr>
          <w:p>
            <w:pPr>
              <w:spacing w:after="0"/>
              <w:rPr>
                <w:sz w:val="18"/>
                <w:szCs w:val="18"/>
                <w:color w:val="auto"/>
              </w:rPr>
            </w:pPr>
          </w:p>
        </w:tc>
      </w:tr>
      <w:tr>
        <w:trPr>
          <w:trHeight w:val="233"/>
        </w:trPr>
        <w:tc>
          <w:tcPr>
            <w:tcW w:w="5580" w:type="dxa"/>
            <w:vAlign w:val="bottom"/>
            <w:shd w:val="clear" w:color="auto" w:fill="E9E9E9"/>
          </w:tcPr>
          <w:p>
            <w:pPr>
              <w:spacing w:after="0"/>
              <w:rPr>
                <w:sz w:val="20"/>
                <w:szCs w:val="20"/>
                <w:color w:val="auto"/>
              </w:rPr>
            </w:pPr>
            <w:r>
              <w:rPr>
                <w:rFonts w:ascii="Arial" w:cs="Arial" w:eastAsia="Arial" w:hAnsi="Arial"/>
                <w:sz w:val="16"/>
                <w:szCs w:val="16"/>
                <w:color w:val="auto"/>
              </w:rPr>
              <w:t>ownership interest</w:t>
            </w:r>
          </w:p>
        </w:tc>
        <w:tc>
          <w:tcPr>
            <w:tcW w:w="586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5580" w:type="dxa"/>
            <w:vAlign w:val="bottom"/>
          </w:tcPr>
          <w:p>
            <w:pPr>
              <w:spacing w:after="0"/>
              <w:rPr>
                <w:sz w:val="18"/>
                <w:szCs w:val="18"/>
                <w:color w:val="auto"/>
              </w:rPr>
            </w:pPr>
          </w:p>
        </w:tc>
        <w:tc>
          <w:tcPr>
            <w:tcW w:w="5880" w:type="dxa"/>
            <w:vAlign w:val="bottom"/>
            <w:gridSpan w:val="2"/>
          </w:tcPr>
          <w:p>
            <w:pPr>
              <w:spacing w:after="0"/>
              <w:rPr>
                <w:sz w:val="18"/>
                <w:szCs w:val="18"/>
                <w:color w:val="auto"/>
              </w:rPr>
            </w:pPr>
          </w:p>
        </w:tc>
      </w:tr>
      <w:tr>
        <w:trPr>
          <w:trHeight w:val="218"/>
        </w:trPr>
        <w:tc>
          <w:tcPr>
            <w:tcW w:w="5580" w:type="dxa"/>
            <w:vAlign w:val="bottom"/>
            <w:shd w:val="clear" w:color="auto" w:fill="E9E9E9"/>
          </w:tcPr>
          <w:p>
            <w:pPr>
              <w:spacing w:after="0"/>
              <w:rPr>
                <w:sz w:val="20"/>
                <w:szCs w:val="20"/>
                <w:color w:val="auto"/>
              </w:rPr>
            </w:pPr>
            <w:r>
              <w:rPr>
                <w:rFonts w:ascii="Arial" w:cs="Arial" w:eastAsia="Arial" w:hAnsi="Arial"/>
                <w:sz w:val="16"/>
                <w:szCs w:val="16"/>
                <w:color w:val="auto"/>
              </w:rPr>
              <w:t>A 5 percent holder</w:t>
            </w:r>
          </w:p>
        </w:tc>
        <w:tc>
          <w:tcPr>
            <w:tcW w:w="5860" w:type="dxa"/>
            <w:vAlign w:val="bottom"/>
            <w:shd w:val="clear" w:color="auto" w:fill="E9E9E9"/>
          </w:tcPr>
          <w:p>
            <w:pPr>
              <w:ind w:left="240"/>
              <w:spacing w:after="0"/>
              <w:rPr>
                <w:sz w:val="20"/>
                <w:szCs w:val="20"/>
                <w:color w:val="auto"/>
              </w:rPr>
            </w:pPr>
            <w:r>
              <w:rPr>
                <w:rFonts w:ascii="Arial" w:cs="Arial" w:eastAsia="Arial" w:hAnsi="Arial"/>
                <w:sz w:val="16"/>
                <w:szCs w:val="16"/>
                <w:color w:val="auto"/>
              </w:rPr>
              <w:t>Governance and Stockholder Relations Committee</w:t>
            </w:r>
          </w:p>
        </w:tc>
        <w:tc>
          <w:tcPr>
            <w:tcW w:w="20" w:type="dxa"/>
            <w:vAlign w:val="bottom"/>
          </w:tcPr>
          <w:p>
            <w:pPr>
              <w:spacing w:after="0"/>
              <w:rPr>
                <w:sz w:val="18"/>
                <w:szCs w:val="18"/>
                <w:color w:val="auto"/>
              </w:rPr>
            </w:pPr>
          </w:p>
        </w:tc>
      </w:tr>
      <w:tr>
        <w:trPr>
          <w:trHeight w:val="424"/>
        </w:trPr>
        <w:tc>
          <w:tcPr>
            <w:tcW w:w="5580" w:type="dxa"/>
            <w:vAlign w:val="bottom"/>
          </w:tcPr>
          <w:p>
            <w:pPr>
              <w:spacing w:after="0"/>
              <w:rPr>
                <w:sz w:val="20"/>
                <w:szCs w:val="20"/>
                <w:color w:val="auto"/>
              </w:rPr>
            </w:pPr>
            <w:r>
              <w:rPr>
                <w:rFonts w:ascii="Arial" w:cs="Arial" w:eastAsia="Arial" w:hAnsi="Arial"/>
                <w:sz w:val="12"/>
                <w:szCs w:val="12"/>
                <w:b w:val="1"/>
                <w:bCs w:val="1"/>
                <w:color w:val="808285"/>
              </w:rPr>
              <w:t>TEXAS INSTRUMENTS</w:t>
            </w:r>
          </w:p>
        </w:tc>
        <w:tc>
          <w:tcPr>
            <w:tcW w:w="5880" w:type="dxa"/>
            <w:vAlign w:val="bottom"/>
            <w:gridSpan w:val="2"/>
          </w:tcPr>
          <w:p>
            <w:pPr>
              <w:ind w:left="4080"/>
              <w:spacing w:after="0"/>
              <w:rPr>
                <w:sz w:val="20"/>
                <w:szCs w:val="20"/>
                <w:color w:val="auto"/>
              </w:rPr>
            </w:pP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97</w:t>
            </w:r>
          </w:p>
        </w:tc>
      </w:tr>
      <w:tr>
        <w:trPr>
          <w:trHeight w:val="360"/>
        </w:trPr>
        <w:tc>
          <w:tcPr>
            <w:tcW w:w="5580" w:type="dxa"/>
            <w:vAlign w:val="bottom"/>
            <w:tcBorders>
              <w:bottom w:val="single" w:sz="8" w:color="808080"/>
            </w:tcBorders>
          </w:tcPr>
          <w:p>
            <w:pPr>
              <w:spacing w:after="0"/>
              <w:rPr>
                <w:sz w:val="24"/>
                <w:szCs w:val="24"/>
                <w:color w:val="auto"/>
              </w:rPr>
            </w:pPr>
          </w:p>
        </w:tc>
        <w:tc>
          <w:tcPr>
            <w:tcW w:w="5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7265670</wp:posOffset>
            </wp:positionH>
            <wp:positionV relativeFrom="paragraph">
              <wp:posOffset>-13335</wp:posOffset>
            </wp:positionV>
            <wp:extent cx="127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3"/>
          </w:cols>
          <w:pgMar w:left="237" w:top="555" w:right="199" w:bottom="1440" w:gutter="0" w:footer="0" w:header="0"/>
        </w:sectPr>
      </w:pPr>
    </w:p>
    <w:bookmarkStart w:id="44" w:name="page45"/>
    <w:bookmarkEnd w:id="44"/>
    <w:p>
      <w:pPr>
        <w:ind w:right="60"/>
        <w:spacing w:after="0" w:line="243" w:lineRule="auto"/>
        <w:rPr>
          <w:sz w:val="20"/>
          <w:szCs w:val="20"/>
          <w:color w:val="auto"/>
        </w:rPr>
      </w:pPr>
      <w:r>
        <w:rPr>
          <w:rFonts w:ascii="Arial" w:cs="Arial" w:eastAsia="Arial" w:hAnsi="Arial"/>
          <w:sz w:val="16"/>
          <w:szCs w:val="16"/>
          <w:color w:val="auto"/>
        </w:rPr>
        <w:t>No member of the Governance and Stockholder Relations Committee will participate in the consideration of a related person arrangement in which such member or any of his or her Immediate Family Members is the related person.</w:t>
      </w:r>
    </w:p>
    <w:p>
      <w:pPr>
        <w:spacing w:after="0" w:line="15" w:lineRule="exact"/>
        <w:rPr>
          <w:sz w:val="20"/>
          <w:szCs w:val="20"/>
          <w:color w:val="auto"/>
        </w:rPr>
      </w:pPr>
    </w:p>
    <w:p>
      <w:pPr>
        <w:ind w:right="100" w:firstLine="243"/>
        <w:spacing w:after="0" w:line="241" w:lineRule="auto"/>
        <w:rPr>
          <w:sz w:val="20"/>
          <w:szCs w:val="20"/>
          <w:color w:val="auto"/>
        </w:rPr>
      </w:pPr>
      <w:r>
        <w:rPr>
          <w:rFonts w:ascii="Arial" w:cs="Arial" w:eastAsia="Arial" w:hAnsi="Arial"/>
          <w:sz w:val="16"/>
          <w:szCs w:val="16"/>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19" w:lineRule="exact"/>
        <w:rPr>
          <w:sz w:val="20"/>
          <w:szCs w:val="20"/>
          <w:color w:val="auto"/>
        </w:rPr>
      </w:pPr>
    </w:p>
    <w:p>
      <w:pPr>
        <w:ind w:right="80" w:firstLine="243"/>
        <w:spacing w:after="0" w:line="259" w:lineRule="auto"/>
        <w:rPr>
          <w:sz w:val="20"/>
          <w:szCs w:val="20"/>
          <w:color w:val="auto"/>
        </w:rPr>
      </w:pPr>
      <w:r>
        <w:rPr>
          <w:rFonts w:ascii="Arial" w:cs="Arial" w:eastAsia="Arial" w:hAnsi="Arial"/>
          <w:sz w:val="16"/>
          <w:szCs w:val="16"/>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3" w:lineRule="exact"/>
        <w:rPr>
          <w:sz w:val="20"/>
          <w:szCs w:val="20"/>
          <w:color w:val="auto"/>
        </w:rPr>
      </w:pPr>
    </w:p>
    <w:p>
      <w:pPr>
        <w:ind w:right="20" w:firstLine="243"/>
        <w:spacing w:after="0" w:line="248" w:lineRule="auto"/>
        <w:rPr>
          <w:sz w:val="20"/>
          <w:szCs w:val="20"/>
          <w:color w:val="auto"/>
        </w:rPr>
      </w:pPr>
      <w:r>
        <w:rPr>
          <w:rFonts w:ascii="Arial" w:cs="Arial" w:eastAsia="Arial" w:hAnsi="Arial"/>
          <w:sz w:val="16"/>
          <w:szCs w:val="16"/>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During 2011, Mses. Cox and Simmons and Messrs. Goode and MacMillan served on the Compensation Committee. No committee member (i) 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solicitation</w:t>
      </w:r>
    </w:p>
    <w:p>
      <w:pPr>
        <w:spacing w:after="0" w:line="212"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5" w:lineRule="exact"/>
        <w:rPr>
          <w:sz w:val="20"/>
          <w:szCs w:val="20"/>
          <w:color w:val="auto"/>
        </w:rPr>
      </w:pPr>
    </w:p>
    <w:p>
      <w:pPr>
        <w:ind w:right="220" w:firstLine="243"/>
        <w:spacing w:after="0" w:line="248" w:lineRule="auto"/>
        <w:rPr>
          <w:sz w:val="20"/>
          <w:szCs w:val="20"/>
          <w:color w:val="auto"/>
        </w:rPr>
      </w:pPr>
      <w:r>
        <w:rPr>
          <w:rFonts w:ascii="Arial" w:cs="Arial" w:eastAsia="Arial" w:hAnsi="Arial"/>
          <w:sz w:val="16"/>
          <w:szCs w:val="16"/>
          <w:color w:val="auto"/>
        </w:rPr>
        <w:t>Without receiving additional compensation, officials and regular employees of TI may solicit proxies personally, by telephone, fax or e-mail, from some stockholders if proxies are not promptly received. We have also hired Georgeson Inc. to assist in the solicitation of proxies at a cost of $12,000 plus out-of-pocket expenses.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 for 2013</w:t>
      </w:r>
    </w:p>
    <w:p>
      <w:pPr>
        <w:spacing w:after="0" w:line="212"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If you wish to submit a proposal for possible inclusion in TI’s 2013 proxy material, we must receive your notice, in accordance with the rules of the SEC, on or before November 6, 2012. Proposals are to be sent to: Texas Instruments Incorporated, 12500 TI Boulevard, MS 8658, Dallas, Texas, 75243, Attn: Secretary.</w:t>
      </w:r>
    </w:p>
    <w:p>
      <w:pPr>
        <w:spacing w:after="0" w:line="15" w:lineRule="exact"/>
        <w:rPr>
          <w:sz w:val="20"/>
          <w:szCs w:val="20"/>
          <w:color w:val="auto"/>
        </w:rPr>
      </w:pPr>
    </w:p>
    <w:p>
      <w:pPr>
        <w:ind w:right="460" w:firstLine="243"/>
        <w:spacing w:after="0" w:line="259" w:lineRule="auto"/>
        <w:rPr>
          <w:sz w:val="20"/>
          <w:szCs w:val="20"/>
          <w:color w:val="auto"/>
        </w:rPr>
      </w:pPr>
      <w:r>
        <w:rPr>
          <w:rFonts w:ascii="Arial" w:cs="Arial" w:eastAsia="Arial" w:hAnsi="Arial"/>
          <w:sz w:val="16"/>
          <w:szCs w:val="16"/>
          <w:color w:val="auto"/>
        </w:rPr>
        <w:t>If you wish to submit a proposal at the 2013 annual meeting (but not seek inclusion of the proposal in the company’s proxy material), we must receive your notice, in accordance with the company’s by-laws, on or before January 20, 2013.</w:t>
      </w:r>
    </w:p>
    <w:p>
      <w:pPr>
        <w:spacing w:after="0" w:line="3" w:lineRule="exact"/>
        <w:rPr>
          <w:sz w:val="20"/>
          <w:szCs w:val="20"/>
          <w:color w:val="auto"/>
        </w:rPr>
      </w:pPr>
    </w:p>
    <w:p>
      <w:pPr>
        <w:ind w:right="240" w:firstLine="243"/>
        <w:spacing w:after="0" w:line="266" w:lineRule="auto"/>
        <w:rPr>
          <w:sz w:val="20"/>
          <w:szCs w:val="20"/>
          <w:color w:val="auto"/>
        </w:rPr>
      </w:pPr>
      <w:r>
        <w:rPr>
          <w:rFonts w:ascii="Arial" w:cs="Arial" w:eastAsia="Arial" w:hAnsi="Arial"/>
          <w:sz w:val="15"/>
          <w:szCs w:val="15"/>
          <w:color w:val="auto"/>
        </w:rPr>
        <w:t>All suggestions from stockholders concerning the company’s business are welcome and will be carefully considered by TI’s management. To ensure that your suggestions receive appropriate review, the G&amp;SR Committee from time to time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page 60 for information on contacting the board.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plan voting</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16, 2012, in the manner described in the notice of meeting.</w:t>
      </w:r>
    </w:p>
    <w:p>
      <w:pPr>
        <w:spacing w:after="0" w:line="19" w:lineRule="exact"/>
        <w:rPr>
          <w:sz w:val="20"/>
          <w:szCs w:val="20"/>
          <w:color w:val="auto"/>
        </w:rPr>
      </w:pPr>
    </w:p>
    <w:p>
      <w:pPr>
        <w:ind w:right="540" w:firstLine="243"/>
        <w:spacing w:after="0" w:line="248" w:lineRule="auto"/>
        <w:rPr>
          <w:sz w:val="20"/>
          <w:szCs w:val="20"/>
          <w:color w:val="auto"/>
        </w:rPr>
      </w:pPr>
      <w:r>
        <w:rPr>
          <w:rFonts w:ascii="Arial" w:cs="Arial" w:eastAsia="Arial" w:hAnsi="Arial"/>
          <w:sz w:val="16"/>
          <w:szCs w:val="16"/>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16, 2012, will be voted in the same proportions as the shares in the plans for which voting instructions have been received by that date.</w:t>
      </w:r>
    </w:p>
    <w:p>
      <w:pPr>
        <w:spacing w:after="0" w:line="200" w:lineRule="exact"/>
        <w:rPr>
          <w:sz w:val="20"/>
          <w:szCs w:val="20"/>
          <w:color w:val="auto"/>
        </w:rPr>
      </w:pPr>
    </w:p>
    <w:p>
      <w:pPr>
        <w:spacing w:after="0"/>
        <w:tabs>
          <w:tab w:leader="none" w:pos="10100" w:val="left"/>
        </w:tabs>
        <w:rPr>
          <w:sz w:val="20"/>
          <w:szCs w:val="20"/>
          <w:color w:val="auto"/>
        </w:rPr>
      </w:pPr>
      <w:r>
        <w:rPr>
          <w:rFonts w:ascii="Arial" w:cs="Arial" w:eastAsia="Arial" w:hAnsi="Arial"/>
          <w:sz w:val="12"/>
          <w:szCs w:val="12"/>
          <w:b w:val="1"/>
          <w:bCs w:val="1"/>
          <w:color w:val="auto"/>
        </w:rPr>
        <w:t xml:space="preserve">98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55" w:right="21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16"/>
          <w:szCs w:val="16"/>
          <w:color w:val="auto"/>
        </w:rPr>
        <w:t>Section 16(a) of the Securities Exchange Act of 1934 requires certain persons, including the company’s directors and executive officers, to file reports with the SEC regarding beneficial ownership of certain equity securities of the company. The company believes that during 2011, all reports were timely filed by its directors and executive officers except for a late filing by Mr. Crutcher with respect to a sale of shares.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Telephone and Internet voting</w:t>
      </w:r>
    </w:p>
    <w:p>
      <w:pPr>
        <w:spacing w:after="0" w:line="212" w:lineRule="exact"/>
        <w:rPr>
          <w:sz w:val="20"/>
          <w:szCs w:val="20"/>
          <w:color w:val="auto"/>
        </w:rPr>
      </w:pPr>
    </w:p>
    <w:p>
      <w:pPr>
        <w:ind w:right="240"/>
        <w:spacing w:after="0"/>
        <w:rPr>
          <w:sz w:val="20"/>
          <w:szCs w:val="20"/>
          <w:color w:val="auto"/>
        </w:rPr>
      </w:pPr>
      <w:r>
        <w:rPr>
          <w:rFonts w:ascii="Arial" w:cs="Arial" w:eastAsia="Arial" w:hAnsi="Arial"/>
          <w:sz w:val="16"/>
          <w:szCs w:val="16"/>
          <w:u w:val="single" w:color="auto"/>
          <w:color w:val="auto"/>
        </w:rPr>
        <w:t>Registered stockholders and benefit plan participants</w:t>
      </w:r>
      <w:r>
        <w:rPr>
          <w:rFonts w:ascii="Arial" w:cs="Arial" w:eastAsia="Arial" w:hAnsi="Arial"/>
          <w:sz w:val="16"/>
          <w:szCs w:val="16"/>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18" w:lineRule="exact"/>
        <w:rPr>
          <w:sz w:val="20"/>
          <w:szCs w:val="20"/>
          <w:color w:val="auto"/>
        </w:rPr>
      </w:pPr>
    </w:p>
    <w:p>
      <w:pPr>
        <w:jc w:val="both"/>
        <w:ind w:right="100" w:firstLine="243"/>
        <w:spacing w:after="0" w:line="248" w:lineRule="auto"/>
        <w:rPr>
          <w:sz w:val="20"/>
          <w:szCs w:val="20"/>
          <w:color w:val="auto"/>
        </w:rPr>
      </w:pPr>
      <w:r>
        <w:rPr>
          <w:rFonts w:ascii="Arial" w:cs="Arial" w:eastAsia="Arial" w:hAnsi="Arial"/>
          <w:sz w:val="16"/>
          <w:szCs w:val="16"/>
          <w:color w:val="auto"/>
        </w:rPr>
        <w:t>The telephone and Internet voting procedures are designed to authenticate stockholders’ identities, to allow stockholders to give their voting instructions and to confirm that stockholders’ instructions have been recorded properly. TI has been advised by counsel that the telephone and Internet voting procedures, which have been made available through Broadridge Investor Communication Solutions, Inc., are consistent with the requirements of applicable law.</w:t>
      </w:r>
    </w:p>
    <w:p>
      <w:pPr>
        <w:spacing w:after="0" w:line="181" w:lineRule="exact"/>
        <w:rPr>
          <w:sz w:val="20"/>
          <w:szCs w:val="20"/>
          <w:color w:val="auto"/>
        </w:rPr>
      </w:pPr>
    </w:p>
    <w:p>
      <w:pPr>
        <w:ind w:right="240"/>
        <w:spacing w:after="0"/>
        <w:rPr>
          <w:sz w:val="20"/>
          <w:szCs w:val="20"/>
          <w:color w:val="auto"/>
        </w:rPr>
      </w:pPr>
      <w:r>
        <w:rPr>
          <w:rFonts w:ascii="Arial" w:cs="Arial" w:eastAsia="Arial" w:hAnsi="Arial"/>
          <w:sz w:val="16"/>
          <w:szCs w:val="16"/>
          <w:u w:val="single" w:color="auto"/>
          <w:color w:val="auto"/>
        </w:rPr>
        <w:t>Stockholders with shares registered in the name of a brokerage firm or bank</w:t>
      </w:r>
      <w:r>
        <w:rPr>
          <w:rFonts w:ascii="Arial" w:cs="Arial" w:eastAsia="Arial" w:hAnsi="Arial"/>
          <w:sz w:val="16"/>
          <w:szCs w:val="16"/>
          <w:color w:val="auto"/>
        </w:rPr>
        <w:t>.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8" w:lineRule="exact"/>
        <w:rPr>
          <w:sz w:val="20"/>
          <w:szCs w:val="20"/>
          <w:color w:val="auto"/>
        </w:rPr>
      </w:pPr>
    </w:p>
    <w:p>
      <w:pPr>
        <w:ind w:right="540" w:firstLine="243"/>
        <w:spacing w:after="0" w:line="259" w:lineRule="auto"/>
        <w:rPr>
          <w:sz w:val="20"/>
          <w:szCs w:val="20"/>
          <w:color w:val="auto"/>
        </w:rPr>
      </w:pPr>
      <w:r>
        <w:rPr>
          <w:rFonts w:ascii="Arial" w:cs="Arial" w:eastAsia="Arial" w:hAnsi="Arial"/>
          <w:sz w:val="16"/>
          <w:szCs w:val="16"/>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 sharing the same address</w:t>
      </w:r>
    </w:p>
    <w:p>
      <w:pPr>
        <w:spacing w:after="0" w:line="212" w:lineRule="exact"/>
        <w:rPr>
          <w:sz w:val="20"/>
          <w:szCs w:val="20"/>
          <w:color w:val="auto"/>
        </w:rPr>
      </w:pPr>
    </w:p>
    <w:p>
      <w:pPr>
        <w:ind w:right="160"/>
        <w:spacing w:after="0" w:line="253" w:lineRule="auto"/>
        <w:rPr>
          <w:sz w:val="20"/>
          <w:szCs w:val="20"/>
          <w:color w:val="auto"/>
        </w:rPr>
      </w:pPr>
      <w:r>
        <w:rPr>
          <w:rFonts w:ascii="Arial" w:cs="Arial" w:eastAsia="Arial" w:hAnsi="Arial"/>
          <w:sz w:val="15"/>
          <w:szCs w:val="15"/>
          <w:color w:val="auto"/>
        </w:rPr>
        <w:t>To reduce the expenses of delivering duplicate materials, we take advantage of the SEC’s “householding” rules which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(972)</w:t>
      </w:r>
    </w:p>
    <w:p>
      <w:pPr>
        <w:ind w:right="40"/>
        <w:spacing w:after="0"/>
        <w:rPr>
          <w:sz w:val="20"/>
          <w:szCs w:val="20"/>
          <w:color w:val="auto"/>
        </w:rPr>
      </w:pPr>
      <w:r>
        <w:rPr>
          <w:rFonts w:ascii="Arial" w:cs="Arial" w:eastAsia="Arial" w:hAnsi="Arial"/>
          <w:sz w:val="16"/>
          <w:szCs w:val="16"/>
          <w:color w:val="auto"/>
        </w:rPr>
        <w:t>995-3773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 (800) 542-1061 or writing to Investor Relations at the address given above.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delivery of proxy materials</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please visit www-us.computershare.com/investor or call TI Investor Relations at (972) 995-3773 for more information. If you are a participant in a TI benefit plan and would like to request electronic delivery, please call TI Investor Relations for more information.</w:t>
      </w:r>
    </w:p>
    <w:p>
      <w:pPr>
        <w:spacing w:after="0" w:line="171"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April 19, 2012. This 2012 proxy statement and the company’s 2011 annual report are accessible at: www.proxyvote.com.</w:t>
      </w:r>
    </w:p>
    <w:p>
      <w:pPr>
        <w:spacing w:after="0" w:line="177" w:lineRule="exact"/>
        <w:rPr>
          <w:sz w:val="20"/>
          <w:szCs w:val="20"/>
          <w:color w:val="auto"/>
        </w:rPr>
      </w:pPr>
    </w:p>
    <w:p>
      <w:pPr>
        <w:ind w:left="856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12065</wp:posOffset>
            </wp:positionV>
            <wp:extent cx="1824990" cy="5543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24990" cy="55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560"/>
        <w:spacing w:after="0"/>
        <w:rPr>
          <w:sz w:val="20"/>
          <w:szCs w:val="20"/>
          <w:color w:val="auto"/>
        </w:rPr>
      </w:pPr>
      <w:r>
        <w:rPr>
          <w:rFonts w:ascii="Arial" w:cs="Arial" w:eastAsia="Arial" w:hAnsi="Arial"/>
          <w:sz w:val="16"/>
          <w:szCs w:val="16"/>
          <w:color w:val="auto"/>
        </w:rPr>
        <w:t>Joseph F. Hubach</w:t>
      </w:r>
    </w:p>
    <w:p>
      <w:pPr>
        <w:spacing w:after="0" w:line="34" w:lineRule="exact"/>
        <w:rPr>
          <w:sz w:val="20"/>
          <w:szCs w:val="20"/>
          <w:color w:val="auto"/>
        </w:rPr>
      </w:pPr>
    </w:p>
    <w:p>
      <w:pPr>
        <w:ind w:left="8560"/>
        <w:spacing w:after="0"/>
        <w:rPr>
          <w:sz w:val="20"/>
          <w:szCs w:val="20"/>
          <w:color w:val="auto"/>
        </w:rPr>
      </w:pPr>
      <w:r>
        <w:rPr>
          <w:rFonts w:ascii="Arial" w:cs="Arial" w:eastAsia="Arial" w:hAnsi="Arial"/>
          <w:sz w:val="16"/>
          <w:szCs w:val="16"/>
          <w:color w:val="auto"/>
        </w:rPr>
        <w:t>Senior Vice President,</w:t>
      </w:r>
    </w:p>
    <w:p>
      <w:pPr>
        <w:spacing w:after="0" w:line="34" w:lineRule="exact"/>
        <w:rPr>
          <w:sz w:val="20"/>
          <w:szCs w:val="20"/>
          <w:color w:val="auto"/>
        </w:rPr>
      </w:pPr>
    </w:p>
    <w:p>
      <w:pPr>
        <w:ind w:left="8560"/>
        <w:spacing w:after="0"/>
        <w:rPr>
          <w:sz w:val="20"/>
          <w:szCs w:val="20"/>
          <w:color w:val="auto"/>
        </w:rPr>
      </w:pPr>
      <w:r>
        <w:rPr>
          <w:rFonts w:ascii="Arial" w:cs="Arial" w:eastAsia="Arial" w:hAnsi="Arial"/>
          <w:sz w:val="16"/>
          <w:szCs w:val="16"/>
          <w:color w:val="auto"/>
        </w:rPr>
        <w:t>Secretary and General Counsel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March 6, 2012</w:t>
      </w:r>
    </w:p>
    <w:p>
      <w:pPr>
        <w:spacing w:after="0"/>
        <w:rPr>
          <w:sz w:val="20"/>
          <w:szCs w:val="20"/>
          <w:color w:val="auto"/>
        </w:rPr>
      </w:pPr>
      <w:r>
        <w:rPr>
          <w:rFonts w:ascii="Arial" w:cs="Arial" w:eastAsia="Arial" w:hAnsi="Arial"/>
          <w:sz w:val="16"/>
          <w:szCs w:val="16"/>
          <w:color w:val="auto"/>
        </w:rPr>
        <w:t>Dallas, Texas</w:t>
      </w:r>
    </w:p>
    <w:p>
      <w:pPr>
        <w:spacing w:after="0" w:line="235" w:lineRule="exact"/>
        <w:rPr>
          <w:sz w:val="20"/>
          <w:szCs w:val="20"/>
          <w:color w:val="auto"/>
        </w:rPr>
      </w:pPr>
    </w:p>
    <w:p>
      <w:pPr>
        <w:spacing w:after="0"/>
        <w:tabs>
          <w:tab w:leader="none" w:pos="9640" w:val="left"/>
        </w:tabs>
        <w:rPr>
          <w:sz w:val="20"/>
          <w:szCs w:val="20"/>
          <w:color w:val="auto"/>
        </w:rPr>
      </w:pPr>
      <w:r>
        <w:rPr>
          <w:rFonts w:ascii="Arial" w:cs="Arial" w:eastAsia="Arial" w:hAnsi="Arial"/>
          <w:sz w:val="12"/>
          <w:szCs w:val="12"/>
          <w:b w:val="1"/>
          <w:bCs w:val="1"/>
          <w:color w:val="808285"/>
        </w:rPr>
        <w:t>TEXAS INSTRUMENTS</w:t>
      </w:r>
      <w:r>
        <w:rPr>
          <w:sz w:val="20"/>
          <w:szCs w:val="20"/>
          <w:color w:val="auto"/>
        </w:rPr>
        <w:tab/>
      </w:r>
      <w:r>
        <w:rPr>
          <w:rFonts w:ascii="Arial" w:cs="Arial" w:eastAsia="Arial" w:hAnsi="Arial"/>
          <w:sz w:val="12"/>
          <w:szCs w:val="12"/>
          <w:b w:val="1"/>
          <w:bCs w:val="1"/>
          <w:color w:val="auto"/>
        </w:rPr>
        <w:t xml:space="preserve">2012 PROXY STATEMENT </w:t>
      </w:r>
      <w:r>
        <w:rPr>
          <w:rFonts w:ascii="Arial" w:cs="Arial" w:eastAsia="Arial" w:hAnsi="Arial"/>
          <w:sz w:val="12"/>
          <w:szCs w:val="12"/>
          <w:color w:val="auto"/>
        </w:rPr>
        <w:t>n</w:t>
      </w:r>
      <w:r>
        <w:rPr>
          <w:rFonts w:ascii="Arial" w:cs="Arial" w:eastAsia="Arial" w:hAnsi="Arial"/>
          <w:sz w:val="12"/>
          <w:szCs w:val="12"/>
          <w:b w:val="1"/>
          <w:bCs w:val="1"/>
          <w:color w:val="auto"/>
        </w:rPr>
        <w:t xml:space="preserv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Directions and other annual meeting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Directions</w:t>
      </w:r>
    </w:p>
    <w:p>
      <w:pPr>
        <w:spacing w:after="0" w:line="200"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i w:val="1"/>
          <w:iCs w:val="1"/>
          <w:color w:val="auto"/>
        </w:rPr>
        <w:t xml:space="preserve">From DFW airport: </w:t>
      </w:r>
      <w:r>
        <w:rPr>
          <w:rFonts w:ascii="Arial" w:cs="Arial" w:eastAsia="Arial" w:hAnsi="Arial"/>
          <w:sz w:val="16"/>
          <w:szCs w:val="16"/>
          <w:color w:val="auto"/>
        </w:rPr>
        <w:t>Take the North Airport exit to IH-635E. Take IH-635E to the Greenville Avenue exit. Turn right (South) on Greenville. Turn right (West) on Forest</w:t>
      </w:r>
      <w:r>
        <w:rPr>
          <w:rFonts w:ascii="Arial" w:cs="Arial" w:eastAsia="Arial" w:hAnsi="Arial"/>
          <w:sz w:val="16"/>
          <w:szCs w:val="16"/>
          <w:i w:val="1"/>
          <w:iCs w:val="1"/>
          <w:color w:val="auto"/>
        </w:rPr>
        <w:t xml:space="preserve"> </w:t>
      </w:r>
      <w:r>
        <w:rPr>
          <w:rFonts w:ascii="Arial" w:cs="Arial" w:eastAsia="Arial" w:hAnsi="Arial"/>
          <w:sz w:val="16"/>
          <w:szCs w:val="16"/>
          <w:color w:val="auto"/>
        </w:rPr>
        <w:t>Lane. Texas Instruments will be on your right at the second traffic light. Please use the North entrance to the building.</w:t>
      </w:r>
    </w:p>
    <w:p>
      <w:pPr>
        <w:spacing w:after="0" w:line="165" w:lineRule="exact"/>
        <w:rPr>
          <w:sz w:val="20"/>
          <w:szCs w:val="20"/>
          <w:color w:val="auto"/>
        </w:rPr>
      </w:pPr>
    </w:p>
    <w:p>
      <w:pPr>
        <w:ind w:right="360"/>
        <w:spacing w:after="0" w:line="314" w:lineRule="auto"/>
        <w:rPr>
          <w:sz w:val="20"/>
          <w:szCs w:val="20"/>
          <w:color w:val="auto"/>
        </w:rPr>
      </w:pPr>
      <w:r>
        <w:rPr>
          <w:rFonts w:ascii="Arial" w:cs="Arial" w:eastAsia="Arial" w:hAnsi="Arial"/>
          <w:sz w:val="15"/>
          <w:szCs w:val="15"/>
          <w:i w:val="1"/>
          <w:iCs w:val="1"/>
          <w:color w:val="auto"/>
        </w:rPr>
        <w:t xml:space="preserve">From Love Field airport: </w:t>
      </w:r>
      <w:r>
        <w:rPr>
          <w:rFonts w:ascii="Arial" w:cs="Arial" w:eastAsia="Arial" w:hAnsi="Arial"/>
          <w:sz w:val="15"/>
          <w:szCs w:val="15"/>
          <w:color w:val="auto"/>
        </w:rPr>
        <w:t>Take Mockingbird Lane East to US-75N (Central Expressway). Travel North on 75N to the Forest Lane exit. Turn right (East) on Forest</w:t>
      </w:r>
      <w:r>
        <w:rPr>
          <w:rFonts w:ascii="Arial" w:cs="Arial" w:eastAsia="Arial" w:hAnsi="Arial"/>
          <w:sz w:val="15"/>
          <w:szCs w:val="15"/>
          <w:i w:val="1"/>
          <w:iCs w:val="1"/>
          <w:color w:val="auto"/>
        </w:rPr>
        <w:t xml:space="preserve"> </w:t>
      </w:r>
      <w:r>
        <w:rPr>
          <w:rFonts w:ascii="Arial" w:cs="Arial" w:eastAsia="Arial" w:hAnsi="Arial"/>
          <w:sz w:val="15"/>
          <w:szCs w:val="15"/>
          <w:color w:val="auto"/>
        </w:rPr>
        <w:t>Lane. You will pass two traffic lights. At the third light, the entrance to Texas Instruments will be on your left. Please use the North entrance to the building.</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Parking</w:t>
      </w:r>
    </w:p>
    <w:p>
      <w:pPr>
        <w:ind w:right="700"/>
        <w:spacing w:after="0" w:line="243" w:lineRule="auto"/>
        <w:rPr>
          <w:sz w:val="20"/>
          <w:szCs w:val="20"/>
          <w:color w:val="auto"/>
        </w:rPr>
      </w:pPr>
      <w:r>
        <w:rPr>
          <w:rFonts w:ascii="Arial" w:cs="Arial" w:eastAsia="Arial" w:hAnsi="Arial"/>
          <w:sz w:val="16"/>
          <w:szCs w:val="16"/>
          <w:color w:val="auto"/>
        </w:rPr>
        <w:t>There will be reserved parking for all visitors at the North Lobby. Visitors with special needs requiring assistance will be accommodated at the South Lobby entrance.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Security</w:t>
      </w:r>
    </w:p>
    <w:p>
      <w:pPr>
        <w:ind w:right="140"/>
        <w:spacing w:after="0" w:line="243" w:lineRule="auto"/>
        <w:rPr>
          <w:sz w:val="20"/>
          <w:szCs w:val="20"/>
          <w:color w:val="auto"/>
        </w:rPr>
      </w:pPr>
      <w:r>
        <w:rPr>
          <w:rFonts w:ascii="Arial" w:cs="Arial" w:eastAsia="Arial" w:hAnsi="Arial"/>
          <w:sz w:val="16"/>
          <w:szCs w:val="16"/>
          <w:color w:val="auto"/>
        </w:rPr>
        <w:t>Please be advised that TI’s security policy forbids weapons, cameras and audio/video recording devices inside TI buildings. All bags will be subject to search upon entry into the building.</w:t>
      </w:r>
    </w:p>
    <w:p>
      <w:pPr>
        <w:spacing w:after="0" w:line="204" w:lineRule="exact"/>
        <w:rPr>
          <w:sz w:val="20"/>
          <w:szCs w:val="20"/>
          <w:color w:val="auto"/>
        </w:rPr>
      </w:pPr>
    </w:p>
    <w:p>
      <w:pPr>
        <w:spacing w:after="0"/>
        <w:tabs>
          <w:tab w:leader="none" w:pos="10100" w:val="left"/>
        </w:tabs>
        <w:rPr>
          <w:sz w:val="20"/>
          <w:szCs w:val="20"/>
          <w:color w:val="auto"/>
        </w:rPr>
      </w:pPr>
      <w:r>
        <w:rPr>
          <w:rFonts w:ascii="Arial" w:cs="Arial" w:eastAsia="Arial" w:hAnsi="Arial"/>
          <w:sz w:val="12"/>
          <w:szCs w:val="12"/>
          <w:b w:val="1"/>
          <w:bCs w:val="1"/>
          <w:color w:val="auto"/>
        </w:rPr>
        <w:t xml:space="preserve">100 </w:t>
      </w:r>
      <w:r>
        <w:rPr>
          <w:rFonts w:ascii="Arial" w:cs="Arial" w:eastAsia="Arial" w:hAnsi="Arial"/>
          <w:sz w:val="12"/>
          <w:szCs w:val="12"/>
          <w:color w:val="auto"/>
        </w:rPr>
        <w:t>n</w:t>
      </w:r>
      <w:r>
        <w:rPr>
          <w:rFonts w:ascii="Arial" w:cs="Arial" w:eastAsia="Arial" w:hAnsi="Arial"/>
          <w:sz w:val="12"/>
          <w:szCs w:val="12"/>
          <w:b w:val="1"/>
          <w:bCs w:val="1"/>
          <w:color w:val="auto"/>
        </w:rPr>
        <w:t xml:space="preserve"> 2012 PROXY STATEMENT</w:t>
      </w:r>
      <w:r>
        <w:rPr>
          <w:sz w:val="20"/>
          <w:szCs w:val="20"/>
          <w:color w:val="auto"/>
        </w:rPr>
        <w:tab/>
      </w:r>
      <w:r>
        <w:rPr>
          <w:rFonts w:ascii="Arial" w:cs="Arial" w:eastAsia="Arial" w:hAnsi="Arial"/>
          <w:sz w:val="12"/>
          <w:szCs w:val="12"/>
          <w:b w:val="1"/>
          <w:bCs w:val="1"/>
          <w:color w:val="808285"/>
        </w:rPr>
        <w:t>TEXAS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80910"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47" w:name="page48"/>
    <w:bookmarkEnd w:id="47"/>
    <w:p>
      <w:pPr>
        <w:ind w:left="480"/>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458470</wp:posOffset>
            </wp:positionH>
            <wp:positionV relativeFrom="page">
              <wp:posOffset>227330</wp:posOffset>
            </wp:positionV>
            <wp:extent cx="1185545" cy="4464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185545" cy="446405"/>
                    </a:xfrm>
                    <a:prstGeom prst="rect">
                      <a:avLst/>
                    </a:prstGeom>
                    <a:noFill/>
                  </pic:spPr>
                </pic:pic>
              </a:graphicData>
            </a:graphic>
          </wp:anchor>
        </w:drawing>
        <w:t>TEXAS INSTRUMENTS INCORPORATED</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2"/>
          <w:szCs w:val="12"/>
          <w:b w:val="1"/>
          <w:bCs w:val="1"/>
          <w:i w:val="1"/>
          <w:iCs w:val="1"/>
          <w:color w:val="auto"/>
        </w:rPr>
        <w:t>ATTN: JANE NAHRA</w:t>
      </w:r>
    </w:p>
    <w:p>
      <w:pPr>
        <w:ind w:left="480"/>
        <w:spacing w:after="0" w:line="231" w:lineRule="auto"/>
        <w:rPr>
          <w:sz w:val="20"/>
          <w:szCs w:val="20"/>
          <w:color w:val="auto"/>
        </w:rPr>
      </w:pPr>
      <w:r>
        <w:rPr>
          <w:rFonts w:ascii="Arial" w:cs="Arial" w:eastAsia="Arial" w:hAnsi="Arial"/>
          <w:sz w:val="12"/>
          <w:szCs w:val="12"/>
          <w:b w:val="1"/>
          <w:bCs w:val="1"/>
          <w:i w:val="1"/>
          <w:iCs w:val="1"/>
          <w:color w:val="auto"/>
        </w:rPr>
        <w:t>13588 N. CENTRAL EXPRESSWAY</w:t>
      </w:r>
    </w:p>
    <w:p>
      <w:pPr>
        <w:ind w:left="480"/>
        <w:spacing w:after="0" w:line="232" w:lineRule="auto"/>
        <w:rPr>
          <w:sz w:val="20"/>
          <w:szCs w:val="20"/>
          <w:color w:val="auto"/>
        </w:rPr>
      </w:pPr>
      <w:r>
        <w:rPr>
          <w:rFonts w:ascii="Arial" w:cs="Arial" w:eastAsia="Arial" w:hAnsi="Arial"/>
          <w:sz w:val="12"/>
          <w:szCs w:val="12"/>
          <w:b w:val="1"/>
          <w:bCs w:val="1"/>
          <w:i w:val="1"/>
          <w:iCs w:val="1"/>
          <w:color w:val="auto"/>
        </w:rPr>
        <w:t>MS 3999</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2"/>
          <w:szCs w:val="12"/>
          <w:b w:val="1"/>
          <w:bCs w:val="1"/>
          <w:i w:val="1"/>
          <w:iCs w:val="1"/>
          <w:color w:val="auto"/>
        </w:rPr>
        <w:t>DALLAS, TX 75243</w:t>
      </w:r>
    </w:p>
    <w:p>
      <w:pPr>
        <w:spacing w:after="0" w:line="176" w:lineRule="exact"/>
        <w:rPr>
          <w:sz w:val="20"/>
          <w:szCs w:val="20"/>
          <w:color w:val="auto"/>
        </w:rPr>
      </w:pPr>
    </w:p>
    <w:p>
      <w:pPr>
        <w:ind w:left="5340"/>
        <w:spacing w:after="0"/>
        <w:rPr>
          <w:sz w:val="20"/>
          <w:szCs w:val="20"/>
          <w:color w:val="auto"/>
        </w:rPr>
      </w:pPr>
      <w:r>
        <w:rPr>
          <w:rFonts w:ascii="Arial" w:cs="Arial" w:eastAsia="Arial" w:hAnsi="Arial"/>
          <w:sz w:val="11"/>
          <w:szCs w:val="11"/>
          <w:b w:val="1"/>
          <w:bCs w:val="1"/>
          <w:color w:val="auto"/>
        </w:rPr>
        <w:t xml:space="preserve">For registered shares, your proxy must be received by 11:59 P.M. (Eastern Time) on </w:t>
      </w:r>
      <w:r>
        <w:rPr>
          <w:rFonts w:ascii="Arial" w:cs="Arial" w:eastAsia="Arial" w:hAnsi="Arial"/>
          <w:sz w:val="11"/>
          <w:szCs w:val="11"/>
          <w:b w:val="1"/>
          <w:bCs w:val="1"/>
          <w:i w:val="1"/>
          <w:iCs w:val="1"/>
          <w:color w:val="auto"/>
        </w:rPr>
        <w:t>April 18, 2012</w:t>
      </w:r>
      <w:r>
        <w:rPr>
          <w:rFonts w:ascii="Arial" w:cs="Arial" w:eastAsia="Arial" w:hAnsi="Arial"/>
          <w:sz w:val="11"/>
          <w:szCs w:val="11"/>
          <w:b w:val="1"/>
          <w:bCs w:val="1"/>
          <w:color w:val="auto"/>
        </w:rPr>
        <w:t>.</w:t>
      </w:r>
    </w:p>
    <w:p>
      <w:pPr>
        <w:spacing w:after="0" w:line="2" w:lineRule="exact"/>
        <w:rPr>
          <w:sz w:val="20"/>
          <w:szCs w:val="20"/>
          <w:color w:val="auto"/>
        </w:rPr>
      </w:pPr>
    </w:p>
    <w:p>
      <w:pPr>
        <w:ind w:left="5340"/>
        <w:spacing w:after="0"/>
        <w:rPr>
          <w:sz w:val="20"/>
          <w:szCs w:val="20"/>
          <w:color w:val="auto"/>
        </w:rPr>
      </w:pPr>
      <w:r>
        <w:rPr>
          <w:rFonts w:ascii="Arial" w:cs="Arial" w:eastAsia="Arial" w:hAnsi="Arial"/>
          <w:sz w:val="11"/>
          <w:szCs w:val="11"/>
          <w:b w:val="1"/>
          <w:bCs w:val="1"/>
          <w:color w:val="auto"/>
        </w:rPr>
        <w:t>For shares allocable to a benefit plan account, your proxy must be received by 11:59 P.M. (Eastern Time) on</w:t>
      </w:r>
    </w:p>
    <w:p>
      <w:pPr>
        <w:ind w:left="5340"/>
        <w:spacing w:after="0"/>
        <w:rPr>
          <w:sz w:val="20"/>
          <w:szCs w:val="20"/>
          <w:color w:val="auto"/>
        </w:rPr>
      </w:pPr>
      <w:r>
        <w:rPr>
          <w:rFonts w:ascii="Arial" w:cs="Arial" w:eastAsia="Arial" w:hAnsi="Arial"/>
          <w:sz w:val="11"/>
          <w:szCs w:val="11"/>
          <w:b w:val="1"/>
          <w:bCs w:val="1"/>
          <w:i w:val="1"/>
          <w:iCs w:val="1"/>
          <w:color w:val="auto"/>
        </w:rPr>
        <w:t>April 16, 2012</w:t>
      </w:r>
      <w:r>
        <w:rPr>
          <w:rFonts w:ascii="Arial" w:cs="Arial" w:eastAsia="Arial" w:hAnsi="Arial"/>
          <w:sz w:val="11"/>
          <w:szCs w:val="11"/>
          <w:b w:val="1"/>
          <w:bCs w:val="1"/>
          <w:color w:val="auto"/>
        </w:rPr>
        <w:t>.</w:t>
      </w:r>
    </w:p>
    <w:p>
      <w:pPr>
        <w:spacing w:after="0" w:line="177" w:lineRule="exact"/>
        <w:rPr>
          <w:sz w:val="20"/>
          <w:szCs w:val="20"/>
          <w:color w:val="auto"/>
        </w:rPr>
      </w:pPr>
    </w:p>
    <w:p>
      <w:pPr>
        <w:ind w:left="5340"/>
        <w:spacing w:after="0"/>
        <w:rPr>
          <w:sz w:val="20"/>
          <w:szCs w:val="20"/>
          <w:color w:val="auto"/>
        </w:rPr>
      </w:pPr>
      <w:r>
        <w:rPr>
          <w:rFonts w:ascii="Arial" w:cs="Arial" w:eastAsia="Arial" w:hAnsi="Arial"/>
          <w:sz w:val="11"/>
          <w:szCs w:val="11"/>
          <w:b w:val="1"/>
          <w:bCs w:val="1"/>
          <w:color w:val="auto"/>
        </w:rPr>
        <w:t xml:space="preserve">VOTE BY INTERNET - </w:t>
      </w:r>
      <w:r>
        <w:rPr>
          <w:rFonts w:ascii="Arial" w:cs="Arial" w:eastAsia="Arial" w:hAnsi="Arial"/>
          <w:sz w:val="11"/>
          <w:szCs w:val="11"/>
          <w:b w:val="1"/>
          <w:bCs w:val="1"/>
          <w:u w:val="single" w:color="auto"/>
          <w:color w:val="auto"/>
        </w:rPr>
        <w:t>www.proxyvote.com</w:t>
      </w:r>
    </w:p>
    <w:p>
      <w:pPr>
        <w:spacing w:after="0" w:line="2" w:lineRule="exact"/>
        <w:rPr>
          <w:sz w:val="20"/>
          <w:szCs w:val="20"/>
          <w:color w:val="auto"/>
        </w:rPr>
      </w:pPr>
    </w:p>
    <w:p>
      <w:pPr>
        <w:ind w:left="5340"/>
        <w:spacing w:after="0"/>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w:t>
      </w:r>
    </w:p>
    <w:p>
      <w:pPr>
        <w:ind w:left="5340"/>
        <w:spacing w:after="0" w:line="230" w:lineRule="auto"/>
        <w:rPr>
          <w:sz w:val="20"/>
          <w:szCs w:val="20"/>
          <w:color w:val="auto"/>
        </w:rPr>
      </w:pPr>
      <w:r>
        <w:rPr>
          <w:rFonts w:ascii="Arial" w:cs="Arial" w:eastAsia="Arial" w:hAnsi="Arial"/>
          <w:sz w:val="11"/>
          <w:szCs w:val="11"/>
          <w:color w:val="auto"/>
        </w:rPr>
        <w:t>Eastern Time the day before the cut-off date or meeting date. Have your proxy card in hand when you access the</w:t>
      </w:r>
    </w:p>
    <w:p>
      <w:pPr>
        <w:ind w:left="5340"/>
        <w:spacing w:after="0"/>
        <w:rPr>
          <w:sz w:val="20"/>
          <w:szCs w:val="20"/>
          <w:color w:val="auto"/>
        </w:rPr>
      </w:pPr>
      <w:r>
        <w:rPr>
          <w:rFonts w:ascii="Arial" w:cs="Arial" w:eastAsia="Arial" w:hAnsi="Arial"/>
          <w:sz w:val="11"/>
          <w:szCs w:val="11"/>
          <w:color w:val="auto"/>
        </w:rPr>
        <w:t>web site and follow the instructions to obtain your records and to create an electronic voting instruction form.</w:t>
      </w:r>
    </w:p>
    <w:p>
      <w:pPr>
        <w:spacing w:after="0" w:line="176"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5"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If you would like to reduce the costs incurred by our company in mailing proxy materials, you can</w:t>
      </w:r>
    </w:p>
    <w:p>
      <w:pPr>
        <w:ind w:left="5340"/>
        <w:spacing w:after="0" w:line="231" w:lineRule="auto"/>
        <w:rPr>
          <w:sz w:val="20"/>
          <w:szCs w:val="20"/>
          <w:color w:val="auto"/>
        </w:rPr>
      </w:pPr>
      <w:r>
        <w:rPr>
          <w:rFonts w:ascii="Arial" w:cs="Arial" w:eastAsia="Arial" w:hAnsi="Arial"/>
          <w:sz w:val="12"/>
          <w:szCs w:val="12"/>
          <w:color w:val="auto"/>
        </w:rPr>
        <w:t>consent to receiving all future proxy statements, proxy cards and annual reports electronically via e-mail</w:t>
      </w:r>
    </w:p>
    <w:p>
      <w:pPr>
        <w:ind w:left="5340"/>
        <w:spacing w:after="0" w:line="232" w:lineRule="auto"/>
        <w:rPr>
          <w:sz w:val="20"/>
          <w:szCs w:val="20"/>
          <w:color w:val="auto"/>
        </w:rPr>
      </w:pPr>
      <w:r>
        <w:rPr>
          <w:rFonts w:ascii="Arial" w:cs="Arial" w:eastAsia="Arial" w:hAnsi="Arial"/>
          <w:sz w:val="12"/>
          <w:szCs w:val="12"/>
          <w:color w:val="auto"/>
        </w:rPr>
        <w:t>or the Internet. To sign up for electronic delivery, please follow the instructions above to vote using the</w:t>
      </w:r>
    </w:p>
    <w:p>
      <w:pPr>
        <w:ind w:left="5340"/>
        <w:spacing w:after="0" w:line="232" w:lineRule="auto"/>
        <w:rPr>
          <w:sz w:val="20"/>
          <w:szCs w:val="20"/>
          <w:color w:val="auto"/>
        </w:rPr>
      </w:pPr>
      <w:r>
        <w:rPr>
          <w:rFonts w:ascii="Arial" w:cs="Arial" w:eastAsia="Arial" w:hAnsi="Arial"/>
          <w:sz w:val="12"/>
          <w:szCs w:val="12"/>
          <w:color w:val="auto"/>
        </w:rPr>
        <w:t>Internet and, when prompted, indicate that you agree to receive or access proxy materials electronically</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in future years.</w:t>
      </w:r>
    </w:p>
    <w:p>
      <w:pPr>
        <w:spacing w:after="0" w:line="175"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VOTE BY PHONE - 1-800-690-6903</w:t>
      </w:r>
    </w:p>
    <w:p>
      <w:pPr>
        <w:spacing w:after="0" w:line="5"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Use any touch-tone telephone to transmit your voting instructions until 11:59 P.M. Eastern Time the day</w:t>
      </w:r>
    </w:p>
    <w:p>
      <w:pPr>
        <w:ind w:left="5340"/>
        <w:spacing w:after="0" w:line="231" w:lineRule="auto"/>
        <w:rPr>
          <w:sz w:val="20"/>
          <w:szCs w:val="20"/>
          <w:color w:val="auto"/>
        </w:rPr>
      </w:pPr>
      <w:r>
        <w:rPr>
          <w:rFonts w:ascii="Arial" w:cs="Arial" w:eastAsia="Arial" w:hAnsi="Arial"/>
          <w:sz w:val="12"/>
          <w:szCs w:val="12"/>
          <w:color w:val="auto"/>
        </w:rPr>
        <w:t>before the cut-off date or meeting date. Have your proxy card in hand when you call and then follow the</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instructions.</w:t>
      </w:r>
    </w:p>
    <w:p>
      <w:pPr>
        <w:spacing w:after="0" w:line="175"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VOTE BY MAIL</w:t>
      </w:r>
    </w:p>
    <w:p>
      <w:pPr>
        <w:spacing w:after="0" w:line="5"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Mark, sign and date your proxy card and return it in the postage-paid envelope we have provided or</w:t>
      </w:r>
    </w:p>
    <w:p>
      <w:pPr>
        <w:ind w:left="5340"/>
        <w:spacing w:after="0"/>
        <w:rPr>
          <w:sz w:val="20"/>
          <w:szCs w:val="20"/>
          <w:color w:val="auto"/>
        </w:rPr>
      </w:pPr>
      <w:r>
        <w:rPr>
          <w:rFonts w:ascii="Arial" w:cs="Arial" w:eastAsia="Arial" w:hAnsi="Arial"/>
          <w:sz w:val="12"/>
          <w:szCs w:val="12"/>
          <w:color w:val="auto"/>
        </w:rPr>
        <w:t>return it to Vote Processing, c/o Broadridge, 51 Mercedes Way, Edgewood, NY 11717.</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540" w:type="dxa"/>
            <w:vAlign w:val="bottom"/>
          </w:tcPr>
          <w:p>
            <w:pPr>
              <w:spacing w:after="0"/>
              <w:rPr>
                <w:sz w:val="20"/>
                <w:szCs w:val="20"/>
                <w:color w:val="auto"/>
              </w:rPr>
            </w:pPr>
            <w:r>
              <w:rPr>
                <w:rFonts w:ascii="Arial" w:cs="Arial" w:eastAsia="Arial" w:hAnsi="Arial"/>
                <w:sz w:val="12"/>
                <w:szCs w:val="12"/>
                <w:color w:val="auto"/>
              </w:rPr>
              <w:t>TO VOTE, MARK BLOCKS BELOW IN BLUE OR BLACK INK AS FOLLOWS:</w:t>
            </w:r>
          </w:p>
        </w:tc>
        <w:tc>
          <w:tcPr>
            <w:tcW w:w="2900" w:type="dxa"/>
            <w:vAlign w:val="bottom"/>
          </w:tcPr>
          <w:p>
            <w:pPr>
              <w:spacing w:after="0"/>
              <w:rPr>
                <w:sz w:val="12"/>
                <w:szCs w:val="12"/>
                <w:color w:val="auto"/>
              </w:rPr>
            </w:pPr>
          </w:p>
        </w:tc>
      </w:tr>
      <w:tr>
        <w:trPr>
          <w:trHeight w:val="146"/>
        </w:trPr>
        <w:tc>
          <w:tcPr>
            <w:tcW w:w="8540" w:type="dxa"/>
            <w:vAlign w:val="bottom"/>
          </w:tcPr>
          <w:p>
            <w:pPr>
              <w:ind w:left="6860"/>
              <w:spacing w:after="0"/>
              <w:rPr>
                <w:sz w:val="20"/>
                <w:szCs w:val="20"/>
                <w:color w:val="auto"/>
              </w:rPr>
            </w:pPr>
            <w:r>
              <w:rPr>
                <w:rFonts w:ascii="Arial" w:cs="Arial" w:eastAsia="Arial" w:hAnsi="Arial"/>
                <w:sz w:val="12"/>
                <w:szCs w:val="12"/>
                <w:color w:val="auto"/>
              </w:rPr>
              <w:t>M40765-P20043-Z57118</w:t>
            </w:r>
          </w:p>
        </w:tc>
        <w:tc>
          <w:tcPr>
            <w:tcW w:w="2900" w:type="dxa"/>
            <w:vAlign w:val="bottom"/>
          </w:tcPr>
          <w:p>
            <w:pPr>
              <w:jc w:val="right"/>
              <w:spacing w:after="0"/>
              <w:rPr>
                <w:sz w:val="20"/>
                <w:szCs w:val="20"/>
                <w:color w:val="auto"/>
              </w:rPr>
            </w:pPr>
            <w:r>
              <w:rPr>
                <w:rFonts w:ascii="Arial" w:cs="Arial" w:eastAsia="Arial" w:hAnsi="Arial"/>
                <w:sz w:val="12"/>
                <w:szCs w:val="12"/>
                <w:color w:val="auto"/>
              </w:rPr>
              <w:t>KEEP THIS PORTION FOR YOUR RECORDS</w:t>
            </w:r>
          </w:p>
        </w:tc>
      </w:tr>
      <w:tr>
        <w:trPr>
          <w:trHeight w:val="182"/>
        </w:trPr>
        <w:tc>
          <w:tcPr>
            <w:tcW w:w="8540" w:type="dxa"/>
            <w:vAlign w:val="bottom"/>
          </w:tcPr>
          <w:p>
            <w:pPr>
              <w:ind w:left="2920"/>
              <w:spacing w:after="0"/>
              <w:rPr>
                <w:sz w:val="20"/>
                <w:szCs w:val="20"/>
                <w:color w:val="auto"/>
              </w:rPr>
            </w:pPr>
            <w:r>
              <w:rPr>
                <w:rFonts w:ascii="Arial" w:cs="Arial" w:eastAsia="Arial" w:hAnsi="Arial"/>
                <w:sz w:val="12"/>
                <w:szCs w:val="12"/>
                <w:b w:val="1"/>
                <w:bCs w:val="1"/>
                <w:color w:val="auto"/>
              </w:rPr>
              <w:t>THIS PROXY CARD IS VALID ONLY WHEN SIGNED AND DATED.</w:t>
            </w:r>
          </w:p>
        </w:tc>
        <w:tc>
          <w:tcPr>
            <w:tcW w:w="2900" w:type="dxa"/>
            <w:vAlign w:val="bottom"/>
          </w:tcPr>
          <w:p>
            <w:pPr>
              <w:jc w:val="right"/>
              <w:spacing w:after="0"/>
              <w:rPr>
                <w:sz w:val="20"/>
                <w:szCs w:val="20"/>
                <w:color w:val="auto"/>
              </w:rPr>
            </w:pPr>
            <w:r>
              <w:rPr>
                <w:rFonts w:ascii="Arial" w:cs="Arial" w:eastAsia="Arial" w:hAnsi="Arial"/>
                <w:sz w:val="12"/>
                <w:szCs w:val="12"/>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312025" cy="37369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12025" cy="3736975"/>
                    </a:xfrm>
                    <a:prstGeom prst="rect">
                      <a:avLst/>
                    </a:prstGeom>
                    <a:noFill/>
                  </pic:spPr>
                </pic:pic>
              </a:graphicData>
            </a:graphic>
          </wp:anchor>
        </w:drawing>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TEXAS INSTRUMENTS INCORPORATED</w:t>
      </w:r>
    </w:p>
    <w:p>
      <w:pPr>
        <w:sectPr>
          <w:pgSz w:w="11900" w:h="16838" w:orient="portrait"/>
          <w:cols w:equalWidth="0" w:num="1">
            <w:col w:w="11480"/>
          </w:cols>
          <w:pgMar w:left="240" w:top="1095" w:right="179" w:bottom="1440" w:gutter="0" w:footer="0" w:header="0"/>
        </w:sectPr>
      </w:pPr>
    </w:p>
    <w:p>
      <w:pPr>
        <w:spacing w:after="0" w:line="30" w:lineRule="exact"/>
        <w:rPr>
          <w:sz w:val="20"/>
          <w:szCs w:val="20"/>
          <w:color w:val="auto"/>
        </w:rPr>
      </w:pPr>
    </w:p>
    <w:p>
      <w:pPr>
        <w:ind w:left="180" w:right="1580"/>
        <w:spacing w:after="0" w:line="290" w:lineRule="auto"/>
        <w:rPr>
          <w:sz w:val="20"/>
          <w:szCs w:val="20"/>
          <w:color w:val="auto"/>
        </w:rPr>
      </w:pPr>
      <w:r>
        <w:rPr>
          <w:rFonts w:ascii="Arial" w:cs="Arial" w:eastAsia="Arial" w:hAnsi="Arial"/>
          <w:sz w:val="12"/>
          <w:szCs w:val="12"/>
          <w:color w:val="auto"/>
        </w:rPr>
        <w:t xml:space="preserve">The board of directors recommends you vote </w:t>
      </w:r>
      <w:r>
        <w:rPr>
          <w:rFonts w:ascii="Arial" w:cs="Arial" w:eastAsia="Arial" w:hAnsi="Arial"/>
          <w:sz w:val="12"/>
          <w:szCs w:val="12"/>
          <w:b w:val="1"/>
          <w:bCs w:val="1"/>
          <w:color w:val="auto"/>
        </w:rPr>
        <w:t>FOR</w:t>
      </w:r>
      <w:r>
        <w:rPr>
          <w:rFonts w:ascii="Arial" w:cs="Arial" w:eastAsia="Arial" w:hAnsi="Arial"/>
          <w:sz w:val="12"/>
          <w:szCs w:val="12"/>
          <w:color w:val="auto"/>
        </w:rPr>
        <w:t xml:space="preserve"> each of the nominees for director and </w:t>
      </w:r>
      <w:r>
        <w:rPr>
          <w:rFonts w:ascii="Arial" w:cs="Arial" w:eastAsia="Arial" w:hAnsi="Arial"/>
          <w:sz w:val="12"/>
          <w:szCs w:val="12"/>
          <w:b w:val="1"/>
          <w:bCs w:val="1"/>
          <w:color w:val="auto"/>
        </w:rPr>
        <w:t>FOR</w:t>
      </w:r>
      <w:r>
        <w:rPr>
          <w:rFonts w:ascii="Arial" w:cs="Arial" w:eastAsia="Arial" w:hAnsi="Arial"/>
          <w:sz w:val="12"/>
          <w:szCs w:val="12"/>
          <w:color w:val="auto"/>
        </w:rPr>
        <w:t xml:space="preserve"> Proposals 2 and 3.</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1"/>
          <w:szCs w:val="11"/>
          <w:b w:val="1"/>
          <w:bCs w:val="1"/>
          <w:color w:val="auto"/>
        </w:rPr>
        <w:t>Vote on Directors</w:t>
      </w:r>
    </w:p>
    <w:p>
      <w:pPr>
        <w:spacing w:after="0" w:line="81" w:lineRule="exact"/>
        <w:rPr>
          <w:sz w:val="20"/>
          <w:szCs w:val="20"/>
          <w:color w:val="auto"/>
        </w:rPr>
      </w:pPr>
    </w:p>
    <w:p>
      <w:pPr>
        <w:ind w:left="180"/>
        <w:spacing w:after="0"/>
        <w:tabs>
          <w:tab w:leader="none" w:pos="360" w:val="left"/>
        </w:tabs>
        <w:rPr>
          <w:sz w:val="20"/>
          <w:szCs w:val="20"/>
          <w:color w:val="auto"/>
        </w:rPr>
      </w:pPr>
      <w:r>
        <w:rPr>
          <w:rFonts w:ascii="Arial" w:cs="Arial" w:eastAsia="Arial" w:hAnsi="Arial"/>
          <w:sz w:val="12"/>
          <w:szCs w:val="12"/>
          <w:color w:val="auto"/>
        </w:rPr>
        <w:t>1.</w:t>
        <w:tab/>
        <w:t>Election of Directors</w:t>
      </w:r>
    </w:p>
    <w:p>
      <w:pPr>
        <w:spacing w:after="0" w:line="140" w:lineRule="exact"/>
        <w:rPr>
          <w:sz w:val="20"/>
          <w:szCs w:val="20"/>
          <w:color w:val="auto"/>
        </w:rPr>
      </w:pPr>
    </w:p>
    <w:tbl>
      <w:tblPr>
        <w:tblLayout w:type="fixed"/>
        <w:tblInd w:w="380" w:type="dxa"/>
        <w:tblCellMar>
          <w:top w:w="0" w:type="dxa"/>
          <w:left w:w="0" w:type="dxa"/>
          <w:bottom w:w="0" w:type="dxa"/>
          <w:right w:w="0" w:type="dxa"/>
        </w:tblCellMar>
      </w:tblPr>
      <w:tr>
        <w:trPr>
          <w:trHeight w:val="143"/>
        </w:trPr>
        <w:tc>
          <w:tcPr>
            <w:tcW w:w="2500" w:type="dxa"/>
            <w:vAlign w:val="bottom"/>
            <w:gridSpan w:val="2"/>
          </w:tcPr>
          <w:p>
            <w:pPr>
              <w:spacing w:after="0"/>
              <w:rPr>
                <w:sz w:val="20"/>
                <w:szCs w:val="20"/>
                <w:color w:val="auto"/>
              </w:rPr>
            </w:pPr>
            <w:r>
              <w:rPr>
                <w:rFonts w:ascii="Arial" w:cs="Arial" w:eastAsia="Arial" w:hAnsi="Arial"/>
                <w:sz w:val="11"/>
                <w:szCs w:val="11"/>
                <w:b w:val="1"/>
                <w:bCs w:val="1"/>
                <w:color w:val="auto"/>
              </w:rPr>
              <w:t>Nominees:</w:t>
            </w:r>
          </w:p>
        </w:tc>
        <w:tc>
          <w:tcPr>
            <w:tcW w:w="1720" w:type="dxa"/>
            <w:vAlign w:val="bottom"/>
          </w:tcPr>
          <w:p>
            <w:pPr>
              <w:jc w:val="center"/>
              <w:ind w:left="1186"/>
              <w:spacing w:after="0"/>
              <w:rPr>
                <w:sz w:val="20"/>
                <w:szCs w:val="20"/>
                <w:color w:val="auto"/>
              </w:rPr>
            </w:pPr>
            <w:r>
              <w:rPr>
                <w:rFonts w:ascii="Arial" w:cs="Arial" w:eastAsia="Arial" w:hAnsi="Arial"/>
                <w:sz w:val="11"/>
                <w:szCs w:val="11"/>
                <w:b w:val="1"/>
                <w:bCs w:val="1"/>
                <w:color w:val="auto"/>
              </w:rPr>
              <w:t>For</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9"/>
              </w:rPr>
              <w:t>Against</w:t>
            </w:r>
          </w:p>
        </w:tc>
        <w:tc>
          <w:tcPr>
            <w:tcW w:w="480" w:type="dxa"/>
            <w:vAlign w:val="bottom"/>
          </w:tcPr>
          <w:p>
            <w:pPr>
              <w:jc w:val="center"/>
              <w:ind w:left="6"/>
              <w:spacing w:after="0"/>
              <w:rPr>
                <w:sz w:val="20"/>
                <w:szCs w:val="20"/>
                <w:color w:val="auto"/>
              </w:rPr>
            </w:pPr>
            <w:r>
              <w:rPr>
                <w:rFonts w:ascii="Arial" w:cs="Arial" w:eastAsia="Arial" w:hAnsi="Arial"/>
                <w:sz w:val="11"/>
                <w:szCs w:val="11"/>
                <w:b w:val="1"/>
                <w:bCs w:val="1"/>
                <w:color w:val="auto"/>
                <w:w w:val="99"/>
              </w:rPr>
              <w:t>Abstain</w:t>
            </w:r>
          </w:p>
        </w:tc>
      </w:tr>
      <w:tr>
        <w:trPr>
          <w:trHeight w:val="354"/>
        </w:trPr>
        <w:tc>
          <w:tcPr>
            <w:tcW w:w="240" w:type="dxa"/>
            <w:vAlign w:val="bottom"/>
          </w:tcPr>
          <w:p>
            <w:pPr>
              <w:spacing w:after="0"/>
              <w:rPr>
                <w:sz w:val="20"/>
                <w:szCs w:val="20"/>
                <w:color w:val="auto"/>
              </w:rPr>
            </w:pPr>
            <w:r>
              <w:rPr>
                <w:rFonts w:ascii="Arial" w:cs="Arial" w:eastAsia="Arial" w:hAnsi="Arial"/>
                <w:sz w:val="12"/>
                <w:szCs w:val="12"/>
                <w:color w:val="auto"/>
              </w:rPr>
              <w:t>1a.</w:t>
            </w:r>
          </w:p>
        </w:tc>
        <w:tc>
          <w:tcPr>
            <w:tcW w:w="2260" w:type="dxa"/>
            <w:vAlign w:val="bottom"/>
          </w:tcPr>
          <w:p>
            <w:pPr>
              <w:ind w:left="40"/>
              <w:spacing w:after="0"/>
              <w:rPr>
                <w:sz w:val="20"/>
                <w:szCs w:val="20"/>
                <w:color w:val="auto"/>
              </w:rPr>
            </w:pPr>
            <w:r>
              <w:rPr>
                <w:rFonts w:ascii="Arial" w:cs="Arial" w:eastAsia="Arial" w:hAnsi="Arial"/>
                <w:sz w:val="12"/>
                <w:szCs w:val="12"/>
                <w:color w:val="auto"/>
              </w:rPr>
              <w:t>R. W. Babb, Jr.</w:t>
            </w:r>
          </w:p>
        </w:tc>
        <w:tc>
          <w:tcPr>
            <w:tcW w:w="1720" w:type="dxa"/>
            <w:vAlign w:val="bottom"/>
          </w:tcPr>
          <w:p>
            <w:pPr>
              <w:jc w:val="center"/>
              <w:ind w:left="1206"/>
              <w:spacing w:after="0"/>
              <w:rPr>
                <w:sz w:val="20"/>
                <w:szCs w:val="20"/>
                <w:color w:val="auto"/>
              </w:rPr>
            </w:pPr>
            <w:r>
              <w:rPr>
                <w:rFonts w:ascii="Arial" w:cs="Arial" w:eastAsia="Arial" w:hAnsi="Arial"/>
                <w:sz w:val="16"/>
                <w:szCs w:val="16"/>
                <w:color w:val="auto"/>
                <w:w w:val="89"/>
              </w:rPr>
              <w:t>o</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80" w:type="dxa"/>
            <w:vAlign w:val="bottom"/>
          </w:tcPr>
          <w:p>
            <w:pPr>
              <w:jc w:val="center"/>
              <w:ind w:left="6"/>
              <w:spacing w:after="0"/>
              <w:rPr>
                <w:sz w:val="20"/>
                <w:szCs w:val="20"/>
                <w:color w:val="auto"/>
              </w:rPr>
            </w:pPr>
            <w:r>
              <w:rPr>
                <w:rFonts w:ascii="Arial" w:cs="Arial" w:eastAsia="Arial" w:hAnsi="Arial"/>
                <w:sz w:val="16"/>
                <w:szCs w:val="16"/>
                <w:color w:val="auto"/>
                <w:w w:val="89"/>
              </w:rPr>
              <w:t>o</w:t>
            </w:r>
          </w:p>
        </w:tc>
      </w:tr>
      <w:tr>
        <w:trPr>
          <w:trHeight w:val="340"/>
        </w:trPr>
        <w:tc>
          <w:tcPr>
            <w:tcW w:w="240" w:type="dxa"/>
            <w:vAlign w:val="bottom"/>
          </w:tcPr>
          <w:p>
            <w:pPr>
              <w:spacing w:after="0"/>
              <w:rPr>
                <w:sz w:val="20"/>
                <w:szCs w:val="20"/>
                <w:color w:val="auto"/>
              </w:rPr>
            </w:pPr>
            <w:r>
              <w:rPr>
                <w:rFonts w:ascii="Arial" w:cs="Arial" w:eastAsia="Arial" w:hAnsi="Arial"/>
                <w:sz w:val="12"/>
                <w:szCs w:val="12"/>
                <w:color w:val="auto"/>
              </w:rPr>
              <w:t>1b.</w:t>
            </w:r>
          </w:p>
        </w:tc>
        <w:tc>
          <w:tcPr>
            <w:tcW w:w="2260" w:type="dxa"/>
            <w:vAlign w:val="bottom"/>
          </w:tcPr>
          <w:p>
            <w:pPr>
              <w:ind w:left="40"/>
              <w:spacing w:after="0"/>
              <w:rPr>
                <w:sz w:val="20"/>
                <w:szCs w:val="20"/>
                <w:color w:val="auto"/>
              </w:rPr>
            </w:pPr>
            <w:r>
              <w:rPr>
                <w:rFonts w:ascii="Arial" w:cs="Arial" w:eastAsia="Arial" w:hAnsi="Arial"/>
                <w:sz w:val="12"/>
                <w:szCs w:val="12"/>
                <w:color w:val="auto"/>
              </w:rPr>
              <w:t>D. A. Carp</w:t>
            </w:r>
          </w:p>
        </w:tc>
        <w:tc>
          <w:tcPr>
            <w:tcW w:w="1720" w:type="dxa"/>
            <w:vAlign w:val="bottom"/>
          </w:tcPr>
          <w:p>
            <w:pPr>
              <w:jc w:val="center"/>
              <w:ind w:left="1206"/>
              <w:spacing w:after="0"/>
              <w:rPr>
                <w:sz w:val="20"/>
                <w:szCs w:val="20"/>
                <w:color w:val="auto"/>
              </w:rPr>
            </w:pPr>
            <w:r>
              <w:rPr>
                <w:rFonts w:ascii="Arial" w:cs="Arial" w:eastAsia="Arial" w:hAnsi="Arial"/>
                <w:sz w:val="16"/>
                <w:szCs w:val="16"/>
                <w:color w:val="auto"/>
                <w:w w:val="89"/>
              </w:rPr>
              <w:t>o</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80" w:type="dxa"/>
            <w:vAlign w:val="bottom"/>
          </w:tcPr>
          <w:p>
            <w:pPr>
              <w:jc w:val="center"/>
              <w:ind w:left="6"/>
              <w:spacing w:after="0"/>
              <w:rPr>
                <w:sz w:val="20"/>
                <w:szCs w:val="20"/>
                <w:color w:val="auto"/>
              </w:rPr>
            </w:pPr>
            <w:r>
              <w:rPr>
                <w:rFonts w:ascii="Arial" w:cs="Arial" w:eastAsia="Arial" w:hAnsi="Arial"/>
                <w:sz w:val="16"/>
                <w:szCs w:val="16"/>
                <w:color w:val="auto"/>
                <w:w w:val="89"/>
              </w:rPr>
              <w:t>o</w:t>
            </w:r>
          </w:p>
        </w:tc>
      </w:tr>
      <w:tr>
        <w:trPr>
          <w:trHeight w:val="340"/>
        </w:trPr>
        <w:tc>
          <w:tcPr>
            <w:tcW w:w="240" w:type="dxa"/>
            <w:vAlign w:val="bottom"/>
          </w:tcPr>
          <w:p>
            <w:pPr>
              <w:spacing w:after="0"/>
              <w:rPr>
                <w:sz w:val="20"/>
                <w:szCs w:val="20"/>
                <w:color w:val="auto"/>
              </w:rPr>
            </w:pPr>
            <w:r>
              <w:rPr>
                <w:rFonts w:ascii="Arial" w:cs="Arial" w:eastAsia="Arial" w:hAnsi="Arial"/>
                <w:sz w:val="12"/>
                <w:szCs w:val="12"/>
                <w:color w:val="auto"/>
              </w:rPr>
              <w:t>1c.</w:t>
            </w:r>
          </w:p>
        </w:tc>
        <w:tc>
          <w:tcPr>
            <w:tcW w:w="2260" w:type="dxa"/>
            <w:vAlign w:val="bottom"/>
          </w:tcPr>
          <w:p>
            <w:pPr>
              <w:ind w:left="40"/>
              <w:spacing w:after="0"/>
              <w:rPr>
                <w:sz w:val="20"/>
                <w:szCs w:val="20"/>
                <w:color w:val="auto"/>
              </w:rPr>
            </w:pPr>
            <w:r>
              <w:rPr>
                <w:rFonts w:ascii="Arial" w:cs="Arial" w:eastAsia="Arial" w:hAnsi="Arial"/>
                <w:sz w:val="12"/>
                <w:szCs w:val="12"/>
                <w:color w:val="auto"/>
              </w:rPr>
              <w:t>C. S. Cox</w:t>
            </w:r>
          </w:p>
        </w:tc>
        <w:tc>
          <w:tcPr>
            <w:tcW w:w="1720" w:type="dxa"/>
            <w:vAlign w:val="bottom"/>
          </w:tcPr>
          <w:p>
            <w:pPr>
              <w:jc w:val="center"/>
              <w:ind w:left="1206"/>
              <w:spacing w:after="0"/>
              <w:rPr>
                <w:sz w:val="20"/>
                <w:szCs w:val="20"/>
                <w:color w:val="auto"/>
              </w:rPr>
            </w:pPr>
            <w:r>
              <w:rPr>
                <w:rFonts w:ascii="Arial" w:cs="Arial" w:eastAsia="Arial" w:hAnsi="Arial"/>
                <w:sz w:val="16"/>
                <w:szCs w:val="16"/>
                <w:color w:val="auto"/>
                <w:w w:val="89"/>
              </w:rPr>
              <w:t>o</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80" w:type="dxa"/>
            <w:vAlign w:val="bottom"/>
          </w:tcPr>
          <w:p>
            <w:pPr>
              <w:jc w:val="center"/>
              <w:ind w:left="6"/>
              <w:spacing w:after="0"/>
              <w:rPr>
                <w:sz w:val="20"/>
                <w:szCs w:val="20"/>
                <w:color w:val="auto"/>
              </w:rPr>
            </w:pPr>
            <w:r>
              <w:rPr>
                <w:rFonts w:ascii="Arial" w:cs="Arial" w:eastAsia="Arial" w:hAnsi="Arial"/>
                <w:sz w:val="16"/>
                <w:szCs w:val="16"/>
                <w:color w:val="auto"/>
                <w:w w:val="89"/>
              </w:rPr>
              <w:t>o</w:t>
            </w:r>
          </w:p>
        </w:tc>
      </w:tr>
      <w:tr>
        <w:trPr>
          <w:trHeight w:val="340"/>
        </w:trPr>
        <w:tc>
          <w:tcPr>
            <w:tcW w:w="240" w:type="dxa"/>
            <w:vAlign w:val="bottom"/>
          </w:tcPr>
          <w:p>
            <w:pPr>
              <w:spacing w:after="0"/>
              <w:rPr>
                <w:sz w:val="20"/>
                <w:szCs w:val="20"/>
                <w:color w:val="auto"/>
              </w:rPr>
            </w:pPr>
            <w:r>
              <w:rPr>
                <w:rFonts w:ascii="Arial" w:cs="Arial" w:eastAsia="Arial" w:hAnsi="Arial"/>
                <w:sz w:val="12"/>
                <w:szCs w:val="12"/>
                <w:color w:val="auto"/>
              </w:rPr>
              <w:t>1d.</w:t>
            </w:r>
          </w:p>
        </w:tc>
        <w:tc>
          <w:tcPr>
            <w:tcW w:w="2260" w:type="dxa"/>
            <w:vAlign w:val="bottom"/>
          </w:tcPr>
          <w:p>
            <w:pPr>
              <w:ind w:left="40"/>
              <w:spacing w:after="0"/>
              <w:rPr>
                <w:sz w:val="20"/>
                <w:szCs w:val="20"/>
                <w:color w:val="auto"/>
              </w:rPr>
            </w:pPr>
            <w:r>
              <w:rPr>
                <w:rFonts w:ascii="Arial" w:cs="Arial" w:eastAsia="Arial" w:hAnsi="Arial"/>
                <w:sz w:val="12"/>
                <w:szCs w:val="12"/>
                <w:color w:val="auto"/>
              </w:rPr>
              <w:t>P. H. Patsley</w:t>
            </w:r>
          </w:p>
        </w:tc>
        <w:tc>
          <w:tcPr>
            <w:tcW w:w="1720" w:type="dxa"/>
            <w:vAlign w:val="bottom"/>
          </w:tcPr>
          <w:p>
            <w:pPr>
              <w:jc w:val="center"/>
              <w:ind w:left="1206"/>
              <w:spacing w:after="0"/>
              <w:rPr>
                <w:sz w:val="20"/>
                <w:szCs w:val="20"/>
                <w:color w:val="auto"/>
              </w:rPr>
            </w:pPr>
            <w:r>
              <w:rPr>
                <w:rFonts w:ascii="Arial" w:cs="Arial" w:eastAsia="Arial" w:hAnsi="Arial"/>
                <w:sz w:val="16"/>
                <w:szCs w:val="16"/>
                <w:color w:val="auto"/>
                <w:w w:val="89"/>
              </w:rPr>
              <w:t>o</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80" w:type="dxa"/>
            <w:vAlign w:val="bottom"/>
          </w:tcPr>
          <w:p>
            <w:pPr>
              <w:jc w:val="center"/>
              <w:ind w:left="6"/>
              <w:spacing w:after="0"/>
              <w:rPr>
                <w:sz w:val="20"/>
                <w:szCs w:val="20"/>
                <w:color w:val="auto"/>
              </w:rPr>
            </w:pPr>
            <w:r>
              <w:rPr>
                <w:rFonts w:ascii="Arial" w:cs="Arial" w:eastAsia="Arial" w:hAnsi="Arial"/>
                <w:sz w:val="16"/>
                <w:szCs w:val="16"/>
                <w:color w:val="auto"/>
                <w:w w:val="89"/>
              </w:rPr>
              <w:t>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3"/>
        </w:trPr>
        <w:tc>
          <w:tcPr>
            <w:tcW w:w="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80" w:type="dxa"/>
            <w:vAlign w:val="bottom"/>
          </w:tcPr>
          <w:p>
            <w:pPr>
              <w:jc w:val="center"/>
              <w:spacing w:after="0"/>
              <w:rPr>
                <w:sz w:val="20"/>
                <w:szCs w:val="20"/>
                <w:color w:val="auto"/>
              </w:rPr>
            </w:pPr>
            <w:r>
              <w:rPr>
                <w:rFonts w:ascii="Arial" w:cs="Arial" w:eastAsia="Arial" w:hAnsi="Arial"/>
                <w:sz w:val="11"/>
                <w:szCs w:val="11"/>
                <w:b w:val="1"/>
                <w:bCs w:val="1"/>
                <w:color w:val="auto"/>
              </w:rPr>
              <w:t>For</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9"/>
              </w:rPr>
              <w:t>Against</w:t>
            </w: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99"/>
              </w:rPr>
              <w:t>Abstain</w:t>
            </w:r>
          </w:p>
        </w:tc>
      </w:tr>
      <w:tr>
        <w:trPr>
          <w:trHeight w:val="283"/>
        </w:trPr>
        <w:tc>
          <w:tcPr>
            <w:tcW w:w="14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4200" w:type="dxa"/>
            <w:vAlign w:val="bottom"/>
          </w:tcPr>
          <w:p>
            <w:pPr>
              <w:ind w:left="60"/>
              <w:spacing w:after="0"/>
              <w:rPr>
                <w:sz w:val="20"/>
                <w:szCs w:val="20"/>
                <w:color w:val="auto"/>
              </w:rPr>
            </w:pPr>
            <w:r>
              <w:rPr>
                <w:rFonts w:ascii="Arial" w:cs="Arial" w:eastAsia="Arial" w:hAnsi="Arial"/>
                <w:sz w:val="12"/>
                <w:szCs w:val="12"/>
                <w:color w:val="auto"/>
              </w:rPr>
              <w:t>Board proposal regarding advisory approval of the Company's executive</w:t>
            </w:r>
          </w:p>
        </w:tc>
        <w:tc>
          <w:tcPr>
            <w:tcW w:w="28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o</w:t>
            </w:r>
          </w:p>
        </w:tc>
      </w:tr>
      <w:tr>
        <w:trPr>
          <w:trHeight w:val="146"/>
        </w:trPr>
        <w:tc>
          <w:tcPr>
            <w:tcW w:w="140" w:type="dxa"/>
            <w:vAlign w:val="bottom"/>
          </w:tcPr>
          <w:p>
            <w:pPr>
              <w:spacing w:after="0"/>
              <w:rPr>
                <w:sz w:val="12"/>
                <w:szCs w:val="12"/>
                <w:color w:val="auto"/>
              </w:rPr>
            </w:pPr>
          </w:p>
        </w:tc>
        <w:tc>
          <w:tcPr>
            <w:tcW w:w="420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67"/>
        </w:trPr>
        <w:tc>
          <w:tcPr>
            <w:tcW w:w="14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4200" w:type="dxa"/>
            <w:vAlign w:val="bottom"/>
          </w:tcPr>
          <w:p>
            <w:pPr>
              <w:ind w:left="60"/>
              <w:spacing w:after="0"/>
              <w:rPr>
                <w:sz w:val="20"/>
                <w:szCs w:val="20"/>
                <w:color w:val="auto"/>
              </w:rPr>
            </w:pPr>
            <w:r>
              <w:rPr>
                <w:rFonts w:ascii="Arial" w:cs="Arial" w:eastAsia="Arial" w:hAnsi="Arial"/>
                <w:sz w:val="12"/>
                <w:szCs w:val="12"/>
                <w:color w:val="auto"/>
              </w:rPr>
              <w:t>Board proposal to ratify the appointment of Ernst &amp; Young LLP as the</w:t>
            </w:r>
          </w:p>
        </w:tc>
        <w:tc>
          <w:tcPr>
            <w:tcW w:w="28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o</w:t>
            </w:r>
          </w:p>
        </w:tc>
      </w:tr>
      <w:tr>
        <w:trPr>
          <w:trHeight w:val="146"/>
        </w:trPr>
        <w:tc>
          <w:tcPr>
            <w:tcW w:w="140" w:type="dxa"/>
            <w:vAlign w:val="bottom"/>
          </w:tcPr>
          <w:p>
            <w:pPr>
              <w:spacing w:after="0"/>
              <w:rPr>
                <w:sz w:val="12"/>
                <w:szCs w:val="12"/>
                <w:color w:val="auto"/>
              </w:rPr>
            </w:pPr>
          </w:p>
        </w:tc>
        <w:tc>
          <w:tcPr>
            <w:tcW w:w="4200" w:type="dxa"/>
            <w:vAlign w:val="bottom"/>
          </w:tcPr>
          <w:p>
            <w:pPr>
              <w:ind w:left="60"/>
              <w:spacing w:after="0"/>
              <w:rPr>
                <w:sz w:val="20"/>
                <w:szCs w:val="20"/>
                <w:color w:val="auto"/>
              </w:rPr>
            </w:pPr>
            <w:r>
              <w:rPr>
                <w:rFonts w:ascii="Arial" w:cs="Arial" w:eastAsia="Arial" w:hAnsi="Arial"/>
                <w:sz w:val="12"/>
                <w:szCs w:val="12"/>
                <w:color w:val="auto"/>
              </w:rPr>
              <w:t>Company's independent registered public accounting firm for 2012.</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w:t>
      </w:r>
      <w:r>
        <w:rPr>
          <w:rFonts w:ascii="Arial" w:cs="Arial" w:eastAsia="Arial" w:hAnsi="Arial"/>
          <w:sz w:val="11"/>
          <w:szCs w:val="11"/>
          <w:color w:val="auto"/>
        </w:rPr>
        <w:t>: Such other business as may properly come before the meeting or any adjournment thereof.</w:t>
      </w:r>
    </w:p>
    <w:p>
      <w:pPr>
        <w:spacing w:after="0" w:line="24" w:lineRule="exact"/>
        <w:rPr>
          <w:sz w:val="20"/>
          <w:szCs w:val="20"/>
          <w:color w:val="auto"/>
        </w:rPr>
      </w:pPr>
    </w:p>
    <w:p>
      <w:pPr>
        <w:sectPr>
          <w:pgSz w:w="11900" w:h="16838" w:orient="portrait"/>
          <w:cols w:equalWidth="0" w:num="2">
            <w:col w:w="5660" w:space="280"/>
            <w:col w:w="5540"/>
          </w:cols>
          <w:pgMar w:left="240" w:top="1095" w:right="179" w:bottom="1440" w:gutter="0" w:footer="0" w:header="0"/>
          <w:type w:val="continuous"/>
        </w:sectPr>
      </w:pPr>
    </w:p>
    <w:tbl>
      <w:tblPr>
        <w:tblLayout w:type="fixed"/>
        <w:tblInd w:w="380" w:type="dxa"/>
        <w:tblCellMar>
          <w:top w:w="0" w:type="dxa"/>
          <w:left w:w="0" w:type="dxa"/>
          <w:bottom w:w="0" w:type="dxa"/>
          <w:right w:w="0" w:type="dxa"/>
        </w:tblCellMar>
      </w:tblPr>
      <w:tr>
        <w:trPr>
          <w:trHeight w:val="200"/>
        </w:trPr>
        <w:tc>
          <w:tcPr>
            <w:tcW w:w="240" w:type="dxa"/>
            <w:vAlign w:val="bottom"/>
          </w:tcPr>
          <w:p>
            <w:pPr>
              <w:spacing w:after="0"/>
              <w:rPr>
                <w:sz w:val="20"/>
                <w:szCs w:val="20"/>
                <w:color w:val="auto"/>
              </w:rPr>
            </w:pPr>
            <w:r>
              <w:rPr>
                <w:rFonts w:ascii="Arial" w:cs="Arial" w:eastAsia="Arial" w:hAnsi="Arial"/>
                <w:sz w:val="12"/>
                <w:szCs w:val="12"/>
                <w:color w:val="auto"/>
              </w:rPr>
              <w:t>1e.</w:t>
            </w:r>
          </w:p>
        </w:tc>
        <w:tc>
          <w:tcPr>
            <w:tcW w:w="2320" w:type="dxa"/>
            <w:vAlign w:val="bottom"/>
          </w:tcPr>
          <w:p>
            <w:pPr>
              <w:ind w:left="40"/>
              <w:spacing w:after="0"/>
              <w:rPr>
                <w:sz w:val="20"/>
                <w:szCs w:val="20"/>
                <w:color w:val="auto"/>
              </w:rPr>
            </w:pPr>
            <w:r>
              <w:rPr>
                <w:rFonts w:ascii="Arial" w:cs="Arial" w:eastAsia="Arial" w:hAnsi="Arial"/>
                <w:sz w:val="12"/>
                <w:szCs w:val="12"/>
                <w:color w:val="auto"/>
              </w:rPr>
              <w:t>R. E. Sanchez</w:t>
            </w:r>
          </w:p>
        </w:tc>
        <w:tc>
          <w:tcPr>
            <w:tcW w:w="1700" w:type="dxa"/>
            <w:vAlign w:val="bottom"/>
          </w:tcPr>
          <w:p>
            <w:pPr>
              <w:ind w:left="1400"/>
              <w:spacing w:after="0"/>
              <w:rPr>
                <w:sz w:val="20"/>
                <w:szCs w:val="20"/>
                <w:color w:val="auto"/>
              </w:rPr>
            </w:pPr>
            <w:r>
              <w:rPr>
                <w:rFonts w:ascii="Arial" w:cs="Arial" w:eastAsia="Arial" w:hAnsi="Arial"/>
                <w:sz w:val="16"/>
                <w:szCs w:val="16"/>
                <w:color w:val="auto"/>
              </w:rPr>
              <w:t>o</w:t>
            </w:r>
          </w:p>
        </w:tc>
        <w:tc>
          <w:tcPr>
            <w:tcW w:w="540" w:type="dxa"/>
            <w:vAlign w:val="bottom"/>
          </w:tcPr>
          <w:p>
            <w:pPr>
              <w:ind w:left="240"/>
              <w:spacing w:after="0"/>
              <w:rPr>
                <w:sz w:val="20"/>
                <w:szCs w:val="20"/>
                <w:color w:val="auto"/>
              </w:rPr>
            </w:pPr>
            <w:r>
              <w:rPr>
                <w:rFonts w:ascii="Arial" w:cs="Arial" w:eastAsia="Arial" w:hAnsi="Arial"/>
                <w:sz w:val="16"/>
                <w:szCs w:val="16"/>
                <w:color w:val="auto"/>
              </w:rPr>
              <w:t>o</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o</w:t>
            </w:r>
          </w:p>
        </w:tc>
      </w:tr>
      <w:tr>
        <w:trPr>
          <w:trHeight w:val="340"/>
        </w:trPr>
        <w:tc>
          <w:tcPr>
            <w:tcW w:w="240" w:type="dxa"/>
            <w:vAlign w:val="bottom"/>
          </w:tcPr>
          <w:p>
            <w:pPr>
              <w:spacing w:after="0"/>
              <w:rPr>
                <w:sz w:val="20"/>
                <w:szCs w:val="20"/>
                <w:color w:val="auto"/>
              </w:rPr>
            </w:pPr>
            <w:r>
              <w:rPr>
                <w:rFonts w:ascii="Arial" w:cs="Arial" w:eastAsia="Arial" w:hAnsi="Arial"/>
                <w:sz w:val="12"/>
                <w:szCs w:val="12"/>
                <w:color w:val="auto"/>
              </w:rPr>
              <w:t>1f.</w:t>
            </w:r>
          </w:p>
        </w:tc>
        <w:tc>
          <w:tcPr>
            <w:tcW w:w="2320" w:type="dxa"/>
            <w:vAlign w:val="bottom"/>
          </w:tcPr>
          <w:p>
            <w:pPr>
              <w:ind w:left="40"/>
              <w:spacing w:after="0"/>
              <w:rPr>
                <w:sz w:val="20"/>
                <w:szCs w:val="20"/>
                <w:color w:val="auto"/>
              </w:rPr>
            </w:pPr>
            <w:r>
              <w:rPr>
                <w:rFonts w:ascii="Arial" w:cs="Arial" w:eastAsia="Arial" w:hAnsi="Arial"/>
                <w:sz w:val="12"/>
                <w:szCs w:val="12"/>
                <w:color w:val="auto"/>
              </w:rPr>
              <w:t>W. R. Sanders</w:t>
            </w:r>
          </w:p>
        </w:tc>
        <w:tc>
          <w:tcPr>
            <w:tcW w:w="1700" w:type="dxa"/>
            <w:vAlign w:val="bottom"/>
          </w:tcPr>
          <w:p>
            <w:pPr>
              <w:ind w:left="1400"/>
              <w:spacing w:after="0"/>
              <w:rPr>
                <w:sz w:val="20"/>
                <w:szCs w:val="20"/>
                <w:color w:val="auto"/>
              </w:rPr>
            </w:pPr>
            <w:r>
              <w:rPr>
                <w:rFonts w:ascii="Arial" w:cs="Arial" w:eastAsia="Arial" w:hAnsi="Arial"/>
                <w:sz w:val="16"/>
                <w:szCs w:val="16"/>
                <w:color w:val="auto"/>
              </w:rPr>
              <w:t>o</w:t>
            </w:r>
          </w:p>
        </w:tc>
        <w:tc>
          <w:tcPr>
            <w:tcW w:w="540" w:type="dxa"/>
            <w:vAlign w:val="bottom"/>
          </w:tcPr>
          <w:p>
            <w:pPr>
              <w:ind w:left="240"/>
              <w:spacing w:after="0"/>
              <w:rPr>
                <w:sz w:val="20"/>
                <w:szCs w:val="20"/>
                <w:color w:val="auto"/>
              </w:rPr>
            </w:pPr>
            <w:r>
              <w:rPr>
                <w:rFonts w:ascii="Arial" w:cs="Arial" w:eastAsia="Arial" w:hAnsi="Arial"/>
                <w:sz w:val="16"/>
                <w:szCs w:val="16"/>
                <w:color w:val="auto"/>
              </w:rPr>
              <w:t>o</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o</w:t>
            </w:r>
          </w:p>
        </w:tc>
      </w:tr>
      <w:tr>
        <w:trPr>
          <w:trHeight w:val="340"/>
        </w:trPr>
        <w:tc>
          <w:tcPr>
            <w:tcW w:w="240" w:type="dxa"/>
            <w:vAlign w:val="bottom"/>
          </w:tcPr>
          <w:p>
            <w:pPr>
              <w:spacing w:after="0"/>
              <w:rPr>
                <w:sz w:val="20"/>
                <w:szCs w:val="20"/>
                <w:color w:val="auto"/>
              </w:rPr>
            </w:pPr>
            <w:r>
              <w:rPr>
                <w:rFonts w:ascii="Arial" w:cs="Arial" w:eastAsia="Arial" w:hAnsi="Arial"/>
                <w:sz w:val="12"/>
                <w:szCs w:val="12"/>
                <w:color w:val="auto"/>
              </w:rPr>
              <w:t>1g.</w:t>
            </w:r>
          </w:p>
        </w:tc>
        <w:tc>
          <w:tcPr>
            <w:tcW w:w="2320" w:type="dxa"/>
            <w:vAlign w:val="bottom"/>
          </w:tcPr>
          <w:p>
            <w:pPr>
              <w:ind w:left="40"/>
              <w:spacing w:after="0"/>
              <w:rPr>
                <w:sz w:val="20"/>
                <w:szCs w:val="20"/>
                <w:color w:val="auto"/>
              </w:rPr>
            </w:pPr>
            <w:r>
              <w:rPr>
                <w:rFonts w:ascii="Arial" w:cs="Arial" w:eastAsia="Arial" w:hAnsi="Arial"/>
                <w:sz w:val="12"/>
                <w:szCs w:val="12"/>
                <w:color w:val="auto"/>
              </w:rPr>
              <w:t>R. J. Simmons</w:t>
            </w:r>
          </w:p>
        </w:tc>
        <w:tc>
          <w:tcPr>
            <w:tcW w:w="1700" w:type="dxa"/>
            <w:vAlign w:val="bottom"/>
          </w:tcPr>
          <w:p>
            <w:pPr>
              <w:ind w:left="1400"/>
              <w:spacing w:after="0"/>
              <w:rPr>
                <w:sz w:val="20"/>
                <w:szCs w:val="20"/>
                <w:color w:val="auto"/>
              </w:rPr>
            </w:pPr>
            <w:r>
              <w:rPr>
                <w:rFonts w:ascii="Arial" w:cs="Arial" w:eastAsia="Arial" w:hAnsi="Arial"/>
                <w:sz w:val="16"/>
                <w:szCs w:val="16"/>
                <w:color w:val="auto"/>
              </w:rPr>
              <w:t>o</w:t>
            </w:r>
          </w:p>
        </w:tc>
        <w:tc>
          <w:tcPr>
            <w:tcW w:w="540" w:type="dxa"/>
            <w:vAlign w:val="bottom"/>
          </w:tcPr>
          <w:p>
            <w:pPr>
              <w:ind w:left="240"/>
              <w:spacing w:after="0"/>
              <w:rPr>
                <w:sz w:val="20"/>
                <w:szCs w:val="20"/>
                <w:color w:val="auto"/>
              </w:rPr>
            </w:pPr>
            <w:r>
              <w:rPr>
                <w:rFonts w:ascii="Arial" w:cs="Arial" w:eastAsia="Arial" w:hAnsi="Arial"/>
                <w:sz w:val="16"/>
                <w:szCs w:val="16"/>
                <w:color w:val="auto"/>
              </w:rPr>
              <w:t>o</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o</w:t>
            </w:r>
          </w:p>
        </w:tc>
      </w:tr>
      <w:tr>
        <w:trPr>
          <w:trHeight w:val="340"/>
        </w:trPr>
        <w:tc>
          <w:tcPr>
            <w:tcW w:w="240" w:type="dxa"/>
            <w:vAlign w:val="bottom"/>
          </w:tcPr>
          <w:p>
            <w:pPr>
              <w:spacing w:after="0"/>
              <w:rPr>
                <w:sz w:val="20"/>
                <w:szCs w:val="20"/>
                <w:color w:val="auto"/>
              </w:rPr>
            </w:pPr>
            <w:r>
              <w:rPr>
                <w:rFonts w:ascii="Arial" w:cs="Arial" w:eastAsia="Arial" w:hAnsi="Arial"/>
                <w:sz w:val="12"/>
                <w:szCs w:val="12"/>
                <w:color w:val="auto"/>
              </w:rPr>
              <w:t>1h.</w:t>
            </w:r>
          </w:p>
        </w:tc>
        <w:tc>
          <w:tcPr>
            <w:tcW w:w="2320" w:type="dxa"/>
            <w:vAlign w:val="bottom"/>
          </w:tcPr>
          <w:p>
            <w:pPr>
              <w:ind w:left="40"/>
              <w:spacing w:after="0"/>
              <w:rPr>
                <w:sz w:val="20"/>
                <w:szCs w:val="20"/>
                <w:color w:val="auto"/>
              </w:rPr>
            </w:pPr>
            <w:r>
              <w:rPr>
                <w:rFonts w:ascii="Arial" w:cs="Arial" w:eastAsia="Arial" w:hAnsi="Arial"/>
                <w:sz w:val="12"/>
                <w:szCs w:val="12"/>
                <w:color w:val="auto"/>
              </w:rPr>
              <w:t>R. K. Templeton</w:t>
            </w:r>
          </w:p>
        </w:tc>
        <w:tc>
          <w:tcPr>
            <w:tcW w:w="1700" w:type="dxa"/>
            <w:vAlign w:val="bottom"/>
          </w:tcPr>
          <w:p>
            <w:pPr>
              <w:ind w:left="1400"/>
              <w:spacing w:after="0"/>
              <w:rPr>
                <w:sz w:val="20"/>
                <w:szCs w:val="20"/>
                <w:color w:val="auto"/>
              </w:rPr>
            </w:pPr>
            <w:r>
              <w:rPr>
                <w:rFonts w:ascii="Arial" w:cs="Arial" w:eastAsia="Arial" w:hAnsi="Arial"/>
                <w:sz w:val="16"/>
                <w:szCs w:val="16"/>
                <w:color w:val="auto"/>
              </w:rPr>
              <w:t>o</w:t>
            </w:r>
          </w:p>
        </w:tc>
        <w:tc>
          <w:tcPr>
            <w:tcW w:w="540" w:type="dxa"/>
            <w:vAlign w:val="bottom"/>
          </w:tcPr>
          <w:p>
            <w:pPr>
              <w:ind w:left="240"/>
              <w:spacing w:after="0"/>
              <w:rPr>
                <w:sz w:val="20"/>
                <w:szCs w:val="20"/>
                <w:color w:val="auto"/>
              </w:rPr>
            </w:pPr>
            <w:r>
              <w:rPr>
                <w:rFonts w:ascii="Arial" w:cs="Arial" w:eastAsia="Arial" w:hAnsi="Arial"/>
                <w:sz w:val="16"/>
                <w:szCs w:val="16"/>
                <w:color w:val="auto"/>
              </w:rPr>
              <w:t>o</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o</w:t>
            </w:r>
          </w:p>
        </w:tc>
      </w:tr>
      <w:tr>
        <w:trPr>
          <w:trHeight w:val="340"/>
        </w:trPr>
        <w:tc>
          <w:tcPr>
            <w:tcW w:w="240" w:type="dxa"/>
            <w:vAlign w:val="bottom"/>
          </w:tcPr>
          <w:p>
            <w:pPr>
              <w:spacing w:after="0"/>
              <w:rPr>
                <w:sz w:val="20"/>
                <w:szCs w:val="20"/>
                <w:color w:val="auto"/>
              </w:rPr>
            </w:pPr>
            <w:r>
              <w:rPr>
                <w:rFonts w:ascii="Arial" w:cs="Arial" w:eastAsia="Arial" w:hAnsi="Arial"/>
                <w:sz w:val="12"/>
                <w:szCs w:val="12"/>
                <w:color w:val="auto"/>
              </w:rPr>
              <w:t>1i.</w:t>
            </w:r>
          </w:p>
        </w:tc>
        <w:tc>
          <w:tcPr>
            <w:tcW w:w="2320" w:type="dxa"/>
            <w:vAlign w:val="bottom"/>
          </w:tcPr>
          <w:p>
            <w:pPr>
              <w:ind w:left="40"/>
              <w:spacing w:after="0"/>
              <w:rPr>
                <w:sz w:val="20"/>
                <w:szCs w:val="20"/>
                <w:color w:val="auto"/>
              </w:rPr>
            </w:pPr>
            <w:r>
              <w:rPr>
                <w:rFonts w:ascii="Arial" w:cs="Arial" w:eastAsia="Arial" w:hAnsi="Arial"/>
                <w:sz w:val="12"/>
                <w:szCs w:val="12"/>
                <w:color w:val="auto"/>
              </w:rPr>
              <w:t>C. T. Whitman</w:t>
            </w:r>
          </w:p>
        </w:tc>
        <w:tc>
          <w:tcPr>
            <w:tcW w:w="1700" w:type="dxa"/>
            <w:vAlign w:val="bottom"/>
          </w:tcPr>
          <w:p>
            <w:pPr>
              <w:ind w:left="1400"/>
              <w:spacing w:after="0"/>
              <w:rPr>
                <w:sz w:val="20"/>
                <w:szCs w:val="20"/>
                <w:color w:val="auto"/>
              </w:rPr>
            </w:pPr>
            <w:r>
              <w:rPr>
                <w:rFonts w:ascii="Arial" w:cs="Arial" w:eastAsia="Arial" w:hAnsi="Arial"/>
                <w:sz w:val="16"/>
                <w:szCs w:val="16"/>
                <w:color w:val="auto"/>
              </w:rPr>
              <w:t>o</w:t>
            </w:r>
          </w:p>
        </w:tc>
        <w:tc>
          <w:tcPr>
            <w:tcW w:w="540" w:type="dxa"/>
            <w:vAlign w:val="bottom"/>
          </w:tcPr>
          <w:p>
            <w:pPr>
              <w:ind w:left="240"/>
              <w:spacing w:after="0"/>
              <w:rPr>
                <w:sz w:val="20"/>
                <w:szCs w:val="20"/>
                <w:color w:val="auto"/>
              </w:rPr>
            </w:pPr>
            <w:r>
              <w:rPr>
                <w:rFonts w:ascii="Arial" w:cs="Arial" w:eastAsia="Arial" w:hAnsi="Arial"/>
                <w:sz w:val="16"/>
                <w:szCs w:val="16"/>
                <w:color w:val="auto"/>
              </w:rPr>
              <w:t>o</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o</w:t>
            </w:r>
          </w:p>
        </w:tc>
      </w:tr>
    </w:tbl>
    <w:p>
      <w:pPr>
        <w:spacing w:after="0" w:line="293" w:lineRule="exact"/>
        <w:rPr>
          <w:sz w:val="20"/>
          <w:szCs w:val="20"/>
          <w:color w:val="auto"/>
        </w:rPr>
      </w:pPr>
    </w:p>
    <w:p>
      <w:pPr>
        <w:ind w:left="240" w:right="2040"/>
        <w:spacing w:after="0" w:line="245"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75" w:lineRule="exact"/>
        <w:rPr>
          <w:sz w:val="20"/>
          <w:szCs w:val="20"/>
          <w:color w:val="auto"/>
        </w:rPr>
      </w:pPr>
    </w:p>
    <w:p>
      <w:pPr>
        <w:ind w:left="240"/>
        <w:spacing w:after="0"/>
        <w:tabs>
          <w:tab w:leader="none" w:pos="3140" w:val="left"/>
          <w:tab w:leader="none" w:pos="5840" w:val="left"/>
          <w:tab w:leader="none" w:pos="88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261620</wp:posOffset>
            </wp:positionV>
            <wp:extent cx="7280910"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80"/>
          </w:cols>
          <w:pgMar w:left="240" w:top="1095" w:right="179" w:bottom="1440" w:gutter="0" w:footer="0" w:header="0"/>
          <w:type w:val="continuous"/>
        </w:sectPr>
      </w:pPr>
    </w:p>
    <w:bookmarkStart w:id="48" w:name="page49"/>
    <w:bookmarkEnd w:id="48"/>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3161030</wp:posOffset>
            </wp:positionH>
            <wp:positionV relativeFrom="page">
              <wp:posOffset>350520</wp:posOffset>
            </wp:positionV>
            <wp:extent cx="1216660" cy="5003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500380"/>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9"/>
          <w:szCs w:val="19"/>
          <w:b w:val="1"/>
          <w:bCs w:val="1"/>
          <w:color w:val="auto"/>
        </w:rPr>
        <w:t>NOTICE OF ANNUAL MEETING OF STOCKHOLDERS</w:t>
      </w:r>
    </w:p>
    <w:p>
      <w:pPr>
        <w:spacing w:after="0" w:line="194"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APRIL 19, 2012</w:t>
      </w:r>
    </w:p>
    <w:p>
      <w:pPr>
        <w:spacing w:after="0" w:line="218" w:lineRule="exact"/>
        <w:rPr>
          <w:sz w:val="20"/>
          <w:szCs w:val="20"/>
          <w:color w:val="auto"/>
        </w:rPr>
      </w:pPr>
    </w:p>
    <w:p>
      <w:pPr>
        <w:jc w:val="both"/>
        <w:ind w:left="380" w:right="580"/>
        <w:spacing w:after="0" w:line="243" w:lineRule="auto"/>
        <w:rPr>
          <w:sz w:val="20"/>
          <w:szCs w:val="20"/>
          <w:color w:val="auto"/>
        </w:rPr>
      </w:pPr>
      <w:r>
        <w:rPr>
          <w:rFonts w:ascii="Arial" w:cs="Arial" w:eastAsia="Arial" w:hAnsi="Arial"/>
          <w:sz w:val="19"/>
          <w:szCs w:val="19"/>
          <w:color w:val="auto"/>
        </w:rPr>
        <w:t>You are invited to attend the 2012 annual meeting of stockholders on Thursday, April 19, 2012, at the cafeteria on our property at 12500 TI Boulevard, Dallas, Texas, at 10:00 a.m. (Dallas time). At the meeting we will consider the election of directors, advisory approval of the Company's executive compensation, ratification of the appointment of Ernst &amp; Young LLP as the Company’s independent registered public accounting firm for 2012, and such other matters as may properly come before the meeting.</w:t>
      </w:r>
    </w:p>
    <w:p>
      <w:pPr>
        <w:spacing w:after="0" w:line="168"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u w:val="single" w:color="auto"/>
          <w:color w:val="auto"/>
        </w:rPr>
        <w:t>Electronic Delivery of Proxy Materials</w:t>
      </w:r>
    </w:p>
    <w:p>
      <w:pPr>
        <w:spacing w:after="0" w:line="212" w:lineRule="exact"/>
        <w:rPr>
          <w:sz w:val="20"/>
          <w:szCs w:val="20"/>
          <w:color w:val="auto"/>
        </w:rPr>
      </w:pPr>
    </w:p>
    <w:p>
      <w:pPr>
        <w:jc w:val="both"/>
        <w:ind w:left="380" w:right="580"/>
        <w:spacing w:after="0" w:line="243" w:lineRule="auto"/>
        <w:rPr>
          <w:sz w:val="20"/>
          <w:szCs w:val="20"/>
          <w:color w:val="auto"/>
        </w:rPr>
      </w:pPr>
      <w:r>
        <w:rPr>
          <w:rFonts w:ascii="Arial" w:cs="Arial" w:eastAsia="Arial" w:hAnsi="Arial"/>
          <w:sz w:val="16"/>
          <w:szCs w:val="16"/>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1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2012 Notice and Proxy Statement and 2011 Annual Report are also available at www.proxyvote.com.</w:t>
      </w:r>
    </w:p>
    <w:p>
      <w:pPr>
        <w:spacing w:after="0" w:line="237" w:lineRule="exact"/>
        <w:rPr>
          <w:sz w:val="20"/>
          <w:szCs w:val="20"/>
          <w:color w:val="auto"/>
        </w:rPr>
      </w:pPr>
    </w:p>
    <w:p>
      <w:pPr>
        <w:ind w:left="9360"/>
        <w:spacing w:after="0"/>
        <w:rPr>
          <w:sz w:val="20"/>
          <w:szCs w:val="20"/>
          <w:color w:val="auto"/>
        </w:rPr>
      </w:pPr>
      <w:r>
        <w:rPr>
          <w:rFonts w:ascii="Arial" w:cs="Arial" w:eastAsia="Arial" w:hAnsi="Arial"/>
          <w:sz w:val="12"/>
          <w:szCs w:val="12"/>
          <w:color w:val="auto"/>
        </w:rPr>
        <w:t>M40766-P20043-Z57118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172085</wp:posOffset>
            </wp:positionV>
            <wp:extent cx="7312025" cy="26536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12025" cy="2653665"/>
                    </a:xfrm>
                    <a:prstGeom prst="rect">
                      <a:avLst/>
                    </a:prstGeom>
                    <a:noFill/>
                  </pic:spPr>
                </pic:pic>
              </a:graphicData>
            </a:graphic>
          </wp:anchor>
        </w:drawing>
      </w: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PROXY FOR ANNUAL MEETING</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BE HELD APRIL 19, 2012</w:t>
      </w:r>
    </w:p>
    <w:p>
      <w:pPr>
        <w:jc w:val="center"/>
        <w:ind w:right="-19"/>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27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The undersigned hereby appoints CARRIE S. COX, PAMELA H. PATSLEY, CHRISTINE T. WHITMAN, RICHARD K. TEMPLETON, or any one or more of them, the true and lawful attorneys of the undersigned with power of substitution, to vote as proxies for the undersigned at the annual meeting of stockholders of Texas Instruments Incorporated to be held in Dallas, Texas, on April 19, 2012, at 10:00 a.m. (Dallas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6"/>
          <w:szCs w:val="16"/>
          <w:b w:val="1"/>
          <w:bCs w:val="1"/>
          <w:color w:val="auto"/>
        </w:rPr>
        <w:t>If no contrary indication is made, this proxy will be voted FOR the election of each director nominee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FOR Proposals 2 and 3. </w:t>
      </w:r>
      <w:r>
        <w:rPr>
          <w:rFonts w:ascii="Arial" w:cs="Arial" w:eastAsia="Arial" w:hAnsi="Arial"/>
          <w:sz w:val="16"/>
          <w:szCs w:val="16"/>
          <w:color w:val="auto"/>
        </w:rPr>
        <w:t>If other matters come before the meeting, this proxy will be voted in the discretion of the named proxies.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If the trustee does not receive voting instructions for TI shares under the plans by April 16, 2012, those shares will be voted, in accordance with the terms of plans, in the same proportion as the shares for which voting instructions have been received. If other matters come before the meeting, the named proxies will vote plan shares on those matters in their discretion.</w:t>
      </w:r>
    </w:p>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IMPORTANT - On the reverse side of this card are procedures on how to vote the shares.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356235</wp:posOffset>
            </wp:positionV>
            <wp:extent cx="7280910"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340" w:top="1440" w:right="1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TEXAS INSTRUMENTS INCORPORATED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NOTICE OF ANNUAL MEETING OF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RECORD DATE: February 21, 2012</w:t>
      </w:r>
    </w:p>
    <w:p>
      <w:pPr>
        <w:spacing w:after="0" w:line="237" w:lineRule="auto"/>
        <w:rPr>
          <w:sz w:val="20"/>
          <w:szCs w:val="20"/>
          <w:color w:val="auto"/>
        </w:rPr>
      </w:pPr>
      <w:r>
        <w:rPr>
          <w:rFonts w:ascii="Arial" w:cs="Arial" w:eastAsia="Arial" w:hAnsi="Arial"/>
          <w:sz w:val="16"/>
          <w:szCs w:val="16"/>
          <w:color w:val="auto"/>
        </w:rPr>
        <w:t>MEETING DATE: April 19, 2012</w:t>
      </w:r>
    </w:p>
    <w:p>
      <w:pPr>
        <w:spacing w:after="0"/>
        <w:rPr>
          <w:sz w:val="20"/>
          <w:szCs w:val="20"/>
          <w:color w:val="auto"/>
        </w:rPr>
      </w:pPr>
      <w:r>
        <w:rPr>
          <w:rFonts w:ascii="Arial" w:cs="Arial" w:eastAsia="Arial" w:hAnsi="Arial"/>
          <w:sz w:val="16"/>
          <w:szCs w:val="16"/>
          <w:color w:val="auto"/>
        </w:rPr>
        <w:t>CUSIP NUMBER: 882508104</w:t>
      </w:r>
    </w:p>
    <w:p>
      <w:pPr>
        <w:spacing w:after="0" w:line="192"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color w:val="auto"/>
        </w:rPr>
        <w:t>You are cordially invited to attend the 2012 annual meeting of stockholders on Thursday, April 19, 2012, at the cafeteria on our property at 12500 TI Boulevard, Dallas, Texas, at 10:00 a.m. (Dallas time). At the meeting, we will consider and act upon the following matters: (i) the election of directors, (ii) advisory approval of the company's executive compensation, (iii) ratification of the appointment of Ernst &amp; Young LLP as the Company's independent registered public accounting firm for 2012, and (iv) such other matters as may properly come before the meeting.</w:t>
      </w:r>
    </w:p>
    <w:p>
      <w:pPr>
        <w:spacing w:after="0" w:line="189"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You are enrolled to receive stockholder communications via the Internet. This e-mail contains instructions for viewing the Texas Instruments 2012 Proxy Statement and Annual Report for 2011 and for voting your shares.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Please read the instructions carefully before proceeding.</w:t>
      </w:r>
    </w:p>
    <w:p>
      <w:pPr>
        <w:spacing w:after="0" w:line="192" w:lineRule="exact"/>
        <w:rPr>
          <w:sz w:val="20"/>
          <w:szCs w:val="20"/>
          <w:color w:val="auto"/>
        </w:rPr>
      </w:pPr>
    </w:p>
    <w:p>
      <w:pPr>
        <w:ind w:right="300"/>
        <w:spacing w:after="0" w:line="243" w:lineRule="auto"/>
        <w:rPr>
          <w:sz w:val="20"/>
          <w:szCs w:val="20"/>
          <w:color w:val="auto"/>
        </w:rPr>
      </w:pPr>
      <w:r>
        <w:rPr>
          <w:rFonts w:ascii="Arial" w:cs="Arial" w:eastAsia="Arial" w:hAnsi="Arial"/>
          <w:sz w:val="16"/>
          <w:szCs w:val="16"/>
          <w:color w:val="auto"/>
        </w:rPr>
        <w:t>VIEWING THE PROXY MATERIALS AND VOTING YOUR SHARES-Please review the Proxy Statement and Annual Report before voting. The Proxy Statement discusses the proposals to be voted on.</w:t>
      </w:r>
    </w:p>
    <w:p>
      <w:pPr>
        <w:spacing w:after="0" w:line="185" w:lineRule="exact"/>
        <w:rPr>
          <w:sz w:val="20"/>
          <w:szCs w:val="20"/>
          <w:color w:val="auto"/>
        </w:rPr>
      </w:pPr>
    </w:p>
    <w:p>
      <w:pPr>
        <w:ind w:right="500"/>
        <w:spacing w:after="0" w:line="243" w:lineRule="auto"/>
        <w:rPr>
          <w:sz w:val="20"/>
          <w:szCs w:val="20"/>
          <w:color w:val="auto"/>
        </w:rPr>
      </w:pPr>
      <w:r>
        <w:rPr>
          <w:rFonts w:ascii="Arial" w:cs="Arial" w:eastAsia="Arial" w:hAnsi="Arial"/>
          <w:sz w:val="16"/>
          <w:szCs w:val="16"/>
          <w:color w:val="auto"/>
        </w:rPr>
        <w:t>You can enter your voting instructions and view the shareholder material at the following Internet site. If your browser supports secure transactions you will be automatically directed to a secure site.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http://www.proxyvote.com/0012345678901</w:t>
      </w:r>
    </w:p>
    <w:p>
      <w:pPr>
        <w:spacing w:after="0" w:line="192"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Registered shares must be voted by 11:59 p.m. (Eastern Time) on April 18, 2012. Shares allocable to a Texas Instruments (TI) benefit plan must be voted by 11:59 p.m. (Eastern Time) on April 16, 2012.</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To enter your vote you will need the following:</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CONTROL NUMBER: 012345678901</w:t>
      </w:r>
    </w:p>
    <w:p>
      <w:pPr>
        <w:spacing w:after="0"/>
        <w:rPr>
          <w:sz w:val="20"/>
          <w:szCs w:val="20"/>
          <w:color w:val="auto"/>
        </w:rPr>
      </w:pPr>
      <w:r>
        <w:rPr>
          <w:rFonts w:ascii="Arial" w:cs="Arial" w:eastAsia="Arial" w:hAnsi="Arial"/>
          <w:sz w:val="16"/>
          <w:szCs w:val="16"/>
          <w:color w:val="auto"/>
        </w:rPr>
        <w:t>YOUR 4-DIGIT PIN NUMBER</w:t>
      </w:r>
    </w:p>
    <w:p>
      <w:pPr>
        <w:spacing w:after="0" w:line="192" w:lineRule="exact"/>
        <w:rPr>
          <w:sz w:val="20"/>
          <w:szCs w:val="20"/>
          <w:color w:val="auto"/>
        </w:rPr>
      </w:pPr>
    </w:p>
    <w:p>
      <w:pPr>
        <w:ind w:right="220"/>
        <w:spacing w:after="0" w:line="275" w:lineRule="auto"/>
        <w:rPr>
          <w:sz w:val="20"/>
          <w:szCs w:val="20"/>
          <w:color w:val="auto"/>
        </w:rPr>
      </w:pPr>
      <w:r>
        <w:rPr>
          <w:rFonts w:ascii="Arial" w:cs="Arial" w:eastAsia="Arial" w:hAnsi="Arial"/>
          <w:sz w:val="15"/>
          <w:szCs w:val="15"/>
          <w:color w:val="auto"/>
        </w:rPr>
        <w:t>If you are a TI employee-stockholder, your PIN is the last 4 digits of your Social Security Number (unless you have taken steps to change your PIN). For other stockholders, your PIN is the 4-digit PIN you enrolled with at the time you elected to receive electronic delivery (unless you have taken steps to change your PIN).</w:t>
      </w:r>
    </w:p>
    <w:p>
      <w:pPr>
        <w:spacing w:after="0" w:line="162" w:lineRule="exact"/>
        <w:rPr>
          <w:sz w:val="20"/>
          <w:szCs w:val="20"/>
          <w:color w:val="auto"/>
        </w:rPr>
      </w:pPr>
    </w:p>
    <w:p>
      <w:pPr>
        <w:ind w:right="560"/>
        <w:spacing w:after="0"/>
        <w:rPr>
          <w:sz w:val="20"/>
          <w:szCs w:val="20"/>
          <w:color w:val="auto"/>
        </w:rPr>
      </w:pPr>
      <w:r>
        <w:rPr>
          <w:rFonts w:ascii="Arial" w:cs="Arial" w:eastAsia="Arial" w:hAnsi="Arial"/>
          <w:sz w:val="16"/>
          <w:szCs w:val="16"/>
          <w:color w:val="auto"/>
        </w:rPr>
        <w:t>If you would like to cancel your enrollment, or change your e-mail address or PIN, please go to http://www.InvestorDelivery.com. You will need the enrollment number below, and your four-digit PIN. If you have forgotten your PIN, you can have it sent to your enrolled e-mail address by going to http://www.InvestorDelivery.com.</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Your InvestorDelivery Enrollment Number is:</w:t>
            </w:r>
          </w:p>
        </w:tc>
        <w:tc>
          <w:tcPr>
            <w:tcW w:w="5940" w:type="dxa"/>
            <w:vAlign w:val="bottom"/>
          </w:tcPr>
          <w:p>
            <w:pPr>
              <w:ind w:left="2420"/>
              <w:spacing w:after="0"/>
              <w:rPr>
                <w:sz w:val="20"/>
                <w:szCs w:val="20"/>
                <w:color w:val="auto"/>
              </w:rPr>
            </w:pPr>
            <w:r>
              <w:rPr>
                <w:rFonts w:ascii="Arial" w:cs="Arial" w:eastAsia="Arial" w:hAnsi="Arial"/>
                <w:sz w:val="16"/>
                <w:szCs w:val="16"/>
                <w:color w:val="auto"/>
              </w:rPr>
              <w:t>M012345678901</w:t>
            </w:r>
          </w:p>
        </w:tc>
      </w:tr>
      <w:tr>
        <w:trPr>
          <w:trHeight w:val="338"/>
        </w:trPr>
        <w:tc>
          <w:tcPr>
            <w:tcW w:w="552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55" w:right="199" w:bottom="1440" w:gutter="0" w:footer="0" w:header="0"/>
        </w:sectPr>
      </w:pPr>
    </w:p>
    <w:bookmarkStart w:id="50" w:name="page51"/>
    <w:bookmarkEnd w:id="50"/>
    <w:p>
      <w:pPr>
        <w:spacing w:after="0" w:line="238" w:lineRule="auto"/>
        <w:rPr>
          <w:sz w:val="20"/>
          <w:szCs w:val="20"/>
          <w:color w:val="auto"/>
        </w:rPr>
      </w:pPr>
      <w:r>
        <w:rPr>
          <w:rFonts w:ascii="Arial" w:cs="Arial" w:eastAsia="Arial" w:hAnsi="Arial"/>
          <w:sz w:val="16"/>
          <w:szCs w:val="16"/>
          <w:color w:val="auto"/>
        </w:rPr>
        <w:t>This e-mail covers TI shares registered directly in your name and TI shares allocable to employee benefit plan(s). Should you have an account in the TI Contribution and 401(k) Savings Plan or the TI 401(k) Savings Plan, this proxy represents the number of TI shares allocable to the plan account as well as other shares registered in your name. As a "named fiduciary" under the plans for TI shares allocable to the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If the trustee does not receive voting instructions for TI shares under the plans by April 16, 2012, those shares will be voted, in accordance with the terms of the plans, in the same proportion as the shares for which voting instructions have been received. If other matters come before the meeting, the named proxies will vote plan shares on those matters in their discretion.</w:t>
      </w:r>
    </w:p>
    <w:p>
      <w:pPr>
        <w:spacing w:after="0" w:line="190"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If you receive more than one e-mail or a proxy card in addition to this e-mail, it generally means that your holdings are listed under other names or different spellings of your name, and you must vote under all e-mails and any proxy cards to vote all shares.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At the proxyvote.com link above, you can access the proxy materials in both PDF and HTML formats.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You may also view the proxy materials in HTML and PDF at: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Annual Report (HTML)</w:t>
      </w:r>
    </w:p>
    <w:p>
      <w:pPr>
        <w:spacing w:after="0"/>
        <w:rPr>
          <w:sz w:val="20"/>
          <w:szCs w:val="20"/>
          <w:color w:val="auto"/>
        </w:rPr>
      </w:pPr>
      <w:r>
        <w:rPr>
          <w:rFonts w:ascii="Arial" w:cs="Arial" w:eastAsia="Arial" w:hAnsi="Arial"/>
          <w:sz w:val="16"/>
          <w:szCs w:val="16"/>
          <w:color w:val="auto"/>
        </w:rPr>
        <w:t>https://materials.proxyvote.com/Approved/882508/20120221/AR_116549/</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Annual Report (PDF)</w:t>
      </w:r>
    </w:p>
    <w:p>
      <w:pPr>
        <w:spacing w:after="0"/>
        <w:rPr>
          <w:sz w:val="20"/>
          <w:szCs w:val="20"/>
          <w:color w:val="auto"/>
        </w:rPr>
      </w:pPr>
      <w:r>
        <w:rPr>
          <w:rFonts w:ascii="Arial" w:cs="Arial" w:eastAsia="Arial" w:hAnsi="Arial"/>
          <w:sz w:val="16"/>
          <w:szCs w:val="16"/>
          <w:color w:val="auto"/>
        </w:rPr>
        <w:t>https://materials.proxyvote.com/Approved/882508/20120221/AR_116707.PDF</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Proxy Statement (HTML)</w:t>
      </w:r>
    </w:p>
    <w:p>
      <w:pPr>
        <w:spacing w:after="0"/>
        <w:rPr>
          <w:sz w:val="20"/>
          <w:szCs w:val="20"/>
          <w:color w:val="auto"/>
        </w:rPr>
      </w:pPr>
      <w:r>
        <w:rPr>
          <w:rFonts w:ascii="Arial" w:cs="Arial" w:eastAsia="Arial" w:hAnsi="Arial"/>
          <w:sz w:val="16"/>
          <w:szCs w:val="16"/>
          <w:color w:val="auto"/>
        </w:rPr>
        <w:t>https://materials.proxyvote.com/Approved/882508/20120221/NPS_116550/</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Proxy Statement (PDF)</w:t>
      </w:r>
    </w:p>
    <w:p>
      <w:pPr>
        <w:spacing w:after="0"/>
        <w:rPr>
          <w:sz w:val="20"/>
          <w:szCs w:val="20"/>
          <w:color w:val="auto"/>
        </w:rPr>
      </w:pPr>
      <w:r>
        <w:rPr>
          <w:rFonts w:ascii="Arial" w:cs="Arial" w:eastAsia="Arial" w:hAnsi="Arial"/>
          <w:sz w:val="16"/>
          <w:szCs w:val="16"/>
          <w:color w:val="auto"/>
        </w:rPr>
        <w:t>https://materials.proxyvote.com/Approved/882508/20120221/NPS_116708.PDF</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To view the proxy materials, you may need Adobe Acrobat Reader, which is available at the following Internet site:</w:t>
      </w:r>
    </w:p>
    <w:p>
      <w:pPr>
        <w:spacing w:after="0"/>
        <w:rPr>
          <w:sz w:val="20"/>
          <w:szCs w:val="20"/>
          <w:color w:val="auto"/>
        </w:rPr>
      </w:pPr>
      <w:r>
        <w:rPr>
          <w:rFonts w:ascii="Arial" w:cs="Arial" w:eastAsia="Arial" w:hAnsi="Arial"/>
          <w:sz w:val="16"/>
          <w:szCs w:val="16"/>
          <w:color w:val="auto"/>
        </w:rPr>
        <w:t>http://www.adobe.com/products/acrobat/readstep2.html</w:t>
      </w:r>
    </w:p>
    <w:p>
      <w:pPr>
        <w:spacing w:after="0" w:line="192"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There are no charges for any of the services referenced herein. There may be costs associated with electronic access, such as usage charges from Internet access providers and telephone companies, that must be borne by the stockholder.</w:t>
      </w:r>
    </w:p>
    <w:p>
      <w:pPr>
        <w:spacing w:after="0" w:line="185" w:lineRule="exact"/>
        <w:rPr>
          <w:sz w:val="20"/>
          <w:szCs w:val="20"/>
          <w:color w:val="auto"/>
        </w:rPr>
      </w:pPr>
    </w:p>
    <w:p>
      <w:pPr>
        <w:ind w:right="400"/>
        <w:spacing w:after="0" w:line="243" w:lineRule="auto"/>
        <w:rPr>
          <w:sz w:val="20"/>
          <w:szCs w:val="20"/>
          <w:color w:val="auto"/>
        </w:rPr>
      </w:pPr>
      <w:r>
        <w:rPr>
          <w:rFonts w:ascii="Arial" w:cs="Arial" w:eastAsia="Arial" w:hAnsi="Arial"/>
          <w:sz w:val="16"/>
          <w:szCs w:val="16"/>
          <w:color w:val="auto"/>
        </w:rPr>
        <w:t>PAPER COPIES - You may receive paper copies of the Proxy Statement and Annual Report free of charge by calling Investor Relations at 972-995-3773 or by writing to Texas Instruments Incorporated, P.O. Box 660199, MS 8657, Dallas, TX 75266-0199, Attn: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280910"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51" w:name="page52"/>
    <w:bookmarkEnd w:id="51"/>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366395</wp:posOffset>
            </wp:positionV>
            <wp:extent cx="1524635" cy="423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524635" cy="42354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808080"/>
        </w:rPr>
        <w:t>TEXAS INSTRUMENTS INCORPORATED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Control#</w:t>
      </w:r>
    </w:p>
    <w:p>
      <w:pPr>
        <w:spacing w:after="0" w:line="207" w:lineRule="exact"/>
        <w:rPr>
          <w:sz w:val="20"/>
          <w:szCs w:val="20"/>
          <w:color w:val="auto"/>
        </w:rPr>
      </w:pPr>
    </w:p>
    <w:p>
      <w:pPr>
        <w:sectPr>
          <w:pgSz w:w="11900" w:h="16838" w:orient="portrait"/>
          <w:cols w:equalWidth="0" w:num="2">
            <w:col w:w="9420" w:space="720"/>
            <w:col w:w="1280"/>
          </w:cols>
          <w:pgMar w:left="240" w:top="1440" w:right="2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Annual Meeting of Shareholders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Meeting Material(s)</w:t>
      </w:r>
    </w:p>
    <w:p>
      <w:pPr>
        <w:spacing w:after="0" w:line="200" w:lineRule="exact"/>
        <w:rPr>
          <w:sz w:val="20"/>
          <w:szCs w:val="20"/>
          <w:color w:val="auto"/>
        </w:rPr>
      </w:pPr>
    </w:p>
    <w:p>
      <w:pPr>
        <w:sectPr>
          <w:pgSz w:w="11900" w:h="16838" w:orient="portrait"/>
          <w:cols w:equalWidth="0" w:num="2">
            <w:col w:w="5740" w:space="720"/>
            <w:col w:w="4960"/>
          </w:cols>
          <w:pgMar w:left="240" w:top="1440" w:right="2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Thursday, April 19, 2012</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Proxy Materials</w:t>
      </w:r>
    </w:p>
    <w:p>
      <w:pPr>
        <w:spacing w:after="0" w:line="200" w:lineRule="exact"/>
        <w:rPr>
          <w:sz w:val="20"/>
          <w:szCs w:val="20"/>
          <w:color w:val="auto"/>
        </w:rPr>
      </w:pPr>
    </w:p>
    <w:p>
      <w:pPr>
        <w:sectPr>
          <w:pgSz w:w="11900" w:h="16838" w:orient="portrait"/>
          <w:cols w:equalWidth="0" w:num="3">
            <w:col w:w="5740" w:space="720"/>
            <w:col w:w="60" w:space="60"/>
            <w:col w:w="4840"/>
          </w:cols>
          <w:pgMar w:left="240" w:top="1440" w:right="2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holders as of: 02/21/2012</w:t>
      </w: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Cusip: 882508</w:t>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2"/>
          <w:szCs w:val="12"/>
          <w:b w:val="1"/>
          <w:bCs w:val="1"/>
          <w:color w:val="auto"/>
        </w:rPr>
        <w:t>As your vote is very important, we recommend that all voting instructions be received at least one business day prior to the voting cut-off time stated in the proxy materials. Scroll down for proxy instructions and voting.</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 vote via telephone, call </w:t>
      </w:r>
      <w:r>
        <w:rPr>
          <w:rFonts w:ascii="Arial" w:cs="Arial" w:eastAsia="Arial" w:hAnsi="Arial"/>
          <w:sz w:val="12"/>
          <w:szCs w:val="12"/>
          <w:b w:val="1"/>
          <w:bCs w:val="1"/>
          <w:color w:val="auto"/>
        </w:rPr>
        <w:t>1-800-690-6903 .</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808080"/>
        </w:rPr>
        <w:t>PROXY BALLOT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TEXAS INSTRUMENTS INCORPORATED</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2012 Annual Meeting of Shareholders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 be held on 04/19/2012 for holders of record as of 02/21/2012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 FOR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260590" cy="25330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0590" cy="25330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TO BE HELD APRIL 19, 2012</w:t>
      </w:r>
    </w:p>
    <w:p>
      <w:pPr>
        <w:jc w:val="center"/>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undersigned hereby appoints CARRIE S. COX, PAMELA H. PATSLEY, CHRISTINE T. WHITMAN, RICHARD K. TEMPLETON, or any one or more of them, the true and lawful attorneys of the undersigned with power of substitution, to vote as proxies for the undersigned at the annual meeting of stockholders of Texas Instruments Incorporated to be held in Dallas, Texas, on April 19, 2012, at 10:00 a.m. (Dallas time) and at any or all adjournments thereof, according to the number of shares of common stock that the undersigned would be entitled to vote if then personally present, in the election of directors, upon the board proposals and upon</w:t>
      </w:r>
    </w:p>
    <w:p>
      <w:pPr>
        <w:spacing w:after="0" w:line="1"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 xml:space="preserve">other matters properly coming before the meeting. </w:t>
      </w:r>
      <w:r>
        <w:rPr>
          <w:rFonts w:ascii="Arial" w:cs="Arial" w:eastAsia="Arial" w:hAnsi="Arial"/>
          <w:sz w:val="16"/>
          <w:szCs w:val="16"/>
          <w:b w:val="1"/>
          <w:bCs w:val="1"/>
          <w:color w:val="auto"/>
        </w:rPr>
        <w:t>If no contrary indication is made, this proxy will be voted FOR the election of each director nominee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FOR Proposals 2 and 3. </w:t>
      </w:r>
      <w:r>
        <w:rPr>
          <w:rFonts w:ascii="Arial" w:cs="Arial" w:eastAsia="Arial" w:hAnsi="Arial"/>
          <w:sz w:val="16"/>
          <w:szCs w:val="16"/>
          <w:color w:val="auto"/>
        </w:rPr>
        <w:t>If other matters come before the meeting, this proxy will be voted in the discretion of the named proxies.</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If the trustee does not receive voting instructions for TI shares under the plans by April 16, 2012, those shares will be voted, in accordance with the terms of plans, in the same proportion as the shares for which voting instructions have been received. If other matters come before the meeting, the named proxies will vote plan shares on those matters in their discretion.</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IMPORTANT - On the reverse side of this card are procedures on how to vote the shares.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280910"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52" w:name="page53"/>
    <w:bookmarkEnd w:id="52"/>
    <w:p>
      <w:pPr>
        <w:jc w:val="center"/>
        <w:ind w:right="40"/>
        <w:spacing w:after="0"/>
        <w:rPr>
          <w:sz w:val="20"/>
          <w:szCs w:val="20"/>
          <w:color w:val="auto"/>
        </w:rPr>
      </w:pPr>
      <w:r>
        <w:rPr>
          <w:rFonts w:ascii="Arial" w:cs="Arial" w:eastAsia="Arial" w:hAnsi="Arial"/>
          <w:sz w:val="16"/>
          <w:szCs w:val="16"/>
          <w:b w:val="1"/>
          <w:bCs w:val="1"/>
          <w:color w:val="auto"/>
        </w:rPr>
        <w:t>Recommendations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260590" cy="662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0590" cy="662305"/>
                    </a:xfrm>
                    <a:prstGeom prst="rect">
                      <a:avLst/>
                    </a:prstGeom>
                    <a:noFill/>
                  </pic:spPr>
                </pic:pic>
              </a:graphicData>
            </a:graphic>
          </wp:anchor>
        </w:drawing>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Choose this option if you would like to vote your shares with the recommendations of the Board of Directors. See below or refer to the proxy statement for details on the recommendations.</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808080"/>
        </w:rPr>
        <w:t>Vote with the Board's Recommendations</w:t>
      </w: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240" w:type="dxa"/>
            <w:vAlign w:val="bottom"/>
            <w:tcBorders>
              <w:top w:val="single" w:sz="8" w:color="auto"/>
              <w:left w:val="single" w:sz="8" w:color="auto"/>
              <w:right w:val="single" w:sz="8" w:color="auto"/>
            </w:tcBorders>
          </w:tcPr>
          <w:p>
            <w:pPr>
              <w:spacing w:after="0"/>
              <w:rPr>
                <w:sz w:val="11"/>
                <w:szCs w:val="11"/>
                <w:color w:val="auto"/>
              </w:rPr>
            </w:pPr>
          </w:p>
        </w:tc>
        <w:tc>
          <w:tcPr>
            <w:tcW w:w="5940" w:type="dxa"/>
            <w:vAlign w:val="bottom"/>
            <w:tcBorders>
              <w:top w:val="single" w:sz="8" w:color="auto"/>
              <w:right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rPr>
              <w:t>Recommendations</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40" w:type="dxa"/>
            <w:vAlign w:val="bottom"/>
            <w:tcBorders>
              <w:top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tcPr>
          <w:p>
            <w:pPr>
              <w:spacing w:after="0"/>
              <w:rPr>
                <w:sz w:val="11"/>
                <w:szCs w:val="11"/>
                <w:color w:val="auto"/>
              </w:rPr>
            </w:pPr>
          </w:p>
        </w:tc>
        <w:tc>
          <w:tcPr>
            <w:tcW w:w="5940" w:type="dxa"/>
            <w:vAlign w:val="bottom"/>
            <w:tcBorders>
              <w:right w:val="single" w:sz="8" w:color="auto"/>
            </w:tcBorders>
          </w:tcPr>
          <w:p>
            <w:pPr>
              <w:ind w:left="2620"/>
              <w:spacing w:after="0" w:line="133" w:lineRule="exact"/>
              <w:rPr>
                <w:sz w:val="20"/>
                <w:szCs w:val="20"/>
                <w:color w:val="auto"/>
              </w:rPr>
            </w:pPr>
            <w:r>
              <w:rPr>
                <w:rFonts w:ascii="Arial" w:cs="Arial" w:eastAsia="Arial" w:hAnsi="Arial"/>
                <w:sz w:val="12"/>
                <w:szCs w:val="12"/>
                <w:b w:val="1"/>
                <w:bCs w:val="1"/>
                <w:color w:val="auto"/>
              </w:rPr>
              <w:t>Proposal(s)</w:t>
            </w:r>
          </w:p>
        </w:tc>
        <w:tc>
          <w:tcPr>
            <w:tcW w:w="11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of the Board 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40" w:type="dxa"/>
            <w:vAlign w:val="bottom"/>
            <w:tcBorders>
              <w:right w:val="single" w:sz="8" w:color="auto"/>
            </w:tcBorders>
          </w:tcPr>
          <w:p>
            <w:pPr>
              <w:ind w:left="400"/>
              <w:spacing w:after="0" w:line="133" w:lineRule="exact"/>
              <w:rPr>
                <w:sz w:val="20"/>
                <w:szCs w:val="20"/>
                <w:color w:val="auto"/>
              </w:rPr>
            </w:pPr>
            <w:r>
              <w:rPr>
                <w:rFonts w:ascii="Arial" w:cs="Arial" w:eastAsia="Arial" w:hAnsi="Arial"/>
                <w:sz w:val="12"/>
                <w:szCs w:val="12"/>
                <w:b w:val="1"/>
                <w:bCs w:val="1"/>
                <w:color w:val="auto"/>
              </w:rPr>
              <w:t>Vote Options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 w:type="dxa"/>
            <w:vAlign w:val="bottom"/>
            <w:tcBorders>
              <w:left w:val="single" w:sz="8" w:color="auto"/>
              <w:bottom w:val="single" w:sz="8" w:color="auto"/>
              <w:right w:val="single" w:sz="8" w:color="auto"/>
            </w:tcBorders>
          </w:tcPr>
          <w:p>
            <w:pPr>
              <w:spacing w:after="0"/>
              <w:rPr>
                <w:sz w:val="12"/>
                <w:szCs w:val="12"/>
                <w:color w:val="auto"/>
              </w:rPr>
            </w:pPr>
          </w:p>
        </w:tc>
        <w:tc>
          <w:tcPr>
            <w:tcW w:w="59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Directors</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1A.</w:t>
            </w:r>
          </w:p>
        </w:tc>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ELECTION OF DIRECTOR: R.W. BABB, JR.</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For</w:t>
            </w:r>
          </w:p>
        </w:tc>
        <w:tc>
          <w:tcPr>
            <w:tcW w:w="1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w w:val="73"/>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For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Abstain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1B.</w:t>
            </w:r>
          </w:p>
        </w:tc>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ELECTION OF DIRECTOR: D.A. CARP</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For</w:t>
            </w:r>
          </w:p>
        </w:tc>
        <w:tc>
          <w:tcPr>
            <w:tcW w:w="1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w w:val="73"/>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For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Abstain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1C.</w:t>
            </w:r>
          </w:p>
        </w:tc>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ELECTION OF DIRECTOR: C.S. COX</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For</w:t>
            </w:r>
          </w:p>
        </w:tc>
        <w:tc>
          <w:tcPr>
            <w:tcW w:w="1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w w:val="73"/>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For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Abstain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1D.</w:t>
            </w:r>
          </w:p>
        </w:tc>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ELECTION OF DIRECTOR: P.H. PATSLEY</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For</w:t>
            </w:r>
          </w:p>
        </w:tc>
        <w:tc>
          <w:tcPr>
            <w:tcW w:w="1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w w:val="73"/>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For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Abstain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1E.</w:t>
            </w:r>
          </w:p>
        </w:tc>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ELECTION OF DIRECTOR: R.E. SANCHEZ</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For</w:t>
            </w:r>
          </w:p>
        </w:tc>
        <w:tc>
          <w:tcPr>
            <w:tcW w:w="1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w w:val="73"/>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For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Abstain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1F.</w:t>
            </w:r>
          </w:p>
        </w:tc>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ELECTION OF DIRECTOR: W.R. SANDERS</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For</w:t>
            </w:r>
          </w:p>
        </w:tc>
        <w:tc>
          <w:tcPr>
            <w:tcW w:w="1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w w:val="73"/>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For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Abstain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1G.</w:t>
            </w:r>
          </w:p>
        </w:tc>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ELECTION OF DIRECTOR: R.J. SIMMONS</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For</w:t>
            </w:r>
          </w:p>
        </w:tc>
        <w:tc>
          <w:tcPr>
            <w:tcW w:w="1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w w:val="73"/>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For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Abstain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1H.</w:t>
            </w:r>
          </w:p>
        </w:tc>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ELECTION OF DIRECTOR: R.K. TEMPLETON</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For</w:t>
            </w:r>
          </w:p>
        </w:tc>
        <w:tc>
          <w:tcPr>
            <w:tcW w:w="1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w w:val="73"/>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For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Abstain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1I.</w:t>
            </w:r>
          </w:p>
        </w:tc>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ELECTION OF DIRECTOR: C.T. WHITMAN</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For</w:t>
            </w:r>
          </w:p>
        </w:tc>
        <w:tc>
          <w:tcPr>
            <w:tcW w:w="1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w w:val="73"/>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For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Abstain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2.</w:t>
            </w:r>
          </w:p>
        </w:tc>
        <w:tc>
          <w:tcPr>
            <w:tcW w:w="5940" w:type="dxa"/>
            <w:vAlign w:val="bottom"/>
            <w:tcBorders>
              <w:right w:val="single" w:sz="8" w:color="auto"/>
            </w:tcBorders>
          </w:tcPr>
          <w:p>
            <w:pPr>
              <w:spacing w:after="0"/>
              <w:rPr>
                <w:sz w:val="20"/>
                <w:szCs w:val="20"/>
                <w:color w:val="auto"/>
              </w:rPr>
            </w:pPr>
            <w:r>
              <w:rPr>
                <w:rFonts w:ascii="Arial" w:cs="Arial" w:eastAsia="Arial" w:hAnsi="Arial"/>
                <w:sz w:val="12"/>
                <w:szCs w:val="12"/>
                <w:b w:val="1"/>
                <w:bCs w:val="1"/>
                <w:color w:val="auto"/>
              </w:rPr>
              <w:t>BOARD PROPOSAL REGARDING ADVISORY APPROVAL OF THE COMPANY'S EXECUTIVE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For</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300" w:type="dxa"/>
            <w:vAlign w:val="bottom"/>
          </w:tcPr>
          <w:p>
            <w:pPr>
              <w:ind w:left="60"/>
              <w:spacing w:after="0"/>
              <w:rPr>
                <w:sz w:val="20"/>
                <w:szCs w:val="20"/>
                <w:color w:val="auto"/>
              </w:rPr>
            </w:pPr>
            <w:r>
              <w:rPr>
                <w:rFonts w:ascii="Arial" w:cs="Arial" w:eastAsia="Arial" w:hAnsi="Arial"/>
                <w:sz w:val="12"/>
                <w:szCs w:val="12"/>
                <w:color w:val="auto"/>
              </w:rPr>
              <w:t>For</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ind w:left="60"/>
              <w:spacing w:after="0"/>
              <w:rPr>
                <w:sz w:val="20"/>
                <w:szCs w:val="20"/>
                <w:color w:val="auto"/>
              </w:rPr>
            </w:pPr>
            <w:r>
              <w:rPr>
                <w:rFonts w:ascii="Arial" w:cs="Arial" w:eastAsia="Arial" w:hAnsi="Arial"/>
                <w:sz w:val="12"/>
                <w:szCs w:val="12"/>
                <w:color w:val="auto"/>
              </w:rPr>
              <w:t>Against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Abstain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40" w:type="dxa"/>
            <w:vAlign w:val="bottom"/>
            <w:tcBorders>
              <w:left w:val="single" w:sz="8" w:color="auto"/>
              <w:bottom w:val="single" w:sz="8" w:color="auto"/>
              <w:right w:val="single" w:sz="8" w:color="auto"/>
            </w:tcBorders>
          </w:tcPr>
          <w:p>
            <w:pPr>
              <w:spacing w:after="0"/>
              <w:rPr>
                <w:sz w:val="11"/>
                <w:szCs w:val="11"/>
                <w:color w:val="auto"/>
              </w:rPr>
            </w:pPr>
          </w:p>
        </w:tc>
        <w:tc>
          <w:tcPr>
            <w:tcW w:w="5940" w:type="dxa"/>
            <w:vAlign w:val="bottom"/>
            <w:tcBorders>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COMPENSATION.</w:t>
            </w:r>
          </w:p>
        </w:tc>
        <w:tc>
          <w:tcPr>
            <w:tcW w:w="114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4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3.</w:t>
            </w:r>
          </w:p>
        </w:tc>
        <w:tc>
          <w:tcPr>
            <w:tcW w:w="5940" w:type="dxa"/>
            <w:vAlign w:val="bottom"/>
            <w:tcBorders>
              <w:right w:val="single" w:sz="8" w:color="auto"/>
            </w:tcBorders>
          </w:tcPr>
          <w:p>
            <w:pPr>
              <w:spacing w:after="0"/>
              <w:rPr>
                <w:sz w:val="20"/>
                <w:szCs w:val="20"/>
                <w:color w:val="auto"/>
              </w:rPr>
            </w:pPr>
            <w:r>
              <w:rPr>
                <w:rFonts w:ascii="Arial" w:cs="Arial" w:eastAsia="Arial" w:hAnsi="Arial"/>
                <w:sz w:val="12"/>
                <w:szCs w:val="12"/>
                <w:b w:val="1"/>
                <w:bCs w:val="1"/>
                <w:color w:val="auto"/>
              </w:rPr>
              <w:t>BOARD PROPOSAL TO RATIFY THE APPOINTMENT OF ERNST &amp; YOUNG LLP AS THE COMPANY'S</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For</w:t>
            </w:r>
          </w:p>
        </w:tc>
        <w:tc>
          <w:tcPr>
            <w:tcW w:w="100" w:type="dxa"/>
            <w:vAlign w:val="bottom"/>
            <w:vMerge w:val="restart"/>
          </w:tcPr>
          <w:p>
            <w:pPr>
              <w:jc w:val="right"/>
              <w:ind w:right="21"/>
              <w:spacing w:after="0"/>
              <w:rPr>
                <w:sz w:val="20"/>
                <w:szCs w:val="20"/>
                <w:color w:val="auto"/>
              </w:rPr>
            </w:pPr>
            <w:r>
              <w:rPr>
                <w:rFonts w:ascii="Arial" w:cs="Arial" w:eastAsia="Arial" w:hAnsi="Arial"/>
                <w:sz w:val="8"/>
                <w:szCs w:val="8"/>
                <w:color w:val="auto"/>
                <w:w w:val="73"/>
              </w:rPr>
              <w:t>¡</w:t>
            </w:r>
          </w:p>
        </w:tc>
        <w:tc>
          <w:tcPr>
            <w:tcW w:w="300" w:type="dxa"/>
            <w:vAlign w:val="bottom"/>
            <w:vMerge w:val="restart"/>
          </w:tcPr>
          <w:p>
            <w:pPr>
              <w:ind w:left="60"/>
              <w:spacing w:after="0"/>
              <w:rPr>
                <w:sz w:val="20"/>
                <w:szCs w:val="20"/>
                <w:color w:val="auto"/>
              </w:rPr>
            </w:pPr>
            <w:r>
              <w:rPr>
                <w:rFonts w:ascii="Arial" w:cs="Arial" w:eastAsia="Arial" w:hAnsi="Arial"/>
                <w:sz w:val="12"/>
                <w:szCs w:val="12"/>
                <w:color w:val="auto"/>
              </w:rPr>
              <w:t>For</w:t>
            </w:r>
          </w:p>
        </w:tc>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ind w:left="40"/>
              <w:spacing w:after="0"/>
              <w:rPr>
                <w:sz w:val="20"/>
                <w:szCs w:val="20"/>
                <w:color w:val="auto"/>
              </w:rPr>
            </w:pPr>
            <w:r>
              <w:rPr>
                <w:rFonts w:ascii="Arial" w:cs="Arial" w:eastAsia="Arial" w:hAnsi="Arial"/>
                <w:sz w:val="12"/>
                <w:szCs w:val="12"/>
                <w:color w:val="auto"/>
              </w:rPr>
              <w:t>Against</w:t>
            </w:r>
          </w:p>
        </w:tc>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2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Abstain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40" w:type="dxa"/>
            <w:vAlign w:val="bottom"/>
            <w:tcBorders>
              <w:left w:val="single" w:sz="8" w:color="auto"/>
              <w:right w:val="single" w:sz="8" w:color="auto"/>
            </w:tcBorders>
          </w:tcPr>
          <w:p>
            <w:pPr>
              <w:spacing w:after="0"/>
              <w:rPr>
                <w:sz w:val="9"/>
                <w:szCs w:val="9"/>
                <w:color w:val="auto"/>
              </w:rPr>
            </w:pPr>
          </w:p>
        </w:tc>
        <w:tc>
          <w:tcPr>
            <w:tcW w:w="59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b w:val="1"/>
                <w:bCs w:val="1"/>
                <w:color w:val="auto"/>
              </w:rPr>
              <w:t>INDEPENDENT REGISTERED PUBLIC ACCOUNTING FIRM FOR 2012.</w:t>
            </w:r>
          </w:p>
        </w:tc>
        <w:tc>
          <w:tcPr>
            <w:tcW w:w="1140" w:type="dxa"/>
            <w:vAlign w:val="bottom"/>
            <w:tcBorders>
              <w:right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2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40" w:type="dxa"/>
            <w:vAlign w:val="bottom"/>
            <w:tcBorders>
              <w:left w:val="single" w:sz="8" w:color="auto"/>
              <w:bottom w:val="single" w:sz="8" w:color="auto"/>
              <w:right w:val="single" w:sz="8" w:color="auto"/>
            </w:tcBorders>
          </w:tcPr>
          <w:p>
            <w:pPr>
              <w:spacing w:after="0"/>
              <w:rPr>
                <w:sz w:val="10"/>
                <w:szCs w:val="10"/>
                <w:color w:val="auto"/>
              </w:rPr>
            </w:pPr>
          </w:p>
        </w:tc>
        <w:tc>
          <w:tcPr>
            <w:tcW w:w="594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24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sectPr>
      <w:pgSz w:w="11900" w:h="16838" w:orient="portrait"/>
      <w:cols w:equalWidth="0" w:num="1">
        <w:col w:w="11460"/>
      </w:cols>
      <w:pgMar w:left="240" w:top="35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upperLetter"/>
      <w:start w:val="24"/>
    </w:lvl>
  </w:abstractNum>
  <w:abstractNum w:abstractNumId="1">
    <w:nsid w:val="75A2A8D4"/>
    <w:multiLevelType w:val="hybridMultilevel"/>
    <w:lvl w:ilvl="0">
      <w:lvlJc w:val="left"/>
      <w:lvlText w:val="[%1]"/>
      <w:numFmt w:val="upperLetter"/>
      <w:start w:val="24"/>
    </w:lvl>
  </w:abstractNum>
  <w:abstractNum w:abstractNumId="2">
    <w:nsid w:val="8EDBDAB"/>
    <w:multiLevelType w:val="hybridMultilevel"/>
    <w:lvl w:ilvl="0">
      <w:lvlJc w:val="left"/>
      <w:lvlText w:val="["/>
      <w:numFmt w:val="bullet"/>
      <w:start w:val="1"/>
    </w:lvl>
    <w:lvl w:ilvl="1">
      <w:lvlJc w:val="left"/>
      <w:lvlText w:val="%2)"/>
      <w:numFmt w:val="decimal"/>
      <w:start w:val="1"/>
    </w:lvl>
  </w:abstractNum>
  <w:abstractNum w:abstractNumId="3">
    <w:nsid w:val="79838CB2"/>
    <w:multiLevelType w:val="hybridMultilevel"/>
    <w:lvl w:ilvl="0">
      <w:lvlJc w:val="left"/>
      <w:lvlText w:val="["/>
      <w:numFmt w:val="bullet"/>
      <w:start w:val="1"/>
    </w:lvl>
    <w:lvl w:ilvl="1">
      <w:lvlJc w:val="left"/>
      <w:lvlText w:val="%2)"/>
      <w:numFmt w:val="decimal"/>
      <w:start w:val="1"/>
    </w:lvl>
  </w:abstractNum>
  <w:abstractNum w:abstractNumId="4">
    <w:nsid w:val="4353D0CD"/>
    <w:multiLevelType w:val="hybridMultilevel"/>
    <w:lvl w:ilvl="0">
      <w:lvlJc w:val="left"/>
      <w:lvlText w:val="%1"/>
      <w:numFmt w:val="upperLetter"/>
      <w:start w:val="1"/>
    </w:lvl>
    <w:lvl w:ilvl="1">
      <w:lvlJc w:val="left"/>
      <w:lvlText w:val="%2."/>
      <w:numFmt w:val="decimal"/>
      <w:start w:val="1"/>
    </w:lvl>
  </w:abstractNum>
  <w:abstractNum w:abstractNumId="5">
    <w:nsid w:val="B03E0C6"/>
    <w:multiLevelType w:val="hybridMultilevel"/>
    <w:lvl w:ilvl="0">
      <w:lvlJc w:val="left"/>
      <w:lvlText w:val="%1."/>
      <w:numFmt w:val="upperLetter"/>
      <w:start w:val="2"/>
    </w:lvl>
    <w:lvl w:ilvl="1">
      <w:lvlJc w:val="left"/>
      <w:lvlText w:val="%2."/>
      <w:numFmt w:val="decimal"/>
      <w:start w:val="1"/>
    </w:lvl>
  </w:abstractNum>
  <w:abstractNum w:abstractNumId="6">
    <w:nsid w:val="189A769B"/>
    <w:multiLevelType w:val="hybridMultilevel"/>
    <w:lvl w:ilvl="0">
      <w:lvlJc w:val="left"/>
      <w:lvlText w:val="%1"/>
      <w:numFmt w:val="upperLetter"/>
      <w:start w:val="1"/>
    </w:lvl>
    <w:lvl w:ilvl="1">
      <w:lvlJc w:val="left"/>
      <w:lvlText w:val="%2."/>
      <w:numFmt w:val="decimal"/>
      <w:start w:val="7"/>
    </w:lvl>
  </w:abstractNum>
  <w:abstractNum w:abstractNumId="7">
    <w:nsid w:val="54E49EB4"/>
    <w:multiLevelType w:val="hybridMultilevel"/>
    <w:lvl w:ilvl="0">
      <w:lvlJc w:val="left"/>
      <w:lvlText w:val="%1."/>
      <w:numFmt w:val="upperLetter"/>
      <w:start w:val="3"/>
    </w:lvl>
    <w:lvl w:ilvl="1">
      <w:lvlJc w:val="left"/>
      <w:lvlText w:val="%2"/>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4"/>
    </w:lvl>
  </w:abstractNum>
  <w:abstractNum w:abstractNumId="10">
    <w:nsid w:val="836C40E"/>
    <w:multiLevelType w:val="hybridMultilevel"/>
    <w:lvl w:ilvl="0">
      <w:lvlJc w:val="left"/>
      <w:lvlText w:val="(%1)"/>
      <w:numFmt w:val="decimal"/>
      <w:start w:val="5"/>
    </w:lvl>
  </w:abstractNum>
  <w:abstractNum w:abstractNumId="11">
    <w:nsid w:val="2901D82"/>
    <w:multiLevelType w:val="hybridMultilevel"/>
    <w:lvl w:ilvl="0">
      <w:lvlJc w:val="left"/>
      <w:lvlText w:val="(%1)"/>
      <w:numFmt w:val="decimal"/>
      <w:start w:val="6"/>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2"/>
      <w:numFmt w:val="bullet"/>
      <w:start w:val="1"/>
    </w:lvl>
  </w:abstractNum>
  <w:abstractNum w:abstractNumId="21">
    <w:nsid w:val="614FD4A1"/>
    <w:multiLevelType w:val="hybridMultilevel"/>
    <w:lvl w:ilvl="0">
      <w:lvlJc w:val="left"/>
      <w:lvlText w:val="3"/>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5"/>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2"/>
    </w:lvl>
  </w:abstractNum>
  <w:abstractNum w:abstractNumId="32">
    <w:nsid w:val="51EAD36B"/>
    <w:multiLevelType w:val="hybridMultilevel"/>
    <w:lvl w:ilvl="0">
      <w:lvlJc w:val="left"/>
      <w:lvlText w:val="(%1)"/>
      <w:numFmt w:val="lowerRoman"/>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5"/>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4"/>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decimal"/>
      <w:start w:val="3"/>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2019-12-09T08:09:50Z</dcterms:created>
  <dcterms:modified xsi:type="dcterms:W3CDTF">2019-12-09T08:09:50Z</dcterms:modified>
</cp:coreProperties>
</file>