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FORM SD</w:t>
      </w:r>
    </w:p>
    <w:p>
      <w:pPr>
        <w:spacing w:after="0" w:line="3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360"/>
          </w:cols>
          <w:pgMar w:left="440" w:top="368" w:right="10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50" w:lineRule="exact"/>
        <w:rPr>
          <w:sz w:val="24"/>
          <w:szCs w:val="24"/>
          <w:color w:val="auto"/>
        </w:rPr>
      </w:pPr>
    </w:p>
    <w:p>
      <w:pPr>
        <w:sectPr>
          <w:pgSz w:w="11900" w:h="16838" w:orient="portrait"/>
          <w:cols w:equalWidth="0" w:num="3">
            <w:col w:w="4500" w:space="720"/>
            <w:col w:w="2880" w:space="720"/>
            <w:col w:w="1540"/>
          </w:cols>
          <w:pgMar w:left="440" w:top="368" w:right="1099" w:bottom="1440" w:gutter="0" w:footer="0" w:header="0"/>
          <w:type w:val="continuous"/>
        </w:sectPr>
      </w:pPr>
    </w:p>
    <w:p>
      <w:pPr>
        <w:ind w:left="11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7" w:lineRule="exact"/>
        <w:rPr>
          <w:sz w:val="24"/>
          <w:szCs w:val="24"/>
          <w:color w:val="auto"/>
        </w:rPr>
      </w:pPr>
    </w:p>
    <w:p>
      <w:pPr>
        <w:sectPr>
          <w:pgSz w:w="11900" w:h="16838" w:orient="portrait"/>
          <w:cols w:equalWidth="0" w:num="3">
            <w:col w:w="4060" w:space="720"/>
            <w:col w:w="2640" w:space="720"/>
            <w:col w:w="2220"/>
          </w:cols>
          <w:pgMar w:left="440" w:top="368" w:right="1099" w:bottom="1440" w:gutter="0" w:footer="0" w:header="0"/>
          <w:type w:val="continuous"/>
        </w:sectPr>
      </w:pPr>
    </w:p>
    <w:p>
      <w:pPr>
        <w:ind w:left="2380"/>
        <w:spacing w:after="0"/>
        <w:rPr>
          <w:sz w:val="20"/>
          <w:szCs w:val="20"/>
          <w:color w:val="auto"/>
        </w:rPr>
      </w:pPr>
      <w:r>
        <w:rPr>
          <w:rFonts w:ascii="Arial" w:cs="Arial" w:eastAsia="Arial" w:hAnsi="Arial"/>
          <w:sz w:val="16"/>
          <w:szCs w:val="16"/>
          <w:b w:val="1"/>
          <w:bCs w:val="1"/>
          <w:color w:val="auto"/>
        </w:rPr>
        <w:t>12500 TI Boulevard,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75243</w:t>
      </w:r>
    </w:p>
    <w:p>
      <w:pPr>
        <w:spacing w:after="0" w:line="50" w:lineRule="exact"/>
        <w:rPr>
          <w:sz w:val="24"/>
          <w:szCs w:val="24"/>
          <w:color w:val="auto"/>
        </w:rPr>
      </w:pPr>
    </w:p>
    <w:p>
      <w:pPr>
        <w:sectPr>
          <w:pgSz w:w="11900" w:h="16838" w:orient="portrait"/>
          <w:cols w:equalWidth="0" w:num="2">
            <w:col w:w="8300" w:space="720"/>
            <w:col w:w="1340"/>
          </w:cols>
          <w:pgMar w:left="440" w:top="368" w:right="1099" w:bottom="1440" w:gutter="0" w:footer="0" w:header="0"/>
          <w:type w:val="continuous"/>
        </w:sectPr>
      </w:pPr>
    </w:p>
    <w:p>
      <w:pPr>
        <w:ind w:left="250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200" w:lineRule="exact"/>
        <w:rPr>
          <w:sz w:val="24"/>
          <w:szCs w:val="24"/>
          <w:color w:val="auto"/>
        </w:rPr>
      </w:pPr>
    </w:p>
    <w:p>
      <w:pPr>
        <w:sectPr>
          <w:pgSz w:w="11900" w:h="16838" w:orient="portrait"/>
          <w:cols w:equalWidth="0" w:num="2">
            <w:col w:w="8220" w:space="720"/>
            <w:col w:w="1420"/>
          </w:cols>
          <w:pgMar w:left="440" w:top="368" w:right="1099" w:bottom="1440" w:gutter="0" w:footer="0" w:header="0"/>
          <w:type w:val="continuous"/>
        </w:sectPr>
      </w:pPr>
    </w:p>
    <w:p>
      <w:pPr>
        <w:spacing w:after="0" w:line="8" w:lineRule="exact"/>
        <w:rPr>
          <w:sz w:val="24"/>
          <w:szCs w:val="24"/>
          <w:color w:val="auto"/>
        </w:rPr>
      </w:pPr>
    </w:p>
    <w:p>
      <w:pPr>
        <w:jc w:val="center"/>
        <w:ind w:right="-639"/>
        <w:spacing w:after="0"/>
        <w:rPr>
          <w:sz w:val="20"/>
          <w:szCs w:val="20"/>
          <w:color w:val="auto"/>
        </w:rPr>
      </w:pPr>
      <w:r>
        <w:rPr>
          <w:rFonts w:ascii="Arial" w:cs="Arial" w:eastAsia="Arial" w:hAnsi="Arial"/>
          <w:sz w:val="18"/>
          <w:szCs w:val="18"/>
          <w:b w:val="1"/>
          <w:bCs w:val="1"/>
          <w:color w:val="auto"/>
        </w:rPr>
        <w:t>Jeff McLaughlin, 214-479-3773</w:t>
      </w:r>
    </w:p>
    <w:p>
      <w:pPr>
        <w:spacing w:after="0" w:line="21"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(Name and telephone,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13p-1 under the Securities Exchange Act (17 CFR 240.13p-1) for the reporting period from January 1 to 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175260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217805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360"/>
          </w:cols>
          <w:pgMar w:left="440" w:top="368" w:right="10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 — Conflict Minerals Disclosure</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Conflict Minerals Disclosure and Report</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This Form SD should be read in conjunction with the definitions contained in the U.S. Securities and Exchange Commission (“SEC”) instructions to Form SD and related rules. “Conflict minerals” refers to four specific metals regardless of their country of origin or whether they are financing or benefiting armed conflict: tantalum, tin, tungsten and gold.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With respect to conflict minerals necessary to the functionality or production of products manufactured by Texas Instruments Incorporated (“TI”), or contracted by TI to be manufactured, and required to be reported on Form SD for 2019 (collectively, “CMs”), we exercised due diligence concerning the source and chain of custody of the CMs. For a description of our due diligence (which included a reasonable country of origin inquiry), please see our Conflict Minerals Report (Exhibit 1.01).</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Form SD is available on our web site at www.ti.com/conflictminerals. We are not incorporating by reference the contents of our web site into this Form SD.</w:t>
      </w:r>
    </w:p>
    <w:p>
      <w:pPr>
        <w:spacing w:after="0" w:line="3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Exhibit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registrant’s Conflict Minerals Report for 2019 is attached hereto as Exhibit 1.01.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3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2.01</w:t>
      </w:r>
      <w:r>
        <w:rPr>
          <w:sz w:val="20"/>
          <w:szCs w:val="20"/>
          <w:color w:val="auto"/>
        </w:rPr>
        <w:tab/>
      </w:r>
      <w:r>
        <w:rPr>
          <w:rFonts w:ascii="Arial" w:cs="Arial" w:eastAsia="Arial" w:hAnsi="Arial"/>
          <w:sz w:val="16"/>
          <w:szCs w:val="16"/>
          <w:b w:val="1"/>
          <w:bCs w:val="1"/>
          <w:color w:val="auto"/>
        </w:rPr>
        <w:t>Exhibits</w:t>
      </w:r>
    </w:p>
    <w:p>
      <w:pPr>
        <w:spacing w:after="0" w:line="256"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Exhibit 1.01 — </w:t>
      </w:r>
      <w:hyperlink w:anchor="page4">
        <w:r>
          <w:rPr>
            <w:rFonts w:ascii="Arial" w:cs="Arial" w:eastAsia="Arial" w:hAnsi="Arial"/>
            <w:sz w:val="18"/>
            <w:szCs w:val="18"/>
            <w:u w:val="single" w:color="auto"/>
            <w:color w:val="0000EE"/>
          </w:rPr>
          <w:t>Conflict Minerals Report as required by Items 1.01 and 1.02 of this Form.</w:t>
        </w:r>
      </w:hyperlink>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7620" w:type="dxa"/>
            <w:vAlign w:val="bottom"/>
            <w:gridSpan w:val="2"/>
          </w:tcPr>
          <w:p>
            <w:pPr>
              <w:ind w:left="222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June 1, 2020</w:t>
            </w:r>
          </w:p>
        </w:tc>
        <w:tc>
          <w:tcPr>
            <w:tcW w:w="7620" w:type="dxa"/>
            <w:vAlign w:val="bottom"/>
            <w:gridSpan w:val="2"/>
          </w:tcPr>
          <w:p>
            <w:pPr>
              <w:ind w:left="2220"/>
              <w:spacing w:after="0"/>
              <w:rPr>
                <w:sz w:val="20"/>
                <w:szCs w:val="20"/>
                <w:color w:val="auto"/>
              </w:rPr>
            </w:pPr>
            <w:r>
              <w:rPr>
                <w:rFonts w:ascii="Arial" w:cs="Arial" w:eastAsia="Arial" w:hAnsi="Arial"/>
                <w:sz w:val="18"/>
                <w:szCs w:val="18"/>
                <w:color w:val="auto"/>
              </w:rPr>
              <w:t>BY:  /s/ Rafael R. Lizardi</w:t>
            </w:r>
          </w:p>
        </w:tc>
      </w:tr>
      <w:tr>
        <w:trPr>
          <w:trHeight w:val="195"/>
        </w:trPr>
        <w:tc>
          <w:tcPr>
            <w:tcW w:w="34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80" w:type="dxa"/>
            <w:vAlign w:val="bottom"/>
            <w:tcBorders>
              <w:top w:val="single" w:sz="8" w:color="auto"/>
            </w:tcBorders>
          </w:tcPr>
          <w:p>
            <w:pPr>
              <w:ind w:left="120"/>
              <w:spacing w:after="0" w:line="195" w:lineRule="exact"/>
              <w:rPr>
                <w:sz w:val="20"/>
                <w:szCs w:val="20"/>
                <w:color w:val="auto"/>
              </w:rPr>
            </w:pPr>
            <w:r>
              <w:rPr>
                <w:rFonts w:ascii="Arial" w:cs="Arial" w:eastAsia="Arial" w:hAnsi="Arial"/>
                <w:sz w:val="18"/>
                <w:szCs w:val="18"/>
                <w:color w:val="auto"/>
              </w:rPr>
              <w:t>Rafael R. Lizardi</w:t>
            </w:r>
          </w:p>
        </w:tc>
      </w:tr>
      <w:tr>
        <w:trPr>
          <w:trHeight w:val="230"/>
        </w:trPr>
        <w:tc>
          <w:tcPr>
            <w:tcW w:w="34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r>
      <w:tr>
        <w:trPr>
          <w:trHeight w:val="365"/>
        </w:trPr>
        <w:tc>
          <w:tcPr>
            <w:tcW w:w="3400" w:type="dxa"/>
            <w:vAlign w:val="bottom"/>
          </w:tcPr>
          <w:p>
            <w:pPr>
              <w:spacing w:after="0"/>
              <w:rPr>
                <w:sz w:val="24"/>
                <w:szCs w:val="24"/>
                <w:color w:val="auto"/>
              </w:rPr>
            </w:pPr>
          </w:p>
        </w:tc>
        <w:tc>
          <w:tcPr>
            <w:tcW w:w="254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Conflict Minerals Report of Texas Instruments Incorporated</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 the Year Ended December 31, 2019</w:t>
      </w:r>
    </w:p>
    <w:p>
      <w:pPr>
        <w:spacing w:after="0" w:line="211"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This Conflict Minerals Report should be read in conjunction with the definitions contained in the U.S. Securities and Exchange Commission (“SEC”) instructions to Form SD and related rules. This Conflict Minerals Report and our conflict minerals policy are available on our web site at www.ti.com/conflictminerals. We are not incorporating by reference the contents of our web site into this Conflict Minerals Report. “Conflict minerals” refers to four specific metals regardless of their country of origin or whether they are financing or benefiting armed conflict: tantalum, tin, tungsten and gold.</w:t>
      </w:r>
    </w:p>
    <w:p>
      <w:pPr>
        <w:spacing w:after="0" w:line="336"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 of Due Diligence</w:t>
      </w:r>
    </w:p>
    <w:p>
      <w:pPr>
        <w:spacing w:after="0" w:line="117" w:lineRule="exact"/>
        <w:rPr>
          <w:sz w:val="20"/>
          <w:szCs w:val="20"/>
          <w:color w:val="auto"/>
        </w:rPr>
      </w:pPr>
    </w:p>
    <w:p>
      <w:pPr>
        <w:ind w:left="4" w:right="300"/>
        <w:spacing w:after="0" w:line="275" w:lineRule="auto"/>
        <w:rPr>
          <w:sz w:val="20"/>
          <w:szCs w:val="20"/>
          <w:color w:val="auto"/>
        </w:rPr>
      </w:pPr>
      <w:r>
        <w:rPr>
          <w:rFonts w:ascii="Arial" w:cs="Arial" w:eastAsia="Arial" w:hAnsi="Arial"/>
          <w:sz w:val="17"/>
          <w:szCs w:val="17"/>
          <w:color w:val="auto"/>
        </w:rPr>
        <w:t>We have management systems and due diligence procedures (our “CM Process”) as a basis for supply-chain management and disclosure compliance relating to the conflict minerals necessary to the functionality or production of products manufactured by TI, or contracted by TI to be manufactured, and required to be reported for 2019 (collectively, “CMs”). We designed the CM Process with the intent to conform in all material respects with the Organization for Economic Co-Operation and Development (“OECD”) Due Diligence Guidance for Responsible Supply Chains of Minerals from Conflict-Affected and High-Risk Areas (Third Edition). The design of the CM Process included the following:</w:t>
      </w:r>
    </w:p>
    <w:p>
      <w:pPr>
        <w:spacing w:after="0" w:line="82" w:lineRule="exact"/>
        <w:rPr>
          <w:sz w:val="20"/>
          <w:szCs w:val="20"/>
          <w:color w:val="auto"/>
        </w:rPr>
      </w:pPr>
    </w:p>
    <w:p>
      <w:pPr>
        <w:ind w:left="964" w:hanging="424"/>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a conflict minerals policy;</w:t>
      </w:r>
    </w:p>
    <w:p>
      <w:pPr>
        <w:spacing w:after="0" w:line="130" w:lineRule="exact"/>
        <w:rPr>
          <w:rFonts w:ascii="Arial" w:cs="Arial" w:eastAsia="Arial" w:hAnsi="Arial"/>
          <w:sz w:val="18"/>
          <w:szCs w:val="18"/>
          <w:color w:val="auto"/>
        </w:rPr>
      </w:pPr>
    </w:p>
    <w:p>
      <w:pPr>
        <w:ind w:left="964" w:right="340" w:hanging="424"/>
        <w:spacing w:after="0" w:line="259"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an organizational structure and processes intended to ensure that our direct suppliers of materials that contain CMs and third-party manufacturers of our products that contain CMs (collectively, “Suppliers”) are made aware of TI’s policy on CMs and that information received by TI that is relevant to supply-chain due diligence reaches TI employees who have knowledge of the SEC disclosure requirements;</w:t>
      </w:r>
    </w:p>
    <w:p>
      <w:pPr>
        <w:spacing w:after="0" w:line="92" w:lineRule="exact"/>
        <w:rPr>
          <w:rFonts w:ascii="Arial" w:cs="Arial" w:eastAsia="Arial" w:hAnsi="Arial"/>
          <w:sz w:val="18"/>
          <w:szCs w:val="18"/>
          <w:color w:val="auto"/>
        </w:rPr>
      </w:pPr>
    </w:p>
    <w:p>
      <w:pPr>
        <w:ind w:left="964" w:right="40" w:hanging="424"/>
        <w:spacing w:after="0" w:line="259" w:lineRule="auto"/>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a process, which uses a reporting tool developed by the Responsible Minerals Initiative (“RMI”) and data gathered through the Responsible Minerals Assurance Process (“RMAP”) (as further described below), to achieve control and transparency over our CM supply chain and identify the risk that our products may contain CMs directly or indirectly financing or benefiting armed groups in the Democratic Republic of the Congo or any adjoining country (each a “Covered Country”);</w:t>
      </w:r>
    </w:p>
    <w:p>
      <w:pPr>
        <w:spacing w:after="0" w:line="92" w:lineRule="exact"/>
        <w:rPr>
          <w:rFonts w:ascii="Arial" w:cs="Arial" w:eastAsia="Arial" w:hAnsi="Arial"/>
          <w:sz w:val="18"/>
          <w:szCs w:val="18"/>
          <w:color w:val="auto"/>
        </w:rPr>
      </w:pPr>
    </w:p>
    <w:p>
      <w:pPr>
        <w:ind w:left="964" w:hanging="424"/>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assessment and management of risks identified through the process described above;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a mechanism for Suppliers and others to communicate to TI their concerns with respect to our CM Process;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reliance on the RMAP to validate supply chain due diligence;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3"/>
        </w:numPr>
        <w:rPr>
          <w:rFonts w:ascii="Arial" w:cs="Arial" w:eastAsia="Arial" w:hAnsi="Arial"/>
          <w:sz w:val="18"/>
          <w:szCs w:val="18"/>
          <w:color w:val="auto"/>
        </w:rPr>
      </w:pPr>
      <w:r>
        <w:rPr>
          <w:rFonts w:ascii="Arial" w:cs="Arial" w:eastAsia="Arial" w:hAnsi="Arial"/>
          <w:sz w:val="18"/>
          <w:szCs w:val="18"/>
          <w:color w:val="auto"/>
        </w:rPr>
        <w:t>public reporting of the results of our due diligence.</w:t>
      </w:r>
    </w:p>
    <w:p>
      <w:pPr>
        <w:spacing w:after="0" w:line="373"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8"/>
          <w:szCs w:val="18"/>
          <w:color w:val="auto"/>
        </w:rPr>
        <w:t>II.   Reliance on Third-Party Data</w:t>
      </w:r>
    </w:p>
    <w:p>
      <w:pPr>
        <w:spacing w:after="0" w:line="117" w:lineRule="exact"/>
        <w:rPr>
          <w:sz w:val="20"/>
          <w:szCs w:val="20"/>
          <w:color w:val="auto"/>
        </w:rPr>
      </w:pPr>
    </w:p>
    <w:p>
      <w:pPr>
        <w:ind w:left="4" w:right="80"/>
        <w:spacing w:after="0" w:line="259" w:lineRule="auto"/>
        <w:rPr>
          <w:sz w:val="20"/>
          <w:szCs w:val="20"/>
          <w:color w:val="auto"/>
        </w:rPr>
      </w:pPr>
      <w:r>
        <w:rPr>
          <w:rFonts w:ascii="Arial" w:cs="Arial" w:eastAsia="Arial" w:hAnsi="Arial"/>
          <w:sz w:val="18"/>
          <w:szCs w:val="18"/>
          <w:color w:val="auto"/>
        </w:rPr>
        <w:t>Our ability to determine the origin and chain of custody of CMs, and whether they directly or indirectly finance or benefit armed groups in any Covered Country (the “Conflict Status”), is limited. Our supply chain for CMs is complex. In many cases, we are multiple steps removed from the smelter or the mine, and we depend on information from Suppliers that themselves have incomplete information about the origin of the CMs incorporated in the products they supply to us.</w:t>
      </w:r>
    </w:p>
    <w:p>
      <w:pPr>
        <w:spacing w:after="0" w:line="187" w:lineRule="exact"/>
        <w:rPr>
          <w:sz w:val="20"/>
          <w:szCs w:val="20"/>
          <w:color w:val="auto"/>
        </w:rPr>
      </w:pPr>
    </w:p>
    <w:p>
      <w:pPr>
        <w:ind w:left="4" w:right="60"/>
        <w:spacing w:after="0" w:line="257" w:lineRule="auto"/>
        <w:rPr>
          <w:sz w:val="20"/>
          <w:szCs w:val="20"/>
          <w:color w:val="auto"/>
        </w:rPr>
      </w:pPr>
      <w:r>
        <w:rPr>
          <w:rFonts w:ascii="Arial" w:cs="Arial" w:eastAsia="Arial" w:hAnsi="Arial"/>
          <w:sz w:val="18"/>
          <w:szCs w:val="18"/>
          <w:color w:val="auto"/>
        </w:rPr>
        <w:t>To gain insight into the country of origin, chain of custody and Conflict Status of the CMs in our supply chain, we relied primarily on the findings of the RMAP. The RMAP is a voluntary program in which an independent third party evaluates smelters’ and refiners’ management systems and procurement practices and determines whether the smelter or refiner (“Smelter”) has demonstrated that all the materials it processed originated from conflict-free sources. The RMAP is overseen by the RMI, which was established by members of the Responsible Business Alliance (“RBA”) and the Global e-Sustainability Initiative. TI is a member of the RBA and RMI.</w:t>
      </w:r>
    </w:p>
    <w:p>
      <w:pPr>
        <w:spacing w:after="0" w:line="336"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Due Diligence Measures Taken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measures we took to exercise due diligence on the source and chain of custody of our CMs are as follows:</w:t>
      </w:r>
    </w:p>
    <w:p>
      <w:pPr>
        <w:spacing w:after="0" w:line="131" w:lineRule="exact"/>
        <w:rPr>
          <w:sz w:val="20"/>
          <w:szCs w:val="20"/>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communicating our CM policy to Suppliers;</w:t>
      </w:r>
    </w:p>
    <w:p>
      <w:pPr>
        <w:spacing w:after="0" w:line="130" w:lineRule="exact"/>
        <w:rPr>
          <w:rFonts w:ascii="Arial" w:cs="Arial" w:eastAsia="Arial" w:hAnsi="Arial"/>
          <w:sz w:val="18"/>
          <w:szCs w:val="18"/>
          <w:color w:val="auto"/>
        </w:rPr>
      </w:pPr>
    </w:p>
    <w:p>
      <w:pPr>
        <w:ind w:left="964" w:right="240" w:hanging="424"/>
        <w:spacing w:after="0" w:line="263"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directing Suppliers to provide information concerning Smelters in their supply chains by completing and sending to us the Conflict Minerals Reporting Template (a tool developed by the RMI that provides a common means for suppliers to provide their customers with information on the source of conflict minerals);</w:t>
      </w:r>
    </w:p>
    <w:p>
      <w:pPr>
        <w:spacing w:after="0" w:line="89" w:lineRule="exact"/>
        <w:rPr>
          <w:rFonts w:ascii="Arial" w:cs="Arial" w:eastAsia="Arial" w:hAnsi="Arial"/>
          <w:sz w:val="18"/>
          <w:szCs w:val="18"/>
          <w:color w:val="auto"/>
        </w:rPr>
      </w:pPr>
    </w:p>
    <w:p>
      <w:pPr>
        <w:ind w:left="964" w:right="300" w:hanging="424"/>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analyzing Suppliers’ Conflict Minerals Reporting Template responses for completeness and internal consistency, and following up with Suppliers in an effort to obtain more information and ensure accuracy of information;</w:t>
      </w:r>
    </w:p>
    <w:p>
      <w:pPr>
        <w:spacing w:after="0" w:line="75" w:lineRule="exact"/>
        <w:rPr>
          <w:rFonts w:ascii="Arial" w:cs="Arial" w:eastAsia="Arial" w:hAnsi="Arial"/>
          <w:sz w:val="18"/>
          <w:szCs w:val="18"/>
          <w:color w:val="auto"/>
        </w:rPr>
      </w:pPr>
    </w:p>
    <w:p>
      <w:pPr>
        <w:ind w:left="964" w:right="520" w:hanging="424"/>
        <w:spacing w:after="0" w:line="277" w:lineRule="auto"/>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comparing the information received from Suppliers with the data made available by the RMAP concerning the country of origin and Conflict Status of CMs processed or refined by Smelters; and</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reviewing other source materials for Smelters that are not compliant with the RMI (these Smelters may supply CMs to us for</w:t>
      </w:r>
    </w:p>
    <w:p>
      <w:pPr>
        <w:sectPr>
          <w:pgSz w:w="11900" w:h="16838" w:orient="portrait"/>
          <w:cols w:equalWidth="0" w:num="1">
            <w:col w:w="11024"/>
          </w:cols>
          <w:pgMar w:left="436" w:top="125" w:right="439" w:bottom="1440" w:gutter="0" w:footer="0" w:header="0"/>
        </w:sectPr>
      </w:pPr>
    </w:p>
    <w:p>
      <w:pPr>
        <w:spacing w:after="0" w:line="158" w:lineRule="exact"/>
        <w:rPr>
          <w:sz w:val="20"/>
          <w:szCs w:val="20"/>
          <w:color w:val="auto"/>
        </w:rPr>
      </w:pPr>
    </w:p>
    <w:p>
      <w:pPr>
        <w:jc w:val="center"/>
        <w:ind w:right="16"/>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024"/>
          </w:cols>
          <w:pgMar w:left="436" w:top="125" w:right="439" w:bottom="1440" w:gutter="0" w:footer="0" w:header="0"/>
          <w:type w:val="continuous"/>
        </w:sectPr>
      </w:pPr>
    </w:p>
    <w:bookmarkStart w:id="4" w:name="page5"/>
    <w:bookmarkEnd w:id="4"/>
    <w:p>
      <w:pPr>
        <w:ind w:left="984"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products other than integrated circuits) if we were unable to determine, on the basis of the information provided by Suppliers and RMAP data, (i) the facility and country of origin of the CMs supplied to us, (ii) the Conflict Status of the CMs and (iii) whether the CMs were from recycled or scrap sources.</w:t>
      </w:r>
    </w:p>
    <w:p>
      <w:pPr>
        <w:spacing w:after="0" w:line="33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IV.</w:t>
        <w:tab/>
        <w:t>Our Findings</w:t>
      </w:r>
    </w:p>
    <w:p>
      <w:pPr>
        <w:spacing w:after="0" w:line="117" w:lineRule="exact"/>
        <w:rPr>
          <w:sz w:val="20"/>
          <w:szCs w:val="20"/>
          <w:color w:val="auto"/>
        </w:rPr>
      </w:pPr>
    </w:p>
    <w:p>
      <w:pPr>
        <w:ind w:left="4" w:right="20"/>
        <w:spacing w:after="0" w:line="263" w:lineRule="auto"/>
        <w:rPr>
          <w:sz w:val="20"/>
          <w:szCs w:val="20"/>
          <w:color w:val="auto"/>
        </w:rPr>
      </w:pPr>
      <w:r>
        <w:rPr>
          <w:rFonts w:ascii="Arial" w:cs="Arial" w:eastAsia="Arial" w:hAnsi="Arial"/>
          <w:sz w:val="18"/>
          <w:szCs w:val="18"/>
          <w:color w:val="auto"/>
        </w:rPr>
        <w:t xml:space="preserve">We have determined that all of our integrated circuits (“ICs”) </w:t>
      </w:r>
      <w:r>
        <w:rPr>
          <w:rFonts w:ascii="Arial" w:cs="Arial" w:eastAsia="Arial" w:hAnsi="Arial"/>
          <w:sz w:val="15"/>
          <w:szCs w:val="15"/>
          <w:color w:val="auto"/>
        </w:rPr>
        <w:t>1</w:t>
      </w:r>
      <w:r>
        <w:rPr>
          <w:rFonts w:ascii="Arial" w:cs="Arial" w:eastAsia="Arial" w:hAnsi="Arial"/>
          <w:sz w:val="18"/>
          <w:szCs w:val="18"/>
          <w:color w:val="auto"/>
        </w:rPr>
        <w:t xml:space="preserve"> were conflict-free. Our determination is based on the finding that all the Smelters identified to us by our Suppliers as being potentially in the supply chain for these products in 2019 supplied CMs exclusively from conflict-free sources. ICs accounted for approximately 92 percent of TI revenue in 2019.</w:t>
      </w:r>
    </w:p>
    <w:p>
      <w:pPr>
        <w:spacing w:after="0" w:line="184" w:lineRule="exact"/>
        <w:rPr>
          <w:sz w:val="20"/>
          <w:szCs w:val="20"/>
          <w:color w:val="auto"/>
        </w:rPr>
      </w:pPr>
    </w:p>
    <w:p>
      <w:pPr>
        <w:ind w:left="4" w:right="180"/>
        <w:spacing w:after="0" w:line="259" w:lineRule="auto"/>
        <w:rPr>
          <w:sz w:val="20"/>
          <w:szCs w:val="20"/>
          <w:color w:val="auto"/>
        </w:rPr>
      </w:pPr>
      <w:r>
        <w:rPr>
          <w:rFonts w:ascii="Arial" w:cs="Arial" w:eastAsia="Arial" w:hAnsi="Arial"/>
          <w:sz w:val="18"/>
          <w:szCs w:val="18"/>
          <w:color w:val="auto"/>
        </w:rPr>
        <w:t>In 2019, we continued to make progress in our due diligence efforts with regard to Smelters that are not compliant with the RMI (these Smelters may supply CMs to us for products other than ICs). While we primarily relied on information from our first-tier suppliers, in some cases we contacted second-tier suppliers for more complete information. That information, combined with the information available through the RMAP, provided us with greater insight into the Conflict Status of CMs identified as potentially in our supply chain.</w:t>
      </w:r>
    </w:p>
    <w:p>
      <w:pPr>
        <w:spacing w:after="0" w:line="187"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Of the Smelters identified for 2019, we have determined that the CMs potentially supplied to us by 98 percent of the Smelters were conflict-free, as compared with 88 percent for 2018. Another 1 percent of the Smelters identified for 2019 have committed to participate in a third-party audit of their Conflict Status. In no instance did we find CMs in our supply chain to be from a source that, to our knowledge, was directly or indirectly financing or benefiting armed conflict in a Covered Country.</w:t>
      </w:r>
    </w:p>
    <w:p>
      <w:pPr>
        <w:spacing w:after="0" w:line="187" w:lineRule="exact"/>
        <w:rPr>
          <w:sz w:val="20"/>
          <w:szCs w:val="20"/>
          <w:color w:val="auto"/>
        </w:rPr>
      </w:pPr>
    </w:p>
    <w:p>
      <w:pPr>
        <w:jc w:val="both"/>
        <w:ind w:left="4"/>
        <w:spacing w:after="0" w:line="255" w:lineRule="auto"/>
        <w:rPr>
          <w:sz w:val="20"/>
          <w:szCs w:val="20"/>
          <w:color w:val="auto"/>
        </w:rPr>
      </w:pPr>
      <w:r>
        <w:rPr>
          <w:rFonts w:ascii="Arial" w:cs="Arial" w:eastAsia="Arial" w:hAnsi="Arial"/>
          <w:sz w:val="18"/>
          <w:szCs w:val="18"/>
          <w:color w:val="auto"/>
        </w:rPr>
        <w:t>We do not have complete information about the CMs in our entire supply chain. For 2019, approximately 75 percent of Suppliers identified Smelters in their supply chains on a company-wide, division or product-line basis, without specifying which Smelters were relevant to products they supplied to TI. (Accordingly, we refer in this Conflict Minerals Report to Smelters as being “potentially” in our supply chain and as CMs “potentially” supplied to TI.) Industry efforts to collect and verify CM origin information remain incomplete. For Smelters that have committed to participate in a third-party audit of their Conflict Status, that status is currently undeterminable because the audits are not complete. The results of our due diligence, which are summarized in the charts below, reflect these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80010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424" w:hanging="424"/>
        <w:spacing w:after="0" w:line="263" w:lineRule="auto"/>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“Integrated circuits” refers to finished semiconductor products that contain chips manufactured by or for TI and packaging subcomponents such as mold compounds, bond wires and lead frames. It excludes DLP</w:t>
      </w:r>
      <w:r>
        <w:rPr>
          <w:rFonts w:ascii="Arial" w:cs="Arial" w:eastAsia="Arial" w:hAnsi="Arial"/>
          <w:sz w:val="15"/>
          <w:szCs w:val="15"/>
          <w:color w:val="auto"/>
        </w:rPr>
        <w:t>®</w:t>
      </w:r>
      <w:r>
        <w:rPr>
          <w:rFonts w:ascii="Arial" w:cs="Arial" w:eastAsia="Arial" w:hAnsi="Arial"/>
          <w:sz w:val="18"/>
          <w:szCs w:val="18"/>
          <w:color w:val="auto"/>
        </w:rPr>
        <w:t xml:space="preserve"> products, semiconductor modules and all other products manufactured by or for TI.</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5" w:name="page6"/>
    <w:bookmarkEnd w:id="5"/>
    <w:p>
      <w:pPr>
        <w:jc w:val="center"/>
        <w:ind w:right="-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Smelter Status – Overview</w:t>
      </w:r>
    </w:p>
    <w:p>
      <w:pPr>
        <w:spacing w:after="0" w:line="229" w:lineRule="exact"/>
        <w:rPr>
          <w:sz w:val="20"/>
          <w:szCs w:val="20"/>
          <w:color w:val="auto"/>
        </w:rPr>
      </w:pPr>
    </w:p>
    <w:p>
      <w:pPr>
        <w:jc w:val="center"/>
        <w:ind w:right="-220"/>
        <w:spacing w:after="0"/>
        <w:rPr>
          <w:sz w:val="20"/>
          <w:szCs w:val="20"/>
          <w:color w:val="auto"/>
        </w:rPr>
      </w:pPr>
      <w:r>
        <w:rPr>
          <w:rFonts w:ascii="Arial" w:cs="Arial" w:eastAsia="Arial" w:hAnsi="Arial"/>
          <w:sz w:val="18"/>
          <w:szCs w:val="18"/>
          <w:u w:val="single" w:color="auto"/>
          <w:color w:val="auto"/>
        </w:rPr>
        <w:t>IC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168910</wp:posOffset>
            </wp:positionV>
            <wp:extent cx="6995160" cy="24003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Overall Supply Chain</w:t>
      </w:r>
    </w:p>
    <w:p>
      <w:pPr>
        <w:spacing w:after="0" w:line="23" w:lineRule="exact"/>
        <w:rPr>
          <w:sz w:val="20"/>
          <w:szCs w:val="20"/>
          <w:color w:val="auto"/>
        </w:rPr>
      </w:pPr>
    </w:p>
    <w:p>
      <w:pPr>
        <w:jc w:val="center"/>
        <w:ind w:right="-220"/>
        <w:spacing w:after="0"/>
        <w:rPr>
          <w:sz w:val="20"/>
          <w:szCs w:val="20"/>
          <w:color w:val="auto"/>
        </w:rPr>
      </w:pPr>
      <w:r>
        <w:rPr>
          <w:rFonts w:ascii="Arial" w:cs="Arial" w:eastAsia="Arial" w:hAnsi="Arial"/>
          <w:sz w:val="18"/>
          <w:szCs w:val="18"/>
          <w:u w:val="single" w:color="auto"/>
          <w:color w:val="auto"/>
        </w:rPr>
        <w:t>(including 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160020</wp:posOffset>
            </wp:positionV>
            <wp:extent cx="6780530" cy="257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8053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119"/>
        <w:spacing w:after="0" w:line="277" w:lineRule="auto"/>
        <w:rPr>
          <w:sz w:val="20"/>
          <w:szCs w:val="20"/>
          <w:color w:val="auto"/>
        </w:rPr>
      </w:pPr>
      <w:r>
        <w:rPr>
          <w:rFonts w:ascii="Arial" w:cs="Arial" w:eastAsia="Arial" w:hAnsi="Arial"/>
          <w:sz w:val="18"/>
          <w:szCs w:val="18"/>
          <w:color w:val="auto"/>
        </w:rPr>
        <w:t xml:space="preserve">Smelters for which we determined, based on an independent third-party audit, the conflict minerals potentially supplied to TI were </w:t>
      </w:r>
      <w:r>
        <w:rPr>
          <w:rFonts w:ascii="Arial" w:cs="Arial" w:eastAsia="Arial" w:hAnsi="Arial"/>
          <w:sz w:val="18"/>
          <w:szCs w:val="18"/>
          <w:u w:val="single" w:color="auto"/>
          <w:color w:val="auto"/>
        </w:rPr>
        <w:t>conflict-free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-293370</wp:posOffset>
            </wp:positionV>
            <wp:extent cx="205740" cy="1625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162560"/>
                    </a:xfrm>
                    <a:prstGeom prst="rect">
                      <a:avLst/>
                    </a:prstGeom>
                    <a:noFill/>
                  </pic:spPr>
                </pic:pic>
              </a:graphicData>
            </a:graphic>
          </wp:anchor>
        </w:drawing>
      </w:r>
    </w:p>
    <w:p>
      <w:pPr>
        <w:spacing w:after="0" w:line="164" w:lineRule="exact"/>
        <w:rPr>
          <w:sz w:val="20"/>
          <w:szCs w:val="20"/>
          <w:color w:val="auto"/>
        </w:rPr>
      </w:pPr>
    </w:p>
    <w:p>
      <w:pPr>
        <w:ind w:right="1579"/>
        <w:spacing w:after="0" w:line="342" w:lineRule="auto"/>
        <w:rPr>
          <w:sz w:val="20"/>
          <w:szCs w:val="20"/>
          <w:color w:val="auto"/>
        </w:rPr>
      </w:pPr>
      <w:r>
        <w:rPr>
          <w:rFonts w:ascii="Arial" w:cs="Arial" w:eastAsia="Arial" w:hAnsi="Arial"/>
          <w:sz w:val="16"/>
          <w:szCs w:val="16"/>
          <w:color w:val="auto"/>
        </w:rPr>
        <w:t xml:space="preserve">Smelters for which we determined the origin of the minerals potentially supplied to us was </w:t>
      </w:r>
      <w:r>
        <w:rPr>
          <w:rFonts w:ascii="Arial" w:cs="Arial" w:eastAsia="Arial" w:hAnsi="Arial"/>
          <w:sz w:val="16"/>
          <w:szCs w:val="16"/>
          <w:u w:val="single" w:color="auto"/>
          <w:color w:val="auto"/>
        </w:rPr>
        <w:t>undeterminable</w:t>
      </w:r>
      <w:r>
        <w:rPr>
          <w:rFonts w:ascii="Arial" w:cs="Arial" w:eastAsia="Arial" w:hAnsi="Arial"/>
          <w:sz w:val="16"/>
          <w:szCs w:val="16"/>
          <w:color w:val="auto"/>
        </w:rPr>
        <w:t xml:space="preserve"> - these Smelters </w:t>
      </w:r>
      <w:r>
        <w:rPr>
          <w:rFonts w:ascii="Arial" w:cs="Arial" w:eastAsia="Arial" w:hAnsi="Arial"/>
          <w:sz w:val="16"/>
          <w:szCs w:val="16"/>
          <w:u w:val="single" w:color="auto"/>
          <w:color w:val="auto"/>
        </w:rPr>
        <w:t>have commited to participate in a third-party audit of their Conflict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-323215</wp:posOffset>
            </wp:positionV>
            <wp:extent cx="205740" cy="179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5740" cy="179705"/>
                    </a:xfrm>
                    <a:prstGeom prst="rect">
                      <a:avLst/>
                    </a:prstGeom>
                    <a:noFill/>
                  </pic:spPr>
                </pic:pic>
              </a:graphicData>
            </a:graphic>
          </wp:anchor>
        </w:drawing>
      </w:r>
    </w:p>
    <w:p>
      <w:pPr>
        <w:spacing w:after="0" w:line="117" w:lineRule="exact"/>
        <w:rPr>
          <w:sz w:val="20"/>
          <w:szCs w:val="20"/>
          <w:color w:val="auto"/>
        </w:rPr>
      </w:pPr>
    </w:p>
    <w:p>
      <w:pPr>
        <w:ind w:right="1439"/>
        <w:spacing w:after="0" w:line="342" w:lineRule="auto"/>
        <w:rPr>
          <w:sz w:val="20"/>
          <w:szCs w:val="20"/>
          <w:color w:val="auto"/>
        </w:rPr>
      </w:pPr>
      <w:r>
        <w:rPr>
          <w:rFonts w:ascii="Arial" w:cs="Arial" w:eastAsia="Arial" w:hAnsi="Arial"/>
          <w:sz w:val="16"/>
          <w:szCs w:val="16"/>
          <w:color w:val="auto"/>
        </w:rPr>
        <w:t xml:space="preserve">Smelters for which we determined the origin of the minerals potentially supplied to us was </w:t>
      </w:r>
      <w:r>
        <w:rPr>
          <w:rFonts w:ascii="Arial" w:cs="Arial" w:eastAsia="Arial" w:hAnsi="Arial"/>
          <w:sz w:val="16"/>
          <w:szCs w:val="16"/>
          <w:u w:val="single" w:color="auto"/>
          <w:color w:val="auto"/>
        </w:rPr>
        <w:t>undeterminable</w:t>
      </w:r>
      <w:r>
        <w:rPr>
          <w:rFonts w:ascii="Arial" w:cs="Arial" w:eastAsia="Arial" w:hAnsi="Arial"/>
          <w:sz w:val="16"/>
          <w:szCs w:val="16"/>
          <w:color w:val="auto"/>
        </w:rPr>
        <w:t xml:space="preserve"> - these Smelters </w:t>
      </w:r>
      <w:r>
        <w:rPr>
          <w:rFonts w:ascii="Arial" w:cs="Arial" w:eastAsia="Arial" w:hAnsi="Arial"/>
          <w:sz w:val="16"/>
          <w:szCs w:val="16"/>
          <w:u w:val="single" w:color="auto"/>
          <w:color w:val="auto"/>
        </w:rPr>
        <w:t>have not commited to participate in a third-party audit of their Conflict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-323215</wp:posOffset>
            </wp:positionV>
            <wp:extent cx="20574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05740" cy="162560"/>
                    </a:xfrm>
                    <a:prstGeom prst="rect">
                      <a:avLst/>
                    </a:prstGeom>
                    <a:noFill/>
                  </pic:spPr>
                </pic:pic>
              </a:graphicData>
            </a:graphic>
          </wp:anchor>
        </w:drawing>
      </w:r>
    </w:p>
    <w:p>
      <w:pPr>
        <w:spacing w:after="0" w:line="5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239"/>
          </w:cols>
          <w:pgMar w:left="1220" w:top="270" w:right="1440" w:bottom="1440" w:gutter="0" w:footer="0" w:header="0"/>
        </w:sectPr>
      </w:pPr>
    </w:p>
    <w:bookmarkStart w:id="6" w:name="page7"/>
    <w:bookmarkEnd w:id="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Smelter Status – By CM</w:t>
      </w:r>
    </w:p>
    <w:p>
      <w:pPr>
        <w:spacing w:after="0" w:line="252" w:lineRule="exact"/>
        <w:rPr>
          <w:sz w:val="20"/>
          <w:szCs w:val="20"/>
          <w:color w:val="auto"/>
        </w:rPr>
      </w:pPr>
    </w:p>
    <w:p>
      <w:pPr>
        <w:ind w:left="2444"/>
        <w:spacing w:after="0"/>
        <w:tabs>
          <w:tab w:leader="none" w:pos="8224" w:val="left"/>
        </w:tabs>
        <w:rPr>
          <w:sz w:val="20"/>
          <w:szCs w:val="20"/>
          <w:color w:val="auto"/>
        </w:rPr>
      </w:pPr>
      <w:r>
        <w:rPr>
          <w:rFonts w:ascii="Arial" w:cs="Arial" w:eastAsia="Arial" w:hAnsi="Arial"/>
          <w:sz w:val="18"/>
          <w:szCs w:val="18"/>
          <w:b w:val="1"/>
          <w:bCs w:val="1"/>
          <w:color w:val="auto"/>
        </w:rPr>
        <w:t>Tantalum</w:t>
      </w:r>
      <w:r>
        <w:rPr>
          <w:sz w:val="20"/>
          <w:szCs w:val="20"/>
          <w:color w:val="auto"/>
        </w:rPr>
        <w:tab/>
      </w:r>
      <w:r>
        <w:rPr>
          <w:rFonts w:ascii="Arial" w:cs="Arial" w:eastAsia="Arial" w:hAnsi="Arial"/>
          <w:sz w:val="18"/>
          <w:szCs w:val="18"/>
          <w:b w:val="1"/>
          <w:bCs w:val="1"/>
          <w:color w:val="auto"/>
        </w:rPr>
        <w:t>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17145</wp:posOffset>
            </wp:positionV>
            <wp:extent cx="6497955" cy="20313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497955"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464"/>
        <w:spacing w:after="0"/>
        <w:tabs>
          <w:tab w:leader="none" w:pos="8164" w:val="left"/>
        </w:tabs>
        <w:rPr>
          <w:sz w:val="20"/>
          <w:szCs w:val="20"/>
          <w:color w:val="auto"/>
        </w:rPr>
      </w:pPr>
      <w:r>
        <w:rPr>
          <w:rFonts w:ascii="Arial" w:cs="Arial" w:eastAsia="Arial" w:hAnsi="Arial"/>
          <w:sz w:val="18"/>
          <w:szCs w:val="18"/>
          <w:b w:val="1"/>
          <w:bCs w:val="1"/>
          <w:color w:val="auto"/>
        </w:rPr>
        <w:t>Tungsten</w:t>
      </w:r>
      <w:r>
        <w:rPr>
          <w:sz w:val="20"/>
          <w:szCs w:val="20"/>
          <w:color w:val="auto"/>
        </w:rPr>
        <w:tab/>
      </w:r>
      <w:r>
        <w:rPr>
          <w:rFonts w:ascii="Arial" w:cs="Arial" w:eastAsia="Arial" w:hAnsi="Arial"/>
          <w:sz w:val="18"/>
          <w:szCs w:val="18"/>
          <w:b w:val="1"/>
          <w:bCs w:val="1"/>
          <w:color w:val="auto"/>
        </w:rPr>
        <w:t>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17145</wp:posOffset>
            </wp:positionV>
            <wp:extent cx="6497955" cy="20059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97955" cy="2005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23"/>
        <w:spacing w:after="0"/>
        <w:rPr>
          <w:sz w:val="20"/>
          <w:szCs w:val="20"/>
          <w:color w:val="auto"/>
        </w:rPr>
      </w:pPr>
      <w:r>
        <w:rPr>
          <w:rFonts w:ascii="Arial" w:cs="Arial" w:eastAsia="Arial" w:hAnsi="Arial"/>
          <w:sz w:val="14"/>
          <w:szCs w:val="14"/>
          <w:color w:val="auto"/>
        </w:rPr>
        <w:t>For an explanation of the color codes, see the notes in the Smelter Status – Overview charts directly above.</w:t>
      </w:r>
    </w:p>
    <w:p>
      <w:pPr>
        <w:spacing w:after="0" w:line="20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The Smelters identified by our Suppliers as potentially in our supply chain are listed in Appendix A hereto. Our efforts to determine the mine or location of origin of the CMs consisted of the due diligence measures described above.</w:t>
      </w:r>
    </w:p>
    <w:p>
      <w:pPr>
        <w:spacing w:after="0" w:line="319"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Scope</w:t>
      </w:r>
    </w:p>
    <w:p>
      <w:pPr>
        <w:spacing w:after="0" w:line="117" w:lineRule="exact"/>
        <w:rPr>
          <w:sz w:val="20"/>
          <w:szCs w:val="20"/>
          <w:color w:val="auto"/>
        </w:rPr>
      </w:pPr>
    </w:p>
    <w:p>
      <w:pPr>
        <w:ind w:left="4"/>
        <w:spacing w:after="0" w:line="293" w:lineRule="auto"/>
        <w:rPr>
          <w:sz w:val="20"/>
          <w:szCs w:val="20"/>
          <w:color w:val="auto"/>
        </w:rPr>
      </w:pPr>
      <w:r>
        <w:rPr>
          <w:rFonts w:ascii="Arial" w:cs="Arial" w:eastAsia="Arial" w:hAnsi="Arial"/>
          <w:sz w:val="16"/>
          <w:szCs w:val="16"/>
          <w:color w:val="auto"/>
        </w:rPr>
        <w:t>In 2019, our products were divided into two reportable segments as described in our annual report on Form 10-K for the year ended December 31, 2019: Analog (consisting of Power, Signal Chain, and High Volume product lines) and Embedded Processing (consisting of Connected Microcontrollers and Processors product lines). We report the results of our remaining business activities in Other. Other includes operating segments that do not meet the quantitative thresholds for individually reportable segments and cannot be aggregated with other operating segments (Other includes DLP products, calculators, and certain custom semiconductors known as application-specific integrated circuits). For further information about our products, please see the description of our products in Item 1 of the Form 10-K, which description is incorporated herein by reference.</w:t>
      </w:r>
    </w:p>
    <w:p>
      <w:pPr>
        <w:spacing w:after="0" w:line="9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4"/>
          </w:cols>
          <w:pgMar w:left="436" w:top="270" w:right="479" w:bottom="1440" w:gutter="0" w:footer="0" w:header="0"/>
        </w:sectPr>
      </w:pPr>
    </w:p>
    <w:bookmarkStart w:id="7" w:name="page8"/>
    <w:bookmarkEnd w:id="7"/>
    <w:p>
      <w:pPr>
        <w:spacing w:after="0"/>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VI.</w:t>
        <w:tab/>
        <w:t>Risk-Mitigation Efforts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Since the period covered by this Conflict Minerals Report, we have taken, or will take, the following steps to mitigate the risk that our CMs directly or indirectly finance or benefit armed groups in the Covered Countries, including to improve our due diligence:</w:t>
      </w:r>
    </w:p>
    <w:p>
      <w:pPr>
        <w:spacing w:after="0" w:line="76" w:lineRule="exact"/>
        <w:rPr>
          <w:sz w:val="20"/>
          <w:szCs w:val="20"/>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redistribute copies of our CM policy to Suppliers;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emphasize to Suppliers our expectation that they respond fully and promptly to our information requests;</w:t>
      </w:r>
    </w:p>
    <w:p>
      <w:pPr>
        <w:spacing w:after="0" w:line="130" w:lineRule="exact"/>
        <w:rPr>
          <w:rFonts w:ascii="Arial" w:cs="Arial" w:eastAsia="Arial" w:hAnsi="Arial"/>
          <w:sz w:val="18"/>
          <w:szCs w:val="18"/>
          <w:color w:val="auto"/>
        </w:rPr>
      </w:pPr>
    </w:p>
    <w:p>
      <w:pPr>
        <w:ind w:left="960" w:right="52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instruct Suppliers to advise us if they determine that any person or entity in their supply chain is directly or indirectly financing or benefiting armed groups in the Covered Countries;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encourage Suppliers to direct all Smelters in their supply chains to participate in the RMAP or a similar third-party audit program; and</w:t>
      </w:r>
    </w:p>
    <w:p>
      <w:pPr>
        <w:spacing w:after="0" w:line="153" w:lineRule="exact"/>
        <w:rPr>
          <w:rFonts w:ascii="Arial" w:cs="Arial" w:eastAsia="Arial" w:hAnsi="Arial"/>
          <w:sz w:val="16"/>
          <w:szCs w:val="16"/>
          <w:color w:val="auto"/>
        </w:rPr>
      </w:pPr>
    </w:p>
    <w:p>
      <w:pPr>
        <w:ind w:left="960" w:right="360" w:hanging="4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contact various Smelters directly for information if their operating status changed, their RMI status changed, or they have refused to participate in a RMI audit.</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VII.</w:t>
      </w:r>
      <w:r>
        <w:rPr>
          <w:sz w:val="20"/>
          <w:szCs w:val="20"/>
          <w:color w:val="auto"/>
        </w:rPr>
        <w:tab/>
      </w:r>
      <w:r>
        <w:rPr>
          <w:rFonts w:ascii="Arial" w:cs="Arial" w:eastAsia="Arial" w:hAnsi="Arial"/>
          <w:sz w:val="16"/>
          <w:szCs w:val="16"/>
          <w:color w:val="auto"/>
        </w:rPr>
        <w:t>Independent Private Sector Audit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obtained an independent private sector audit of this Conflict Minerals Report. The report by Crowe LLP is set forth as Appendix B to this Conflict Minerals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[Intentionally blank]</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40"/>
          </w:cols>
          <w:pgMar w:left="440" w:top="274" w:right="61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 A</w:t>
      </w:r>
    </w:p>
    <w:p>
      <w:pPr>
        <w:spacing w:after="0" w:line="225"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Included in this Appendix A are Smelters that were identified to us by our Suppliers as potentially in our supply chain for 2019. As explained in this Conflict Minerals Report, the presence of a Smelter on the lists in this Appendix A does not mean that TI products necessarily contained CMs processed by that Smelter.</w:t>
      </w:r>
    </w:p>
    <w:p>
      <w:pPr>
        <w:spacing w:after="0" w:line="205" w:lineRule="exact"/>
        <w:rPr>
          <w:sz w:val="20"/>
          <w:szCs w:val="20"/>
          <w:color w:val="auto"/>
        </w:rPr>
      </w:pPr>
    </w:p>
    <w:tbl>
      <w:tblPr>
        <w:tblLayout w:type="fixed"/>
        <w:tblInd w:w="14" w:type="dxa"/>
        <w:tblCellMar>
          <w:top w:w="0" w:type="dxa"/>
          <w:left w:w="0" w:type="dxa"/>
          <w:bottom w:w="0" w:type="dxa"/>
          <w:right w:w="0" w:type="dxa"/>
        </w:tblCellMar>
      </w:tblPr>
      <w:tr>
        <w:trPr>
          <w:trHeight w:val="230"/>
        </w:trPr>
        <w:tc>
          <w:tcPr>
            <w:tcW w:w="8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9"/>
              </w:rPr>
              <w:t>Table 1</w:t>
            </w:r>
          </w:p>
        </w:tc>
        <w:tc>
          <w:tcPr>
            <w:tcW w:w="34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 RMAP compliant Smelters: 234</w:t>
            </w:r>
          </w:p>
        </w:tc>
        <w:tc>
          <w:tcPr>
            <w:tcW w:w="34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Smelters</w:t>
            </w:r>
          </w:p>
        </w:tc>
        <w:tc>
          <w:tcPr>
            <w:tcW w:w="342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42</w:t>
            </w: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Smelters</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45</w:t>
            </w: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Smelters</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38</w:t>
            </w:r>
          </w:p>
        </w:tc>
      </w:tr>
      <w:tr>
        <w:trPr>
          <w:trHeight w:val="210"/>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Smelters</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109</w:t>
            </w:r>
          </w:p>
        </w:tc>
      </w:tr>
      <w:tr>
        <w:trPr>
          <w:trHeight w:val="209"/>
        </w:trPr>
        <w:tc>
          <w:tcPr>
            <w:tcW w:w="8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9"/>
              </w:rPr>
              <w:t>Table 2</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Total undeterminable Smelters: 5</w:t>
            </w: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 Smelters</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w:t>
            </w: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 Smelters</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w:t>
            </w:r>
          </w:p>
        </w:tc>
      </w:tr>
      <w:tr>
        <w:trPr>
          <w:trHeight w:val="210"/>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 Smelters</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w:t>
            </w:r>
          </w:p>
        </w:tc>
      </w:tr>
      <w:tr>
        <w:trPr>
          <w:trHeight w:val="209"/>
        </w:trPr>
        <w:tc>
          <w:tcPr>
            <w:tcW w:w="800" w:type="dxa"/>
            <w:vAlign w:val="bottom"/>
            <w:tcBorders>
              <w:left w:val="single" w:sz="8" w:color="auto"/>
              <w:bottom w:val="single" w:sz="8" w:color="auto"/>
              <w:right w:val="single" w:sz="8" w:color="auto"/>
            </w:tcBorders>
          </w:tcPr>
          <w:p>
            <w:pPr>
              <w:spacing w:after="0"/>
              <w:rPr>
                <w:sz w:val="18"/>
                <w:szCs w:val="18"/>
                <w:color w:val="auto"/>
              </w:rPr>
            </w:pPr>
          </w:p>
        </w:tc>
        <w:tc>
          <w:tcPr>
            <w:tcW w:w="3420" w:type="dxa"/>
            <w:vAlign w:val="bottom"/>
            <w:tcBorders>
              <w:bottom w:val="single" w:sz="8" w:color="auto"/>
              <w:right w:val="single" w:sz="8" w:color="auto"/>
            </w:tcBorders>
          </w:tcPr>
          <w:p>
            <w:pPr>
              <w:spacing w:after="0"/>
              <w:rPr>
                <w:sz w:val="18"/>
                <w:szCs w:val="18"/>
                <w:color w:val="auto"/>
              </w:rPr>
            </w:pPr>
          </w:p>
        </w:tc>
        <w:tc>
          <w:tcPr>
            <w:tcW w:w="34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 Smelters</w:t>
            </w:r>
          </w:p>
        </w:tc>
        <w:tc>
          <w:tcPr>
            <w:tcW w:w="34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2</w:t>
            </w:r>
          </w:p>
        </w:tc>
      </w:tr>
    </w:tbl>
    <w:p>
      <w:pPr>
        <w:spacing w:after="0" w:line="229" w:lineRule="exact"/>
        <w:rPr>
          <w:sz w:val="20"/>
          <w:szCs w:val="20"/>
          <w:color w:val="auto"/>
        </w:rPr>
      </w:pPr>
    </w:p>
    <w:p>
      <w:pPr>
        <w:ind w:left="424" w:hanging="424"/>
        <w:spacing w:after="0"/>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Table 1</w:t>
      </w:r>
      <w:r>
        <w:rPr>
          <w:rFonts w:ascii="Arial" w:cs="Arial" w:eastAsia="Arial" w:hAnsi="Arial"/>
          <w:sz w:val="18"/>
          <w:szCs w:val="18"/>
          <w:color w:val="auto"/>
        </w:rPr>
        <w:t>:</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Listed below are the 234 Smelters identified to us by our Suppliers as potentially in our supply chain for 2019 that the RMAP has reported as compliant with its audit protocols. On that basis, we have determined that the CMs supplied by these Smelters were conflict-free. The location information is as reported by the RMAP as of March 5, 2020.</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*Smelters that potentially supply the CMs for our ICs.</w:t>
      </w:r>
    </w:p>
    <w:p>
      <w:pPr>
        <w:spacing w:after="0" w:line="246" w:lineRule="exact"/>
        <w:rPr>
          <w:sz w:val="20"/>
          <w:szCs w:val="20"/>
          <w:color w:val="auto"/>
        </w:rPr>
      </w:pPr>
    </w:p>
    <w:tbl>
      <w:tblPr>
        <w:tblLayout w:type="fixed"/>
        <w:tblInd w:w="14" w:type="dxa"/>
        <w:tblCellMar>
          <w:top w:w="0" w:type="dxa"/>
          <w:left w:w="0" w:type="dxa"/>
          <w:bottom w:w="0" w:type="dxa"/>
          <w:right w:w="0" w:type="dxa"/>
        </w:tblCellMar>
      </w:tblPr>
      <w:tr>
        <w:trPr>
          <w:trHeight w:val="176"/>
        </w:trPr>
        <w:tc>
          <w:tcPr>
            <w:tcW w:w="680" w:type="dxa"/>
            <w:vAlign w:val="bottom"/>
            <w:tcBorders>
              <w:top w:val="single" w:sz="8" w:color="auto"/>
              <w:left w:val="single" w:sz="8" w:color="auto"/>
              <w:bottom w:val="single" w:sz="8" w:color="auto"/>
              <w:right w:val="single" w:sz="8" w:color="auto"/>
            </w:tcBorders>
            <w:shd w:val="clear" w:color="auto" w:fill="D8D8D8"/>
          </w:tcPr>
          <w:p>
            <w:pPr>
              <w:spacing w:after="0"/>
              <w:rPr>
                <w:sz w:val="15"/>
                <w:szCs w:val="15"/>
                <w:color w:val="auto"/>
              </w:rPr>
            </w:pPr>
          </w:p>
        </w:tc>
        <w:tc>
          <w:tcPr>
            <w:tcW w:w="6620" w:type="dxa"/>
            <w:vAlign w:val="bottom"/>
            <w:tcBorders>
              <w:top w:val="single" w:sz="8" w:color="auto"/>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4"/>
                <w:szCs w:val="14"/>
                <w:b w:val="1"/>
                <w:bCs w:val="1"/>
                <w:color w:val="auto"/>
              </w:rPr>
              <w:t>Smelter</w:t>
            </w:r>
          </w:p>
        </w:tc>
        <w:tc>
          <w:tcPr>
            <w:tcW w:w="1000" w:type="dxa"/>
            <w:vAlign w:val="bottom"/>
            <w:tcBorders>
              <w:top w:val="single" w:sz="8" w:color="auto"/>
              <w:bottom w:val="single" w:sz="8" w:color="auto"/>
              <w:right w:val="single" w:sz="8" w:color="auto"/>
            </w:tcBorders>
            <w:shd w:val="clear" w:color="auto" w:fill="D8D8D8"/>
          </w:tcPr>
          <w:p>
            <w:pPr>
              <w:ind w:left="100"/>
              <w:spacing w:after="0"/>
              <w:rPr>
                <w:sz w:val="20"/>
                <w:szCs w:val="20"/>
                <w:color w:val="auto"/>
              </w:rPr>
            </w:pPr>
            <w:r>
              <w:rPr>
                <w:rFonts w:ascii="Arial" w:cs="Arial" w:eastAsia="Arial" w:hAnsi="Arial"/>
                <w:sz w:val="14"/>
                <w:szCs w:val="14"/>
                <w:b w:val="1"/>
                <w:bCs w:val="1"/>
                <w:color w:val="auto"/>
              </w:rPr>
              <w:t>Metal</w:t>
            </w:r>
          </w:p>
        </w:tc>
        <w:tc>
          <w:tcPr>
            <w:tcW w:w="2740" w:type="dxa"/>
            <w:vAlign w:val="bottom"/>
            <w:tcBorders>
              <w:top w:val="single" w:sz="8" w:color="auto"/>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Country Location</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A.L.M.T. Corp.*</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ACL Metais Eireli*</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Asia Tungsten Products Vietnam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VIETNAM</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Chenzhou Diamond Tungsten Products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Chongyi Zhangyuan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6.</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Fujian Jinxin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Haichuang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Huaxing Tungsten Products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Jiangwu Ferrotungsten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Ganzhou Seadragon W &amp; Mo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Global Tungsten &amp; Powders Corp.*</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12.</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Guangdong Xianglu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13.</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H.C. Starck Smelting GmbH &amp; Co. KG*</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14.</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H.C. Starck Tungsten GmbH*</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15.</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Chenzhou Mining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16.</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Chuangda Vanadium Tungsten Co., Ltd. Wuji*</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17.</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Chunchang Nonferrous Metals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18.</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Hunan Litian Tungsten Industry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19.</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Hydrometallurg, JSC*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20.</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Japan New Metals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21.</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Jiangwu H.C. Starck Tungsten Products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22.</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Gan Bei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23.</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Tonggu Non-ferrous Metallurgical &amp; Chemical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24.</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Xinsheng Tungsten Industry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25.</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Jiangxi Yaosheng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26.</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Kennametal Fallon*</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68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27.</w:t>
            </w:r>
          </w:p>
        </w:tc>
        <w:tc>
          <w:tcPr>
            <w:tcW w:w="66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Kennametal Huntsville*</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358"/>
        </w:trPr>
        <w:tc>
          <w:tcPr>
            <w:tcW w:w="680" w:type="dxa"/>
            <w:vAlign w:val="bottom"/>
          </w:tcPr>
          <w:p>
            <w:pPr>
              <w:spacing w:after="0"/>
              <w:rPr>
                <w:sz w:val="24"/>
                <w:szCs w:val="24"/>
                <w:color w:val="auto"/>
              </w:rPr>
            </w:pPr>
          </w:p>
        </w:tc>
        <w:tc>
          <w:tcPr>
            <w:tcW w:w="6620" w:type="dxa"/>
            <w:vAlign w:val="bottom"/>
          </w:tcPr>
          <w:p>
            <w:pPr>
              <w:ind w:left="4780"/>
              <w:spacing w:after="0"/>
              <w:rPr>
                <w:sz w:val="20"/>
                <w:szCs w:val="20"/>
                <w:color w:val="auto"/>
              </w:rPr>
            </w:pPr>
            <w:r>
              <w:rPr>
                <w:rFonts w:ascii="Arial" w:cs="Arial" w:eastAsia="Arial" w:hAnsi="Arial"/>
                <w:sz w:val="18"/>
                <w:szCs w:val="18"/>
                <w:color w:val="auto"/>
              </w:rPr>
              <w:t>6</w:t>
            </w: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3"/>
        </w:trPr>
        <w:tc>
          <w:tcPr>
            <w:tcW w:w="560" w:type="dxa"/>
            <w:vAlign w:val="bottom"/>
            <w:tcBorders>
              <w:top w:val="single" w:sz="8" w:color="auto"/>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28.</w:t>
            </w:r>
          </w:p>
        </w:tc>
        <w:tc>
          <w:tcPr>
            <w:tcW w:w="67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KGETS Co., Ltd.*</w:t>
            </w:r>
          </w:p>
        </w:tc>
        <w:tc>
          <w:tcPr>
            <w:tcW w:w="1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29.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Lianyou Metals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TAIWAN</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Malipo Haiyu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Masan Tungsten Chemical LLC (MTC)*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VIETNAM</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Moliren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Niagara Refining LLC*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Philippine Chuangxin Industrial Co., Inc.*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PHILIPPINES</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Tejing (Vietnam)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VIETNAM</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Unecha Refractory metals plant*</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Wolfram Bergbau und Hütten AG*</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AUSTRIA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Woltech Korea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39.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Xiamen Tungsten (H.C.)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Xiamen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Xinfeng Huarui Tungsten &amp; Molybdenum New Material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Xinhai Rendan Shaoguan Tungsten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Tungsten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Alpha*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Chenzhou Yunxiang Mining and Metallurgy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Chifeng Dajingzi Tin Industry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China Tin Group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Dowa*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EM Vinto*</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BOLIVIA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49.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Fenix Metals*</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POLAND</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Kai Meng Industry and Trade LLC*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Non-Ferrous Metal Processing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Yunxin Nonferrous Electrolysis Co., Ltd. *</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Gejiu Zili Mining and Metallurgy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Guangdong Hanhe Non-Ferrous Metal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Guanyang Guida Nonferrous Metal Smelting Plant*</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HuiChang Hill Tin Industry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Huichang Jinshunda Tin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Jiangxi New Nasan Technology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59.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Ma’anshan Weitai Tin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Magnu’s Minerais Metais e Ligas Ltda.*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Malaysia Smelting Corporation (MSC)*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MALAYSIA</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Melt Metais e Ligas S.A.*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Metallic Resources, Inc.*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Metallo Belgium N.V.*</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BELGIUM</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Metallo Spain S.L.U.*</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SPAIN</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Mineração Taboca S.A.*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Minsur*</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PERU</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Mitsubishi Materials Corporation*</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69.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O.M. Manufacturing Philippines, Inc.*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PHILIPPINES</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O.M. Manufacturing (Thailand)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THAILAND</w:t>
            </w:r>
          </w:p>
        </w:tc>
      </w:tr>
      <w:tr>
        <w:trPr>
          <w:trHeight w:val="223"/>
        </w:trPr>
        <w:tc>
          <w:tcPr>
            <w:tcW w:w="560" w:type="dxa"/>
            <w:vAlign w:val="bottom"/>
            <w:tcBorders>
              <w:left w:val="single" w:sz="8" w:color="auto"/>
              <w:bottom w:val="single" w:sz="8" w:color="auto"/>
              <w:right w:val="single" w:sz="8" w:color="auto"/>
            </w:tcBorders>
          </w:tcPr>
          <w:p>
            <w:pPr>
              <w:jc w:val="right"/>
              <w:ind w:right="90"/>
              <w:spacing w:after="0"/>
              <w:rPr>
                <w:sz w:val="20"/>
                <w:szCs w:val="20"/>
                <w:color w:val="auto"/>
              </w:rPr>
            </w:pPr>
            <w:r>
              <w:rPr>
                <w:rFonts w:ascii="Arial" w:cs="Arial" w:eastAsia="Arial" w:hAnsi="Arial"/>
                <w:sz w:val="18"/>
                <w:szCs w:val="18"/>
                <w:color w:val="auto"/>
              </w:rPr>
              <w:t>71.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Operaciones Metalurgical S.A.*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BOLIVIA</w:t>
            </w:r>
          </w:p>
        </w:tc>
      </w:tr>
      <w:tr>
        <w:trPr>
          <w:trHeight w:val="358"/>
        </w:trPr>
        <w:tc>
          <w:tcPr>
            <w:tcW w:w="560" w:type="dxa"/>
            <w:vAlign w:val="bottom"/>
          </w:tcPr>
          <w:p>
            <w:pPr>
              <w:spacing w:after="0"/>
              <w:rPr>
                <w:sz w:val="24"/>
                <w:szCs w:val="24"/>
                <w:color w:val="auto"/>
              </w:rPr>
            </w:pPr>
          </w:p>
        </w:tc>
        <w:tc>
          <w:tcPr>
            <w:tcW w:w="6740" w:type="dxa"/>
            <w:vAlign w:val="bottom"/>
          </w:tcPr>
          <w:p>
            <w:pPr>
              <w:ind w:left="4900"/>
              <w:spacing w:after="0"/>
              <w:rPr>
                <w:sz w:val="20"/>
                <w:szCs w:val="20"/>
                <w:color w:val="auto"/>
              </w:rPr>
            </w:pPr>
            <w:r>
              <w:rPr>
                <w:rFonts w:ascii="Arial" w:cs="Arial" w:eastAsia="Arial" w:hAnsi="Arial"/>
                <w:sz w:val="18"/>
                <w:szCs w:val="18"/>
                <w:color w:val="auto"/>
              </w:rPr>
              <w:t>7</w:t>
            </w: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3"/>
        </w:trPr>
        <w:tc>
          <w:tcPr>
            <w:tcW w:w="56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72.</w:t>
            </w:r>
          </w:p>
        </w:tc>
        <w:tc>
          <w:tcPr>
            <w:tcW w:w="45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PT Artha Cipta Langgeng*</w:t>
            </w:r>
          </w:p>
        </w:tc>
        <w:tc>
          <w:tcPr>
            <w:tcW w:w="2200" w:type="dxa"/>
            <w:vAlign w:val="bottom"/>
            <w:tcBorders>
              <w:top w:val="single" w:sz="8" w:color="auto"/>
              <w:bottom w:val="single" w:sz="8" w:color="auto"/>
              <w:right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73.</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PT ATD Makmur Mandiri Jaya*</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74.</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PT Mitra Stania Prima*</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75.</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PT Refined Bangka Tin*</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76.</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PT Timah Tbk Kundur*</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77.</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PT Timah Tbk Mentok*</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78.</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Resind Indústria e Comércio Ltda.*</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79.</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Rui Da Hung*</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TAIWAN</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80.</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Soft Metais Ltda.*</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81.</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Thai Nguyen Mining and Metallurgy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VIETNAM</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82.</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Thaisarco*</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THAILAND</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83.</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Tin Technology &amp; Refining*</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84.</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White Solder Metalurgia e Mineração Ltda.*</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85.</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Yunnan Chengfeng Non-ferrous Metals Co., Ltd. *</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86.</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Yunnan Tin Company Limited*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87.</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Yunnan Yunfan Non-ferrous Metals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Tin</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88.</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Asaka Riken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89.</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Changsha South Tantalum Niobium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90.</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 Block Metals, LLC*</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91.</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Exotech Inc.*</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92.</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F&amp;X Electro-Materials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93.</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FIR Metals &amp; Resource Ltd. *</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94.</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Global Advanced Metals Aizu*</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95.</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Global Advanced Metals Boyertown*</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96.</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Guangdong Zhiyuan New Material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97.</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H.C. Starck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THAILAND</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98.</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H.C. Starck Hermsdorf GmbH*</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99.</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H.C. Starck Inc.*</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100.</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H.C. Starck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101.</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H.C. Starck Smelting GmbH &amp; Co. KG*</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102.</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H.C. Starck Tantalum and Niobium GmbH*</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103.</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Hengyang King Xing Lifeng New Materials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104.</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Jiangxi Dinghai Tantalum &amp; Niobium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105.</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Jiangxi Tuohong New Raw Material*</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106.</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JiuJiang JinXin Nonferrous Metals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107.</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Jiujiang Tanbre Co., Ltd. *</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108.</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Jiujiang Zhongao Tantalum &amp; Niobium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109.</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KEMET Blue Metals*</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MEXICO</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110.</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KEMET Blue Powder*</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111.</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LSM Brasil S.A.*</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112.</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Metallurgical Products India Pvt., Ltd. *</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INDIA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113.</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Mineração Taboca S.A.*</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114.</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Mitsui Mining and Smelting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115.</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Ningxia Orient Tantalum Industry Co., Ltd.*</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116.</w:t>
            </w:r>
          </w:p>
        </w:tc>
        <w:tc>
          <w:tcPr>
            <w:tcW w:w="45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NPM Silmet AS</w:t>
            </w:r>
          </w:p>
        </w:tc>
        <w:tc>
          <w:tcPr>
            <w:tcW w:w="220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ESTONIA</w:t>
            </w:r>
          </w:p>
        </w:tc>
      </w:tr>
      <w:tr>
        <w:trPr>
          <w:trHeight w:val="358"/>
        </w:trPr>
        <w:tc>
          <w:tcPr>
            <w:tcW w:w="56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2200" w:type="dxa"/>
            <w:vAlign w:val="bottom"/>
          </w:tcPr>
          <w:p>
            <w:pPr>
              <w:jc w:val="right"/>
              <w:ind w:right="1670"/>
              <w:spacing w:after="0"/>
              <w:rPr>
                <w:sz w:val="20"/>
                <w:szCs w:val="20"/>
                <w:color w:val="auto"/>
              </w:rPr>
            </w:pPr>
            <w:r>
              <w:rPr>
                <w:rFonts w:ascii="Arial" w:cs="Arial" w:eastAsia="Arial" w:hAnsi="Arial"/>
                <w:sz w:val="18"/>
                <w:szCs w:val="18"/>
                <w:color w:val="auto"/>
              </w:rPr>
              <w:t>8</w:t>
            </w: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1" w:name="page12"/>
    <w:bookmarkEnd w:id="1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3"/>
        </w:trPr>
        <w:tc>
          <w:tcPr>
            <w:tcW w:w="560" w:type="dxa"/>
            <w:vAlign w:val="bottom"/>
            <w:tcBorders>
              <w:top w:val="single" w:sz="8" w:color="auto"/>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117.</w:t>
            </w:r>
          </w:p>
        </w:tc>
        <w:tc>
          <w:tcPr>
            <w:tcW w:w="48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rPr>
              <w:t>PRG Dooel*</w:t>
            </w:r>
          </w:p>
        </w:tc>
        <w:tc>
          <w:tcPr>
            <w:tcW w:w="1920" w:type="dxa"/>
            <w:vAlign w:val="bottom"/>
            <w:tcBorders>
              <w:top w:val="single" w:sz="8" w:color="auto"/>
              <w:bottom w:val="single" w:sz="8" w:color="auto"/>
              <w:right w:val="single" w:sz="8" w:color="auto"/>
            </w:tcBorders>
          </w:tcPr>
          <w:p>
            <w:pPr>
              <w:spacing w:after="0"/>
              <w:rPr>
                <w:sz w:val="21"/>
                <w:szCs w:val="21"/>
                <w:color w:val="auto"/>
              </w:rPr>
            </w:pPr>
          </w:p>
        </w:tc>
        <w:tc>
          <w:tcPr>
            <w:tcW w:w="1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MACEDONIA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118.</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QuantumClean*</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Resind Indústria e Comércio Ltda.*</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120.</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Solikamsk Magnesium Works OAO*</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121.</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Taki Chemical Co., Ltd.*</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Telex Metals*</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Ulba Metallurgical Plant JSC*</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KAZAKHSTAN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124.</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XinXing HaoRong Electronic Material Co., Ltd.*</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Yanling Jincheng Tantalum * Niobium Co., Ltd. *</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Tantalum</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126.</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8853 S.p.A. *</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ITALY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127.</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Advanced Chemical Company*</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Aida Chemical Industries Co., Ltd.*</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129.</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Al Etihad Gold Refinery DMCC*</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ARAB EMIRATES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130.</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Allgemeine Gold-und Silberscheideanstalt A.G.*</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131.</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Almalyk Mining and Metallurgical Complex (AMMC)*</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UZBEKISTAN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AngloGold Ashanti Córrego do Sítio Mineração*</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133.</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Argor-Heraeus S.A.*</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134.</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Asahi Pretec Corp.*</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135.</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Asahi Refining Canada Ltd.*</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CANADA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136.</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Asahi Refining USA Inc.*</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Asaka Riken Co., Ltd.*</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138.</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AU Traders and Refiners*</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SOUTH AFRICA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Aurubis AG*</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140.</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Bangalore Refinery*</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INDIA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w w:val="93"/>
              </w:rPr>
              <w:t>Bangko Sentral ng Pilipinas (Central Bank of the Philippines)*</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PHILIPPINES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Boliden AB*</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SWEDEN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143.</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 Hafner GmbH + Co. KG*</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144.</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CCR Refinery - Glencore Canada Corporation*</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CANADA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Cendres + Metaux S.A. *</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146.</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Chimet S.p.A.*</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ITALY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147.</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Chugai Mining</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148.</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Daye Non-Ferrous Metals Mining Ltd.</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DODUCO Contacts and Refining GmbH*</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Dowa*</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151.</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DS PRETECH Co., Ltd.*</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DSC (Do Sung Corporation)*</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153.</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Eco-System Recycling Co., Ltd. East Plant*</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Eco-System Recycling Co., Ltd. North Plant</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155.</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Eco-System Recycling Co., Ltd. West Plant</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156.</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Emirates Gold DMCC*</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ARAB EMIRATES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157.</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Geib Refining Corporation*</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158.</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Gold Refinery of Zijin Mining Group Co., Ltd.*</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159.</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Great Wall Precious Metals Co., Ltd. of CBPM</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160.</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Heimerle + Meule GmbH*</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161.</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Heraeus Metals Hong Kong Ltd.*</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162.</w:t>
            </w: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Heraeus Precious Metals GmbH &amp; Co. KG*</w:t>
            </w:r>
          </w:p>
        </w:tc>
        <w:tc>
          <w:tcPr>
            <w:tcW w:w="1920" w:type="dxa"/>
            <w:vAlign w:val="bottom"/>
            <w:tcBorders>
              <w:bottom w:val="single" w:sz="8" w:color="auto"/>
              <w:right w:val="single" w:sz="8" w:color="auto"/>
            </w:tcBorders>
          </w:tcPr>
          <w:p>
            <w:pPr>
              <w:spacing w:after="0"/>
              <w:rPr>
                <w:sz w:val="19"/>
                <w:szCs w:val="19"/>
                <w:color w:val="auto"/>
              </w:rPr>
            </w:pP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358"/>
        </w:trPr>
        <w:tc>
          <w:tcPr>
            <w:tcW w:w="5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920" w:type="dxa"/>
            <w:vAlign w:val="bottom"/>
          </w:tcPr>
          <w:p>
            <w:pPr>
              <w:jc w:val="right"/>
              <w:ind w:right="1670"/>
              <w:spacing w:after="0"/>
              <w:rPr>
                <w:sz w:val="20"/>
                <w:szCs w:val="20"/>
                <w:color w:val="auto"/>
              </w:rPr>
            </w:pPr>
            <w:r>
              <w:rPr>
                <w:rFonts w:ascii="Arial" w:cs="Arial" w:eastAsia="Arial" w:hAnsi="Arial"/>
                <w:sz w:val="18"/>
                <w:szCs w:val="18"/>
                <w:color w:val="auto"/>
              </w:rPr>
              <w:t>9</w:t>
            </w: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2" w:name="page13"/>
    <w:bookmarkEnd w:id="1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43"/>
        </w:trPr>
        <w:tc>
          <w:tcPr>
            <w:tcW w:w="560" w:type="dxa"/>
            <w:vAlign w:val="bottom"/>
            <w:tcBorders>
              <w:top w:val="single" w:sz="8" w:color="auto"/>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67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Inner Mongolia Qiankun Gold and Silver Refinery Share Co., Ltd.*</w:t>
            </w:r>
          </w:p>
        </w:tc>
        <w:tc>
          <w:tcPr>
            <w:tcW w:w="1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Ishifuku Metal Industry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Istanbul Gold Refinery*</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TURKEY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Italpreziosi*</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ITALY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Japan Mint*</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Jiangxi Copper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JSC Uralelectromed*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JX Nippon Mining &amp; Metals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Kazzinc*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KAZAKHSTAN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Kennecott Utah Copper LLC*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KGHM Polska Miedz Spolka Akcyjna*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POLAND</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Kojima Chemicals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Korea Zinc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Kyrgyzaltyn JSC*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KYRGYZSTAN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L’Orfebre S.A.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ANDORRA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LS-NIKKO Copper Inc.*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179.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LT Metal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Marsam Metals *</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Materion*</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Matsuda Sangyo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Technologies (Hong Kong)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Technologies (Singapore) Pte.,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SINGAPORE</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Technologies (Suzhou)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Technologies S.A.*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Metalor USA Refining Corporation*</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Metalúrgica Met-Mex Peñoles S.A. De C.V.*</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MEXICO</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189.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Mitsubishi Materials Corporation*</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Mitsui Mining and Smelting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MMTC-PAMP India Pvt.,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INDIA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Moscow Special Alloys Processing Plant*</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Nadir Metal Rafineri San. Ve Tic. 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TURKEY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Navoi Mining and Metallurgical Combinat</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UZBEKISTAN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Nihon Material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Ögussa Österreichische Gold- und Silber-Scheideanstalt GmbH*</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AUSTRIA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Ohura Precious Metal Industry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w w:val="98"/>
              </w:rPr>
              <w:t>OJSC “The Gulidov Krasnoyarsk Non-Ferrous Metals Plant” (OJSC Krastsvetmet)*</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199.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OJSC Novosibirsk Refinery*</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PAMP S.A.*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Planta Recuperadora de Metales SpA*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CHILE</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Prioksky Plant of Non-Ferrous Metals*</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PT Aneka Tambang (Persero) Tbk*</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INDONESIA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PX Précinox S.A.*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Rand Refinery (Pty)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SOUTH AFRICA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REMONDIS PMR B.V.*</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NETHERLANDS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Royal Canadian Mint*</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CANADA</w:t>
            </w:r>
          </w:p>
        </w:tc>
      </w:tr>
      <w:tr>
        <w:trPr>
          <w:trHeight w:val="358"/>
        </w:trPr>
        <w:tc>
          <w:tcPr>
            <w:tcW w:w="560" w:type="dxa"/>
            <w:vAlign w:val="bottom"/>
          </w:tcPr>
          <w:p>
            <w:pPr>
              <w:spacing w:after="0"/>
              <w:rPr>
                <w:sz w:val="24"/>
                <w:szCs w:val="24"/>
                <w:color w:val="auto"/>
              </w:rPr>
            </w:pPr>
          </w:p>
        </w:tc>
        <w:tc>
          <w:tcPr>
            <w:tcW w:w="6740" w:type="dxa"/>
            <w:vAlign w:val="bottom"/>
          </w:tcPr>
          <w:p>
            <w:pPr>
              <w:ind w:left="4860"/>
              <w:spacing w:after="0"/>
              <w:rPr>
                <w:sz w:val="20"/>
                <w:szCs w:val="20"/>
                <w:color w:val="auto"/>
              </w:rPr>
            </w:pPr>
            <w:r>
              <w:rPr>
                <w:rFonts w:ascii="Arial" w:cs="Arial" w:eastAsia="Arial" w:hAnsi="Arial"/>
                <w:sz w:val="18"/>
                <w:szCs w:val="18"/>
                <w:color w:val="auto"/>
              </w:rPr>
              <w:t>10</w:t>
            </w:r>
          </w:p>
        </w:tc>
        <w:tc>
          <w:tcPr>
            <w:tcW w:w="1000" w:type="dxa"/>
            <w:vAlign w:val="bottom"/>
          </w:tcPr>
          <w:p>
            <w:pPr>
              <w:spacing w:after="0"/>
              <w:rPr>
                <w:sz w:val="24"/>
                <w:szCs w:val="24"/>
                <w:color w:val="auto"/>
              </w:rPr>
            </w:pPr>
          </w:p>
        </w:tc>
        <w:tc>
          <w:tcPr>
            <w:tcW w:w="2740" w:type="dxa"/>
            <w:vAlign w:val="bottom"/>
          </w:tcPr>
          <w:p>
            <w:pPr>
              <w:spacing w:after="0"/>
              <w:rPr>
                <w:sz w:val="24"/>
                <w:szCs w:val="24"/>
                <w:color w:val="auto"/>
              </w:rPr>
            </w:pPr>
          </w:p>
        </w:tc>
      </w:tr>
    </w:tbl>
    <w:p>
      <w:pPr>
        <w:sectPr>
          <w:pgSz w:w="11900" w:h="16838" w:orient="portrait"/>
          <w:cols w:equalWidth="0" w:num="1">
            <w:col w:w="11020"/>
          </w:cols>
          <w:pgMar w:left="440" w:top="268" w:right="439" w:bottom="1440" w:gutter="0" w:footer="0" w:header="0"/>
        </w:sectPr>
      </w:pPr>
    </w:p>
    <w:bookmarkStart w:id="13" w:name="page14"/>
    <w:bookmarkEnd w:id="1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tbl>
      <w:tblPr>
        <w:tblLayout w:type="fixed"/>
        <w:tblInd w:w="14" w:type="dxa"/>
        <w:tblCellMar>
          <w:top w:w="0" w:type="dxa"/>
          <w:left w:w="0" w:type="dxa"/>
          <w:bottom w:w="0" w:type="dxa"/>
          <w:right w:w="0" w:type="dxa"/>
        </w:tblCellMar>
      </w:tblPr>
      <w:tr>
        <w:trPr>
          <w:trHeight w:val="243"/>
        </w:trPr>
        <w:tc>
          <w:tcPr>
            <w:tcW w:w="560" w:type="dxa"/>
            <w:vAlign w:val="bottom"/>
            <w:tcBorders>
              <w:top w:val="single" w:sz="8" w:color="auto"/>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208.</w:t>
            </w:r>
          </w:p>
        </w:tc>
        <w:tc>
          <w:tcPr>
            <w:tcW w:w="6740" w:type="dxa"/>
            <w:vAlign w:val="bottom"/>
            <w:tcBorders>
              <w:top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SAAMP*</w:t>
            </w:r>
          </w:p>
        </w:tc>
        <w:tc>
          <w:tcPr>
            <w:tcW w:w="100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FRANCE</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Safimet S.p.A.*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ITALY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Samduck Precious Metals*</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SAXONIA Edelmetalle GmbH*</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SEMPSA Joyería Platería S.A.*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SPAIN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Shandong Zhaojin Gold &amp; Silver Refinery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Sichuan Tianze Precious Metals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Singway Technology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TAIWAN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SOE Shyolkovsky Factory of Secondary Precious Metals*</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Solar Applied Materials Technology Corp.*</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TAIWAN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Sumitomo Metal Mining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219.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SungEel HiMetal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T.C.A S.p.A*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ITALY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Tanaka Kikinzoku Kogyo K.K.*</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The Refinery of Shandong Gold Mining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Tokuriki Honten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Torecom*</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KOREA (REPUBLIC OF)</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225.</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Umicore Brasil Ltda.*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BRAZIL</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Umicore Precious Metals Thailand*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THAILAND</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227.</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Umicore S.A. Business Unit Precious Metals Refining*</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BELGIUM</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228.</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United Precious Metal Refining, Inc.*</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UNITED STATES</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229.</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Valcambi S.A.*</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SWITZERLAND</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230.</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Western Australian Mint trading as The Perth Mint*</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AUSTRALIA</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231.</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WIELAND Edelmetalle GmbH*</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GERMANY</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232.</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Yamakin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233.</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Yokohama Metal Co., Ltd.*</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JAPAN</w:t>
            </w:r>
          </w:p>
        </w:tc>
      </w:tr>
      <w:tr>
        <w:trPr>
          <w:trHeight w:val="223"/>
        </w:trPr>
        <w:tc>
          <w:tcPr>
            <w:tcW w:w="560" w:type="dxa"/>
            <w:vAlign w:val="bottom"/>
            <w:tcBorders>
              <w:left w:val="single" w:sz="8" w:color="auto"/>
              <w:bottom w:val="single" w:sz="8" w:color="auto"/>
              <w:right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6740" w:type="dxa"/>
            <w:vAlign w:val="bottom"/>
            <w:tcBorders>
              <w:bottom w:val="single" w:sz="8" w:color="auto"/>
              <w:right w:val="single" w:sz="8" w:color="auto"/>
            </w:tcBorders>
          </w:tcPr>
          <w:p>
            <w:pPr>
              <w:ind w:left="220"/>
              <w:spacing w:after="0"/>
              <w:rPr>
                <w:sz w:val="20"/>
                <w:szCs w:val="20"/>
                <w:color w:val="auto"/>
              </w:rPr>
            </w:pPr>
            <w:r>
              <w:rPr>
                <w:rFonts w:ascii="Arial" w:cs="Arial" w:eastAsia="Arial" w:hAnsi="Arial"/>
                <w:sz w:val="18"/>
                <w:szCs w:val="18"/>
                <w:color w:val="auto"/>
              </w:rPr>
              <w:t>Zhongyuan Gold Smelter of Zhongjin Gold Corporation*</w:t>
            </w:r>
          </w:p>
        </w:tc>
        <w:tc>
          <w:tcPr>
            <w:tcW w:w="1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Gold</w:t>
            </w:r>
          </w:p>
        </w:tc>
        <w:tc>
          <w:tcPr>
            <w:tcW w:w="27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r>
    </w:tbl>
    <w:p>
      <w:pPr>
        <w:spacing w:after="0" w:line="350" w:lineRule="exact"/>
        <w:rPr>
          <w:sz w:val="20"/>
          <w:szCs w:val="20"/>
          <w:color w:val="auto"/>
        </w:rPr>
      </w:pPr>
    </w:p>
    <w:p>
      <w:pPr>
        <w:ind w:left="424" w:hanging="424"/>
        <w:spacing w:after="0"/>
        <w:tabs>
          <w:tab w:leader="none" w:pos="424"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Table 2</w:t>
      </w:r>
      <w:r>
        <w:rPr>
          <w:rFonts w:ascii="Arial" w:cs="Arial" w:eastAsia="Arial" w:hAnsi="Arial"/>
          <w:sz w:val="18"/>
          <w:szCs w:val="18"/>
          <w:color w:val="auto"/>
        </w:rPr>
        <w:t>:</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Listed below are the 5 Smelters identified to us by our Suppliers as potentially in our supply chain for 2019 that have processed CMs of undeterminable origin. “Active” means the Smelter has committed to participate in a third-party audit of its Conflict Status, as reported by the RMAP. The location information and “Active” status are as reported by the RMAP as of March 5, 2020.</w:t>
      </w:r>
    </w:p>
    <w:p>
      <w:pPr>
        <w:spacing w:after="0" w:line="205" w:lineRule="exact"/>
        <w:rPr>
          <w:sz w:val="20"/>
          <w:szCs w:val="20"/>
          <w:color w:val="auto"/>
        </w:rPr>
      </w:pPr>
    </w:p>
    <w:tbl>
      <w:tblPr>
        <w:tblLayout w:type="fixed"/>
        <w:tblInd w:w="14" w:type="dxa"/>
        <w:tblCellMar>
          <w:top w:w="0" w:type="dxa"/>
          <w:left w:w="0" w:type="dxa"/>
          <w:bottom w:w="0" w:type="dxa"/>
          <w:right w:w="0" w:type="dxa"/>
        </w:tblCellMar>
      </w:tblPr>
      <w:tr>
        <w:trPr>
          <w:trHeight w:val="175"/>
        </w:trPr>
        <w:tc>
          <w:tcPr>
            <w:tcW w:w="400" w:type="dxa"/>
            <w:vAlign w:val="bottom"/>
            <w:tcBorders>
              <w:top w:val="single" w:sz="8" w:color="auto"/>
              <w:left w:val="single" w:sz="8" w:color="auto"/>
              <w:bottom w:val="single" w:sz="8" w:color="auto"/>
              <w:right w:val="single" w:sz="8" w:color="auto"/>
            </w:tcBorders>
            <w:shd w:val="clear" w:color="auto" w:fill="D8D8D8"/>
          </w:tcPr>
          <w:p>
            <w:pPr>
              <w:ind w:left="160"/>
              <w:spacing w:after="0"/>
              <w:rPr>
                <w:sz w:val="20"/>
                <w:szCs w:val="20"/>
                <w:color w:val="auto"/>
              </w:rPr>
            </w:pPr>
            <w:r>
              <w:rPr>
                <w:rFonts w:ascii="Arial" w:cs="Arial" w:eastAsia="Arial" w:hAnsi="Arial"/>
                <w:sz w:val="14"/>
                <w:szCs w:val="14"/>
                <w:b w:val="1"/>
                <w:bCs w:val="1"/>
                <w:color w:val="auto"/>
                <w:w w:val="88"/>
              </w:rPr>
              <w:t>No.</w:t>
            </w:r>
          </w:p>
        </w:tc>
        <w:tc>
          <w:tcPr>
            <w:tcW w:w="4620" w:type="dxa"/>
            <w:vAlign w:val="bottom"/>
            <w:tcBorders>
              <w:top w:val="single" w:sz="8" w:color="auto"/>
              <w:bottom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Smelter</w:t>
            </w:r>
          </w:p>
        </w:tc>
        <w:tc>
          <w:tcPr>
            <w:tcW w:w="1900" w:type="dxa"/>
            <w:vAlign w:val="bottom"/>
            <w:tcBorders>
              <w:top w:val="single" w:sz="8" w:color="auto"/>
              <w:bottom w:val="single" w:sz="8" w:color="auto"/>
              <w:right w:val="single" w:sz="8" w:color="auto"/>
            </w:tcBorders>
            <w:shd w:val="clear" w:color="auto" w:fill="D8D8D8"/>
          </w:tcPr>
          <w:p>
            <w:pPr>
              <w:spacing w:after="0"/>
              <w:rPr>
                <w:sz w:val="15"/>
                <w:szCs w:val="15"/>
                <w:color w:val="auto"/>
              </w:rPr>
            </w:pPr>
          </w:p>
        </w:tc>
        <w:tc>
          <w:tcPr>
            <w:tcW w:w="880" w:type="dxa"/>
            <w:vAlign w:val="bottom"/>
            <w:tcBorders>
              <w:top w:val="single" w:sz="8" w:color="auto"/>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Metal</w:t>
            </w:r>
          </w:p>
        </w:tc>
        <w:tc>
          <w:tcPr>
            <w:tcW w:w="2700" w:type="dxa"/>
            <w:vAlign w:val="bottom"/>
            <w:tcBorders>
              <w:top w:val="single" w:sz="8" w:color="auto"/>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rPr>
              <w:t>Country</w:t>
            </w:r>
          </w:p>
        </w:tc>
        <w:tc>
          <w:tcPr>
            <w:tcW w:w="540" w:type="dxa"/>
            <w:vAlign w:val="bottom"/>
            <w:tcBorders>
              <w:top w:val="single" w:sz="8" w:color="auto"/>
              <w:bottom w:val="single" w:sz="8" w:color="auto"/>
              <w:right w:val="single" w:sz="8" w:color="auto"/>
            </w:tcBorders>
            <w:shd w:val="clear" w:color="auto" w:fill="D8D8D8"/>
          </w:tcPr>
          <w:p>
            <w:pPr>
              <w:ind w:left="80"/>
              <w:spacing w:after="0"/>
              <w:rPr>
                <w:sz w:val="20"/>
                <w:szCs w:val="20"/>
                <w:color w:val="auto"/>
              </w:rPr>
            </w:pPr>
            <w:r>
              <w:rPr>
                <w:rFonts w:ascii="Arial" w:cs="Arial" w:eastAsia="Arial" w:hAnsi="Arial"/>
                <w:sz w:val="14"/>
                <w:szCs w:val="14"/>
                <w:b w:val="1"/>
                <w:bCs w:val="1"/>
                <w:color w:val="auto"/>
                <w:w w:val="99"/>
              </w:rPr>
              <w:t>Active</w:t>
            </w:r>
          </w:p>
        </w:tc>
      </w:tr>
      <w:tr>
        <w:trPr>
          <w:trHeight w:val="223"/>
        </w:trPr>
        <w:tc>
          <w:tcPr>
            <w:tcW w:w="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Jiangxi Xianglu Tungsten Co., Ltd.</w:t>
            </w:r>
          </w:p>
        </w:tc>
        <w:tc>
          <w:tcPr>
            <w:tcW w:w="1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Tungsten</w:t>
            </w:r>
          </w:p>
        </w:tc>
        <w:tc>
          <w:tcPr>
            <w:tcW w:w="2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Ö</w:t>
            </w:r>
          </w:p>
        </w:tc>
      </w:tr>
      <w:tr>
        <w:trPr>
          <w:trHeight w:val="223"/>
        </w:trPr>
        <w:tc>
          <w:tcPr>
            <w:tcW w:w="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2.</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Dongguan CiEXPO Environmental Engineering Co., Ltd.</w:t>
            </w:r>
          </w:p>
        </w:tc>
        <w:tc>
          <w:tcPr>
            <w:tcW w:w="1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CHINA</w:t>
            </w:r>
          </w:p>
        </w:tc>
        <w:tc>
          <w:tcPr>
            <w:tcW w:w="540" w:type="dxa"/>
            <w:vAlign w:val="bottom"/>
            <w:tcBorders>
              <w:bottom w:val="single" w:sz="8" w:color="auto"/>
              <w:right w:val="single" w:sz="8" w:color="auto"/>
            </w:tcBorders>
          </w:tcPr>
          <w:p>
            <w:pPr>
              <w:spacing w:after="0"/>
              <w:rPr>
                <w:sz w:val="19"/>
                <w:szCs w:val="19"/>
                <w:color w:val="auto"/>
              </w:rPr>
            </w:pPr>
          </w:p>
        </w:tc>
      </w:tr>
      <w:tr>
        <w:trPr>
          <w:trHeight w:val="223"/>
        </w:trPr>
        <w:tc>
          <w:tcPr>
            <w:tcW w:w="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3.</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Modeltec Sdn Bhd</w:t>
            </w:r>
          </w:p>
        </w:tc>
        <w:tc>
          <w:tcPr>
            <w:tcW w:w="1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Tin</w:t>
            </w:r>
          </w:p>
        </w:tc>
        <w:tc>
          <w:tcPr>
            <w:tcW w:w="2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MALAYSIA</w:t>
            </w:r>
          </w:p>
        </w:tc>
        <w:tc>
          <w:tcPr>
            <w:tcW w:w="540" w:type="dxa"/>
            <w:vAlign w:val="bottom"/>
            <w:tcBorders>
              <w:bottom w:val="single" w:sz="8" w:color="auto"/>
              <w:right w:val="single" w:sz="8" w:color="auto"/>
            </w:tcBorders>
          </w:tcPr>
          <w:p>
            <w:pPr>
              <w:spacing w:after="0"/>
              <w:rPr>
                <w:sz w:val="19"/>
                <w:szCs w:val="19"/>
                <w:color w:val="auto"/>
              </w:rPr>
            </w:pPr>
          </w:p>
        </w:tc>
      </w:tr>
      <w:tr>
        <w:trPr>
          <w:trHeight w:val="223"/>
        </w:trPr>
        <w:tc>
          <w:tcPr>
            <w:tcW w:w="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4.</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JSC Ekaterinburg Non-Ferrous Metal Processing Plant</w:t>
            </w:r>
          </w:p>
        </w:tc>
        <w:tc>
          <w:tcPr>
            <w:tcW w:w="1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RUSSIAN FEDERATION</w:t>
            </w:r>
          </w:p>
        </w:tc>
        <w:tc>
          <w:tcPr>
            <w:tcW w:w="540" w:type="dxa"/>
            <w:vAlign w:val="bottom"/>
            <w:tcBorders>
              <w:bottom w:val="single" w:sz="8" w:color="auto"/>
              <w:right w:val="single" w:sz="8" w:color="auto"/>
            </w:tcBorders>
          </w:tcPr>
          <w:p>
            <w:pPr>
              <w:spacing w:after="0"/>
              <w:rPr>
                <w:sz w:val="19"/>
                <w:szCs w:val="19"/>
                <w:color w:val="auto"/>
              </w:rPr>
            </w:pPr>
          </w:p>
        </w:tc>
      </w:tr>
      <w:tr>
        <w:trPr>
          <w:trHeight w:val="223"/>
        </w:trPr>
        <w:tc>
          <w:tcPr>
            <w:tcW w:w="40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5.</w:t>
            </w:r>
          </w:p>
        </w:tc>
        <w:tc>
          <w:tcPr>
            <w:tcW w:w="46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SAFINA A.S.</w:t>
            </w:r>
          </w:p>
        </w:tc>
        <w:tc>
          <w:tcPr>
            <w:tcW w:w="1900" w:type="dxa"/>
            <w:vAlign w:val="bottom"/>
            <w:tcBorders>
              <w:bottom w:val="single" w:sz="8" w:color="auto"/>
              <w:right w:val="single" w:sz="8" w:color="auto"/>
            </w:tcBorders>
          </w:tcPr>
          <w:p>
            <w:pPr>
              <w:spacing w:after="0"/>
              <w:rPr>
                <w:sz w:val="19"/>
                <w:szCs w:val="19"/>
                <w:color w:val="auto"/>
              </w:rPr>
            </w:pPr>
          </w:p>
        </w:tc>
        <w:tc>
          <w:tcPr>
            <w:tcW w:w="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Gold</w:t>
            </w:r>
          </w:p>
        </w:tc>
        <w:tc>
          <w:tcPr>
            <w:tcW w:w="27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CZECHIA</w:t>
            </w:r>
          </w:p>
        </w:tc>
        <w:tc>
          <w:tcPr>
            <w:tcW w:w="5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Ö</w:t>
            </w:r>
          </w:p>
        </w:tc>
      </w:tr>
      <w:tr>
        <w:trPr>
          <w:trHeight w:val="358"/>
        </w:trPr>
        <w:tc>
          <w:tcPr>
            <w:tcW w:w="4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900" w:type="dxa"/>
            <w:vAlign w:val="bottom"/>
          </w:tcPr>
          <w:p>
            <w:pPr>
              <w:jc w:val="right"/>
              <w:ind w:right="1230"/>
              <w:spacing w:after="0"/>
              <w:rPr>
                <w:sz w:val="20"/>
                <w:szCs w:val="20"/>
                <w:color w:val="auto"/>
              </w:rPr>
            </w:pPr>
            <w:r>
              <w:rPr>
                <w:rFonts w:ascii="Arial" w:cs="Arial" w:eastAsia="Arial" w:hAnsi="Arial"/>
                <w:sz w:val="18"/>
                <w:szCs w:val="18"/>
                <w:color w:val="auto"/>
              </w:rPr>
              <w:t>11</w:t>
            </w:r>
          </w:p>
        </w:tc>
        <w:tc>
          <w:tcPr>
            <w:tcW w:w="8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11024"/>
          </w:cols>
          <w:pgMar w:left="436" w:top="268" w:right="439" w:bottom="1440" w:gutter="0" w:footer="0" w:header="0"/>
        </w:sectPr>
      </w:pPr>
    </w:p>
    <w:bookmarkStart w:id="14" w:name="page15"/>
    <w:bookmarkEnd w:id="14"/>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 B</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Independent Private Sector Auditor Report</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INDEPENDENT AUDITOR’S REPORT ON CONFLICT MINERALS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w:t>
      </w:r>
    </w:p>
    <w:p>
      <w:pPr>
        <w:spacing w:after="0" w:line="131" w:lineRule="exact"/>
        <w:rPr>
          <w:sz w:val="20"/>
          <w:szCs w:val="20"/>
          <w:color w:val="auto"/>
        </w:rPr>
      </w:pPr>
    </w:p>
    <w:p>
      <w:pPr>
        <w:ind w:left="860" w:right="80" w:hanging="540"/>
        <w:spacing w:after="0" w:line="257"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design of Texas Instruments Incorporated’s (the “Company”) due diligence framework as set forth in the section titled “Design of Due Diligence” of the Conflict Minerals Report for the reporting period from January 1, 2019 through December 31, 2019, is in conformity, in all material respects, with the criteria set forth in the Organization for Economic Co-Operation and Development Due Diligence Guidance for Responsible Supply Chains of Minerals from Conflict-Affected and High-Risk Areas, Third Edition 2016 (“OECD Due Diligence Guidance”), and</w:t>
      </w:r>
    </w:p>
    <w:p>
      <w:pPr>
        <w:spacing w:after="0" w:line="93" w:lineRule="exact"/>
        <w:rPr>
          <w:rFonts w:ascii="Arial" w:cs="Arial" w:eastAsia="Arial" w:hAnsi="Arial"/>
          <w:sz w:val="18"/>
          <w:szCs w:val="18"/>
          <w:color w:val="auto"/>
        </w:rPr>
      </w:pPr>
    </w:p>
    <w:p>
      <w:pPr>
        <w:ind w:left="860" w:right="220" w:hanging="540"/>
        <w:spacing w:after="0" w:line="263" w:lineRule="auto"/>
        <w:tabs>
          <w:tab w:leader="none" w:pos="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the Company’s description of the due diligence measures it performed, as set forth in the section titled “Due Diligence Measures Taken” of the Conflict Minerals Report for the reporting period from January 1, 2019 through December 31, 2019, is consistent, in all material respects, with the due diligence process that the Company undertook.</w:t>
      </w:r>
    </w:p>
    <w:p>
      <w:pPr>
        <w:spacing w:after="0" w:line="1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management is responsible for the design of the Company’s due diligence framework and the description of the Company’s due diligence measures set forth in the Conflict Minerals Report, and performance of the due diligence measures. Our responsibility is to express an opinion on the design of the Company’s due diligence framework and on the description of the due diligence measures the Company performed, based on our examination.</w:t>
      </w:r>
    </w:p>
    <w:p>
      <w:pPr>
        <w:spacing w:after="0" w:line="18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examination was conducted in accordance with attestation standards established by the American Institute of Certified Public Accountants and the standards applicable to attestation engagements contained in Government Auditing Standards, issued by the Comptroller General of the United States. Those standards require that we plan and perform the examination to obtain reasonable assurance about whether the design of the Company’s due diligence framework and the description of the due diligence measures the Company performed is in accordance with the criteria, in all material respects. An examination involves performing procedures to obtain evidence about the Company’s due diligence framework and the description of the due diligence measures the Company performed. The nature, timing, and extent of the procedures selected depend on our judgment, including an assessment of the risks of material misstatement of the Company’s due diligence framework and its description of the due diligence measures the Company performed, whether due to fraud or error. We believe the evidence we obtained is sufficient and appropriate to provide a reasonable basis for our opinion.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examination was not conducted for the purpose of evaluating:</w:t>
      </w:r>
    </w:p>
    <w:p>
      <w:pPr>
        <w:spacing w:after="0" w:line="131" w:lineRule="exact"/>
        <w:rPr>
          <w:sz w:val="20"/>
          <w:szCs w:val="20"/>
          <w:color w:val="auto"/>
        </w:rPr>
      </w:pPr>
    </w:p>
    <w:p>
      <w:pPr>
        <w:ind w:left="860" w:right="700" w:hanging="540"/>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consistency of the due diligence measures that the Company performed with either the design of the Company’s due diligence framework or the OECD Due Diligence Guidance;</w:t>
      </w:r>
    </w:p>
    <w:p>
      <w:pPr>
        <w:spacing w:after="0" w:line="75" w:lineRule="exact"/>
        <w:rPr>
          <w:rFonts w:ascii="Arial" w:cs="Arial" w:eastAsia="Arial" w:hAnsi="Arial"/>
          <w:sz w:val="18"/>
          <w:szCs w:val="18"/>
          <w:color w:val="auto"/>
        </w:rPr>
      </w:pPr>
    </w:p>
    <w:p>
      <w:pPr>
        <w:ind w:left="860" w:hanging="540"/>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completeness of the Company’s description of the due diligence measures performed;</w:t>
      </w:r>
    </w:p>
    <w:p>
      <w:pPr>
        <w:spacing w:after="0" w:line="130" w:lineRule="exact"/>
        <w:rPr>
          <w:rFonts w:ascii="Arial" w:cs="Arial" w:eastAsia="Arial" w:hAnsi="Arial"/>
          <w:sz w:val="18"/>
          <w:szCs w:val="18"/>
          <w:color w:val="auto"/>
        </w:rPr>
      </w:pPr>
    </w:p>
    <w:p>
      <w:pPr>
        <w:ind w:left="860" w:hanging="540"/>
        <w:spacing w:after="0"/>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suitability of the design or operating effectiveness of the Company’s due diligence process;</w:t>
      </w:r>
    </w:p>
    <w:p>
      <w:pPr>
        <w:spacing w:after="0" w:line="130" w:lineRule="exact"/>
        <w:rPr>
          <w:rFonts w:ascii="Arial" w:cs="Arial" w:eastAsia="Arial" w:hAnsi="Arial"/>
          <w:sz w:val="18"/>
          <w:szCs w:val="18"/>
          <w:color w:val="auto"/>
        </w:rPr>
      </w:pPr>
    </w:p>
    <w:p>
      <w:pPr>
        <w:ind w:left="860" w:hanging="540"/>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a third party can determine from the Conflict Minerals Report if the due diligence measures the Company performed are consistent with the OECD Due Diligence Guidance;</w:t>
      </w:r>
    </w:p>
    <w:p>
      <w:pPr>
        <w:spacing w:after="0" w:line="75" w:lineRule="exact"/>
        <w:rPr>
          <w:rFonts w:ascii="Arial" w:cs="Arial" w:eastAsia="Arial" w:hAnsi="Arial"/>
          <w:sz w:val="18"/>
          <w:szCs w:val="18"/>
          <w:color w:val="auto"/>
        </w:rPr>
      </w:pPr>
    </w:p>
    <w:p>
      <w:pPr>
        <w:ind w:left="860" w:hanging="540"/>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reasonable country of origin inquiry (RCOI), including the suitability of the design of the RCOI, its operating effectiveness, or the results thereof; or</w:t>
      </w:r>
    </w:p>
    <w:p>
      <w:pPr>
        <w:spacing w:after="0" w:line="75" w:lineRule="exact"/>
        <w:rPr>
          <w:rFonts w:ascii="Arial" w:cs="Arial" w:eastAsia="Arial" w:hAnsi="Arial"/>
          <w:sz w:val="18"/>
          <w:szCs w:val="18"/>
          <w:color w:val="auto"/>
        </w:rPr>
      </w:pPr>
    </w:p>
    <w:p>
      <w:pPr>
        <w:ind w:left="860" w:right="360" w:hanging="540"/>
        <w:spacing w:after="0" w:line="277" w:lineRule="auto"/>
        <w:tabs>
          <w:tab w:leader="none" w:pos="8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Company’s conclusions about the source or chain of custody of its conflict minerals, those products subject to due diligence, or the DRC Conflict Free status of its products.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4" w:right="49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Accordingly, we do not express an opinion or any other form of assurance on the aforementioned matters or any other matters included in any section of the Conflict Minerals Report other than the sections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our opinion,</w:t>
      </w:r>
    </w:p>
    <w:p>
      <w:pPr>
        <w:spacing w:after="0" w:line="131" w:lineRule="exact"/>
        <w:rPr>
          <w:sz w:val="20"/>
          <w:szCs w:val="20"/>
          <w:color w:val="auto"/>
        </w:rPr>
      </w:pPr>
    </w:p>
    <w:p>
      <w:pPr>
        <w:ind w:left="860" w:right="340" w:hanging="540"/>
        <w:spacing w:after="0" w:line="263"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design of the Company’s due diligence framework for the reporting period from January 1, 2019 through December 31, 2019, as set forth in the section titled “Design of Due Diligence” of the Conflict Minerals Report is in conformity with the OECD Due Diligence Guidance, in all material respects and</w:t>
      </w:r>
    </w:p>
    <w:p>
      <w:pPr>
        <w:spacing w:after="0" w:line="89" w:lineRule="exact"/>
        <w:rPr>
          <w:rFonts w:ascii="Arial" w:cs="Arial" w:eastAsia="Arial" w:hAnsi="Arial"/>
          <w:sz w:val="18"/>
          <w:szCs w:val="18"/>
          <w:color w:val="auto"/>
        </w:rPr>
      </w:pPr>
    </w:p>
    <w:p>
      <w:pPr>
        <w:jc w:val="both"/>
        <w:ind w:left="860" w:right="40" w:hanging="540"/>
        <w:spacing w:after="0" w:line="263" w:lineRule="auto"/>
        <w:tabs>
          <w:tab w:leader="none" w:pos="8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Company’s description of the due diligence measures it performed, as set forth in the section titled “Due Diligence Measures Taken” of the Conflict Minerals Report for the reporting period from January 1, 2019 through December 31, 2019, is consistent with the due diligence process that the Company undertook, in all material respects.</w:t>
      </w:r>
    </w:p>
    <w:p>
      <w:pPr>
        <w:spacing w:after="0" w:line="3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 CROWE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20, 2020</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upperLetter"/>
      <w:start w:val="9"/>
    </w:lvl>
  </w:abstractNum>
  <w:abstractNum w:abstractNumId="2">
    <w:nsid w:val="7545E146"/>
    <w:multiLevelType w:val="hybridMultilevel"/>
    <w:lvl w:ilvl="0">
      <w:lvlJc w:val="left"/>
      <w:lvlText w:val="%1"/>
      <w:numFmt w:val="upperLetter"/>
      <w:start w:val="1"/>
    </w:lvl>
    <w:lvl w:ilvl="1">
      <w:lvlJc w:val="left"/>
      <w:lvlText w:val="•"/>
      <w:numFmt w:val="bullet"/>
      <w:start w:val="1"/>
    </w:lvl>
  </w:abstractNum>
  <w:abstractNum w:abstractNumId="3">
    <w:nsid w:val="515F007C"/>
    <w:multiLevelType w:val="hybridMultilevel"/>
    <w:lvl w:ilvl="0">
      <w:lvlJc w:val="left"/>
      <w:lvlText w:val="%1."/>
      <w:numFmt w:val="upperLetter"/>
      <w:start w:val="6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bullet"/>
      <w:start w:val="1"/>
    </w:lvl>
  </w:abstractNum>
  <w:abstractNum w:abstractNumId="6">
    <w:nsid w:val="4DB127F8"/>
    <w:multiLevelType w:val="hybridMultilevel"/>
    <w:lvl w:ilvl="0">
      <w:lvlJc w:val="left"/>
      <w:lvlText w:val="%1."/>
      <w:numFmt w:val="upperLetter"/>
      <w:start w:val="22"/>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2"/>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2020-06-01T15:18:22Z</dcterms:created>
  <dcterms:modified xsi:type="dcterms:W3CDTF">2020-06-01T15:18:22Z</dcterms:modified>
</cp:coreProperties>
</file>