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75-0289970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60" w:space="720"/>
            <w:col w:w="2320"/>
          </w:cols>
          <w:pgMar w:left="436" w:top="376" w:right="439" w:bottom="1440" w:gutter="0" w:footer="0" w:header="0"/>
          <w:type w:val="continuous"/>
        </w:sectPr>
      </w:pPr>
    </w:p>
    <w:p>
      <w:pPr>
        <w:spacing w:after="0" w:line="28" w:lineRule="exact"/>
        <w:rPr>
          <w:sz w:val="24"/>
          <w:szCs w:val="24"/>
          <w:color w:val="auto"/>
        </w:rPr>
      </w:pPr>
    </w:p>
    <w:p>
      <w:pPr>
        <w:ind w:left="4584"/>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$1,400,000,000 of Notes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March 14, 2023, Texas Instruments Incorporated (“Texas Instruments”) consummated the issuance and sale of $750,000,000 aggregate principal amount of its 4.900% Notes due 2033 and $650,000,000 aggregate principal amount of its 5.000% Notes due 2053 (collectively, the “Notes”), pursuant to an underwriting agreement filed herewith as Exhibit 1.1 dated March 7, 2023 among Texas Instruments and Barclays Capital Inc., BofA Securities, Inc. and MUFG Securities Americas Inc., as underwriters. The Notes were issued pursuant to an Indenture dated as of May 23, 2011 (the “Indenture”) between Texas Instruments and U.S. Bank Trust Company, National Association, as successor in interest to U.S. Bank National Association, as trustee, and an Officers’ Certificate issued pursuant thereto.</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Notes were offered pursuant to Texas Instruments’ Registration Statement on Form S-3 filed on February 4, 2022 (Reg. No. 333-262523), including the prospectus contained therein, and a related preliminary prospectus supplement dated March 7, 2023 and a prospectus supplement dated March 7, 2023.</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369"/>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Exhibit</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71"/>
        </w:trPr>
        <w:tc>
          <w:tcPr>
            <w:tcW w:w="1040" w:type="dxa"/>
            <w:vAlign w:val="bottom"/>
            <w:gridSpan w:val="2"/>
          </w:tcPr>
          <w:p>
            <w:pPr>
              <w:jc w:val="center"/>
              <w:ind w:right="540"/>
              <w:spacing w:after="0" w:line="151" w:lineRule="exact"/>
              <w:rPr>
                <w:sz w:val="20"/>
                <w:szCs w:val="20"/>
                <w:color w:val="auto"/>
              </w:rPr>
            </w:pPr>
            <w:r>
              <w:rPr>
                <w:rFonts w:ascii="Times New Roman" w:cs="Times New Roman" w:eastAsia="Times New Roman" w:hAnsi="Times New Roman"/>
                <w:sz w:val="14"/>
                <w:szCs w:val="14"/>
                <w:color w:val="auto"/>
              </w:rPr>
              <w:t>No.</w:t>
            </w: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80" w:type="dxa"/>
            <w:vAlign w:val="bottom"/>
            <w:gridSpan w:val="3"/>
          </w:tcPr>
          <w:p>
            <w:pPr>
              <w:ind w:left="640"/>
              <w:spacing w:after="0" w:line="151" w:lineRule="exact"/>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6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2"/>
                <w:szCs w:val="22"/>
                <w:color w:val="auto"/>
              </w:rPr>
            </w:pPr>
          </w:p>
        </w:tc>
        <w:tc>
          <w:tcPr>
            <w:tcW w:w="96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Underwriting Agreement dated March 7, 2023 among Texas Instruments Incorporated and Barclays Capital Inc., BofA Securities, Inc.</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and MUFG Securities Americas Inc.</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4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Officers’ Certificate setting forth the terms of the Notes</w:t>
            </w:r>
          </w:p>
        </w:tc>
        <w:tc>
          <w:tcPr>
            <w:tcW w:w="5680" w:type="dxa"/>
            <w:vAlign w:val="bottom"/>
            <w:gridSpan w:val="3"/>
          </w:tcPr>
          <w:p>
            <w:pPr>
              <w:spacing w:after="0"/>
              <w:rPr>
                <w:sz w:val="24"/>
                <w:szCs w:val="24"/>
                <w:color w:val="auto"/>
              </w:rPr>
            </w:pPr>
          </w:p>
        </w:tc>
      </w:tr>
      <w:tr>
        <w:trPr>
          <w:trHeight w:val="30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6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Davis Polk &amp; Wardwell LLP</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95"/>
              </w:rPr>
              <w:t>23.1</w:t>
            </w:r>
          </w:p>
        </w:tc>
        <w:tc>
          <w:tcPr>
            <w:tcW w:w="540" w:type="dxa"/>
            <w:vAlign w:val="bottom"/>
          </w:tcPr>
          <w:p>
            <w:pPr>
              <w:spacing w:after="0"/>
              <w:rPr>
                <w:sz w:val="24"/>
                <w:szCs w:val="24"/>
                <w:color w:val="auto"/>
              </w:rPr>
            </w:pPr>
          </w:p>
        </w:tc>
        <w:tc>
          <w:tcPr>
            <w:tcW w:w="96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Davis Polk &amp; Wardwell LLP (included in Exhibit 5.1)</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5464" w:right="3900" w:hanging="5464"/>
        <w:spacing w:after="0" w:line="454"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ectPr>
          <w:pgSz w:w="11900" w:h="16838" w:orient="portrait"/>
          <w:cols w:equalWidth="0" w:num="1">
            <w:col w:w="10724"/>
          </w:cols>
          <w:pgMar w:left="436" w:top="293" w:right="739" w:bottom="1440" w:gutter="0" w:footer="0" w:header="0"/>
        </w:sectPr>
      </w:pPr>
    </w:p>
    <w:bookmarkStart w:id="3" w:name="page4"/>
    <w:bookmarkEnd w:id="3"/>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20"/>
          </w:cols>
          <w:pgMar w:left="440" w:top="297" w:right="11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ectPr>
          <w:pgSz w:w="11900" w:h="16838" w:orient="portrait"/>
          <w:cols w:equalWidth="0" w:num="1">
            <w:col w:w="10020"/>
          </w:cols>
          <w:pgMar w:left="1440" w:top="11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right="200" w:firstLine="440"/>
        <w:spacing w:after="0" w:line="259" w:lineRule="auto"/>
        <w:rPr>
          <w:sz w:val="20"/>
          <w:szCs w:val="20"/>
          <w:color w:val="auto"/>
        </w:rPr>
      </w:pPr>
      <w:r>
        <w:rPr>
          <w:rFonts w:ascii="Times New Roman" w:cs="Times New Roman" w:eastAsia="Times New Roman" w:hAnsi="Times New Roman"/>
          <w:sz w:val="18"/>
          <w:szCs w:val="18"/>
          <w:color w:val="auto"/>
        </w:rPr>
        <w:t>We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understand that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$750,000,000 principal amount of the 4.900% Notes due 2033 (the “</w:t>
      </w:r>
      <w:r>
        <w:rPr>
          <w:rFonts w:ascii="Times New Roman" w:cs="Times New Roman" w:eastAsia="Times New Roman" w:hAnsi="Times New Roman"/>
          <w:sz w:val="18"/>
          <w:szCs w:val="18"/>
          <w:b w:val="1"/>
          <w:bCs w:val="1"/>
          <w:color w:val="auto"/>
        </w:rPr>
        <w:t>2033 Notes</w:t>
      </w:r>
      <w:r>
        <w:rPr>
          <w:rFonts w:ascii="Times New Roman" w:cs="Times New Roman" w:eastAsia="Times New Roman" w:hAnsi="Times New Roman"/>
          <w:sz w:val="18"/>
          <w:szCs w:val="18"/>
          <w:color w:val="auto"/>
        </w:rPr>
        <w:t>”) and $650,000,000 principal amount of the 5.000% Notes due 2053 (the “</w:t>
      </w:r>
      <w:r>
        <w:rPr>
          <w:rFonts w:ascii="Times New Roman" w:cs="Times New Roman" w:eastAsia="Times New Roman" w:hAnsi="Times New Roman"/>
          <w:sz w:val="18"/>
          <w:szCs w:val="18"/>
          <w:b w:val="1"/>
          <w:bCs w:val="1"/>
          <w:color w:val="auto"/>
        </w:rPr>
        <w:t>2053 Notes</w:t>
      </w:r>
      <w:r>
        <w:rPr>
          <w:rFonts w:ascii="Times New Roman" w:cs="Times New Roman" w:eastAsia="Times New Roman" w:hAnsi="Times New Roman"/>
          <w:sz w:val="18"/>
          <w:szCs w:val="18"/>
          <w:color w:val="auto"/>
        </w:rPr>
        <w:t>” and, together with the 2033 Notes,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identified in Schedule I hereto, as more fully described in the Time of Sale Prospectus. The Offered Securities will be issued pursuant to an Indenture dated as of May 23, 2011, between the Company and U.S. Bank Trust Company, National Association, as successor in interest to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 hereto, the principal amount of the applicable series of the Offered Securities set forth opposite their respective names in Schedule II hereto. For purposes of this Agreement,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5:31 P.M. (New York time) on the date hereof.</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Payment of the respective purchase prices for the applicable series of the Offered Securities shall be made to the Company by Federal funds wire transfer against delivery of such series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9:00 A.M. (New York time) on March 14, 2023, or at such other time, not later than March 24, 2023, as shall be designated by the Manager.</w:t>
      </w:r>
    </w:p>
    <w:p>
      <w:pPr>
        <w:spacing w:after="0" w:line="183"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All the provisions contained in the document entitled Texas Instruments Incorporated Underwriting Agreement Standard Provisions dated February 22, 2019 (the “</w:t>
      </w:r>
      <w:r>
        <w:rPr>
          <w:rFonts w:ascii="Times New Roman" w:cs="Times New Roman" w:eastAsia="Times New Roman" w:hAnsi="Times New Roman"/>
          <w:sz w:val="18"/>
          <w:szCs w:val="18"/>
          <w:b w:val="1"/>
          <w:bCs w:val="1"/>
          <w:color w:val="auto"/>
        </w:rPr>
        <w:t>Standard Provisions</w:t>
      </w:r>
      <w:r>
        <w:rPr>
          <w:rFonts w:ascii="Times New Roman" w:cs="Times New Roman" w:eastAsia="Times New Roman" w:hAnsi="Times New Roman"/>
          <w:sz w:val="18"/>
          <w:szCs w:val="18"/>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w:t>
      </w:r>
    </w:p>
    <w:p>
      <w:pPr>
        <w:sectPr>
          <w:pgSz w:w="11900" w:h="16838" w:orient="portrait"/>
          <w:cols w:equalWidth="0" w:num="1">
            <w:col w:w="11020"/>
          </w:cols>
          <w:pgMar w:left="440" w:top="266" w:right="439" w:bottom="1440" w:gutter="0" w:footer="0" w:header="0"/>
        </w:sectPr>
      </w:pPr>
    </w:p>
    <w:bookmarkStart w:id="6" w:name="page7"/>
    <w:bookmarkEnd w:id="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the transactions contemplated hereby shall not be deemed to be a part of this Agreement, (iv) the term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as used therein, shall, for purposes of this Agreement, mean Barclays Capital Inc., BofA Securities, Inc. and MUFG Securities Americas Inc.,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 w:name="page8"/>
    <w:bookmarkEnd w:id="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On behalf of themselves and the several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Underwriters listed in Schedule II hereto</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 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Matt Gannon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70" w:right="659" w:bottom="1440" w:gutter="0" w:footer="0" w:header="0"/>
        </w:sectPr>
      </w:pPr>
    </w:p>
    <w:bookmarkStart w:id="8" w:name="page9"/>
    <w:bookmarkEnd w:id="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On behalf of themselves and the several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Underwriters listed in Schedule II hereto</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Laurie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Laurie Campbell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70" w:right="659" w:bottom="1440" w:gutter="0" w:footer="0" w:header="0"/>
        </w:sectPr>
      </w:pPr>
    </w:p>
    <w:bookmarkStart w:id="9" w:name="page10"/>
    <w:bookmarkEnd w:id="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On behalf of themselves and the several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Underwriters listed in Schedule II hereto</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Testa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Testa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70"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written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Undent·riting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-210820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3"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43"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4.900% Notes due 2033</w:t>
      </w:r>
    </w:p>
    <w:p>
      <w:pPr>
        <w:spacing w:after="0" w:line="3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$750,000,000</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14, 2033</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4.900%</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99.922% of principal amount</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14 and September 14, beginning on September 14, 2023, and on the maturity date</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$746,790,000</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3.500% due February 15, 2033</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95 basis points</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4.910%</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96-08; 3.960%</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At any time before December 14, 2032 (three months before the maturity date) at the greater of:</w:t>
      </w:r>
    </w:p>
    <w:p>
      <w:pPr>
        <w:spacing w:after="0" w:line="27" w:lineRule="exact"/>
        <w:rPr>
          <w:sz w:val="20"/>
          <w:szCs w:val="20"/>
          <w:color w:val="auto"/>
        </w:rPr>
      </w:pPr>
    </w:p>
    <w:p>
      <w:pPr>
        <w:ind w:left="100" w:hanging="3"/>
        <w:spacing w:after="0" w:line="252" w:lineRule="auto"/>
        <w:tabs>
          <w:tab w:leader="none" w:pos="3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December 14, 2032) on a semi-annual basis (assuming a 360-day year consisting of twelve 30-day months) at the Treasury Rate plus 15 basis points less (b) interest accrued to the date of redemption, and (2) 100% of the principal amount of the Notes to be redeemed, plus, in either case, accrued and unpaid interest thereon to the redemption date.</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2">
            <w:col w:w="3040" w:space="720"/>
            <w:col w:w="7240"/>
          </w:cols>
          <w:pgMar w:left="440" w:top="266"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ind w:left="980"/>
        <w:spacing w:after="0" w:line="266" w:lineRule="auto"/>
        <w:rPr>
          <w:sz w:val="20"/>
          <w:szCs w:val="20"/>
          <w:color w:val="auto"/>
        </w:rPr>
      </w:pPr>
      <w:r>
        <w:rPr>
          <w:rFonts w:ascii="Times New Roman" w:cs="Times New Roman" w:eastAsia="Times New Roman" w:hAnsi="Times New Roman"/>
          <w:sz w:val="18"/>
          <w:szCs w:val="18"/>
          <w:color w:val="auto"/>
        </w:rPr>
        <w:t>At any time on or after December 14, 2032 (three months before the maturity date) at 100% of the principal amount of notes being redeemed plus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-587375</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March 7, 2023</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March 14, 2023 (T+5)</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882508CB8/US882508CB86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5.000% Notes due 2053</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$650,000,000</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March 14, 2053</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5.000%</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99.661% of principal amount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March 14 and September 14, beginning on September 14, 2023, and on the maturity date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$643,896,500</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4.000% due November 15, 2052</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115 basis points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5.022%</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102-07+; 3.872%</w:t>
      </w:r>
    </w:p>
    <w:p>
      <w:pPr>
        <w:spacing w:after="0" w:line="15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2">
            <w:col w:w="2700" w:space="180"/>
            <w:col w:w="8040"/>
          </w:cols>
          <w:pgMar w:left="440" w:top="378" w:right="5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At any time before September 14, 2052 (six months before the maturity date) at the greater of: (1)</w:t>
            </w:r>
          </w:p>
        </w:tc>
      </w:tr>
      <w:tr>
        <w:trPr>
          <w:trHeight w:val="216"/>
        </w:trPr>
        <w:tc>
          <w:tcPr>
            <w:tcW w:w="2880" w:type="dxa"/>
            <w:vAlign w:val="bottom"/>
          </w:tcPr>
          <w:p>
            <w:pPr>
              <w:spacing w:after="0"/>
              <w:rPr>
                <w:sz w:val="18"/>
                <w:szCs w:val="18"/>
                <w:color w:val="auto"/>
              </w:rPr>
            </w:pP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 the sum of the present values of the remaining scheduled payments of principal and interest</w:t>
            </w:r>
          </w:p>
        </w:tc>
      </w:tr>
      <w:tr>
        <w:trPr>
          <w:trHeight w:val="216"/>
        </w:trPr>
        <w:tc>
          <w:tcPr>
            <w:tcW w:w="2880" w:type="dxa"/>
            <w:vAlign w:val="bottom"/>
          </w:tcPr>
          <w:p>
            <w:pPr>
              <w:spacing w:after="0"/>
              <w:rPr>
                <w:sz w:val="18"/>
                <w:szCs w:val="18"/>
                <w:color w:val="auto"/>
              </w:rPr>
            </w:pP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thereon discounted to the redemption date (assuming the Notes matured on September 14, 2052)</w:t>
            </w:r>
          </w:p>
        </w:tc>
      </w:tr>
      <w:tr>
        <w:trPr>
          <w:trHeight w:val="216"/>
        </w:trPr>
        <w:tc>
          <w:tcPr>
            <w:tcW w:w="2880" w:type="dxa"/>
            <w:vAlign w:val="bottom"/>
          </w:tcPr>
          <w:p>
            <w:pPr>
              <w:spacing w:after="0"/>
              <w:rPr>
                <w:sz w:val="18"/>
                <w:szCs w:val="18"/>
                <w:color w:val="auto"/>
              </w:rPr>
            </w:pP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on a semi-annual basis (assuming a 360-day year consisting of twelve 30-day months) at the</w:t>
            </w:r>
          </w:p>
        </w:tc>
      </w:tr>
      <w:tr>
        <w:trPr>
          <w:trHeight w:val="216"/>
        </w:trPr>
        <w:tc>
          <w:tcPr>
            <w:tcW w:w="2880" w:type="dxa"/>
            <w:vAlign w:val="bottom"/>
          </w:tcPr>
          <w:p>
            <w:pPr>
              <w:spacing w:after="0"/>
              <w:rPr>
                <w:sz w:val="18"/>
                <w:szCs w:val="18"/>
                <w:color w:val="auto"/>
              </w:rPr>
            </w:pP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Treasury Rate plus 20 basis points less (b) interest accrued to the date of redemption, and (2) 100%</w:t>
            </w:r>
          </w:p>
        </w:tc>
      </w:tr>
      <w:tr>
        <w:trPr>
          <w:trHeight w:val="216"/>
        </w:trPr>
        <w:tc>
          <w:tcPr>
            <w:tcW w:w="2880" w:type="dxa"/>
            <w:vAlign w:val="bottom"/>
          </w:tcPr>
          <w:p>
            <w:pPr>
              <w:spacing w:after="0"/>
              <w:rPr>
                <w:sz w:val="18"/>
                <w:szCs w:val="18"/>
                <w:color w:val="auto"/>
              </w:rPr>
            </w:pP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of the principal amount of the Notes to be redeemed, plus, in either case, accrued and unpaid</w:t>
            </w:r>
          </w:p>
        </w:tc>
      </w:tr>
      <w:tr>
        <w:trPr>
          <w:trHeight w:val="234"/>
        </w:trPr>
        <w:tc>
          <w:tcPr>
            <w:tcW w:w="2880" w:type="dxa"/>
            <w:vAlign w:val="bottom"/>
          </w:tcPr>
          <w:p>
            <w:pPr>
              <w:spacing w:after="0"/>
              <w:rPr>
                <w:sz w:val="20"/>
                <w:szCs w:val="20"/>
                <w:color w:val="auto"/>
              </w:rPr>
            </w:pP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interest thereon to the redemption date.</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At any time on or after September 14, 2052 (six months before the maturity date) at 100% of the</w:t>
            </w:r>
          </w:p>
        </w:tc>
      </w:tr>
      <w:tr>
        <w:trPr>
          <w:trHeight w:val="216"/>
        </w:trPr>
        <w:tc>
          <w:tcPr>
            <w:tcW w:w="2880" w:type="dxa"/>
            <w:vAlign w:val="bottom"/>
          </w:tcPr>
          <w:p>
            <w:pPr>
              <w:spacing w:after="0"/>
              <w:rPr>
                <w:sz w:val="18"/>
                <w:szCs w:val="18"/>
                <w:color w:val="auto"/>
              </w:rPr>
            </w:pP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principal amount of notes being redeemed plus accrued and unpaid interest thereon to the</w:t>
            </w:r>
          </w:p>
        </w:tc>
      </w:tr>
      <w:tr>
        <w:trPr>
          <w:trHeight w:val="234"/>
        </w:trPr>
        <w:tc>
          <w:tcPr>
            <w:tcW w:w="2880" w:type="dxa"/>
            <w:vAlign w:val="bottom"/>
          </w:tcPr>
          <w:p>
            <w:pPr>
              <w:spacing w:after="0"/>
              <w:rPr>
                <w:sz w:val="20"/>
                <w:szCs w:val="20"/>
                <w:color w:val="auto"/>
              </w:rPr>
            </w:pP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redemption date.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March 7, 2023</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March 14, 2023 (T+5)</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882508CC6/US882508CC69</w:t>
            </w:r>
          </w:p>
        </w:tc>
      </w:tr>
      <w:tr>
        <w:trPr>
          <w:trHeight w:val="391"/>
        </w:trPr>
        <w:tc>
          <w:tcPr>
            <w:tcW w:w="288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2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345"/>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Moody’s: Aa3 (stable outlook) S&amp;P: A+ (stable outlook)</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Barclays Capital Inc. BofA Securities, Inc. MUFG Securities Americas Inc.</w:t>
            </w:r>
          </w:p>
        </w:tc>
      </w:tr>
      <w:tr>
        <w:trPr>
          <w:trHeight w:val="364"/>
        </w:trPr>
        <w:tc>
          <w:tcPr>
            <w:tcW w:w="2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I-3</w:t>
            </w:r>
          </w:p>
        </w:tc>
      </w:tr>
    </w:tbl>
    <w:p>
      <w:pPr>
        <w:ind w:left="1220"/>
        <w:spacing w:after="0"/>
        <w:rPr>
          <w:sz w:val="20"/>
          <w:szCs w:val="20"/>
          <w:color w:val="auto"/>
        </w:rPr>
        <w:sectPr>
          <w:pgSz w:w="11900" w:h="16838" w:orient="portrait"/>
          <w:cols w:equalWidth="0" w:num="1">
            <w:col w:w="11000"/>
          </w:cols>
          <w:pgMar w:left="440" w:top="378"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A securities rating is not a recommendation to buy, sell or hold securities and may be subject to revision or withdrawal at any time.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March 14, 2023,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T+5,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BofA Securities, Inc. at 1-800-294-1322 (toll-free) or MUFG Securities Americas Inc. at 1-877-649-6848.</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0920"/>
          </w:cols>
          <w:pgMar w:left="440" w:top="266" w:right="5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4.900% Notes</w:t>
            </w:r>
          </w:p>
        </w:tc>
        <w:tc>
          <w:tcPr>
            <w:tcW w:w="26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5.000% Notes</w:t>
            </w:r>
          </w:p>
        </w:tc>
        <w:tc>
          <w:tcPr>
            <w:tcW w:w="0" w:type="dxa"/>
            <w:vAlign w:val="bottom"/>
          </w:tcPr>
          <w:p>
            <w:pPr>
              <w:spacing w:after="0"/>
              <w:rPr>
                <w:sz w:val="1"/>
                <w:szCs w:val="1"/>
                <w:color w:val="auto"/>
              </w:rPr>
            </w:pPr>
          </w:p>
        </w:tc>
      </w:tr>
      <w:tr>
        <w:trPr>
          <w:trHeight w:val="171"/>
        </w:trPr>
        <w:tc>
          <w:tcPr>
            <w:tcW w:w="8680" w:type="dxa"/>
            <w:vAlign w:val="bottom"/>
            <w:gridSpan w:val="2"/>
            <w:vMerge w:val="continue"/>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due 2033</w:t>
            </w:r>
          </w:p>
        </w:tc>
        <w:tc>
          <w:tcPr>
            <w:tcW w:w="26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due 2053</w:t>
            </w:r>
          </w:p>
        </w:tc>
        <w:tc>
          <w:tcPr>
            <w:tcW w:w="0" w:type="dxa"/>
            <w:vAlign w:val="bottom"/>
          </w:tcPr>
          <w:p>
            <w:pPr>
              <w:spacing w:after="0"/>
              <w:rPr>
                <w:sz w:val="1"/>
                <w:szCs w:val="1"/>
                <w:color w:val="auto"/>
              </w:rPr>
            </w:pPr>
          </w:p>
        </w:tc>
      </w:tr>
      <w:tr>
        <w:trPr>
          <w:trHeight w:val="209"/>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$250,000,000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$216,668,000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$250,000,000</w:t>
            </w:r>
          </w:p>
        </w:tc>
        <w:tc>
          <w:tcPr>
            <w:tcW w:w="13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$216,666,000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$250,000,000</w:t>
            </w:r>
          </w:p>
        </w:tc>
        <w:tc>
          <w:tcPr>
            <w:tcW w:w="132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$216,666,000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750,000,000</w:t>
            </w:r>
          </w:p>
        </w:tc>
        <w:tc>
          <w:tcPr>
            <w:tcW w:w="13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650,000,000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16" w:name="page17"/>
    <w:bookmarkEnd w:id="16"/>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TO UNDERWRITING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Schedule I.</w:t>
      </w:r>
    </w:p>
    <w:p>
      <w:pPr>
        <w:spacing w:after="0" w:line="1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9579"/>
          </w:cols>
          <w:pgMar w:left="880" w:top="266" w:right="1440" w:bottom="1440" w:gutter="0" w:footer="0" w:header="0"/>
        </w:sectPr>
      </w:pPr>
    </w:p>
    <w:bookmarkStart w:id="17" w:name="page18"/>
    <w:bookmarkEnd w:id="1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IV</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right="60" w:firstLine="419"/>
        <w:spacing w:after="0" w:line="282" w:lineRule="auto"/>
        <w:tabs>
          <w:tab w:leader="none" w:pos="6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paragraph of text under the caption “Underwriting” in the Prospectus Supplement, concerning the terms offered by the Underwriters;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sixth and seventh paragraphs of text under the caption “Underwriting” in the Prospectus Supplement, concerning short sales, purchases to cover short positions and stabilizing purchases.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IV-1</w:t>
      </w:r>
    </w:p>
    <w:p>
      <w:pPr>
        <w:sectPr>
          <w:pgSz w:w="11900" w:h="16838" w:orient="portrait"/>
          <w:cols w:equalWidth="0" w:num="1">
            <w:col w:w="9900"/>
          </w:cols>
          <w:pgMar w:left="880" w:top="266" w:right="11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Texas Instruments Incorporated Underwriting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Provisions</w:t>
      </w:r>
    </w:p>
    <w:p>
      <w:pPr>
        <w:spacing w:after="0" w:line="20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February 22, 2019</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in one or more offerings on terms determined at the time of sale, the Company proposes to issue and sell (a) its common stock, $1.00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(b) its preferred stock, $25.00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xml:space="preserve"> (c) certain of its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xml:space="preserve"> issuable under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entered into by the Company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(d) warrants to purchase Common Stock, Preferred Stock or Debt Securities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 units consisting of Common Stock, Preferred Stock, Debt Securities or Warrants or any combination thereof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 Common Stock, Preferred Stock, Debt Securities, Warrants and Units are each referred to as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the purposes of this Agreement.</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xml:space="preserve"> specifically relating to the Securities listed on Schedule I hereto (the “</w:t>
      </w:r>
      <w:r>
        <w:rPr>
          <w:rFonts w:ascii="Times New Roman" w:cs="Times New Roman" w:eastAsia="Times New Roman" w:hAnsi="Times New Roman"/>
          <w:sz w:val="18"/>
          <w:szCs w:val="18"/>
          <w:b w:val="1"/>
          <w:b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pursuant to Rule 424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 xml:space="preserve">Registration Statement”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xml:space="preserve"> means the prospectus included in the Registration Statement.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together with the Prospectus Supplement or supplements specifically relating to the Offered Securities, as filed with, or transmitted for filing to, the Commission pursuant to Rule 424.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xml:space="preserve"> means a preliminary prospectus supplement specifically relating to the Offered Securities, together with the Base Prospectus. The term “</w:t>
      </w:r>
      <w:r>
        <w:rPr>
          <w:rFonts w:ascii="Times New Roman" w:cs="Times New Roman" w:eastAsia="Times New Roman" w:hAnsi="Times New Roman"/>
          <w:sz w:val="18"/>
          <w:szCs w:val="18"/>
          <w:b w:val="1"/>
          <w:bCs w:val="1"/>
          <w:color w:val="auto"/>
        </w:rPr>
        <w:t>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prospectus” </w:t>
      </w:r>
      <w:r>
        <w:rPr>
          <w:rFonts w:ascii="Times New Roman" w:cs="Times New Roman" w:eastAsia="Times New Roman" w:hAnsi="Times New Roman"/>
          <w:sz w:val="18"/>
          <w:szCs w:val="18"/>
          <w:color w:val="auto"/>
        </w:rPr>
        <w:t>has the meaning set forth in Rule 405 under the Securities Act. The term “</w:t>
      </w:r>
      <w:r>
        <w:rPr>
          <w:rFonts w:ascii="Times New Roman" w:cs="Times New Roman" w:eastAsia="Times New Roman" w:hAnsi="Times New Roman"/>
          <w:sz w:val="18"/>
          <w:szCs w:val="18"/>
          <w:b w:val="1"/>
          <w:bCs w:val="1"/>
          <w:color w:val="auto"/>
        </w:rPr>
        <w:t xml:space="preserve">issuer free writing prospectus” </w:t>
      </w:r>
      <w:r>
        <w:rPr>
          <w:rFonts w:ascii="Times New Roman" w:cs="Times New Roman" w:eastAsia="Times New Roman" w:hAnsi="Times New Roman"/>
          <w:sz w:val="18"/>
          <w:szCs w:val="18"/>
          <w:color w:val="auto"/>
        </w:rPr>
        <w:t>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433 under the Securities Act. The term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xml:space="preserve"> means the Base Prospectus and preliminary prospectus, if any, together with any additional documents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9" w:name="page20"/>
    <w:bookmarkEnd w:id="1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xml:space="preserve"> means the time and date set forth in the Underwriting Agreement or such other time as agreed in writing by the Company and the Manager.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obligations of the Underwriters hereunder are subject to the following conditions:</w:t>
      </w:r>
    </w:p>
    <w:p>
      <w:pPr>
        <w:spacing w:after="0" w:line="117" w:lineRule="exact"/>
        <w:rPr>
          <w:sz w:val="20"/>
          <w:szCs w:val="20"/>
          <w:color w:val="auto"/>
        </w:rPr>
      </w:pPr>
    </w:p>
    <w:p>
      <w:pPr>
        <w:ind w:left="440" w:right="80" w:firstLine="419"/>
        <w:spacing w:after="0" w:line="254"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0" w:name="page21"/>
    <w:bookmarkEnd w:id="20"/>
    <w:p>
      <w:pPr>
        <w:ind w:right="540" w:firstLine="419"/>
        <w:spacing w:after="0" w:line="282"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53"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1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the State of Delaware.</w:t>
      </w:r>
    </w:p>
    <w:p>
      <w:pPr>
        <w:spacing w:after="0" w:line="53" w:lineRule="exact"/>
        <w:rPr>
          <w:rFonts w:ascii="Times New Roman" w:cs="Times New Roman" w:eastAsia="Times New Roman" w:hAnsi="Times New Roman"/>
          <w:sz w:val="18"/>
          <w:szCs w:val="18"/>
          <w:color w:val="auto"/>
        </w:rPr>
      </w:pPr>
    </w:p>
    <w:p>
      <w:pPr>
        <w:jc w:val="both"/>
        <w:ind w:left="540" w:right="60" w:firstLine="408"/>
        <w:spacing w:after="0" w:line="266" w:lineRule="auto"/>
        <w:tabs>
          <w:tab w:leader="none" w:pos="12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67"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2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proceedings for a stop order are pending or threatened by the Commission with respect to the Registration Statement.</w:t>
      </w:r>
    </w:p>
    <w:p>
      <w:pPr>
        <w:spacing w:after="0" w:line="53" w:lineRule="exact"/>
        <w:rPr>
          <w:rFonts w:ascii="Times New Roman" w:cs="Times New Roman" w:eastAsia="Times New Roman" w:hAnsi="Times New Roman"/>
          <w:sz w:val="18"/>
          <w:szCs w:val="18"/>
          <w:color w:val="auto"/>
        </w:rPr>
      </w:pPr>
    </w:p>
    <w:p>
      <w:pPr>
        <w:ind w:left="540" w:right="180" w:firstLine="408"/>
        <w:spacing w:after="0" w:line="266" w:lineRule="auto"/>
        <w:tabs>
          <w:tab w:leader="none" w:pos="12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and, as applicable, the Indenture, the Offered Securities, the Warrant Agreement and the Unit Agreement (each, a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xml:space="preserve"> and the performance by the Company of its obligations thereunder will not conflict with, constitute a default under or violate:</w:t>
      </w:r>
    </w:p>
    <w:p>
      <w:pPr>
        <w:spacing w:after="0" w:line="67"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conditions or provisions of the Certificate of Incorporation or by-laws of the Company; or</w:t>
      </w:r>
    </w:p>
    <w:p>
      <w:pPr>
        <w:spacing w:after="0" w:line="117" w:lineRule="exact"/>
        <w:rPr>
          <w:rFonts w:ascii="Times New Roman" w:cs="Times New Roman" w:eastAsia="Times New Roman" w:hAnsi="Times New Roman"/>
          <w:sz w:val="18"/>
          <w:szCs w:val="18"/>
          <w:color w:val="auto"/>
        </w:rPr>
      </w:pPr>
    </w:p>
    <w:p>
      <w:pPr>
        <w:ind w:left="980" w:firstLine="391"/>
        <w:spacing w:after="0" w:line="261" w:lineRule="auto"/>
        <w:tabs>
          <w:tab w:leader="none" w:pos="164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1" w:lineRule="exact"/>
        <w:rPr>
          <w:rFonts w:ascii="Times New Roman" w:cs="Times New Roman" w:eastAsia="Times New Roman" w:hAnsi="Times New Roman"/>
          <w:sz w:val="18"/>
          <w:szCs w:val="18"/>
          <w:color w:val="auto"/>
        </w:rPr>
      </w:pPr>
    </w:p>
    <w:p>
      <w:pPr>
        <w:ind w:left="540" w:right="300" w:firstLine="408"/>
        <w:spacing w:after="0" w:line="261" w:lineRule="auto"/>
        <w:tabs>
          <w:tab w:leader="none" w:pos="11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21" w:name="page22"/>
    <w:bookmarkEnd w:id="21"/>
    <w:p>
      <w:pPr>
        <w:ind w:left="-20" w:firstLine="408"/>
        <w:spacing w:after="0" w:line="258" w:lineRule="auto"/>
        <w:tabs>
          <w:tab w:leader="none" w:pos="6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75" w:lineRule="exact"/>
        <w:rPr>
          <w:rFonts w:ascii="Times New Roman" w:cs="Times New Roman" w:eastAsia="Times New Roman" w:hAnsi="Times New Roman"/>
          <w:sz w:val="18"/>
          <w:szCs w:val="18"/>
          <w:color w:val="auto"/>
        </w:rPr>
      </w:pPr>
    </w:p>
    <w:p>
      <w:pPr>
        <w:ind w:left="-20" w:right="120" w:firstLine="408"/>
        <w:spacing w:after="0" w:line="258" w:lineRule="auto"/>
        <w:tabs>
          <w:tab w:leader="none" w:pos="7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75" w:lineRule="exact"/>
        <w:rPr>
          <w:rFonts w:ascii="Times New Roman" w:cs="Times New Roman" w:eastAsia="Times New Roman" w:hAnsi="Times New Roman"/>
          <w:sz w:val="18"/>
          <w:szCs w:val="18"/>
          <w:color w:val="auto"/>
        </w:rPr>
      </w:pPr>
    </w:p>
    <w:p>
      <w:pPr>
        <w:ind w:left="-20" w:right="80" w:firstLine="408"/>
        <w:spacing w:after="0" w:line="282" w:lineRule="auto"/>
        <w:tabs>
          <w:tab w:leader="none" w:pos="7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53" w:lineRule="exact"/>
        <w:rPr>
          <w:rFonts w:ascii="Times New Roman" w:cs="Times New Roman" w:eastAsia="Times New Roman" w:hAnsi="Times New Roman"/>
          <w:sz w:val="18"/>
          <w:szCs w:val="18"/>
          <w:color w:val="auto"/>
        </w:rPr>
      </w:pPr>
    </w:p>
    <w:p>
      <w:pPr>
        <w:ind w:left="420" w:right="80" w:firstLine="391"/>
        <w:spacing w:after="0" w:line="256" w:lineRule="auto"/>
        <w:tabs>
          <w:tab w:leader="none" w:pos="10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79" w:lineRule="exact"/>
        <w:rPr>
          <w:rFonts w:ascii="Times New Roman" w:cs="Times New Roman" w:eastAsia="Times New Roman" w:hAnsi="Times New Roman"/>
          <w:sz w:val="18"/>
          <w:szCs w:val="18"/>
          <w:color w:val="auto"/>
        </w:rPr>
      </w:pPr>
    </w:p>
    <w:p>
      <w:pPr>
        <w:ind w:left="420" w:right="20" w:firstLine="391"/>
        <w:spacing w:after="0" w:line="261" w:lineRule="auto"/>
        <w:tabs>
          <w:tab w:leader="none" w:pos="10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2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40" w:top="270" w:right="459" w:bottom="1440" w:gutter="0" w:footer="0" w:header="0"/>
        </w:sectPr>
      </w:pPr>
    </w:p>
    <w:bookmarkStart w:id="22" w:name="page23"/>
    <w:bookmarkEnd w:id="22"/>
    <w:p>
      <w:pPr>
        <w:ind w:left="980" w:right="180" w:firstLine="391"/>
        <w:spacing w:after="0" w:line="261" w:lineRule="auto"/>
        <w:tabs>
          <w:tab w:leader="none" w:pos="164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1" w:lineRule="exact"/>
        <w:rPr>
          <w:rFonts w:ascii="Times New Roman" w:cs="Times New Roman" w:eastAsia="Times New Roman" w:hAnsi="Times New Roman"/>
          <w:sz w:val="18"/>
          <w:szCs w:val="18"/>
          <w:color w:val="auto"/>
        </w:rPr>
      </w:pPr>
    </w:p>
    <w:p>
      <w:pPr>
        <w:ind w:left="980" w:right="60" w:firstLine="391"/>
        <w:spacing w:after="0" w:line="261" w:lineRule="auto"/>
        <w:tabs>
          <w:tab w:leader="none" w:pos="165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right="720" w:firstLine="419"/>
        <w:spacing w:after="0" w:line="282" w:lineRule="auto"/>
        <w:tabs>
          <w:tab w:leader="none" w:pos="6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Davis Polk &amp; Wardwell LLP, special outside counsel to the Company, dated the Closing Date, to the effect (as applicable) that:</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15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Offered Securities:</w:t>
      </w:r>
    </w:p>
    <w:p>
      <w:pPr>
        <w:spacing w:after="0" w:line="117" w:lineRule="exact"/>
        <w:rPr>
          <w:rFonts w:ascii="Times New Roman" w:cs="Times New Roman" w:eastAsia="Times New Roman" w:hAnsi="Times New Roman"/>
          <w:sz w:val="18"/>
          <w:szCs w:val="18"/>
          <w:color w:val="auto"/>
        </w:rPr>
      </w:pPr>
    </w:p>
    <w:p>
      <w:pPr>
        <w:ind w:left="980" w:right="40" w:firstLine="391"/>
        <w:spacing w:after="0" w:line="255" w:lineRule="auto"/>
        <w:tabs>
          <w:tab w:leader="none" w:pos="165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23" w:name="page24"/>
    <w:bookmarkEnd w:id="23"/>
    <w:p>
      <w:pPr>
        <w:ind w:left="420" w:right="240" w:firstLine="391"/>
        <w:spacing w:after="0" w:line="282" w:lineRule="auto"/>
        <w:tabs>
          <w:tab w:leader="none" w:pos="10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Indenture has been duly authorized, executed and delivered by the Company and is a valid and binding agreement of the Company enforceable in accordance with its terms, subject to the Enforceability Exceptions; and</w:t>
      </w:r>
    </w:p>
    <w:p>
      <w:pPr>
        <w:spacing w:after="0" w:line="53"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qualified under the Trust Indenture Act of 1939.</w:t>
      </w:r>
    </w:p>
    <w:p>
      <w:pPr>
        <w:spacing w:after="0" w:line="117"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w:t>
      </w:r>
    </w:p>
    <w:p>
      <w:pPr>
        <w:spacing w:after="0" w:line="117" w:lineRule="exact"/>
        <w:rPr>
          <w:rFonts w:ascii="Times New Roman" w:cs="Times New Roman" w:eastAsia="Times New Roman" w:hAnsi="Times New Roman"/>
          <w:sz w:val="18"/>
          <w:szCs w:val="18"/>
          <w:color w:val="auto"/>
        </w:rPr>
      </w:pPr>
    </w:p>
    <w:p>
      <w:pPr>
        <w:ind w:left="420" w:firstLine="391"/>
        <w:spacing w:after="0" w:line="261" w:lineRule="auto"/>
        <w:tabs>
          <w:tab w:leader="none" w:pos="10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1" w:lineRule="exact"/>
        <w:rPr>
          <w:rFonts w:ascii="Times New Roman" w:cs="Times New Roman" w:eastAsia="Times New Roman" w:hAnsi="Times New Roman"/>
          <w:sz w:val="18"/>
          <w:szCs w:val="18"/>
          <w:color w:val="auto"/>
        </w:rPr>
      </w:pPr>
    </w:p>
    <w:p>
      <w:pPr>
        <w:ind w:left="420" w:right="180" w:firstLine="391"/>
        <w:spacing w:after="0" w:line="282" w:lineRule="auto"/>
        <w:tabs>
          <w:tab w:leader="none" w:pos="10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53"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Units are Offered Securities:</w:t>
      </w:r>
    </w:p>
    <w:p>
      <w:pPr>
        <w:spacing w:after="0" w:line="117" w:lineRule="exact"/>
        <w:rPr>
          <w:rFonts w:ascii="Times New Roman" w:cs="Times New Roman" w:eastAsia="Times New Roman" w:hAnsi="Times New Roman"/>
          <w:sz w:val="18"/>
          <w:szCs w:val="18"/>
          <w:color w:val="auto"/>
        </w:rPr>
      </w:pPr>
    </w:p>
    <w:p>
      <w:pPr>
        <w:ind w:left="420" w:right="100" w:firstLine="391"/>
        <w:spacing w:after="0" w:line="261" w:lineRule="auto"/>
        <w:tabs>
          <w:tab w:leader="none" w:pos="10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1" w:lineRule="exact"/>
        <w:rPr>
          <w:rFonts w:ascii="Times New Roman" w:cs="Times New Roman" w:eastAsia="Times New Roman" w:hAnsi="Times New Roman"/>
          <w:sz w:val="18"/>
          <w:szCs w:val="18"/>
          <w:color w:val="auto"/>
        </w:rPr>
      </w:pPr>
    </w:p>
    <w:p>
      <w:pPr>
        <w:ind w:left="420" w:right="440" w:firstLine="391"/>
        <w:spacing w:after="0" w:line="282" w:lineRule="auto"/>
        <w:tabs>
          <w:tab w:leader="none" w:pos="10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53"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20" w:right="260" w:firstLine="408"/>
        <w:spacing w:after="0" w:line="266" w:lineRule="auto"/>
        <w:tabs>
          <w:tab w:leader="none" w:pos="6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67" w:lineRule="exact"/>
        <w:rPr>
          <w:rFonts w:ascii="Times New Roman" w:cs="Times New Roman" w:eastAsia="Times New Roman" w:hAnsi="Times New Roman"/>
          <w:sz w:val="18"/>
          <w:szCs w:val="18"/>
          <w:color w:val="auto"/>
        </w:rPr>
      </w:pPr>
    </w:p>
    <w:p>
      <w:pPr>
        <w:ind w:left="-20" w:right="240" w:firstLine="408"/>
        <w:spacing w:after="0" w:line="282" w:lineRule="auto"/>
        <w:tabs>
          <w:tab w:leader="none" w:pos="7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00"/>
          </w:cols>
          <w:pgMar w:left="1440" w:top="270" w:right="459" w:bottom="1440" w:gutter="0" w:footer="0" w:header="0"/>
        </w:sectPr>
      </w:pPr>
    </w:p>
    <w:bookmarkStart w:id="24" w:name="page25"/>
    <w:bookmarkEnd w:id="24"/>
    <w:p>
      <w:pPr>
        <w:ind w:left="-20" w:right="120" w:firstLine="408"/>
        <w:spacing w:after="0" w:line="286" w:lineRule="auto"/>
        <w:tabs>
          <w:tab w:leader="none" w:pos="7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Offered Securities that are convertible into or exercisable or exchangeable for other Securities (the “</w:t>
      </w:r>
      <w:r>
        <w:rPr>
          <w:rFonts w:ascii="Times New Roman" w:cs="Times New Roman" w:eastAsia="Times New Roman" w:hAnsi="Times New Roman"/>
          <w:sz w:val="18"/>
          <w:szCs w:val="18"/>
          <w:b w:val="1"/>
          <w:bCs w:val="1"/>
          <w:color w:val="auto"/>
        </w:rPr>
        <w:t>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Underlying Securities have been duly authorized and reserved for issuance.</w:t>
      </w:r>
    </w:p>
    <w:p>
      <w:pPr>
        <w:spacing w:after="0" w:line="50" w:lineRule="exact"/>
        <w:rPr>
          <w:rFonts w:ascii="Times New Roman" w:cs="Times New Roman" w:eastAsia="Times New Roman" w:hAnsi="Times New Roman"/>
          <w:sz w:val="18"/>
          <w:szCs w:val="18"/>
          <w:color w:val="auto"/>
        </w:rPr>
      </w:pPr>
    </w:p>
    <w:p>
      <w:pPr>
        <w:jc w:val="both"/>
        <w:ind w:left="-20" w:right="160" w:firstLine="408"/>
        <w:spacing w:after="0" w:line="266" w:lineRule="auto"/>
        <w:tabs>
          <w:tab w:leader="none" w:pos="6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67" w:lineRule="exact"/>
        <w:rPr>
          <w:rFonts w:ascii="Times New Roman" w:cs="Times New Roman" w:eastAsia="Times New Roman" w:hAnsi="Times New Roman"/>
          <w:sz w:val="18"/>
          <w:szCs w:val="18"/>
          <w:color w:val="auto"/>
        </w:rPr>
      </w:pPr>
    </w:p>
    <w:p>
      <w:pPr>
        <w:ind w:left="-20" w:firstLine="408"/>
        <w:spacing w:after="0" w:line="266"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20" w:right="80" w:firstLine="408"/>
        <w:spacing w:after="0" w:line="261" w:lineRule="auto"/>
        <w:tabs>
          <w:tab w:leader="none" w:pos="6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71" w:lineRule="exact"/>
        <w:rPr>
          <w:rFonts w:ascii="Times New Roman" w:cs="Times New Roman" w:eastAsia="Times New Roman" w:hAnsi="Times New Roman"/>
          <w:sz w:val="18"/>
          <w:szCs w:val="18"/>
          <w:color w:val="auto"/>
        </w:rPr>
      </w:pPr>
    </w:p>
    <w:p>
      <w:pPr>
        <w:ind w:left="-20" w:right="120" w:firstLine="408"/>
        <w:spacing w:after="0" w:line="282" w:lineRule="auto"/>
        <w:tabs>
          <w:tab w:leader="none" w:pos="7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53" w:lineRule="exact"/>
        <w:rPr>
          <w:rFonts w:ascii="Times New Roman" w:cs="Times New Roman" w:eastAsia="Times New Roman" w:hAnsi="Times New Roman"/>
          <w:sz w:val="18"/>
          <w:szCs w:val="18"/>
          <w:color w:val="auto"/>
        </w:rPr>
      </w:pPr>
    </w:p>
    <w:p>
      <w:pPr>
        <w:ind w:left="420" w:right="140" w:firstLine="391"/>
        <w:spacing w:after="0" w:line="256" w:lineRule="auto"/>
        <w:tabs>
          <w:tab w:leader="none" w:pos="10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66" w:right="459" w:bottom="1440" w:gutter="0" w:footer="0" w:header="0"/>
        </w:sectPr>
      </w:pPr>
    </w:p>
    <w:bookmarkStart w:id="25" w:name="page26"/>
    <w:bookmarkEnd w:id="25"/>
    <w:p>
      <w:pPr>
        <w:ind w:left="1420" w:right="180" w:firstLine="391"/>
        <w:spacing w:after="0" w:line="261" w:lineRule="auto"/>
        <w:tabs>
          <w:tab w:leader="none" w:pos="208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1" w:lineRule="exact"/>
        <w:rPr>
          <w:rFonts w:ascii="Times New Roman" w:cs="Times New Roman" w:eastAsia="Times New Roman" w:hAnsi="Times New Roman"/>
          <w:sz w:val="18"/>
          <w:szCs w:val="18"/>
          <w:color w:val="auto"/>
        </w:rPr>
      </w:pPr>
    </w:p>
    <w:p>
      <w:pPr>
        <w:ind w:left="1420" w:firstLine="391"/>
        <w:spacing w:after="0" w:line="261" w:lineRule="auto"/>
        <w:tabs>
          <w:tab w:leader="none" w:pos="208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7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the Indenture, and the Offered Securities will not contravene any provision of applicable law.</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its own counsel, in a form acceptable to the Manager, dated the Closing Date.</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It is understood that the general counsel of the Company may rely as to all matters relating to the laws of the State of New York upon the opinion of Davis Polk &amp; Wardwell LLP.</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75" w:lineRule="exact"/>
        <w:rPr>
          <w:sz w:val="20"/>
          <w:szCs w:val="20"/>
          <w:color w:val="auto"/>
        </w:rPr>
      </w:pPr>
    </w:p>
    <w:p>
      <w:pPr>
        <w:ind w:left="440" w:right="100" w:firstLine="419"/>
        <w:spacing w:after="0" w:line="261"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6" w:name="page27"/>
    <w:bookmarkEnd w:id="26"/>
    <w:p>
      <w:pPr>
        <w:jc w:val="both"/>
        <w:ind w:left="440" w:right="260" w:firstLine="419"/>
        <w:spacing w:after="0" w:line="281" w:lineRule="auto"/>
        <w:tabs>
          <w:tab w:leader="none" w:pos="108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56" w:lineRule="exact"/>
        <w:rPr>
          <w:rFonts w:ascii="Times New Roman" w:cs="Times New Roman" w:eastAsia="Times New Roman" w:hAnsi="Times New Roman"/>
          <w:sz w:val="17"/>
          <w:szCs w:val="17"/>
          <w:color w:val="auto"/>
        </w:rPr>
      </w:pPr>
    </w:p>
    <w:p>
      <w:pPr>
        <w:ind w:left="440" w:right="100" w:firstLine="419"/>
        <w:spacing w:after="0" w:line="261"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440" w:right="20" w:firstLine="419"/>
        <w:spacing w:after="0" w:line="266"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filing, using or referring to any free writing prospectus relating to the Offered Securities, to furnish the Manager a copy of each such free writing prospectus.</w:t>
      </w:r>
    </w:p>
    <w:p>
      <w:pPr>
        <w:spacing w:after="0" w:line="53" w:lineRule="exact"/>
        <w:rPr>
          <w:rFonts w:ascii="Times New Roman" w:cs="Times New Roman" w:eastAsia="Times New Roman" w:hAnsi="Times New Roman"/>
          <w:sz w:val="18"/>
          <w:szCs w:val="18"/>
          <w:color w:val="auto"/>
        </w:rPr>
      </w:pPr>
    </w:p>
    <w:p>
      <w:pPr>
        <w:jc w:val="both"/>
        <w:ind w:left="440" w:right="80" w:firstLine="419"/>
        <w:spacing w:after="0" w:line="266"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left="440" w:right="560" w:firstLine="419"/>
        <w:spacing w:after="0" w:line="266"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7" w:name="page28"/>
    <w:bookmarkEnd w:id="2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81" w:lineRule="exact"/>
        <w:rPr>
          <w:sz w:val="20"/>
          <w:szCs w:val="20"/>
          <w:color w:val="auto"/>
        </w:rPr>
      </w:pPr>
    </w:p>
    <w:p>
      <w:pPr>
        <w:ind w:firstLine="419"/>
        <w:spacing w:after="0" w:line="253"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83" w:lineRule="exact"/>
        <w:rPr>
          <w:rFonts w:ascii="Times New Roman" w:cs="Times New Roman" w:eastAsia="Times New Roman" w:hAnsi="Times New Roman"/>
          <w:sz w:val="18"/>
          <w:szCs w:val="18"/>
          <w:color w:val="auto"/>
        </w:rPr>
      </w:pPr>
    </w:p>
    <w:p>
      <w:pPr>
        <w:ind w:right="280" w:firstLine="419"/>
        <w:spacing w:after="0" w:line="312" w:lineRule="auto"/>
        <w:tabs>
          <w:tab w:leader="none" w:pos="67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31" w:lineRule="exact"/>
        <w:rPr>
          <w:rFonts w:ascii="Times New Roman" w:cs="Times New Roman" w:eastAsia="Times New Roman" w:hAnsi="Times New Roman"/>
          <w:sz w:val="17"/>
          <w:szCs w:val="17"/>
          <w:color w:val="auto"/>
        </w:rPr>
      </w:pPr>
    </w:p>
    <w:p>
      <w:pPr>
        <w:ind w:firstLine="419"/>
        <w:spacing w:after="0" w:line="261"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00"/>
          </w:cols>
          <w:pgMar w:left="880" w:top="270" w:right="519" w:bottom="1440" w:gutter="0" w:footer="0" w:header="0"/>
        </w:sectPr>
      </w:pPr>
    </w:p>
    <w:bookmarkStart w:id="28" w:name="page29"/>
    <w:bookmarkEnd w:id="28"/>
    <w:p>
      <w:pPr>
        <w:ind w:right="160" w:firstLine="419"/>
        <w:spacing w:after="0" w:line="261" w:lineRule="auto"/>
        <w:tabs>
          <w:tab w:leader="none" w:pos="6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1" w:lineRule="exact"/>
        <w:rPr>
          <w:rFonts w:ascii="Times New Roman" w:cs="Times New Roman" w:eastAsia="Times New Roman" w:hAnsi="Times New Roman"/>
          <w:sz w:val="18"/>
          <w:szCs w:val="18"/>
          <w:color w:val="auto"/>
        </w:rPr>
      </w:pPr>
    </w:p>
    <w:p>
      <w:pPr>
        <w:ind w:right="260" w:firstLine="419"/>
        <w:spacing w:after="0" w:line="261" w:lineRule="auto"/>
        <w:tabs>
          <w:tab w:leader="none" w:pos="6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1"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29" w:name="page30"/>
    <w:bookmarkEnd w:id="29"/>
    <w:p>
      <w:pPr>
        <w:ind w:left="440" w:right="20" w:firstLine="419"/>
        <w:spacing w:after="0" w:line="253" w:lineRule="auto"/>
        <w:tabs>
          <w:tab w:leader="none" w:pos="11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spacing w:after="0" w:line="5" w:lineRule="exact"/>
        <w:rPr>
          <w:rFonts w:ascii="Times New Roman" w:cs="Times New Roman" w:eastAsia="Times New Roman" w:hAnsi="Times New Roman"/>
          <w:sz w:val="18"/>
          <w:szCs w:val="18"/>
          <w:color w:val="auto"/>
        </w:rPr>
      </w:pPr>
    </w:p>
    <w:p>
      <w:pPr>
        <w:ind w:left="440" w:right="40" w:hanging="4"/>
        <w:spacing w:after="0" w:line="251"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left="440" w:firstLine="419"/>
        <w:spacing w:after="0" w:line="281" w:lineRule="auto"/>
        <w:tabs>
          <w:tab w:leader="none" w:pos="11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0" w:name="page31"/>
    <w:bookmarkEnd w:id="30"/>
    <w:p>
      <w:pPr>
        <w:ind w:firstLine="419"/>
        <w:spacing w:after="0" w:line="252"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81" w:lineRule="exact"/>
        <w:rPr>
          <w:rFonts w:ascii="Times New Roman" w:cs="Times New Roman" w:eastAsia="Times New Roman" w:hAnsi="Times New Roman"/>
          <w:sz w:val="18"/>
          <w:szCs w:val="18"/>
          <w:color w:val="auto"/>
        </w:rPr>
      </w:pPr>
    </w:p>
    <w:p>
      <w:pPr>
        <w:ind w:right="60" w:firstLine="419"/>
        <w:spacing w:after="0" w:line="258" w:lineRule="auto"/>
        <w:tabs>
          <w:tab w:leader="none" w:pos="6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31" w:name="page32"/>
    <w:bookmarkEnd w:id="3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72" w:lineRule="exact"/>
        <w:rPr>
          <w:sz w:val="20"/>
          <w:szCs w:val="20"/>
          <w:color w:val="auto"/>
        </w:rPr>
      </w:pPr>
    </w:p>
    <w:p>
      <w:pPr>
        <w:ind w:firstLine="419"/>
        <w:spacing w:after="0" w:line="258" w:lineRule="auto"/>
        <w:tabs>
          <w:tab w:leader="none" w:pos="6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5" w:lineRule="exact"/>
        <w:rPr>
          <w:rFonts w:ascii="Times New Roman" w:cs="Times New Roman" w:eastAsia="Times New Roman" w:hAnsi="Times New Roman"/>
          <w:sz w:val="18"/>
          <w:szCs w:val="18"/>
          <w:color w:val="auto"/>
        </w:rPr>
      </w:pPr>
    </w:p>
    <w:p>
      <w:pPr>
        <w:ind w:right="260" w:firstLine="419"/>
        <w:spacing w:after="0" w:line="266" w:lineRule="auto"/>
        <w:tabs>
          <w:tab w:leader="none" w:pos="6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7" w:lineRule="exact"/>
        <w:rPr>
          <w:rFonts w:ascii="Times New Roman" w:cs="Times New Roman" w:eastAsia="Times New Roman" w:hAnsi="Times New Roman"/>
          <w:sz w:val="18"/>
          <w:szCs w:val="18"/>
          <w:color w:val="auto"/>
        </w:rPr>
      </w:pPr>
    </w:p>
    <w:p>
      <w:pPr>
        <w:ind w:right="20" w:firstLine="419"/>
        <w:spacing w:after="0" w:line="256"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79"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32" w:name="page33"/>
    <w:bookmarkEnd w:id="32"/>
    <w:p>
      <w:pPr>
        <w:ind w:left="4" w:right="240" w:firstLine="419"/>
        <w:spacing w:after="0" w:line="272" w:lineRule="auto"/>
        <w:tabs>
          <w:tab w:leader="none" w:pos="68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1" w:lineRule="exact"/>
        <w:rPr>
          <w:rFonts w:ascii="Times New Roman" w:cs="Times New Roman" w:eastAsia="Times New Roman" w:hAnsi="Times New Roman"/>
          <w:sz w:val="17"/>
          <w:szCs w:val="17"/>
          <w:color w:val="auto"/>
        </w:rPr>
      </w:pPr>
    </w:p>
    <w:p>
      <w:pPr>
        <w:ind w:left="4" w:right="160" w:hanging="4"/>
        <w:spacing w:after="0" w:line="260"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7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4" w:firstLine="419"/>
        <w:spacing w:after="0" w:line="255" w:lineRule="auto"/>
        <w:tabs>
          <w:tab w:leader="none" w:pos="6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6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67" w:lineRule="exact"/>
        <w:rPr>
          <w:rFonts w:ascii="Times New Roman" w:cs="Times New Roman" w:eastAsia="Times New Roman" w:hAnsi="Times New Roman"/>
          <w:sz w:val="18"/>
          <w:szCs w:val="18"/>
          <w:color w:val="auto"/>
        </w:rPr>
      </w:pPr>
    </w:p>
    <w:p>
      <w:pPr>
        <w:ind w:left="4" w:right="280" w:firstLine="419"/>
        <w:spacing w:after="0" w:line="266" w:lineRule="auto"/>
        <w:tabs>
          <w:tab w:leader="none" w:pos="7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33" w:name="page34"/>
    <w:bookmarkEnd w:id="33"/>
    <w:p>
      <w:pPr>
        <w:ind w:left="440" w:right="40" w:firstLine="419"/>
        <w:spacing w:after="0" w:line="258"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75"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34" w:name="page35"/>
    <w:bookmarkEnd w:id="34"/>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76"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either of the two preceding paragraphs,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2"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w:t>
      </w:r>
    </w:p>
    <w:p>
      <w:pPr>
        <w:spacing w:after="0" w:line="3" w:lineRule="exact"/>
        <w:rPr>
          <w:sz w:val="20"/>
          <w:szCs w:val="20"/>
          <w:color w:val="auto"/>
        </w:rPr>
      </w:pPr>
    </w:p>
    <w:p>
      <w:pPr>
        <w:ind w:left="4" w:right="400" w:hanging="4"/>
        <w:spacing w:after="0" w:line="260"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allocation provided by clause (i) above is not permitted by applicable law, such proportion as is appropriate to reflect not only the relative benefits referred to in clause (i) above but also the relative fault of the Company on the one hand and of the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35" w:name="page36"/>
    <w:bookmarkEnd w:id="3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Company herein contained, each Underwriter severally covenants as follows:</w:t>
      </w:r>
    </w:p>
    <w:p>
      <w:pPr>
        <w:spacing w:after="0" w:line="225" w:lineRule="exact"/>
        <w:rPr>
          <w:sz w:val="20"/>
          <w:szCs w:val="20"/>
          <w:color w:val="auto"/>
        </w:rPr>
      </w:pPr>
    </w:p>
    <w:p>
      <w:pPr>
        <w:ind w:left="440" w:right="140" w:firstLine="419"/>
        <w:spacing w:after="0" w:line="266" w:lineRule="auto"/>
        <w:tabs>
          <w:tab w:leader="none" w:pos="11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IX.</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37" w:name="page38"/>
    <w:bookmarkEnd w:id="37"/>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8" w:name="page39"/>
    <w:bookmarkEnd w:id="3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75" w:lineRule="exact"/>
        <w:rPr>
          <w:sz w:val="20"/>
          <w:szCs w:val="20"/>
          <w:color w:val="auto"/>
        </w:rPr>
      </w:pPr>
    </w:p>
    <w:p>
      <w:pPr>
        <w:ind w:left="1100" w:hanging="241"/>
        <w:spacing w:after="0"/>
        <w:tabs>
          <w:tab w:leader="none" w:pos="11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1841(k);</w:t>
      </w:r>
    </w:p>
    <w:p>
      <w:pPr>
        <w:spacing w:after="0" w:line="98"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Agreement may be signed in any number of counterparts, each of which shall be an original, with the same effect as if the signatures thereto and hereto were upon the same instrument.</w:t>
      </w:r>
    </w:p>
    <w:p>
      <w:pPr>
        <w:spacing w:after="0" w:line="162"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21</w:t>
      </w:r>
    </w:p>
    <w:p>
      <w:pPr>
        <w:sectPr>
          <w:pgSz w:w="11900" w:h="16838" w:orient="portrait"/>
          <w:cols w:equalWidth="0" w:num="1">
            <w:col w:w="11000"/>
          </w:cols>
          <w:pgMar w:left="440" w:top="270" w:right="4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TEXAS INSTRUMENTS INCORPORATED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OFFICERS’ CERTIFICATE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March 14, 2023</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Reference is made to the Indenture dated as of May 23, 2011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by and between Texas Instruments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and U.S. Bank Trust Company, National Association, as successor in interest to U.S. Bank</w:t>
      </w:r>
    </w:p>
    <w:p>
      <w:pPr>
        <w:spacing w:after="0"/>
        <w:rPr>
          <w:sz w:val="20"/>
          <w:szCs w:val="20"/>
          <w:color w:val="auto"/>
        </w:rPr>
      </w:pPr>
      <w:r>
        <w:rPr>
          <w:rFonts w:ascii="Times New Roman" w:cs="Times New Roman" w:eastAsia="Times New Roman" w:hAnsi="Times New Roman"/>
          <w:sz w:val="21"/>
          <w:szCs w:val="21"/>
          <w:color w:val="auto"/>
        </w:rPr>
        <w:t>National Association, as trustee (the “</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 The Trustee is the trustee for any and all securities issued under the Indenture.</w:t>
      </w:r>
    </w:p>
    <w:p>
      <w:pPr>
        <w:spacing w:after="0" w:line="231" w:lineRule="auto"/>
        <w:rPr>
          <w:sz w:val="20"/>
          <w:szCs w:val="20"/>
          <w:color w:val="auto"/>
        </w:rPr>
      </w:pPr>
      <w:r>
        <w:rPr>
          <w:rFonts w:ascii="Times New Roman" w:cs="Times New Roman" w:eastAsia="Times New Roman" w:hAnsi="Times New Roman"/>
          <w:sz w:val="22"/>
          <w:szCs w:val="22"/>
          <w:color w:val="auto"/>
        </w:rPr>
        <w:t>Pursuant to Section 2.04(c) of the Indenture, the undersigned officers do hereby certify, in connection with the issuance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$750,000,000 aggregate principal amount of 4.900% Notes due 2033 (the “</w:t>
      </w:r>
      <w:r>
        <w:rPr>
          <w:rFonts w:ascii="Times New Roman" w:cs="Times New Roman" w:eastAsia="Times New Roman" w:hAnsi="Times New Roman"/>
          <w:sz w:val="21"/>
          <w:szCs w:val="21"/>
          <w:b w:val="1"/>
          <w:bCs w:val="1"/>
          <w:color w:val="auto"/>
        </w:rPr>
        <w:t>2033 Notes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and $650,000,000 aggregate principal</w:t>
      </w:r>
    </w:p>
    <w:p>
      <w:pPr>
        <w:spacing w:after="0" w:line="231" w:lineRule="auto"/>
        <w:rPr>
          <w:sz w:val="20"/>
          <w:szCs w:val="20"/>
          <w:color w:val="auto"/>
        </w:rPr>
      </w:pPr>
      <w:r>
        <w:rPr>
          <w:rFonts w:ascii="Times New Roman" w:cs="Times New Roman" w:eastAsia="Times New Roman" w:hAnsi="Times New Roman"/>
          <w:sz w:val="22"/>
          <w:szCs w:val="22"/>
          <w:color w:val="auto"/>
        </w:rPr>
        <w:t>amount of 5.000% Notes due 2053 (the “</w:t>
      </w:r>
      <w:r>
        <w:rPr>
          <w:rFonts w:ascii="Times New Roman" w:cs="Times New Roman" w:eastAsia="Times New Roman" w:hAnsi="Times New Roman"/>
          <w:sz w:val="22"/>
          <w:szCs w:val="22"/>
          <w:b w:val="1"/>
          <w:bCs w:val="1"/>
          <w:color w:val="auto"/>
        </w:rPr>
        <w:t>2053 Notes</w:t>
      </w:r>
      <w:r>
        <w:rPr>
          <w:rFonts w:ascii="Times New Roman" w:cs="Times New Roman" w:eastAsia="Times New Roman" w:hAnsi="Times New Roman"/>
          <w:sz w:val="22"/>
          <w:szCs w:val="22"/>
          <w:color w:val="auto"/>
        </w:rPr>
        <w:t>” and, together with the 2033 Notes,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that (i) the form and</w:t>
      </w:r>
    </w:p>
    <w:p>
      <w:pPr>
        <w:spacing w:after="0" w:line="231" w:lineRule="auto"/>
        <w:rPr>
          <w:sz w:val="20"/>
          <w:szCs w:val="20"/>
          <w:color w:val="auto"/>
        </w:rPr>
      </w:pPr>
      <w:r>
        <w:rPr>
          <w:rFonts w:ascii="Times New Roman" w:cs="Times New Roman" w:eastAsia="Times New Roman" w:hAnsi="Times New Roman"/>
          <w:sz w:val="22"/>
          <w:szCs w:val="22"/>
          <w:color w:val="auto"/>
        </w:rPr>
        <w:t>terms of the Notes have been established pursuant to Section 2.01 and Section 2.03 of the Indenture and comply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 and (ii) the terms of the Notes are as follows: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meanings specified in the Indenture.</w:t>
      </w:r>
    </w:p>
    <w:p>
      <w:pPr>
        <w:sectPr>
          <w:pgSz w:w="11900" w:h="16838" w:orient="portrait"/>
          <w:cols w:equalWidth="0" w:num="1">
            <w:col w:w="11020"/>
          </w:cols>
          <w:pgMar w:left="440" w:top="108" w:right="4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2033 Notes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Title:</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Issuer:</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Trustee, Registrar, Transfer Agent,</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Authenticating Agent, and Paying</w:t>
      </w:r>
    </w:p>
    <w:p>
      <w:pPr>
        <w:ind w:left="120"/>
        <w:spacing w:after="0"/>
        <w:rPr>
          <w:sz w:val="20"/>
          <w:szCs w:val="20"/>
          <w:color w:val="auto"/>
        </w:rPr>
      </w:pPr>
      <w:r>
        <w:rPr>
          <w:rFonts w:ascii="Times New Roman" w:cs="Times New Roman" w:eastAsia="Times New Roman" w:hAnsi="Times New Roman"/>
          <w:sz w:val="22"/>
          <w:szCs w:val="22"/>
          <w:i w:val="1"/>
          <w:iCs w:val="1"/>
          <w:color w:val="auto"/>
        </w:rPr>
        <w:t>Agent:</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Aggregate Principal Amount at</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Maturity:</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Maturity Date:</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Interest:</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Date from which Interest will Accrue:</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Interest Payment Dates:</w:t>
      </w: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Par Call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4.900% Notes due 2033.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 Instruments Incorporated.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U.S. Bank Trust Company, National Association, as successor in interest to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National Association.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$750,000,000.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14, 2033.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4.900% per annum.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14, 2023.</w:t>
      </w:r>
    </w:p>
    <w:p>
      <w:pPr>
        <w:spacing w:after="0" w:line="206"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March 14 and September 14, commencing on September 14, 2023, and on the maturity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14, 2032 (three months before the maturity date).</w:t>
      </w:r>
    </w:p>
    <w:p>
      <w:pPr>
        <w:sectPr>
          <w:pgSz w:w="11900" w:h="16838" w:orient="portrait"/>
          <w:cols w:equalWidth="0" w:num="2">
            <w:col w:w="3380" w:space="460"/>
            <w:col w:w="7180"/>
          </w:cols>
          <w:pgMar w:left="440" w:top="108" w:right="4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1"/>
          <w:szCs w:val="21"/>
          <w:i w:val="1"/>
          <w:iCs w:val="1"/>
          <w:color w:val="auto"/>
        </w:rPr>
        <w:t>Redemption:</w:t>
      </w:r>
    </w:p>
    <w:p>
      <w:pPr>
        <w:spacing w:after="0" w:line="20" w:lineRule="exact"/>
        <w:rPr>
          <w:sz w:val="20"/>
          <w:szCs w:val="20"/>
          <w:color w:val="auto"/>
        </w:rPr>
      </w:pPr>
      <w:r>
        <w:rPr>
          <w:sz w:val="20"/>
          <w:szCs w:val="20"/>
          <w:color w:val="auto"/>
        </w:rPr>
        <w:br w:type="column"/>
      </w:r>
    </w:p>
    <w:p>
      <w:pPr>
        <w:ind w:right="120"/>
        <w:spacing w:after="0" w:line="244" w:lineRule="auto"/>
        <w:rPr>
          <w:sz w:val="20"/>
          <w:szCs w:val="20"/>
          <w:color w:val="auto"/>
        </w:rPr>
      </w:pPr>
      <w:r>
        <w:rPr>
          <w:rFonts w:ascii="Times New Roman" w:cs="Times New Roman" w:eastAsia="Times New Roman" w:hAnsi="Times New Roman"/>
          <w:sz w:val="22"/>
          <w:szCs w:val="22"/>
          <w:color w:val="auto"/>
        </w:rPr>
        <w:t>Prior to the Par Call Date, the 2033 Notes will be redeemable, in whole or in part at any time, or from time to time, at the Issuer’s option, at a “make-whole premium” redemption price calculated by the Issuer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-703580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3000" w:space="720"/>
            <w:col w:w="7120"/>
          </w:cols>
          <w:pgMar w:left="560" w:top="473" w:right="499" w:bottom="1440" w:gutter="0" w:footer="0" w:header="0"/>
        </w:sectPr>
      </w:pPr>
    </w:p>
    <w:p>
      <w:pPr>
        <w:ind w:left="3720"/>
        <w:spacing w:after="0" w:line="235" w:lineRule="auto"/>
        <w:rPr>
          <w:sz w:val="20"/>
          <w:szCs w:val="20"/>
          <w:color w:val="auto"/>
        </w:rPr>
      </w:pPr>
      <w:r>
        <w:rPr>
          <w:rFonts w:ascii="Times New Roman" w:cs="Times New Roman" w:eastAsia="Times New Roman" w:hAnsi="Times New Roman"/>
          <w:sz w:val="22"/>
          <w:szCs w:val="22"/>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and (2) 100% of the principal amount of the 2033 Notes to be redeemed, plus, in either case, accrued and unpaid interest thereon to the redemption date.</w:t>
      </w:r>
    </w:p>
    <w:p>
      <w:pPr>
        <w:spacing w:after="0" w:line="183" w:lineRule="exact"/>
        <w:rPr>
          <w:sz w:val="20"/>
          <w:szCs w:val="20"/>
          <w:color w:val="auto"/>
        </w:rPr>
      </w:pPr>
    </w:p>
    <w:p>
      <w:pPr>
        <w:jc w:val="both"/>
        <w:ind w:left="3720" w:right="100"/>
        <w:spacing w:after="0" w:line="239" w:lineRule="auto"/>
        <w:rPr>
          <w:sz w:val="20"/>
          <w:szCs w:val="20"/>
          <w:color w:val="auto"/>
        </w:rPr>
      </w:pPr>
      <w:r>
        <w:rPr>
          <w:rFonts w:ascii="Times New Roman" w:cs="Times New Roman" w:eastAsia="Times New Roman" w:hAnsi="Times New Roman"/>
          <w:sz w:val="22"/>
          <w:szCs w:val="22"/>
          <w:color w:val="auto"/>
        </w:rPr>
        <w:t>On or after the Par Call Date, the Issuer may redeem the 2033 Notes, in whole or in part, at any time and from time to time, at a redemption price equal to 100% of the principal amount of the 2033 Notes being redeemed plus accrued and unpaid interest thereon to the redemption date.</w:t>
      </w:r>
    </w:p>
    <w:p>
      <w:pPr>
        <w:spacing w:after="0" w:line="180" w:lineRule="exact"/>
        <w:rPr>
          <w:sz w:val="20"/>
          <w:szCs w:val="20"/>
          <w:color w:val="auto"/>
        </w:rPr>
      </w:pPr>
    </w:p>
    <w:p>
      <w:pPr>
        <w:ind w:left="3720" w:right="160"/>
        <w:spacing w:after="0" w:line="239" w:lineRule="auto"/>
        <w:rPr>
          <w:sz w:val="20"/>
          <w:szCs w:val="20"/>
          <w:color w:val="auto"/>
        </w:rPr>
      </w:pPr>
      <w:r>
        <w:rPr>
          <w:rFonts w:ascii="Times New Roman" w:cs="Times New Roman" w:eastAsia="Times New Roman" w:hAnsi="Times New Roman"/>
          <w:sz w:val="22"/>
          <w:szCs w:val="22"/>
          <w:color w:val="auto"/>
        </w:rPr>
        <w:t>The Issuer will deliver to the Trustee at least 15 days prior to the date on which notice of a redemption is mailed to holders of the 2033 Notes (unless a shorter time period shall be acceptable to the Trustee) an Officers’ Certificate stating the aggregate principal amount of 2033 Notes.</w:t>
      </w:r>
    </w:p>
    <w:p>
      <w:pPr>
        <w:spacing w:after="0" w:line="180" w:lineRule="exact"/>
        <w:rPr>
          <w:sz w:val="20"/>
          <w:szCs w:val="20"/>
          <w:color w:val="auto"/>
        </w:rPr>
      </w:pPr>
    </w:p>
    <w:p>
      <w:pPr>
        <w:ind w:left="3720"/>
        <w:spacing w:after="0" w:line="246" w:lineRule="auto"/>
        <w:rPr>
          <w:sz w:val="20"/>
          <w:szCs w:val="20"/>
          <w:color w:val="auto"/>
        </w:rPr>
      </w:pPr>
      <w:r>
        <w:rPr>
          <w:rFonts w:ascii="Times New Roman" w:cs="Times New Roman" w:eastAsia="Times New Roman" w:hAnsi="Times New Roman"/>
          <w:sz w:val="21"/>
          <w:szCs w:val="21"/>
          <w:color w:val="auto"/>
        </w:rPr>
        <w:t>Notice of any redemption will be mailed or electronically delivered (or otherwise transmitted in accordance with the Depositary’s procedures) at least 10 days but not more than 60 days before the redemption date to each Holder of the 2033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ectPr>
          <w:pgSz w:w="11900" w:h="16838" w:orient="portrait"/>
          <w:cols w:equalWidth="0" w:num="1">
            <w:col w:w="10840"/>
          </w:cols>
          <w:pgMar w:left="560" w:top="473" w:right="499" w:bottom="1440" w:gutter="0" w:footer="0" w:header="0"/>
          <w:type w:val="continuous"/>
        </w:sectPr>
      </w:pPr>
    </w:p>
    <w:bookmarkStart w:id="41" w:name="page42"/>
    <w:bookmarkEnd w:id="41"/>
    <w:p>
      <w:pPr>
        <w:ind w:left="384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2033 Notes for redemption will</w:t>
      </w:r>
    </w:p>
    <w:p>
      <w:pPr>
        <w:spacing w:after="0" w:line="1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be made pro rata, by lot or by such other method as the Trustee in its sole</w:t>
      </w:r>
    </w:p>
    <w:p>
      <w:pPr>
        <w:ind w:left="3840"/>
        <w:spacing w:after="0" w:line="230" w:lineRule="auto"/>
        <w:rPr>
          <w:sz w:val="20"/>
          <w:szCs w:val="20"/>
          <w:color w:val="auto"/>
        </w:rPr>
      </w:pPr>
      <w:r>
        <w:rPr>
          <w:rFonts w:ascii="Times New Roman" w:cs="Times New Roman" w:eastAsia="Times New Roman" w:hAnsi="Times New Roman"/>
          <w:sz w:val="22"/>
          <w:szCs w:val="22"/>
          <w:color w:val="auto"/>
        </w:rPr>
        <w:t>discretion deems appropriate and fair. No 2033 Note of a principal amount of</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$2,000 or less will be redeemed in part. If any 2033 Note is to be redeemed in part</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only, the notice of redemption that relates to such Note will state the portion of the</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principal amount of such Note to be redeemed. A new Note in a principal amount</w:t>
      </w:r>
    </w:p>
    <w:p>
      <w:pPr>
        <w:ind w:left="3840"/>
        <w:spacing w:after="0" w:line="231" w:lineRule="auto"/>
        <w:rPr>
          <w:sz w:val="20"/>
          <w:szCs w:val="20"/>
          <w:color w:val="auto"/>
        </w:rPr>
      </w:pPr>
      <w:r>
        <w:rPr>
          <w:rFonts w:ascii="Times New Roman" w:cs="Times New Roman" w:eastAsia="Times New Roman" w:hAnsi="Times New Roman"/>
          <w:sz w:val="22"/>
          <w:szCs w:val="22"/>
          <w:color w:val="auto"/>
        </w:rPr>
        <w:t>equal to the unredeemed portion of the Note will be issued in the name of the</w:t>
      </w:r>
    </w:p>
    <w:p>
      <w:pPr>
        <w:ind w:left="3840"/>
        <w:spacing w:after="0" w:line="231" w:lineRule="auto"/>
        <w:rPr>
          <w:sz w:val="20"/>
          <w:szCs w:val="20"/>
          <w:color w:val="auto"/>
        </w:rPr>
      </w:pPr>
      <w:r>
        <w:rPr>
          <w:rFonts w:ascii="Times New Roman" w:cs="Times New Roman" w:eastAsia="Times New Roman" w:hAnsi="Times New Roman"/>
          <w:sz w:val="22"/>
          <w:szCs w:val="22"/>
          <w:color w:val="auto"/>
        </w:rPr>
        <w:t>holder of the 2033 Note upon surrender for cancellation of the original Note. For</w:t>
      </w:r>
    </w:p>
    <w:p>
      <w:pPr>
        <w:ind w:left="3840"/>
        <w:spacing w:after="0" w:line="231" w:lineRule="auto"/>
        <w:rPr>
          <w:sz w:val="20"/>
          <w:szCs w:val="20"/>
          <w:color w:val="auto"/>
        </w:rPr>
      </w:pPr>
      <w:r>
        <w:rPr>
          <w:rFonts w:ascii="Times New Roman" w:cs="Times New Roman" w:eastAsia="Times New Roman" w:hAnsi="Times New Roman"/>
          <w:sz w:val="22"/>
          <w:szCs w:val="22"/>
          <w:color w:val="auto"/>
        </w:rPr>
        <w:t>so long as the 2033 Notes are held by DTC (or another Depositary), the</w:t>
      </w:r>
    </w:p>
    <w:p>
      <w:pPr>
        <w:ind w:left="3840"/>
        <w:spacing w:after="0" w:line="230" w:lineRule="auto"/>
        <w:rPr>
          <w:sz w:val="20"/>
          <w:szCs w:val="20"/>
          <w:color w:val="auto"/>
        </w:rPr>
      </w:pPr>
      <w:r>
        <w:rPr>
          <w:rFonts w:ascii="Times New Roman" w:cs="Times New Roman" w:eastAsia="Times New Roman" w:hAnsi="Times New Roman"/>
          <w:sz w:val="22"/>
          <w:szCs w:val="22"/>
          <w:color w:val="auto"/>
        </w:rPr>
        <w:t>redemption of the 2033 Notes shall be done in accordance with the policies and</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procedures of the Depositary.</w:t>
      </w:r>
    </w:p>
    <w:p>
      <w:pPr>
        <w:spacing w:after="0" w:line="182" w:lineRule="exact"/>
        <w:rPr>
          <w:sz w:val="20"/>
          <w:szCs w:val="20"/>
          <w:color w:val="auto"/>
        </w:rPr>
      </w:pPr>
    </w:p>
    <w:p>
      <w:pPr>
        <w:ind w:left="3840" w:right="380"/>
        <w:spacing w:after="0" w:line="244" w:lineRule="auto"/>
        <w:rPr>
          <w:sz w:val="20"/>
          <w:szCs w:val="20"/>
          <w:color w:val="auto"/>
        </w:rPr>
      </w:pPr>
      <w:r>
        <w:rPr>
          <w:rFonts w:ascii="Times New Roman" w:cs="Times New Roman" w:eastAsia="Times New Roman" w:hAnsi="Times New Roman"/>
          <w:sz w:val="22"/>
          <w:szCs w:val="22"/>
          <w:color w:val="auto"/>
        </w:rPr>
        <w:t>Unless the Issuer defaults in payment of the redemption price, on and after the redemption date, interest will cease to accrue on the 2033 Notes or portions thereof called for redemption.</w:t>
      </w:r>
    </w:p>
    <w:p>
      <w:pPr>
        <w:sectPr>
          <w:pgSz w:w="11900" w:h="16838" w:orient="portrait"/>
          <w:cols w:equalWidth="0" w:num="1">
            <w:col w:w="10980"/>
          </w:cols>
          <w:pgMar w:left="440" w:top="477" w:right="479" w:bottom="1440" w:gutter="0" w:footer="0" w:header="0"/>
        </w:sectPr>
      </w:pP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Conversion: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$2,000 and multiples of $1,000 in excess thereof.</w:t>
      </w:r>
    </w:p>
    <w:p>
      <w:pPr>
        <w:spacing w:after="0" w:line="200"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Miscellaneous:</w:t>
      </w:r>
    </w:p>
    <w:p>
      <w:pPr>
        <w:spacing w:after="0" w:line="20" w:lineRule="exact"/>
        <w:rPr>
          <w:sz w:val="20"/>
          <w:szCs w:val="20"/>
          <w:color w:val="auto"/>
        </w:rPr>
      </w:pPr>
      <w:r>
        <w:rPr>
          <w:sz w:val="20"/>
          <w:szCs w:val="20"/>
          <w:color w:val="auto"/>
        </w:rPr>
        <w:br w:type="column"/>
      </w:r>
    </w:p>
    <w:p>
      <w:pPr>
        <w:ind w:right="200"/>
        <w:spacing w:after="0" w:line="258" w:lineRule="auto"/>
        <w:rPr>
          <w:sz w:val="20"/>
          <w:szCs w:val="20"/>
          <w:color w:val="auto"/>
        </w:rPr>
      </w:pPr>
      <w:r>
        <w:rPr>
          <w:rFonts w:ascii="Times New Roman" w:cs="Times New Roman" w:eastAsia="Times New Roman" w:hAnsi="Times New Roman"/>
          <w:sz w:val="22"/>
          <w:szCs w:val="22"/>
          <w:color w:val="auto"/>
        </w:rPr>
        <w:t xml:space="preserve">The terms of the 2033 Notes shall include such other terms as are set forth in the form of 2033 Notes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and in the Indenture.</w:t>
      </w:r>
    </w:p>
    <w:p>
      <w:pPr>
        <w:spacing w:after="0" w:line="154"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The 2053 Notes</w:t>
      </w:r>
    </w:p>
    <w:p>
      <w:pPr>
        <w:sectPr>
          <w:pgSz w:w="11900" w:h="16838" w:orient="portrait"/>
          <w:cols w:equalWidth="0" w:num="1">
            <w:col w:w="10980"/>
          </w:cols>
          <w:pgMar w:left="440" w:top="477" w:right="479" w:bottom="1440" w:gutter="0" w:footer="0" w:header="0"/>
          <w:type w:val="continuous"/>
        </w:sect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Title: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 Notes due 2053.</w:t>
      </w:r>
    </w:p>
    <w:p>
      <w:pPr>
        <w:spacing w:after="0" w:line="200"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Texas Instruments Incorporated.</w:t>
      </w:r>
    </w:p>
    <w:p>
      <w:pPr>
        <w:spacing w:after="0" w:line="200"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spacing w:after="0" w:line="14"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2"/>
          <w:szCs w:val="22"/>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U.S. Bank Trust Company, National Association, as successor in interest to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National Association.</w:t>
      </w:r>
    </w:p>
    <w:p>
      <w:pPr>
        <w:spacing w:after="0" w:line="420"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i w:val="1"/>
          <w:iCs w:val="1"/>
          <w:color w:val="auto"/>
        </w:rPr>
        <w:t>Aggregate Principal Amount at</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Maturity: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$650,000,000.</w:t>
      </w:r>
    </w:p>
    <w:p>
      <w:pPr>
        <w:spacing w:after="0" w:line="213"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i w:val="1"/>
          <w:i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March 14, 2053.</w:t>
      </w:r>
    </w:p>
    <w:p>
      <w:pPr>
        <w:sectPr>
          <w:pgSz w:w="11900" w:h="16838" w:orient="portrait"/>
          <w:cols w:equalWidth="0" w:num="2">
            <w:col w:w="3120" w:space="720"/>
            <w:col w:w="7140"/>
          </w:cols>
          <w:pgMar w:left="440" w:top="477" w:right="4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2"/>
          <w:szCs w:val="22"/>
          <w:i w:val="1"/>
          <w:iCs w:val="1"/>
          <w:color w:val="auto"/>
        </w:rPr>
        <w:t>Interest: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Date from which Interest will Accrue: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Interest Payment Dates: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Par Call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Redemption:</w:t>
      </w:r>
    </w:p>
    <w:p>
      <w:pPr>
        <w:spacing w:after="0" w:line="20" w:lineRule="exact"/>
        <w:rPr>
          <w:sz w:val="20"/>
          <w:szCs w:val="20"/>
          <w:color w:val="auto"/>
        </w:rPr>
      </w:pPr>
      <w:r>
        <w:rPr>
          <w:sz w:val="20"/>
          <w:szCs w:val="20"/>
          <w:color w:val="auto"/>
        </w:rPr>
        <w:br w:type="column"/>
      </w:r>
    </w:p>
    <w:p>
      <w:pPr>
        <w:ind w:left="10"/>
        <w:spacing w:after="0"/>
        <w:rPr>
          <w:sz w:val="20"/>
          <w:szCs w:val="20"/>
          <w:color w:val="auto"/>
        </w:rPr>
      </w:pPr>
      <w:r>
        <w:rPr>
          <w:rFonts w:ascii="Times New Roman" w:cs="Times New Roman" w:eastAsia="Times New Roman" w:hAnsi="Times New Roman"/>
          <w:sz w:val="22"/>
          <w:szCs w:val="22"/>
          <w:color w:val="auto"/>
        </w:rPr>
        <w:t>5.000%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-374015</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2"/>
          <w:szCs w:val="22"/>
          <w:color w:val="auto"/>
        </w:rPr>
        <w:t>March 14, 2023.</w:t>
      </w:r>
    </w:p>
    <w:p>
      <w:pPr>
        <w:spacing w:after="0" w:line="206" w:lineRule="exact"/>
        <w:rPr>
          <w:sz w:val="20"/>
          <w:szCs w:val="20"/>
          <w:color w:val="auto"/>
        </w:rPr>
      </w:pPr>
    </w:p>
    <w:p>
      <w:pPr>
        <w:ind w:left="10" w:right="400"/>
        <w:spacing w:after="0" w:line="258" w:lineRule="auto"/>
        <w:rPr>
          <w:sz w:val="20"/>
          <w:szCs w:val="20"/>
          <w:color w:val="auto"/>
        </w:rPr>
      </w:pPr>
      <w:r>
        <w:rPr>
          <w:rFonts w:ascii="Times New Roman" w:cs="Times New Roman" w:eastAsia="Times New Roman" w:hAnsi="Times New Roman"/>
          <w:sz w:val="22"/>
          <w:szCs w:val="22"/>
          <w:color w:val="auto"/>
        </w:rPr>
        <w:t>March 14 and September 14, commencing on September 14, 2023, and on the maturity date.</w:t>
      </w:r>
    </w:p>
    <w:p>
      <w:pPr>
        <w:spacing w:after="0" w:line="1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2"/>
          <w:szCs w:val="22"/>
          <w:color w:val="auto"/>
        </w:rPr>
        <w:t>September 14, 2052 (six months before the maturity date).</w:t>
      </w:r>
    </w:p>
    <w:p>
      <w:pPr>
        <w:spacing w:after="0" w:line="206" w:lineRule="exact"/>
        <w:rPr>
          <w:sz w:val="20"/>
          <w:szCs w:val="20"/>
          <w:color w:val="auto"/>
        </w:rPr>
      </w:pPr>
    </w:p>
    <w:p>
      <w:pPr>
        <w:ind w:left="10" w:right="120"/>
        <w:spacing w:after="0" w:line="244" w:lineRule="auto"/>
        <w:rPr>
          <w:sz w:val="20"/>
          <w:szCs w:val="20"/>
          <w:color w:val="auto"/>
        </w:rPr>
      </w:pPr>
      <w:r>
        <w:rPr>
          <w:rFonts w:ascii="Times New Roman" w:cs="Times New Roman" w:eastAsia="Times New Roman" w:hAnsi="Times New Roman"/>
          <w:sz w:val="22"/>
          <w:szCs w:val="22"/>
          <w:color w:val="auto"/>
        </w:rPr>
        <w:t>Prior to the Par Call Date, the 2053 Notes will be redeemable, in whole or in part at any time, or from time to time, at the Issuer’s option, at a “make-whole premium” redemption price calculated by the Issuer equal to the greater of:</w:t>
      </w:r>
    </w:p>
    <w:p>
      <w:pPr>
        <w:spacing w:after="0" w:line="173" w:lineRule="exact"/>
        <w:rPr>
          <w:sz w:val="20"/>
          <w:szCs w:val="20"/>
          <w:color w:val="auto"/>
        </w:rPr>
      </w:pPr>
    </w:p>
    <w:p>
      <w:pPr>
        <w:ind w:left="10" w:hanging="10"/>
        <w:spacing w:after="0" w:line="235" w:lineRule="auto"/>
        <w:tabs>
          <w:tab w:leader="none" w:pos="31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(b) interest accrued to the date of redemption, and (2) 100% of the principal amount of the 2053 Notes to be redeemed, plus, in either case, accrued and unpaid interest thereon to the redemption date.</w:t>
      </w:r>
    </w:p>
    <w:p>
      <w:pPr>
        <w:spacing w:after="0" w:line="183" w:lineRule="exact"/>
        <w:rPr>
          <w:sz w:val="20"/>
          <w:szCs w:val="20"/>
          <w:color w:val="auto"/>
        </w:rPr>
      </w:pPr>
    </w:p>
    <w:p>
      <w:pPr>
        <w:jc w:val="both"/>
        <w:ind w:left="10" w:right="100"/>
        <w:spacing w:after="0" w:line="239" w:lineRule="auto"/>
        <w:rPr>
          <w:sz w:val="20"/>
          <w:szCs w:val="20"/>
          <w:color w:val="auto"/>
        </w:rPr>
      </w:pPr>
      <w:r>
        <w:rPr>
          <w:rFonts w:ascii="Times New Roman" w:cs="Times New Roman" w:eastAsia="Times New Roman" w:hAnsi="Times New Roman"/>
          <w:sz w:val="22"/>
          <w:szCs w:val="22"/>
          <w:color w:val="auto"/>
        </w:rPr>
        <w:t>On or after the Par Call Date, the Issuer may redeem the 2053 Notes, in whole or in part, at any time and from time to time, at a redemption price equal to 100% of the principal amount of the 2053 Notes being redeemed plus accrued and unpaid interest thereon to the redemption date.</w:t>
      </w:r>
    </w:p>
    <w:p>
      <w:pPr>
        <w:spacing w:after="0" w:line="180" w:lineRule="exact"/>
        <w:rPr>
          <w:sz w:val="20"/>
          <w:szCs w:val="20"/>
          <w:color w:val="auto"/>
        </w:rPr>
      </w:pPr>
    </w:p>
    <w:p>
      <w:pPr>
        <w:ind w:left="10" w:right="160"/>
        <w:spacing w:after="0" w:line="239" w:lineRule="auto"/>
        <w:rPr>
          <w:sz w:val="20"/>
          <w:szCs w:val="20"/>
          <w:color w:val="auto"/>
        </w:rPr>
      </w:pPr>
      <w:r>
        <w:rPr>
          <w:rFonts w:ascii="Times New Roman" w:cs="Times New Roman" w:eastAsia="Times New Roman" w:hAnsi="Times New Roman"/>
          <w:sz w:val="22"/>
          <w:szCs w:val="22"/>
          <w:color w:val="auto"/>
        </w:rPr>
        <w:t>The Issuer will deliver to the Trustee at least 15 days prior to the date on which notice of a redemption is mailed to holders of the 2053 Notes (unless a shorter time period shall be acceptable to the Trustee) an Officers’ Certificate stating the aggregate principal amount of 2053 Notes.</w:t>
      </w:r>
    </w:p>
    <w:p>
      <w:pPr>
        <w:spacing w:after="0" w:line="180" w:lineRule="exact"/>
        <w:rPr>
          <w:sz w:val="20"/>
          <w:szCs w:val="20"/>
          <w:color w:val="auto"/>
        </w:rPr>
      </w:pPr>
    </w:p>
    <w:p>
      <w:pPr>
        <w:ind w:left="10" w:right="100"/>
        <w:spacing w:after="0" w:line="239" w:lineRule="auto"/>
        <w:rPr>
          <w:sz w:val="20"/>
          <w:szCs w:val="20"/>
          <w:color w:val="auto"/>
        </w:rPr>
      </w:pPr>
      <w:r>
        <w:rPr>
          <w:rFonts w:ascii="Times New Roman" w:cs="Times New Roman" w:eastAsia="Times New Roman" w:hAnsi="Times New Roman"/>
          <w:sz w:val="22"/>
          <w:szCs w:val="22"/>
          <w:color w:val="auto"/>
        </w:rPr>
        <w:t>Notice of any redemption will be mailed or electronically delivered (or otherwise transmitted in accordance with the Depositary’s procedures) at least 10 days but not more than 60 days before the redemption date to each Holder of the 2053 Notes to be redeemed. Notice of any redemption may, at the</w:t>
      </w:r>
    </w:p>
    <w:p>
      <w:pPr>
        <w:sectPr>
          <w:pgSz w:w="11900" w:h="16838" w:orient="portrait"/>
          <w:cols w:equalWidth="0" w:num="2">
            <w:col w:w="3260" w:space="450"/>
            <w:col w:w="7130"/>
          </w:cols>
          <w:pgMar w:left="560" w:top="473" w:right="499" w:bottom="1440" w:gutter="0" w:footer="0" w:header="0"/>
        </w:sectPr>
      </w:pPr>
    </w:p>
    <w:bookmarkStart w:id="43" w:name="page44"/>
    <w:bookmarkEnd w:id="43"/>
    <w:p>
      <w:pPr>
        <w:ind w:left="3840" w:right="2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In the case of a partial redemption, selection of the 2053 Notes for redemption will</w:t>
      </w:r>
    </w:p>
    <w:p>
      <w:pPr>
        <w:spacing w:after="0" w:line="1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be made pro rata, by lot or by such other method as the Trustee in its sole</w:t>
      </w:r>
    </w:p>
    <w:p>
      <w:pPr>
        <w:ind w:left="3840"/>
        <w:spacing w:after="0" w:line="230" w:lineRule="auto"/>
        <w:rPr>
          <w:sz w:val="20"/>
          <w:szCs w:val="20"/>
          <w:color w:val="auto"/>
        </w:rPr>
      </w:pPr>
      <w:r>
        <w:rPr>
          <w:rFonts w:ascii="Times New Roman" w:cs="Times New Roman" w:eastAsia="Times New Roman" w:hAnsi="Times New Roman"/>
          <w:sz w:val="22"/>
          <w:szCs w:val="22"/>
          <w:color w:val="auto"/>
        </w:rPr>
        <w:t>discretion deems appropriate and fair. No 2053 Note of a principal amount of</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$2,000 or less will be redeemed in part. If any 2053 Note is to be redeemed in part</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only, the notice of redemption that relates to such Note will state the portion of the</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principal amount of such Note to be redeemed. A new Note in a principal amount</w:t>
      </w:r>
    </w:p>
    <w:p>
      <w:pPr>
        <w:ind w:left="3840"/>
        <w:spacing w:after="0" w:line="231" w:lineRule="auto"/>
        <w:rPr>
          <w:sz w:val="20"/>
          <w:szCs w:val="20"/>
          <w:color w:val="auto"/>
        </w:rPr>
      </w:pPr>
      <w:r>
        <w:rPr>
          <w:rFonts w:ascii="Times New Roman" w:cs="Times New Roman" w:eastAsia="Times New Roman" w:hAnsi="Times New Roman"/>
          <w:sz w:val="22"/>
          <w:szCs w:val="22"/>
          <w:color w:val="auto"/>
        </w:rPr>
        <w:t>equal to the unredeemed portion of the Note will be issued in the name of the</w:t>
      </w:r>
    </w:p>
    <w:p>
      <w:pPr>
        <w:ind w:left="3840"/>
        <w:spacing w:after="0" w:line="231" w:lineRule="auto"/>
        <w:rPr>
          <w:sz w:val="20"/>
          <w:szCs w:val="20"/>
          <w:color w:val="auto"/>
        </w:rPr>
      </w:pPr>
      <w:r>
        <w:rPr>
          <w:rFonts w:ascii="Times New Roman" w:cs="Times New Roman" w:eastAsia="Times New Roman" w:hAnsi="Times New Roman"/>
          <w:sz w:val="22"/>
          <w:szCs w:val="22"/>
          <w:color w:val="auto"/>
        </w:rPr>
        <w:t>holder of the 2053 Note upon surrender for cancellation of the original Note. For</w:t>
      </w:r>
    </w:p>
    <w:p>
      <w:pPr>
        <w:ind w:left="3840"/>
        <w:spacing w:after="0" w:line="231" w:lineRule="auto"/>
        <w:rPr>
          <w:sz w:val="20"/>
          <w:szCs w:val="20"/>
          <w:color w:val="auto"/>
        </w:rPr>
      </w:pPr>
      <w:r>
        <w:rPr>
          <w:rFonts w:ascii="Times New Roman" w:cs="Times New Roman" w:eastAsia="Times New Roman" w:hAnsi="Times New Roman"/>
          <w:sz w:val="22"/>
          <w:szCs w:val="22"/>
          <w:color w:val="auto"/>
        </w:rPr>
        <w:t>so long as the 2053 Notes are held by DTC (or another Depositary), the</w:t>
      </w:r>
    </w:p>
    <w:p>
      <w:pPr>
        <w:ind w:left="3840"/>
        <w:spacing w:after="0" w:line="230" w:lineRule="auto"/>
        <w:rPr>
          <w:sz w:val="20"/>
          <w:szCs w:val="20"/>
          <w:color w:val="auto"/>
        </w:rPr>
      </w:pPr>
      <w:r>
        <w:rPr>
          <w:rFonts w:ascii="Times New Roman" w:cs="Times New Roman" w:eastAsia="Times New Roman" w:hAnsi="Times New Roman"/>
          <w:sz w:val="22"/>
          <w:szCs w:val="22"/>
          <w:color w:val="auto"/>
        </w:rPr>
        <w:t>redemption of the 2053 Notes shall be done in accordance with the policies and</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procedures of the Depositary.</w:t>
      </w:r>
    </w:p>
    <w:p>
      <w:pPr>
        <w:spacing w:after="0" w:line="182" w:lineRule="exact"/>
        <w:rPr>
          <w:sz w:val="20"/>
          <w:szCs w:val="20"/>
          <w:color w:val="auto"/>
        </w:rPr>
      </w:pPr>
    </w:p>
    <w:p>
      <w:pPr>
        <w:ind w:left="3840" w:right="380"/>
        <w:spacing w:after="0" w:line="244" w:lineRule="auto"/>
        <w:rPr>
          <w:sz w:val="20"/>
          <w:szCs w:val="20"/>
          <w:color w:val="auto"/>
        </w:rPr>
      </w:pPr>
      <w:r>
        <w:rPr>
          <w:rFonts w:ascii="Times New Roman" w:cs="Times New Roman" w:eastAsia="Times New Roman" w:hAnsi="Times New Roman"/>
          <w:sz w:val="22"/>
          <w:szCs w:val="22"/>
          <w:color w:val="auto"/>
        </w:rPr>
        <w:t>Unless the Issuer defaults in payment of the redemption price, on and after the redemption date, interest will cease to accrue on the 2053 Notes or portions thereof called for redemption.</w:t>
      </w:r>
    </w:p>
    <w:p>
      <w:pPr>
        <w:sectPr>
          <w:pgSz w:w="11900" w:h="16838" w:orient="portrait"/>
          <w:cols w:equalWidth="0" w:num="1">
            <w:col w:w="10980"/>
          </w:cols>
          <w:pgMar w:left="440" w:top="477" w:right="479" w:bottom="1440" w:gutter="0" w:footer="0" w:header="0"/>
        </w:sectPr>
      </w:pP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Conversion: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$2,000 and multiples of $1,000 in excess thereof.</w:t>
      </w:r>
    </w:p>
    <w:p>
      <w:pPr>
        <w:spacing w:after="0" w:line="200"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i w:val="1"/>
          <w:iCs w:val="1"/>
          <w:color w:val="auto"/>
        </w:rPr>
        <w:t>Miscellaneous:</w:t>
      </w:r>
    </w:p>
    <w:p>
      <w:pPr>
        <w:spacing w:after="0" w:line="20" w:lineRule="exact"/>
        <w:rPr>
          <w:sz w:val="20"/>
          <w:szCs w:val="20"/>
          <w:color w:val="auto"/>
        </w:rPr>
      </w:pPr>
      <w:r>
        <w:rPr>
          <w:sz w:val="20"/>
          <w:szCs w:val="20"/>
          <w:color w:val="auto"/>
        </w:rPr>
        <w:br w:type="column"/>
      </w:r>
    </w:p>
    <w:p>
      <w:pPr>
        <w:ind w:right="200"/>
        <w:spacing w:after="0" w:line="258" w:lineRule="auto"/>
        <w:rPr>
          <w:sz w:val="20"/>
          <w:szCs w:val="20"/>
          <w:color w:val="auto"/>
        </w:rPr>
      </w:pPr>
      <w:r>
        <w:rPr>
          <w:rFonts w:ascii="Times New Roman" w:cs="Times New Roman" w:eastAsia="Times New Roman" w:hAnsi="Times New Roman"/>
          <w:sz w:val="22"/>
          <w:szCs w:val="22"/>
          <w:color w:val="auto"/>
        </w:rPr>
        <w:t xml:space="preserve">The terms of the 2053 Notes shall include such other terms as are set forth in the form of 2053 Notes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and in the Indenture.</w:t>
      </w:r>
    </w:p>
    <w:p>
      <w:pPr>
        <w:spacing w:after="0" w:line="158" w:lineRule="exact"/>
        <w:rPr>
          <w:sz w:val="20"/>
          <w:szCs w:val="20"/>
          <w:color w:val="auto"/>
        </w:rPr>
      </w:pPr>
    </w:p>
    <w:p>
      <w:pPr>
        <w:sectPr>
          <w:pgSz w:w="11900" w:h="16838" w:orient="portrait"/>
          <w:cols w:equalWidth="0" w:num="2">
            <w:col w:w="3120" w:space="720"/>
            <w:col w:w="7140"/>
          </w:cols>
          <w:pgMar w:left="440" w:top="477" w:right="479" w:bottom="1440" w:gutter="0" w:footer="0" w:header="0"/>
          <w:type w:val="continuous"/>
        </w:sectPr>
      </w:pPr>
    </w:p>
    <w:p>
      <w:pPr>
        <w:ind w:right="20" w:firstLine="551"/>
        <w:spacing w:after="0" w:line="239" w:lineRule="auto"/>
        <w:rPr>
          <w:sz w:val="20"/>
          <w:szCs w:val="20"/>
          <w:color w:val="auto"/>
        </w:rPr>
      </w:pPr>
      <w:r>
        <w:rPr>
          <w:rFonts w:ascii="Times New Roman" w:cs="Times New Roman" w:eastAsia="Times New Roman" w:hAnsi="Times New Roman"/>
          <w:sz w:val="22"/>
          <w:szCs w:val="22"/>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w:t>
      </w:r>
    </w:p>
    <w:p>
      <w:pPr>
        <w:sectPr>
          <w:pgSz w:w="11900" w:h="16838" w:orient="portrait"/>
          <w:cols w:equalWidth="0" w:num="1">
            <w:col w:w="10980"/>
          </w:cols>
          <w:pgMar w:left="440" w:top="477" w:right="479" w:bottom="1440" w:gutter="0" w:footer="0" w:header="0"/>
          <w:type w:val="continuous"/>
        </w:sectPr>
      </w:pPr>
    </w:p>
    <w:bookmarkStart w:id="44" w:name="page45"/>
    <w:bookmarkEnd w:id="44"/>
    <w:p>
      <w:pPr>
        <w:spacing w:after="0" w:line="251"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identical terms as the 2033 Notes or the 2053 Notes, as the case may be, other than with respect to the date of issuance, the issue price and interest accrued prior to the issue date of the additional notes (together, the “</w:t>
      </w:r>
      <w:r>
        <w:rPr>
          <w:rFonts w:ascii="Times New Roman" w:cs="Times New Roman" w:eastAsia="Times New Roman" w:hAnsi="Times New Roman"/>
          <w:sz w:val="21"/>
          <w:szCs w:val="21"/>
          <w:b w:val="1"/>
          <w:bCs w:val="1"/>
          <w:color w:val="auto"/>
        </w:rPr>
        <w:t>Additional Notes</w:t>
      </w:r>
      <w:r>
        <w:rPr>
          <w:rFonts w:ascii="Times New Roman" w:cs="Times New Roman" w:eastAsia="Times New Roman" w:hAnsi="Times New Roman"/>
          <w:sz w:val="21"/>
          <w:szCs w:val="21"/>
          <w:color w:val="auto"/>
        </w:rPr>
        <w:t xml:space="preserve">”). The Additional Notes of a series will have the same CUSIP number as the applicable series of Notes;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Additional Notes that are not fungible with the applicable series of Notes for U.S. federal income tax purposes will be issued under a separate CUSIP number. Any Additional Notes will be issued in accordance with Section 2.03 of the Indenture.</w:t>
      </w:r>
    </w:p>
    <w:p>
      <w:pPr>
        <w:spacing w:after="0" w:line="168" w:lineRule="exact"/>
        <w:rPr>
          <w:sz w:val="20"/>
          <w:szCs w:val="20"/>
          <w:color w:val="auto"/>
        </w:rPr>
      </w:pPr>
    </w:p>
    <w:p>
      <w:pPr>
        <w:ind w:right="60" w:firstLine="551"/>
        <w:spacing w:after="0" w:line="236" w:lineRule="auto"/>
        <w:rPr>
          <w:sz w:val="20"/>
          <w:szCs w:val="20"/>
          <w:color w:val="auto"/>
        </w:rPr>
      </w:pPr>
      <w:r>
        <w:rPr>
          <w:rFonts w:ascii="Times New Roman" w:cs="Times New Roman" w:eastAsia="Times New Roman" w:hAnsi="Times New Roman"/>
          <w:sz w:val="22"/>
          <w:szCs w:val="22"/>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0880"/>
          </w:cols>
          <w:pgMar w:left="440" w:top="261" w:right="579" w:bottom="1440" w:gutter="0" w:footer="0" w:header="0"/>
        </w:sectPr>
      </w:pPr>
    </w:p>
    <w:bookmarkStart w:id="45" w:name="page46"/>
    <w:bookmarkEnd w:id="45"/>
    <w:p>
      <w:pPr>
        <w:ind w:right="20" w:firstLine="55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TEXAS INSTRUMENTS INCORPORATED</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10795</wp:posOffset>
            </wp:positionV>
            <wp:extent cx="25374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2"/>
          <w:szCs w:val="22"/>
          <w:color w:val="auto"/>
        </w:rPr>
        <w:t>Name:  Rafael R. Lizardi</w:t>
      </w:r>
    </w:p>
    <w:p>
      <w:pPr>
        <w:ind w:left="7020"/>
        <w:spacing w:after="0" w:line="232" w:lineRule="auto"/>
        <w:tabs>
          <w:tab w:leader="none" w:pos="7720" w:val="left"/>
        </w:tabs>
        <w:rPr>
          <w:sz w:val="20"/>
          <w:szCs w:val="20"/>
          <w:color w:val="auto"/>
        </w:rPr>
      </w:pPr>
      <w:r>
        <w:rPr>
          <w:rFonts w:ascii="Times New Roman" w:cs="Times New Roman" w:eastAsia="Times New Roman" w:hAnsi="Times New Roman"/>
          <w:sz w:val="22"/>
          <w:szCs w:val="22"/>
          <w:color w:val="auto"/>
        </w:rPr>
        <w:t>Title:</w:t>
        <w:tab/>
        <w:t>Senior Vice President and</w:t>
      </w:r>
    </w:p>
    <w:p>
      <w:pPr>
        <w:ind w:left="77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10795</wp:posOffset>
            </wp:positionV>
            <wp:extent cx="25374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2"/>
          <w:szCs w:val="22"/>
          <w:color w:val="auto"/>
        </w:rPr>
        <w:t>Name:  Jack I. Holmes</w:t>
      </w:r>
    </w:p>
    <w:p>
      <w:pPr>
        <w:spacing w:after="0" w:line="2" w:lineRule="exact"/>
        <w:rPr>
          <w:sz w:val="20"/>
          <w:szCs w:val="20"/>
          <w:color w:val="auto"/>
        </w:rPr>
      </w:pPr>
    </w:p>
    <w:p>
      <w:pPr>
        <w:ind w:left="7020"/>
        <w:spacing w:after="0"/>
        <w:tabs>
          <w:tab w:leader="none" w:pos="7720" w:val="left"/>
        </w:tabs>
        <w:rPr>
          <w:sz w:val="20"/>
          <w:szCs w:val="20"/>
          <w:color w:val="auto"/>
        </w:rPr>
      </w:pPr>
      <w:r>
        <w:rPr>
          <w:rFonts w:ascii="Times New Roman" w:cs="Times New Roman" w:eastAsia="Times New Roman" w:hAnsi="Times New Roman"/>
          <w:sz w:val="22"/>
          <w:szCs w:val="22"/>
          <w:color w:val="auto"/>
        </w:rPr>
        <w:t>Title:</w:t>
        <w:tab/>
        <w:t>Vice President and Treasurer</w:t>
      </w:r>
    </w:p>
    <w:p>
      <w:pPr>
        <w:spacing w:after="0" w:line="17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Officers’ Certificate Pursuant to the Indenture</w:t>
      </w:r>
      <w:r>
        <w:rPr>
          <w:rFonts w:ascii="Times New Roman" w:cs="Times New Roman" w:eastAsia="Times New Roman" w:hAnsi="Times New Roman"/>
          <w:sz w:val="22"/>
          <w:szCs w:val="22"/>
          <w:color w:val="auto"/>
        </w:rPr>
        <w:t>]</w:t>
      </w:r>
    </w:p>
    <w:p>
      <w:pPr>
        <w:sectPr>
          <w:pgSz w:w="11900" w:h="16838" w:orient="portrait"/>
          <w:cols w:equalWidth="0" w:num="1">
            <w:col w:w="10780"/>
          </w:cols>
          <w:pgMar w:left="440" w:top="261" w:right="6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NOTES DUE 2033]</w:t>
      </w:r>
    </w:p>
    <w:p>
      <w:pPr>
        <w:spacing w:after="0" w:line="314" w:lineRule="exact"/>
        <w:rPr>
          <w:sz w:val="20"/>
          <w:szCs w:val="20"/>
          <w:color w:val="auto"/>
        </w:rPr>
      </w:pPr>
    </w:p>
    <w:p>
      <w:pPr>
        <w:ind w:right="80" w:firstLine="1212"/>
        <w:spacing w:after="0" w:line="235" w:lineRule="auto"/>
        <w:rPr>
          <w:sz w:val="20"/>
          <w:szCs w:val="20"/>
          <w:color w:val="auto"/>
        </w:rPr>
      </w:pPr>
      <w:r>
        <w:rPr>
          <w:rFonts w:ascii="Times New Roman" w:cs="Times New Roman" w:eastAsia="Times New Roman" w:hAnsi="Times New Roman"/>
          <w:sz w:val="22"/>
          <w:szCs w:val="22"/>
          <w:color w:val="auto"/>
        </w:rPr>
        <w:t>UNLESS THIS NOTE IS PRESENTED BY AN AUTHORIZED REPRESENTATIVE OF THE DEPOSITORY TRUST COMPANY, A NEW YORK CORPORATION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ind w:right="260" w:firstLine="1212"/>
        <w:spacing w:after="0" w:line="238" w:lineRule="auto"/>
        <w:rPr>
          <w:sz w:val="20"/>
          <w:szCs w:val="20"/>
          <w:color w:val="auto"/>
        </w:rPr>
      </w:pPr>
      <w:r>
        <w:rPr>
          <w:rFonts w:ascii="Times New Roman" w:cs="Times New Roman" w:eastAsia="Times New Roman" w:hAnsi="Times New Roman"/>
          <w:sz w:val="22"/>
          <w:szCs w:val="22"/>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7" w:lineRule="exact"/>
        <w:rPr>
          <w:sz w:val="20"/>
          <w:szCs w:val="20"/>
          <w:color w:val="auto"/>
        </w:rPr>
      </w:pPr>
    </w:p>
    <w:p>
      <w:pPr>
        <w:ind w:right="220" w:firstLine="1212"/>
        <w:spacing w:after="0" w:line="239" w:lineRule="auto"/>
        <w:rPr>
          <w:sz w:val="20"/>
          <w:szCs w:val="20"/>
          <w:color w:val="auto"/>
        </w:rPr>
      </w:pPr>
      <w:r>
        <w:rPr>
          <w:rFonts w:ascii="Times New Roman" w:cs="Times New Roman" w:eastAsia="Times New Roman" w:hAnsi="Times New Roman"/>
          <w:sz w:val="22"/>
          <w:szCs w:val="22"/>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57" w:right="4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4.900 % Notes due 2033</w:t>
      </w:r>
    </w:p>
    <w:p>
      <w:pPr>
        <w:sectPr>
          <w:pgSz w:w="11900" w:h="16838" w:orient="portrait"/>
          <w:cols w:equalWidth="0" w:num="1">
            <w:col w:w="11020"/>
          </w:cols>
          <w:pgMar w:left="440" w:top="257" w:right="4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CUSIP No.: 882508CB8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ISIN No.: US882508CB86</w:t>
      </w:r>
    </w:p>
    <w:p>
      <w:pPr>
        <w:spacing w:after="0" w:line="194" w:lineRule="exact"/>
        <w:rPr>
          <w:sz w:val="20"/>
          <w:szCs w:val="20"/>
          <w:color w:val="auto"/>
        </w:rPr>
      </w:pPr>
    </w:p>
    <w:p>
      <w:pPr>
        <w:sectPr>
          <w:pgSz w:w="11900" w:h="16838" w:orient="portrait"/>
          <w:cols w:equalWidth="0" w:num="3">
            <w:col w:w="440" w:space="220"/>
            <w:col w:w="7300" w:space="720"/>
            <w:col w:w="2340"/>
          </w:cols>
          <w:pgMar w:left="440" w:top="257" w:right="439" w:bottom="1440" w:gutter="0" w:footer="0" w:header="0"/>
          <w:type w:val="continuous"/>
        </w:sectPr>
      </w:pPr>
    </w:p>
    <w:p>
      <w:pPr>
        <w:ind w:left="10000"/>
        <w:spacing w:after="0"/>
        <w:rPr>
          <w:sz w:val="20"/>
          <w:szCs w:val="20"/>
          <w:color w:val="auto"/>
        </w:rPr>
      </w:pPr>
      <w:r>
        <w:rPr>
          <w:rFonts w:ascii="Times New Roman" w:cs="Times New Roman" w:eastAsia="Times New Roman" w:hAnsi="Times New Roman"/>
          <w:sz w:val="21"/>
          <w:szCs w:val="21"/>
          <w:color w:val="auto"/>
        </w:rPr>
        <w:t>$[_______]</w:t>
      </w:r>
    </w:p>
    <w:p>
      <w:pPr>
        <w:sectPr>
          <w:pgSz w:w="11900" w:h="16838" w:orient="portrait"/>
          <w:cols w:equalWidth="0" w:num="1">
            <w:col w:w="11020"/>
          </w:cols>
          <w:pgMar w:left="440" w:top="257" w:right="439" w:bottom="1440" w:gutter="0" w:footer="0" w:header="0"/>
          <w:type w:val="continuous"/>
        </w:sectPr>
      </w:pPr>
    </w:p>
    <w:p>
      <w:pPr>
        <w:spacing w:after="0" w:line="214" w:lineRule="exact"/>
        <w:rPr>
          <w:sz w:val="20"/>
          <w:szCs w:val="20"/>
          <w:color w:val="auto"/>
        </w:rPr>
      </w:pPr>
    </w:p>
    <w:p>
      <w:pPr>
        <w:ind w:right="20" w:firstLine="551"/>
        <w:spacing w:after="0" w:line="262" w:lineRule="auto"/>
        <w:rPr>
          <w:sz w:val="20"/>
          <w:szCs w:val="20"/>
          <w:color w:val="auto"/>
        </w:rPr>
      </w:pPr>
      <w:r>
        <w:rPr>
          <w:rFonts w:ascii="Times New Roman" w:cs="Times New Roman" w:eastAsia="Times New Roman" w:hAnsi="Times New Roman"/>
          <w:sz w:val="22"/>
          <w:szCs w:val="22"/>
          <w:color w:val="auto"/>
        </w:rPr>
        <w:t>TEXAS INSTRUMENTS INCORPORATED, a Delaware corporation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for value received promises to pay to CEDE &amp; CO. or registered assigns the principal sum of $[_______] on March 14, 2033.</w:t>
      </w:r>
    </w:p>
    <w:p>
      <w:pPr>
        <w:spacing w:after="0" w:line="150" w:lineRule="exact"/>
        <w:rPr>
          <w:sz w:val="20"/>
          <w:szCs w:val="20"/>
          <w:color w:val="auto"/>
        </w:rPr>
      </w:pPr>
    </w:p>
    <w:p>
      <w:pPr>
        <w:ind w:right="1200" w:firstLine="551"/>
        <w:spacing w:after="0" w:line="262" w:lineRule="auto"/>
        <w:rPr>
          <w:sz w:val="20"/>
          <w:szCs w:val="20"/>
          <w:color w:val="auto"/>
        </w:rPr>
      </w:pPr>
      <w:r>
        <w:rPr>
          <w:rFonts w:ascii="Times New Roman" w:cs="Times New Roman" w:eastAsia="Times New Roman" w:hAnsi="Times New Roman"/>
          <w:sz w:val="22"/>
          <w:szCs w:val="22"/>
          <w:color w:val="auto"/>
        </w:rPr>
        <w:t>Interest Payment Dates: March 14 and September 14 (each, an “</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commencing on September 14, 2023.</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Interest Record Dates: February 28 and August 31 (each, an “</w:t>
      </w:r>
      <w:r>
        <w:rPr>
          <w:rFonts w:ascii="Times New Roman" w:cs="Times New Roman" w:eastAsia="Times New Roman" w:hAnsi="Times New Roman"/>
          <w:sz w:val="22"/>
          <w:szCs w:val="22"/>
          <w:b w:val="1"/>
          <w:bCs w:val="1"/>
          <w:color w:val="auto"/>
        </w:rPr>
        <w:t>Interest Record Date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480" w:firstLine="551"/>
        <w:spacing w:after="0" w:line="258" w:lineRule="auto"/>
        <w:rPr>
          <w:sz w:val="20"/>
          <w:szCs w:val="20"/>
          <w:color w:val="auto"/>
        </w:rPr>
      </w:pPr>
      <w:r>
        <w:rPr>
          <w:rFonts w:ascii="Times New Roman" w:cs="Times New Roman" w:eastAsia="Times New Roman" w:hAnsi="Times New Roman"/>
          <w:sz w:val="22"/>
          <w:szCs w:val="22"/>
          <w:color w:val="auto"/>
        </w:rPr>
        <w:t>Reference is made to the further provisions of this Note contained herein, which will for all purposes have the same effect as if set forth at this place.</w:t>
      </w:r>
    </w:p>
    <w:p>
      <w:pPr>
        <w:sectPr>
          <w:pgSz w:w="11900" w:h="16838" w:orient="portrait"/>
          <w:cols w:equalWidth="0" w:num="1">
            <w:col w:w="11020"/>
          </w:cols>
          <w:pgMar w:left="440" w:top="257" w:right="439" w:bottom="1440" w:gutter="0" w:footer="0" w:header="0"/>
          <w:type w:val="continuous"/>
        </w:sectPr>
      </w:pPr>
    </w:p>
    <w:bookmarkStart w:id="48" w:name="page49"/>
    <w:bookmarkEnd w:id="48"/>
    <w:p>
      <w:pPr>
        <w:ind w:firstLine="55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18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1"/>
          <w:szCs w:val="21"/>
          <w:b w:val="1"/>
          <w:bCs w:val="1"/>
          <w:color w:val="auto"/>
        </w:rPr>
        <w:t>TEXAS INSTRUMENTS INCORPORATED</w:t>
      </w:r>
    </w:p>
    <w:p>
      <w:pPr>
        <w:spacing w:after="0" w:line="3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10795</wp:posOffset>
            </wp:positionV>
            <wp:extent cx="25374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2"/>
          <w:szCs w:val="22"/>
          <w:color w:val="auto"/>
        </w:rPr>
        <w:t>Name:  Rafael R. Lizardi</w:t>
      </w:r>
    </w:p>
    <w:p>
      <w:pPr>
        <w:ind w:left="7020"/>
        <w:spacing w:after="0" w:line="232" w:lineRule="auto"/>
        <w:tabs>
          <w:tab w:leader="none" w:pos="7720" w:val="left"/>
        </w:tabs>
        <w:rPr>
          <w:sz w:val="20"/>
          <w:szCs w:val="20"/>
          <w:color w:val="auto"/>
        </w:rPr>
      </w:pPr>
      <w:r>
        <w:rPr>
          <w:rFonts w:ascii="Times New Roman" w:cs="Times New Roman" w:eastAsia="Times New Roman" w:hAnsi="Times New Roman"/>
          <w:sz w:val="22"/>
          <w:szCs w:val="22"/>
          <w:color w:val="auto"/>
        </w:rPr>
        <w:t>Title:</w:t>
        <w:tab/>
        <w:t>Senior Vice President and</w:t>
      </w:r>
    </w:p>
    <w:p>
      <w:pPr>
        <w:ind w:left="77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3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10795</wp:posOffset>
            </wp:positionV>
            <wp:extent cx="25374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2"/>
          <w:szCs w:val="22"/>
          <w:color w:val="auto"/>
        </w:rPr>
        <w:t>Name:  Jack I. Holmes</w:t>
      </w:r>
    </w:p>
    <w:p>
      <w:pPr>
        <w:spacing w:after="0" w:line="2" w:lineRule="exact"/>
        <w:rPr>
          <w:sz w:val="20"/>
          <w:szCs w:val="20"/>
          <w:color w:val="auto"/>
        </w:rPr>
      </w:pPr>
    </w:p>
    <w:p>
      <w:pPr>
        <w:ind w:left="7020"/>
        <w:spacing w:after="0"/>
        <w:tabs>
          <w:tab w:leader="none" w:pos="7720" w:val="left"/>
        </w:tabs>
        <w:rPr>
          <w:sz w:val="20"/>
          <w:szCs w:val="20"/>
          <w:color w:val="auto"/>
        </w:rPr>
      </w:pPr>
      <w:r>
        <w:rPr>
          <w:rFonts w:ascii="Times New Roman" w:cs="Times New Roman" w:eastAsia="Times New Roman" w:hAnsi="Times New Roman"/>
          <w:sz w:val="22"/>
          <w:szCs w:val="22"/>
          <w:color w:val="auto"/>
        </w:rPr>
        <w:t>Title:</w:t>
        <w:tab/>
        <w:t>Vice President and Treasurer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[Seal of Texas Instruments Incorporated]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10795</wp:posOffset>
            </wp:positionV>
            <wp:extent cx="25114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Name: Edgar A. Morales</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Title:  Assistant Secretary</w:t>
      </w:r>
    </w:p>
    <w:p>
      <w:pPr>
        <w:sectPr>
          <w:pgSz w:w="11900" w:h="16838" w:orient="portrait"/>
          <w:cols w:equalWidth="0" w:num="1">
            <w:col w:w="10840"/>
          </w:cols>
          <w:pgMar w:left="440" w:top="261" w:right="619" w:bottom="1440" w:gutter="0" w:footer="0" w:header="0"/>
        </w:sectPr>
      </w:pPr>
    </w:p>
    <w:bookmarkStart w:id="49" w:name="page50"/>
    <w:bookmarkEnd w:id="49"/>
    <w:p>
      <w:pPr>
        <w:ind w:right="1180" w:firstLine="551"/>
        <w:spacing w:after="0" w:line="44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 Dated: March 14, 2023</w:t>
      </w:r>
    </w:p>
    <w:p>
      <w:pPr>
        <w:spacing w:after="0" w:line="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1"/>
          <w:szCs w:val="21"/>
          <w:b w:val="1"/>
          <w:bCs w:val="1"/>
          <w:color w:val="auto"/>
        </w:rPr>
        <w:t>U.S. BANK TRUST COMPANY, NATIONAL</w:t>
      </w:r>
    </w:p>
    <w:p>
      <w:pPr>
        <w:spacing w:after="0" w:line="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b w:val="1"/>
          <w:bCs w:val="1"/>
          <w:color w:val="auto"/>
        </w:rPr>
        <w:t>ASSOCIATION</w:t>
      </w:r>
      <w:r>
        <w:rPr>
          <w:rFonts w:ascii="Times New Roman" w:cs="Times New Roman" w:eastAsia="Times New Roman" w:hAnsi="Times New Roman"/>
          <w:sz w:val="22"/>
          <w:szCs w:val="22"/>
          <w:color w:val="auto"/>
        </w:rPr>
        <w:t>, as Trustee</w:t>
      </w:r>
    </w:p>
    <w:p>
      <w:pPr>
        <w:spacing w:after="0" w:line="3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10795</wp:posOffset>
            </wp:positionV>
            <wp:extent cx="25374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2"/>
          <w:szCs w:val="22"/>
          <w:color w:val="auto"/>
        </w:rPr>
        <w:t>Name: Michael K. Herberger</w:t>
      </w:r>
    </w:p>
    <w:p>
      <w:pPr>
        <w:spacing w:after="0" w:line="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840"/>
          </w:cols>
          <w:pgMar w:left="440" w:top="261" w:right="619" w:bottom="1440" w:gutter="0" w:footer="0" w:header="0"/>
        </w:sectPr>
      </w:pPr>
    </w:p>
    <w:bookmarkStart w:id="50" w:name="page51"/>
    <w:bookmarkEnd w:id="50"/>
    <w:p>
      <w:pPr>
        <w:jc w:val="center"/>
        <w:ind w:right="-7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TEXAS INSTRUMENTS INCORPORATED</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4.900% Notes due 2033</w:t>
      </w:r>
    </w:p>
    <w:p>
      <w:pPr>
        <w:spacing w:after="0" w:line="233" w:lineRule="exact"/>
        <w:rPr>
          <w:sz w:val="20"/>
          <w:szCs w:val="20"/>
          <w:color w:val="auto"/>
        </w:rPr>
      </w:pPr>
    </w:p>
    <w:p>
      <w:pPr>
        <w:ind w:left="1180" w:hanging="644"/>
        <w:spacing w:after="0"/>
        <w:tabs>
          <w:tab w:leader="none" w:pos="11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w:t>
      </w:r>
    </w:p>
    <w:p>
      <w:pPr>
        <w:spacing w:after="0" w:line="202" w:lineRule="exact"/>
        <w:rPr>
          <w:sz w:val="20"/>
          <w:szCs w:val="20"/>
          <w:color w:val="auto"/>
        </w:rPr>
      </w:pPr>
    </w:p>
    <w:p>
      <w:pPr>
        <w:ind w:right="140" w:firstLine="551"/>
        <w:spacing w:after="0" w:line="236" w:lineRule="auto"/>
        <w:rPr>
          <w:sz w:val="20"/>
          <w:szCs w:val="20"/>
          <w:color w:val="auto"/>
        </w:rPr>
      </w:pPr>
      <w:r>
        <w:rPr>
          <w:rFonts w:ascii="Times New Roman" w:cs="Times New Roman" w:eastAsia="Times New Roman" w:hAnsi="Times New Roman"/>
          <w:sz w:val="22"/>
          <w:szCs w:val="22"/>
          <w:color w:val="auto"/>
        </w:rPr>
        <w:t>Texas Instruments Incorporated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promises to pay interest on the principal amount of this Note at the rate per annum described above. Cash interest on the Notes will accrue from the most recent date to which interest has been paid; or, if no interest has been paid, from March 14, 2023. Interest on this Note will be paid to but excluding the relevant Interest Payment Date. The Issuer will pay interest semi-annually in arrears on each Interest Payment Date, commencing September 14, 2023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0" w:lineRule="exact"/>
        <w:rPr>
          <w:sz w:val="20"/>
          <w:szCs w:val="20"/>
          <w:color w:val="auto"/>
        </w:rPr>
      </w:pPr>
    </w:p>
    <w:p>
      <w:pPr>
        <w:ind w:right="320" w:firstLine="551"/>
        <w:spacing w:after="0" w:line="258" w:lineRule="auto"/>
        <w:rPr>
          <w:sz w:val="20"/>
          <w:szCs w:val="20"/>
          <w:color w:val="auto"/>
        </w:rPr>
      </w:pPr>
      <w:r>
        <w:rPr>
          <w:rFonts w:ascii="Times New Roman" w:cs="Times New Roman" w:eastAsia="Times New Roman" w:hAnsi="Times New Roman"/>
          <w:sz w:val="22"/>
          <w:szCs w:val="22"/>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85" w:lineRule="exact"/>
        <w:rPr>
          <w:sz w:val="20"/>
          <w:szCs w:val="20"/>
          <w:color w:val="auto"/>
        </w:rPr>
      </w:pPr>
    </w:p>
    <w:p>
      <w:pPr>
        <w:ind w:left="1180" w:hanging="644"/>
        <w:spacing w:after="0"/>
        <w:tabs>
          <w:tab w:leader="none" w:pos="11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Agent.</w:t>
      </w:r>
    </w:p>
    <w:p>
      <w:pPr>
        <w:spacing w:after="0" w:line="202" w:lineRule="exact"/>
        <w:rPr>
          <w:sz w:val="20"/>
          <w:szCs w:val="20"/>
          <w:color w:val="auto"/>
        </w:rPr>
      </w:pPr>
    </w:p>
    <w:p>
      <w:pPr>
        <w:ind w:right="480" w:firstLine="551"/>
        <w:spacing w:after="0" w:line="262" w:lineRule="auto"/>
        <w:rPr>
          <w:sz w:val="20"/>
          <w:szCs w:val="20"/>
          <w:color w:val="auto"/>
        </w:rPr>
      </w:pPr>
      <w:r>
        <w:rPr>
          <w:rFonts w:ascii="Times New Roman" w:cs="Times New Roman" w:eastAsia="Times New Roman" w:hAnsi="Times New Roman"/>
          <w:sz w:val="22"/>
          <w:szCs w:val="22"/>
          <w:color w:val="auto"/>
        </w:rPr>
        <w:t>Initially, U.S. Bank Trust Company, National Association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will act as paying agent. The Issuer may change any paying agent without notice to the holders (the “</w:t>
      </w:r>
      <w:r>
        <w:rPr>
          <w:rFonts w:ascii="Times New Roman" w:cs="Times New Roman" w:eastAsia="Times New Roman" w:hAnsi="Times New Roman"/>
          <w:sz w:val="22"/>
          <w:szCs w:val="22"/>
          <w:b w:val="1"/>
          <w:bCs w:val="1"/>
          <w:color w:val="auto"/>
        </w:rPr>
        <w:t>Holders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180" w:hanging="644"/>
        <w:spacing w:after="0"/>
        <w:tabs>
          <w:tab w:leader="none" w:pos="11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 Defined Terms.</w:t>
      </w:r>
    </w:p>
    <w:p>
      <w:pPr>
        <w:spacing w:after="0" w:line="202" w:lineRule="exact"/>
        <w:rPr>
          <w:sz w:val="20"/>
          <w:szCs w:val="20"/>
          <w:color w:val="auto"/>
        </w:rPr>
      </w:pPr>
    </w:p>
    <w:p>
      <w:pPr>
        <w:ind w:right="160" w:firstLine="551"/>
        <w:spacing w:after="0" w:line="241" w:lineRule="auto"/>
        <w:rPr>
          <w:sz w:val="20"/>
          <w:szCs w:val="20"/>
          <w:color w:val="auto"/>
        </w:rPr>
      </w:pPr>
      <w:r>
        <w:rPr>
          <w:rFonts w:ascii="Times New Roman" w:cs="Times New Roman" w:eastAsia="Times New Roman" w:hAnsi="Times New Roman"/>
          <w:sz w:val="22"/>
          <w:szCs w:val="22"/>
          <w:color w:val="auto"/>
        </w:rPr>
        <w:t>This Note is one of the 4.900% Notes due 2033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issued under an indenture dated as of May 23, 2011 (the “</w:t>
      </w:r>
      <w:r>
        <w:rPr>
          <w:rFonts w:ascii="Times New Roman" w:cs="Times New Roman" w:eastAsia="Times New Roman" w:hAnsi="Times New Roman"/>
          <w:sz w:val="22"/>
          <w:szCs w:val="22"/>
          <w:b w:val="1"/>
          <w:bCs w:val="1"/>
          <w:color w:val="auto"/>
        </w:rPr>
        <w:t>Base Indenture</w:t>
      </w:r>
      <w:r>
        <w:rPr>
          <w:rFonts w:ascii="Times New Roman" w:cs="Times New Roman" w:eastAsia="Times New Roman" w:hAnsi="Times New Roman"/>
          <w:sz w:val="22"/>
          <w:szCs w:val="22"/>
          <w:color w:val="auto"/>
        </w:rPr>
        <w:t>”) by and between the Issuer and the Trustee, and established pursuant to an Officers’ Certificate dated March 14, 2023, issued pursuant to Section 2.01 and Section 2.03 thereof (together,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This Note is a “Security” and the Notes are “Securities” under the Indenture.</w:t>
      </w:r>
    </w:p>
    <w:p>
      <w:pPr>
        <w:spacing w:after="0" w:line="176"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21"/>
          <w:szCs w:val="21"/>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21"/>
          <w:szCs w:val="21"/>
          <w:b w:val="1"/>
          <w:bCs w:val="1"/>
          <w:color w:val="auto"/>
        </w:rPr>
        <w:t>TIA</w:t>
      </w:r>
      <w:r>
        <w:rPr>
          <w:rFonts w:ascii="Times New Roman" w:cs="Times New Roman" w:eastAsia="Times New Roman" w:hAnsi="Times New Roman"/>
          <w:sz w:val="21"/>
          <w:szCs w:val="21"/>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ectPr>
          <w:pgSz w:w="11900" w:h="16838" w:orient="portrait"/>
          <w:cols w:equalWidth="0" w:num="1">
            <w:col w:w="10940"/>
          </w:cols>
          <w:pgMar w:left="440" w:top="261" w:right="519" w:bottom="1440" w:gutter="0" w:footer="0" w:header="0"/>
        </w:sectPr>
      </w:pPr>
    </w:p>
    <w:bookmarkStart w:id="51" w:name="page52"/>
    <w:bookmarkEnd w:id="51"/>
    <w:p>
      <w:pPr>
        <w:ind w:left="540" w:firstLine="523"/>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210" w:lineRule="exact"/>
        <w:rPr>
          <w:sz w:val="20"/>
          <w:szCs w:val="20"/>
          <w:color w:val="auto"/>
        </w:rPr>
      </w:pPr>
    </w:p>
    <w:p>
      <w:pPr>
        <w:ind w:left="1180" w:hanging="644"/>
        <w:spacing w:after="0"/>
        <w:tabs>
          <w:tab w:leader="none" w:pos="11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Denominations; Transfer; Exchange.</w:t>
      </w:r>
    </w:p>
    <w:p>
      <w:pPr>
        <w:spacing w:after="0" w:line="206" w:lineRule="exact"/>
        <w:rPr>
          <w:sz w:val="20"/>
          <w:szCs w:val="20"/>
          <w:color w:val="auto"/>
        </w:rPr>
      </w:pPr>
    </w:p>
    <w:p>
      <w:pPr>
        <w:ind w:right="120" w:firstLine="551"/>
        <w:spacing w:after="0" w:line="235" w:lineRule="auto"/>
        <w:rPr>
          <w:sz w:val="20"/>
          <w:szCs w:val="20"/>
          <w:color w:val="auto"/>
        </w:rPr>
      </w:pPr>
      <w:r>
        <w:rPr>
          <w:rFonts w:ascii="Times New Roman" w:cs="Times New Roman" w:eastAsia="Times New Roman" w:hAnsi="Times New Roman"/>
          <w:sz w:val="22"/>
          <w:szCs w:val="22"/>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210" w:lineRule="exact"/>
        <w:rPr>
          <w:sz w:val="20"/>
          <w:szCs w:val="20"/>
          <w:color w:val="auto"/>
        </w:rPr>
      </w:pPr>
    </w:p>
    <w:p>
      <w:pPr>
        <w:ind w:left="1180" w:hanging="644"/>
        <w:spacing w:after="0"/>
        <w:tabs>
          <w:tab w:leader="none" w:pos="11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Supplement; Waiver.</w:t>
      </w:r>
    </w:p>
    <w:p>
      <w:pPr>
        <w:spacing w:after="0" w:line="206" w:lineRule="exact"/>
        <w:rPr>
          <w:sz w:val="20"/>
          <w:szCs w:val="20"/>
          <w:color w:val="auto"/>
        </w:rPr>
      </w:pPr>
    </w:p>
    <w:p>
      <w:pPr>
        <w:ind w:right="240" w:firstLine="551"/>
        <w:spacing w:after="0" w:line="235" w:lineRule="auto"/>
        <w:rPr>
          <w:sz w:val="20"/>
          <w:szCs w:val="20"/>
          <w:color w:val="auto"/>
        </w:rPr>
      </w:pPr>
      <w:r>
        <w:rPr>
          <w:rFonts w:ascii="Times New Roman" w:cs="Times New Roman" w:eastAsia="Times New Roman" w:hAnsi="Times New Roman"/>
          <w:sz w:val="22"/>
          <w:szCs w:val="22"/>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205" w:lineRule="exact"/>
        <w:rPr>
          <w:sz w:val="20"/>
          <w:szCs w:val="20"/>
          <w:color w:val="auto"/>
        </w:rPr>
      </w:pPr>
    </w:p>
    <w:p>
      <w:pPr>
        <w:ind w:left="1180" w:hanging="644"/>
        <w:spacing w:after="0"/>
        <w:tabs>
          <w:tab w:leader="none" w:pos="11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Redemption.</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Prior to the Par Call Date, the Notes will be redeemable, in whole or in part at any time, or from time to time, at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Issuer’s option, at a “make-whole premium” redemption price calculated by the Issuer equal to the greater of:</w:t>
      </w:r>
    </w:p>
    <w:p>
      <w:pPr>
        <w:sectPr>
          <w:pgSz w:w="11900" w:h="16838" w:orient="portrait"/>
          <w:cols w:equalWidth="0" w:num="1">
            <w:col w:w="10980"/>
          </w:cols>
          <w:pgMar w:left="440" w:top="261" w:right="479" w:bottom="1440" w:gutter="0" w:footer="0" w:header="0"/>
        </w:sectPr>
      </w:pPr>
    </w:p>
    <w:bookmarkStart w:id="52" w:name="page53"/>
    <w:bookmarkEnd w:id="52"/>
    <w:p>
      <w:pPr>
        <w:ind w:left="540" w:right="20" w:hanging="328"/>
        <w:spacing w:after="0" w:line="249" w:lineRule="auto"/>
        <w:tabs>
          <w:tab w:leader="none" w:pos="5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15 basis points less</w:t>
      </w:r>
    </w:p>
    <w:p>
      <w:pPr>
        <w:spacing w:after="0" w:line="1" w:lineRule="exact"/>
        <w:rPr>
          <w:rFonts w:ascii="Times New Roman" w:cs="Times New Roman" w:eastAsia="Times New Roman" w:hAnsi="Times New Roman"/>
          <w:sz w:val="21"/>
          <w:szCs w:val="21"/>
          <w:color w:val="auto"/>
        </w:rPr>
      </w:pPr>
    </w:p>
    <w:p>
      <w:pPr>
        <w:ind w:left="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interest accrued to the date of redemption, and</w:t>
      </w:r>
    </w:p>
    <w:p>
      <w:pPr>
        <w:spacing w:after="0" w:line="209" w:lineRule="exact"/>
        <w:rPr>
          <w:rFonts w:ascii="Times New Roman" w:cs="Times New Roman" w:eastAsia="Times New Roman" w:hAnsi="Times New Roman"/>
          <w:sz w:val="21"/>
          <w:szCs w:val="21"/>
          <w:color w:val="auto"/>
        </w:rPr>
      </w:pPr>
    </w:p>
    <w:p>
      <w:pPr>
        <w:ind w:left="540" w:hanging="328"/>
        <w:spacing w:after="0"/>
        <w:tabs>
          <w:tab w:leader="none" w:pos="5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6" w:lineRule="exact"/>
        <w:rPr>
          <w:sz w:val="20"/>
          <w:szCs w:val="20"/>
          <w:color w:val="auto"/>
        </w:rPr>
      </w:pPr>
    </w:p>
    <w:p>
      <w:pPr>
        <w:ind w:right="40" w:firstLine="551"/>
        <w:spacing w:after="0" w:line="244" w:lineRule="auto"/>
        <w:rPr>
          <w:sz w:val="20"/>
          <w:szCs w:val="20"/>
          <w:color w:val="auto"/>
        </w:rPr>
      </w:pPr>
      <w:r>
        <w:rPr>
          <w:rFonts w:ascii="Times New Roman" w:cs="Times New Roman" w:eastAsia="Times New Roman" w:hAnsi="Times New Roman"/>
          <w:sz w:val="22"/>
          <w:szCs w:val="22"/>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73" w:lineRule="exact"/>
        <w:rPr>
          <w:sz w:val="20"/>
          <w:szCs w:val="20"/>
          <w:color w:val="auto"/>
        </w:rPr>
      </w:pPr>
    </w:p>
    <w:p>
      <w:pPr>
        <w:ind w:right="60" w:firstLine="551"/>
        <w:spacing w:after="0" w:line="244" w:lineRule="auto"/>
        <w:rPr>
          <w:sz w:val="20"/>
          <w:szCs w:val="20"/>
          <w:color w:val="auto"/>
        </w:rPr>
      </w:pPr>
      <w:r>
        <w:rPr>
          <w:rFonts w:ascii="Times New Roman" w:cs="Times New Roman" w:eastAsia="Times New Roman" w:hAnsi="Times New Roman"/>
          <w:sz w:val="22"/>
          <w:szCs w:val="22"/>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 Call Date</w:t>
      </w:r>
      <w:r>
        <w:rPr>
          <w:rFonts w:ascii="Times New Roman" w:cs="Times New Roman" w:eastAsia="Times New Roman" w:hAnsi="Times New Roman"/>
          <w:sz w:val="22"/>
          <w:szCs w:val="22"/>
          <w:color w:val="auto"/>
        </w:rPr>
        <w:t>” means December 14, 2032 (the date that is three months prior to the maturity date of the Notes).</w:t>
      </w:r>
    </w:p>
    <w:p>
      <w:pPr>
        <w:spacing w:after="0" w:line="206" w:lineRule="exact"/>
        <w:rPr>
          <w:sz w:val="20"/>
          <w:szCs w:val="20"/>
          <w:color w:val="auto"/>
        </w:rPr>
      </w:pPr>
    </w:p>
    <w:p>
      <w:pPr>
        <w:ind w:right="80"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yield determined by the Issuer in accordance with the following two paragraphs.</w:t>
      </w:r>
    </w:p>
    <w:p>
      <w:pPr>
        <w:spacing w:after="0" w:line="154" w:lineRule="exact"/>
        <w:rPr>
          <w:sz w:val="20"/>
          <w:szCs w:val="20"/>
          <w:color w:val="auto"/>
        </w:rPr>
      </w:pPr>
    </w:p>
    <w:p>
      <w:pPr>
        <w:ind w:firstLine="551"/>
        <w:spacing w:after="0" w:line="232" w:lineRule="auto"/>
        <w:rPr>
          <w:sz w:val="20"/>
          <w:szCs w:val="20"/>
          <w:color w:val="auto"/>
        </w:rPr>
      </w:pPr>
      <w:r>
        <w:rPr>
          <w:rFonts w:ascii="Times New Roman" w:cs="Times New Roman" w:eastAsia="Times New Roman" w:hAnsi="Times New Roman"/>
          <w:sz w:val="22"/>
          <w:szCs w:val="22"/>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22"/>
          <w:szCs w:val="22"/>
          <w:b w:val="1"/>
          <w:bCs w:val="1"/>
          <w:color w:val="auto"/>
        </w:rPr>
        <w:t>H.15</w:t>
      </w:r>
      <w:r>
        <w:rPr>
          <w:rFonts w:ascii="Times New Roman" w:cs="Times New Roman" w:eastAsia="Times New Roman" w:hAnsi="Times New Roman"/>
          <w:sz w:val="22"/>
          <w:szCs w:val="22"/>
          <w:color w:val="auto"/>
        </w:rPr>
        <w:t>”) under the caption “U.S. government securities—Treasury constant maturities—Nominal” (or any successor caption or heading) (“</w:t>
      </w:r>
      <w:r>
        <w:rPr>
          <w:rFonts w:ascii="Times New Roman" w:cs="Times New Roman" w:eastAsia="Times New Roman" w:hAnsi="Times New Roman"/>
          <w:sz w:val="22"/>
          <w:szCs w:val="22"/>
          <w:b w:val="1"/>
          <w:bCs w:val="1"/>
          <w:color w:val="auto"/>
        </w:rPr>
        <w:t>H.15 TCM</w:t>
      </w:r>
      <w:r>
        <w:rPr>
          <w:rFonts w:ascii="Times New Roman" w:cs="Times New Roman" w:eastAsia="Times New Roman" w:hAnsi="Times New Roman"/>
          <w:sz w:val="22"/>
          <w:szCs w:val="22"/>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22"/>
          <w:szCs w:val="22"/>
          <w:b w:val="1"/>
          <w:bCs w:val="1"/>
          <w:color w:val="auto"/>
        </w:rPr>
        <w:t>Remaining Life</w:t>
      </w:r>
      <w:r>
        <w:rPr>
          <w:rFonts w:ascii="Times New Roman" w:cs="Times New Roman" w:eastAsia="Times New Roman" w:hAnsi="Times New Roman"/>
          <w:sz w:val="22"/>
          <w:szCs w:val="22"/>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0980"/>
          </w:cols>
          <w:pgMar w:left="440" w:top="261" w:right="479" w:bottom="1440" w:gutter="0" w:footer="0" w:header="0"/>
        </w:sectPr>
      </w:pPr>
    </w:p>
    <w:bookmarkStart w:id="53" w:name="page54"/>
    <w:bookmarkEnd w:id="53"/>
    <w:p>
      <w:pPr>
        <w:ind w:right="20" w:firstLine="551"/>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0" w:lineRule="exact"/>
        <w:rPr>
          <w:sz w:val="20"/>
          <w:szCs w:val="20"/>
          <w:color w:val="auto"/>
        </w:rPr>
      </w:pPr>
    </w:p>
    <w:p>
      <w:pPr>
        <w:ind w:right="520" w:firstLine="551"/>
        <w:spacing w:after="0" w:line="258" w:lineRule="auto"/>
        <w:rPr>
          <w:sz w:val="20"/>
          <w:szCs w:val="20"/>
          <w:color w:val="auto"/>
        </w:rPr>
      </w:pPr>
      <w:r>
        <w:rPr>
          <w:rFonts w:ascii="Times New Roman" w:cs="Times New Roman" w:eastAsia="Times New Roman" w:hAnsi="Times New Roman"/>
          <w:sz w:val="22"/>
          <w:szCs w:val="22"/>
          <w:color w:val="auto"/>
        </w:rPr>
        <w:t>The Issuer’s actions and determinations in determining the redemption price shall be conclusive and binding for all purposes, absent manifest error.</w:t>
      </w:r>
    </w:p>
    <w:p>
      <w:pPr>
        <w:spacing w:after="0" w:line="158" w:lineRule="exact"/>
        <w:rPr>
          <w:sz w:val="20"/>
          <w:szCs w:val="20"/>
          <w:color w:val="auto"/>
        </w:rPr>
      </w:pPr>
    </w:p>
    <w:p>
      <w:pPr>
        <w:ind w:right="120" w:firstLine="551"/>
        <w:spacing w:after="0" w:line="244" w:lineRule="auto"/>
        <w:rPr>
          <w:sz w:val="20"/>
          <w:szCs w:val="20"/>
          <w:color w:val="auto"/>
        </w:rPr>
      </w:pPr>
      <w:r>
        <w:rPr>
          <w:rFonts w:ascii="Times New Roman" w:cs="Times New Roman" w:eastAsia="Times New Roman" w:hAnsi="Times New Roman"/>
          <w:sz w:val="22"/>
          <w:szCs w:val="22"/>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73" w:lineRule="exact"/>
        <w:rPr>
          <w:sz w:val="20"/>
          <w:szCs w:val="20"/>
          <w:color w:val="auto"/>
        </w:rPr>
      </w:pPr>
    </w:p>
    <w:p>
      <w:pPr>
        <w:ind w:firstLine="551"/>
        <w:spacing w:after="0" w:line="235" w:lineRule="auto"/>
        <w:rPr>
          <w:sz w:val="20"/>
          <w:szCs w:val="20"/>
          <w:color w:val="auto"/>
        </w:rPr>
      </w:pPr>
      <w:r>
        <w:rPr>
          <w:rFonts w:ascii="Times New Roman" w:cs="Times New Roman" w:eastAsia="Times New Roman" w:hAnsi="Times New Roman"/>
          <w:sz w:val="22"/>
          <w:szCs w:val="22"/>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3" w:lineRule="exact"/>
        <w:rPr>
          <w:sz w:val="20"/>
          <w:szCs w:val="20"/>
          <w:color w:val="auto"/>
        </w:rPr>
      </w:pPr>
    </w:p>
    <w:p>
      <w:pPr>
        <w:ind w:right="360" w:firstLine="551"/>
        <w:spacing w:after="0" w:line="258" w:lineRule="auto"/>
        <w:rPr>
          <w:sz w:val="20"/>
          <w:szCs w:val="20"/>
          <w:color w:val="auto"/>
        </w:rPr>
      </w:pPr>
      <w:r>
        <w:rPr>
          <w:rFonts w:ascii="Times New Roman" w:cs="Times New Roman" w:eastAsia="Times New Roman" w:hAnsi="Times New Roman"/>
          <w:sz w:val="22"/>
          <w:szCs w:val="22"/>
          <w:color w:val="auto"/>
        </w:rPr>
        <w:t>Unless the Issuer defaults in payment of the redemption price, on and after the redemption date, interest will cease to accrue on the Notes or portions thereof called for redemption.</w:t>
      </w:r>
    </w:p>
    <w:p>
      <w:pPr>
        <w:spacing w:after="0" w:line="185" w:lineRule="exact"/>
        <w:rPr>
          <w:sz w:val="20"/>
          <w:szCs w:val="20"/>
          <w:color w:val="auto"/>
        </w:rPr>
      </w:pPr>
    </w:p>
    <w:p>
      <w:pPr>
        <w:ind w:left="1180" w:hanging="644"/>
        <w:spacing w:after="0"/>
        <w:tabs>
          <w:tab w:leader="none" w:pos="11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and Remedies.</w:t>
      </w:r>
    </w:p>
    <w:p>
      <w:pPr>
        <w:spacing w:after="0" w:line="206" w:lineRule="exact"/>
        <w:rPr>
          <w:sz w:val="20"/>
          <w:szCs w:val="20"/>
          <w:color w:val="auto"/>
        </w:rPr>
      </w:pPr>
    </w:p>
    <w:p>
      <w:pPr>
        <w:ind w:right="140" w:firstLine="551"/>
        <w:spacing w:after="0" w:line="239" w:lineRule="auto"/>
        <w:rPr>
          <w:sz w:val="20"/>
          <w:szCs w:val="20"/>
          <w:color w:val="auto"/>
        </w:rPr>
      </w:pPr>
      <w:r>
        <w:rPr>
          <w:rFonts w:ascii="Times New Roman" w:cs="Times New Roman" w:eastAsia="Times New Roman" w:hAnsi="Times New Roman"/>
          <w:sz w:val="22"/>
          <w:szCs w:val="22"/>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1000"/>
          </w:cols>
          <w:pgMar w:left="440" w:top="261" w:right="459" w:bottom="1440" w:gutter="0" w:footer="0" w:header="0"/>
        </w:sectPr>
      </w:pPr>
    </w:p>
    <w:bookmarkStart w:id="54" w:name="page55"/>
    <w:bookmarkEnd w:id="54"/>
    <w:p>
      <w:pPr>
        <w:ind w:right="2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05" w:lineRule="exact"/>
        <w:rPr>
          <w:sz w:val="20"/>
          <w:szCs w:val="20"/>
          <w:color w:val="auto"/>
        </w:rPr>
      </w:pPr>
    </w:p>
    <w:p>
      <w:pPr>
        <w:ind w:left="1180" w:hanging="644"/>
        <w:spacing w:after="0"/>
        <w:tabs>
          <w:tab w:leader="none" w:pos="11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Authentication.</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This Note shall not be valid until the Trustee manually signs the certificate of authentication on this Note.</w:t>
      </w:r>
    </w:p>
    <w:p>
      <w:pPr>
        <w:spacing w:after="0" w:line="233" w:lineRule="exact"/>
        <w:rPr>
          <w:sz w:val="20"/>
          <w:szCs w:val="20"/>
          <w:color w:val="auto"/>
        </w:rPr>
      </w:pPr>
    </w:p>
    <w:p>
      <w:pPr>
        <w:ind w:left="1180" w:hanging="644"/>
        <w:spacing w:after="0"/>
        <w:tabs>
          <w:tab w:leader="none" w:pos="11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Abbreviations and Defined Terms.</w:t>
      </w:r>
    </w:p>
    <w:p>
      <w:pPr>
        <w:spacing w:after="0" w:line="206" w:lineRule="exact"/>
        <w:rPr>
          <w:sz w:val="20"/>
          <w:szCs w:val="20"/>
          <w:color w:val="auto"/>
        </w:rPr>
      </w:pPr>
    </w:p>
    <w:p>
      <w:pPr>
        <w:jc w:val="both"/>
        <w:ind w:right="180" w:firstLine="551"/>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ind w:left="1180" w:hanging="644"/>
        <w:spacing w:after="0"/>
        <w:tabs>
          <w:tab w:leader="none" w:pos="11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Numbers.</w:t>
      </w:r>
    </w:p>
    <w:p>
      <w:pPr>
        <w:spacing w:after="0" w:line="206" w:lineRule="exact"/>
        <w:rPr>
          <w:sz w:val="20"/>
          <w:szCs w:val="20"/>
          <w:color w:val="auto"/>
        </w:rPr>
      </w:pPr>
    </w:p>
    <w:p>
      <w:pPr>
        <w:jc w:val="both"/>
        <w:ind w:firstLine="551"/>
        <w:spacing w:after="0" w:line="239"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07" w:lineRule="exact"/>
        <w:rPr>
          <w:sz w:val="20"/>
          <w:szCs w:val="20"/>
          <w:color w:val="auto"/>
        </w:rPr>
      </w:pPr>
    </w:p>
    <w:p>
      <w:pPr>
        <w:ind w:left="1180" w:hanging="644"/>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laws of the State of New York shall govern the Indenture and this Note thereof.</w:t>
      </w:r>
    </w:p>
    <w:p>
      <w:pPr>
        <w:sectPr>
          <w:pgSz w:w="11900" w:h="16838" w:orient="portrait"/>
          <w:cols w:equalWidth="0" w:num="1">
            <w:col w:w="11000"/>
          </w:cols>
          <w:pgMar w:left="440" w:top="261" w:right="45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(Print or type assignee’s name, address and zip code)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(Insert assignee’s soc. sec. or tax I.D. No.)</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and irrevocably appoint 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-160020</wp:posOffset>
            </wp:positionV>
            <wp:extent cx="23742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0" w:lineRule="exact"/>
        <w:rPr>
          <w:sz w:val="20"/>
          <w:szCs w:val="20"/>
          <w:color w:val="auto"/>
        </w:rPr>
      </w:pPr>
    </w:p>
    <w:p>
      <w:pPr>
        <w:spacing w:after="0" w:line="276" w:lineRule="exact"/>
        <w:rPr>
          <w:sz w:val="20"/>
          <w:szCs w:val="20"/>
          <w:color w:val="auto"/>
        </w:rPr>
      </w:pPr>
    </w:p>
    <w:p>
      <w:pPr>
        <w:ind w:left="10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 must be guaranteed</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56749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firstLine="551"/>
        <w:spacing w:after="0" w:line="239" w:lineRule="auto"/>
        <w:rPr>
          <w:sz w:val="20"/>
          <w:szCs w:val="20"/>
          <w:color w:val="auto"/>
        </w:rPr>
      </w:pPr>
      <w:r>
        <w:rPr>
          <w:rFonts w:ascii="Times New Roman" w:cs="Times New Roman" w:eastAsia="Times New Roman" w:hAnsi="Times New Roman"/>
          <w:sz w:val="22"/>
          <w:szCs w:val="22"/>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22"/>
          <w:szCs w:val="22"/>
          <w:b w:val="1"/>
          <w:bCs w:val="1"/>
          <w:color w:val="auto"/>
        </w:rPr>
        <w:t>STAMP</w:t>
      </w:r>
      <w:r>
        <w:rPr>
          <w:rFonts w:ascii="Times New Roman" w:cs="Times New Roman" w:eastAsia="Times New Roman" w:hAnsi="Times New Roman"/>
          <w:sz w:val="22"/>
          <w:szCs w:val="22"/>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261" w:right="519" w:bottom="1440" w:gutter="0" w:footer="0" w:header="0"/>
        </w:sectPr>
      </w:pPr>
    </w:p>
    <w:bookmarkStart w:id="56" w:name="page57"/>
    <w:bookmarkEnd w:id="56"/>
    <w:p>
      <w:pPr>
        <w:ind w:left="35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exchanges of a part of this Global Note for Physical Notes or a part of another Global Note have been made: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8"/>
        </w:trPr>
        <w:tc>
          <w:tcPr>
            <w:tcW w:w="24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60" w:type="dxa"/>
            <w:vAlign w:val="bottom"/>
            <w:vMerge w:val="restart"/>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4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 decrease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2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20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1"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NOTES DUE 2053]</w:t>
      </w:r>
    </w:p>
    <w:p>
      <w:pPr>
        <w:spacing w:after="0" w:line="314" w:lineRule="exact"/>
        <w:rPr>
          <w:sz w:val="20"/>
          <w:szCs w:val="20"/>
          <w:color w:val="auto"/>
        </w:rPr>
      </w:pPr>
    </w:p>
    <w:p>
      <w:pPr>
        <w:ind w:right="20" w:firstLine="1432"/>
        <w:spacing w:after="0" w:line="235" w:lineRule="auto"/>
        <w:rPr>
          <w:sz w:val="20"/>
          <w:szCs w:val="20"/>
          <w:color w:val="auto"/>
        </w:rPr>
      </w:pPr>
      <w:r>
        <w:rPr>
          <w:rFonts w:ascii="Times New Roman" w:cs="Times New Roman" w:eastAsia="Times New Roman" w:hAnsi="Times New Roman"/>
          <w:sz w:val="22"/>
          <w:szCs w:val="22"/>
          <w:color w:val="auto"/>
        </w:rPr>
        <w:t>UNLESS THIS NOTE IS PRESENTED BY AN AUTHORIZED REPRESENTATIVE OF THE DEPOSITORY TRUST COMPANY, A NEW YORK CORPORATION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xml:space="preserve"> ”),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ind w:right="40" w:firstLine="1432"/>
        <w:spacing w:after="0" w:line="238" w:lineRule="auto"/>
        <w:rPr>
          <w:sz w:val="20"/>
          <w:szCs w:val="20"/>
          <w:color w:val="auto"/>
        </w:rPr>
      </w:pPr>
      <w:r>
        <w:rPr>
          <w:rFonts w:ascii="Times New Roman" w:cs="Times New Roman" w:eastAsia="Times New Roman" w:hAnsi="Times New Roman"/>
          <w:sz w:val="22"/>
          <w:szCs w:val="22"/>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7" w:lineRule="exact"/>
        <w:rPr>
          <w:sz w:val="20"/>
          <w:szCs w:val="20"/>
          <w:color w:val="auto"/>
        </w:rPr>
      </w:pPr>
    </w:p>
    <w:p>
      <w:pPr>
        <w:ind w:right="180" w:firstLine="1432"/>
        <w:spacing w:after="0" w:line="239" w:lineRule="auto"/>
        <w:rPr>
          <w:sz w:val="20"/>
          <w:szCs w:val="20"/>
          <w:color w:val="auto"/>
        </w:rPr>
      </w:pPr>
      <w:r>
        <w:rPr>
          <w:rFonts w:ascii="Times New Roman" w:cs="Times New Roman" w:eastAsia="Times New Roman" w:hAnsi="Times New Roman"/>
          <w:sz w:val="22"/>
          <w:szCs w:val="22"/>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57" w:right="4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5.000 % Notes due 2053</w:t>
      </w:r>
    </w:p>
    <w:p>
      <w:pPr>
        <w:sectPr>
          <w:pgSz w:w="11900" w:h="16838" w:orient="portrait"/>
          <w:cols w:equalWidth="0" w:num="1">
            <w:col w:w="11020"/>
          </w:cols>
          <w:pgMar w:left="440" w:top="257" w:right="4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CUSIP No.: 882508CC6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ISIN No.: US882508CC69</w:t>
      </w:r>
    </w:p>
    <w:p>
      <w:pPr>
        <w:spacing w:after="0" w:line="194" w:lineRule="exact"/>
        <w:rPr>
          <w:sz w:val="20"/>
          <w:szCs w:val="20"/>
          <w:color w:val="auto"/>
        </w:rPr>
      </w:pPr>
    </w:p>
    <w:p>
      <w:pPr>
        <w:sectPr>
          <w:pgSz w:w="11900" w:h="16838" w:orient="portrait"/>
          <w:cols w:equalWidth="0" w:num="2">
            <w:col w:w="7960" w:space="720"/>
            <w:col w:w="2340"/>
          </w:cols>
          <w:pgMar w:left="440" w:top="257" w:right="439" w:bottom="1440" w:gutter="0" w:footer="0" w:header="0"/>
          <w:type w:val="continuous"/>
        </w:sectPr>
      </w:pPr>
    </w:p>
    <w:p>
      <w:pPr>
        <w:ind w:left="10000"/>
        <w:spacing w:after="0"/>
        <w:rPr>
          <w:sz w:val="20"/>
          <w:szCs w:val="20"/>
          <w:color w:val="auto"/>
        </w:rPr>
      </w:pPr>
      <w:r>
        <w:rPr>
          <w:rFonts w:ascii="Times New Roman" w:cs="Times New Roman" w:eastAsia="Times New Roman" w:hAnsi="Times New Roman"/>
          <w:sz w:val="21"/>
          <w:szCs w:val="21"/>
          <w:color w:val="auto"/>
        </w:rPr>
        <w:t>$[_______]</w:t>
      </w:r>
    </w:p>
    <w:p>
      <w:pPr>
        <w:sectPr>
          <w:pgSz w:w="11900" w:h="16838" w:orient="portrait"/>
          <w:cols w:equalWidth="0" w:num="1">
            <w:col w:w="11020"/>
          </w:cols>
          <w:pgMar w:left="440" w:top="257" w:right="439" w:bottom="1440" w:gutter="0" w:footer="0" w:header="0"/>
          <w:type w:val="continuous"/>
        </w:sectPr>
      </w:pPr>
    </w:p>
    <w:p>
      <w:pPr>
        <w:spacing w:after="0" w:line="214" w:lineRule="exact"/>
        <w:rPr>
          <w:sz w:val="20"/>
          <w:szCs w:val="20"/>
          <w:color w:val="auto"/>
        </w:rPr>
      </w:pPr>
    </w:p>
    <w:p>
      <w:pPr>
        <w:ind w:right="20" w:firstLine="551"/>
        <w:spacing w:after="0" w:line="262" w:lineRule="auto"/>
        <w:rPr>
          <w:sz w:val="20"/>
          <w:szCs w:val="20"/>
          <w:color w:val="auto"/>
        </w:rPr>
      </w:pPr>
      <w:r>
        <w:rPr>
          <w:rFonts w:ascii="Times New Roman" w:cs="Times New Roman" w:eastAsia="Times New Roman" w:hAnsi="Times New Roman"/>
          <w:sz w:val="22"/>
          <w:szCs w:val="22"/>
          <w:color w:val="auto"/>
        </w:rPr>
        <w:t>TEXAS INSTRUMENTS INCORPORATED, a Delaware corporation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for value received promises to pay to CEDE &amp; CO. or registered assigns the principal sum of $[_______] on March 14, 2053.</w:t>
      </w:r>
    </w:p>
    <w:p>
      <w:pPr>
        <w:spacing w:after="0" w:line="150" w:lineRule="exact"/>
        <w:rPr>
          <w:sz w:val="20"/>
          <w:szCs w:val="20"/>
          <w:color w:val="auto"/>
        </w:rPr>
      </w:pPr>
    </w:p>
    <w:p>
      <w:pPr>
        <w:ind w:right="1200" w:firstLine="551"/>
        <w:spacing w:after="0" w:line="262" w:lineRule="auto"/>
        <w:rPr>
          <w:sz w:val="20"/>
          <w:szCs w:val="20"/>
          <w:color w:val="auto"/>
        </w:rPr>
      </w:pPr>
      <w:r>
        <w:rPr>
          <w:rFonts w:ascii="Times New Roman" w:cs="Times New Roman" w:eastAsia="Times New Roman" w:hAnsi="Times New Roman"/>
          <w:sz w:val="22"/>
          <w:szCs w:val="22"/>
          <w:color w:val="auto"/>
        </w:rPr>
        <w:t>Interest Payment Dates: March 14 and September 14 (each, an “</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commencing on September 14, 2023.</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Interest Record Dates: February 28 and August 31 (each, an “</w:t>
      </w:r>
      <w:r>
        <w:rPr>
          <w:rFonts w:ascii="Times New Roman" w:cs="Times New Roman" w:eastAsia="Times New Roman" w:hAnsi="Times New Roman"/>
          <w:sz w:val="22"/>
          <w:szCs w:val="22"/>
          <w:b w:val="1"/>
          <w:bCs w:val="1"/>
          <w:color w:val="auto"/>
        </w:rPr>
        <w:t>Interest Record Date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480" w:firstLine="551"/>
        <w:spacing w:after="0" w:line="258" w:lineRule="auto"/>
        <w:rPr>
          <w:sz w:val="20"/>
          <w:szCs w:val="20"/>
          <w:color w:val="auto"/>
        </w:rPr>
      </w:pPr>
      <w:r>
        <w:rPr>
          <w:rFonts w:ascii="Times New Roman" w:cs="Times New Roman" w:eastAsia="Times New Roman" w:hAnsi="Times New Roman"/>
          <w:sz w:val="22"/>
          <w:szCs w:val="22"/>
          <w:color w:val="auto"/>
        </w:rPr>
        <w:t>Reference is made to the further provisions of this Note contained herein, which will for all purposes have the same effect as if set forth at this place.</w:t>
      </w:r>
    </w:p>
    <w:p>
      <w:pPr>
        <w:sectPr>
          <w:pgSz w:w="11900" w:h="16838" w:orient="portrait"/>
          <w:cols w:equalWidth="0" w:num="1">
            <w:col w:w="11020"/>
          </w:cols>
          <w:pgMar w:left="440" w:top="257" w:right="439" w:bottom="1440" w:gutter="0" w:footer="0" w:header="0"/>
          <w:type w:val="continuous"/>
        </w:sectPr>
      </w:pPr>
    </w:p>
    <w:bookmarkStart w:id="59" w:name="page60"/>
    <w:bookmarkEnd w:id="59"/>
    <w:p>
      <w:pPr>
        <w:ind w:firstLine="55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1"/>
          <w:szCs w:val="21"/>
          <w:b w:val="1"/>
          <w:bCs w:val="1"/>
          <w:color w:val="auto"/>
        </w:rPr>
        <w:t>TEXAS INSTRUMENTS INCORPORATED</w:t>
      </w:r>
    </w:p>
    <w:p>
      <w:pPr>
        <w:spacing w:after="0" w:line="3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10795</wp:posOffset>
            </wp:positionV>
            <wp:extent cx="2537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2"/>
          <w:szCs w:val="22"/>
          <w:color w:val="auto"/>
        </w:rPr>
        <w:t>Name: Rafael R. Lizardi</w:t>
      </w:r>
    </w:p>
    <w:p>
      <w:pPr>
        <w:ind w:left="7020"/>
        <w:spacing w:after="0" w:line="232" w:lineRule="auto"/>
        <w:tabs>
          <w:tab w:leader="none" w:pos="7700" w:val="left"/>
        </w:tabs>
        <w:rPr>
          <w:sz w:val="20"/>
          <w:szCs w:val="20"/>
          <w:color w:val="auto"/>
        </w:rPr>
      </w:pPr>
      <w:r>
        <w:rPr>
          <w:rFonts w:ascii="Times New Roman" w:cs="Times New Roman" w:eastAsia="Times New Roman" w:hAnsi="Times New Roman"/>
          <w:sz w:val="22"/>
          <w:szCs w:val="22"/>
          <w:color w:val="auto"/>
        </w:rPr>
        <w:t>Title:</w:t>
        <w:tab/>
        <w:t>Senior Vice President and Chief</w:t>
      </w:r>
    </w:p>
    <w:p>
      <w:pPr>
        <w:ind w:left="772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0" w:lineRule="exact"/>
        <w:rPr>
          <w:sz w:val="20"/>
          <w:szCs w:val="20"/>
          <w:color w:val="auto"/>
        </w:rPr>
      </w:pPr>
    </w:p>
    <w:p>
      <w:pPr>
        <w:spacing w:after="0" w:line="30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10795</wp:posOffset>
            </wp:positionV>
            <wp:extent cx="2537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2"/>
          <w:szCs w:val="22"/>
          <w:color w:val="auto"/>
        </w:rPr>
        <w:t>Name: Jack I. Holmes</w:t>
      </w:r>
    </w:p>
    <w:p>
      <w:pPr>
        <w:spacing w:after="0" w:line="2" w:lineRule="exact"/>
        <w:rPr>
          <w:sz w:val="20"/>
          <w:szCs w:val="20"/>
          <w:color w:val="auto"/>
        </w:rPr>
      </w:pPr>
    </w:p>
    <w:p>
      <w:pPr>
        <w:ind w:left="7020"/>
        <w:spacing w:after="0"/>
        <w:tabs>
          <w:tab w:leader="none" w:pos="7700" w:val="left"/>
        </w:tabs>
        <w:rPr>
          <w:sz w:val="20"/>
          <w:szCs w:val="20"/>
          <w:color w:val="auto"/>
        </w:rPr>
      </w:pPr>
      <w:r>
        <w:rPr>
          <w:rFonts w:ascii="Times New Roman" w:cs="Times New Roman" w:eastAsia="Times New Roman" w:hAnsi="Times New Roman"/>
          <w:sz w:val="22"/>
          <w:szCs w:val="22"/>
          <w:color w:val="auto"/>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[Seal of Texas Instruments Incorporated]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10795</wp:posOffset>
            </wp:positionV>
            <wp:extent cx="25114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Name: Edgar A. Morales</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Title:  Assistant Secretary</w:t>
      </w:r>
    </w:p>
    <w:p>
      <w:pPr>
        <w:sectPr>
          <w:pgSz w:w="11900" w:h="16838" w:orient="portrait"/>
          <w:cols w:equalWidth="0" w:num="1">
            <w:col w:w="10840"/>
          </w:cols>
          <w:pgMar w:left="440" w:top="261" w:right="619" w:bottom="1440" w:gutter="0" w:footer="0" w:header="0"/>
        </w:sectPr>
      </w:pPr>
    </w:p>
    <w:bookmarkStart w:id="60" w:name="page61"/>
    <w:bookmarkEnd w:id="60"/>
    <w:p>
      <w:pPr>
        <w:ind w:right="1180" w:firstLine="551"/>
        <w:spacing w:after="0" w:line="44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 Dated: March 14, 2023</w:t>
      </w:r>
    </w:p>
    <w:p>
      <w:pPr>
        <w:spacing w:after="0" w:line="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1"/>
          <w:szCs w:val="21"/>
          <w:b w:val="1"/>
          <w:bCs w:val="1"/>
          <w:color w:val="auto"/>
        </w:rPr>
        <w:t>U.S. BANK TRUST COMPANY, NATIONAL</w:t>
      </w:r>
    </w:p>
    <w:p>
      <w:pPr>
        <w:spacing w:after="0" w:line="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b w:val="1"/>
          <w:bCs w:val="1"/>
          <w:color w:val="auto"/>
        </w:rPr>
        <w:t>ASSOCIATION</w:t>
      </w:r>
      <w:r>
        <w:rPr>
          <w:rFonts w:ascii="Times New Roman" w:cs="Times New Roman" w:eastAsia="Times New Roman" w:hAnsi="Times New Roman"/>
          <w:sz w:val="22"/>
          <w:szCs w:val="22"/>
          <w:color w:val="auto"/>
        </w:rPr>
        <w:t>, as Trustee</w:t>
      </w:r>
    </w:p>
    <w:p>
      <w:pPr>
        <w:spacing w:after="0" w:line="29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10795</wp:posOffset>
            </wp:positionV>
            <wp:extent cx="25374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2"/>
          <w:szCs w:val="22"/>
          <w:color w:val="auto"/>
        </w:rPr>
        <w:t>Name: Michael K. Herberger</w:t>
      </w:r>
    </w:p>
    <w:p>
      <w:pPr>
        <w:spacing w:after="0" w:line="2" w:lineRule="exact"/>
        <w:rPr>
          <w:sz w:val="20"/>
          <w:szCs w:val="20"/>
          <w:color w:val="auto"/>
        </w:rPr>
      </w:pPr>
    </w:p>
    <w:p>
      <w:pPr>
        <w:ind w:left="7020"/>
        <w:spacing w:after="0"/>
        <w:tabs>
          <w:tab w:leader="none" w:pos="770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10840"/>
          </w:cols>
          <w:pgMar w:left="440" w:top="261" w:right="619" w:bottom="1440" w:gutter="0" w:footer="0" w:header="0"/>
        </w:sectPr>
      </w:pPr>
    </w:p>
    <w:bookmarkStart w:id="61" w:name="page62"/>
    <w:bookmarkEnd w:id="61"/>
    <w:p>
      <w:pPr>
        <w:jc w:val="center"/>
        <w:ind w:right="-7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TEXAS INSTRUMENTS INCORPORATED</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5.000% Notes due 2053</w:t>
      </w:r>
    </w:p>
    <w:p>
      <w:pPr>
        <w:spacing w:after="0" w:line="200" w:lineRule="exact"/>
        <w:rPr>
          <w:sz w:val="20"/>
          <w:szCs w:val="20"/>
          <w:color w:val="auto"/>
        </w:rPr>
      </w:pPr>
    </w:p>
    <w:p>
      <w:pPr>
        <w:spacing w:after="0" w:line="290" w:lineRule="exact"/>
        <w:rPr>
          <w:sz w:val="20"/>
          <w:szCs w:val="20"/>
          <w:color w:val="auto"/>
        </w:rPr>
      </w:pPr>
    </w:p>
    <w:p>
      <w:pPr>
        <w:ind w:left="1180" w:hanging="644"/>
        <w:spacing w:after="0"/>
        <w:tabs>
          <w:tab w:leader="none" w:pos="11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w:t>
      </w:r>
    </w:p>
    <w:p>
      <w:pPr>
        <w:spacing w:after="0" w:line="202" w:lineRule="exact"/>
        <w:rPr>
          <w:sz w:val="20"/>
          <w:szCs w:val="20"/>
          <w:color w:val="auto"/>
        </w:rPr>
      </w:pPr>
    </w:p>
    <w:p>
      <w:pPr>
        <w:ind w:right="140" w:firstLine="551"/>
        <w:spacing w:after="0" w:line="236" w:lineRule="auto"/>
        <w:rPr>
          <w:sz w:val="20"/>
          <w:szCs w:val="20"/>
          <w:color w:val="auto"/>
        </w:rPr>
      </w:pPr>
      <w:r>
        <w:rPr>
          <w:rFonts w:ascii="Times New Roman" w:cs="Times New Roman" w:eastAsia="Times New Roman" w:hAnsi="Times New Roman"/>
          <w:sz w:val="22"/>
          <w:szCs w:val="22"/>
          <w:color w:val="auto"/>
        </w:rPr>
        <w:t>Texas Instruments Incorporated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promises to pay interest on the principal amount of this Note at the rate per annum described above. Cash interest on the Notes will accrue from the most recent date to which interest has been paid; or, if no interest has been paid, from March 14, 2023. Interest on this Note will be paid to but excluding the relevant Interest Payment Date. The Issuer will pay interest semi-annually in arrears on each Interest Payment Date, commencing September 14, 2023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0" w:lineRule="exact"/>
        <w:rPr>
          <w:sz w:val="20"/>
          <w:szCs w:val="20"/>
          <w:color w:val="auto"/>
        </w:rPr>
      </w:pPr>
    </w:p>
    <w:p>
      <w:pPr>
        <w:ind w:right="320" w:firstLine="551"/>
        <w:spacing w:after="0" w:line="258" w:lineRule="auto"/>
        <w:rPr>
          <w:sz w:val="20"/>
          <w:szCs w:val="20"/>
          <w:color w:val="auto"/>
        </w:rPr>
      </w:pPr>
      <w:r>
        <w:rPr>
          <w:rFonts w:ascii="Times New Roman" w:cs="Times New Roman" w:eastAsia="Times New Roman" w:hAnsi="Times New Roman"/>
          <w:sz w:val="22"/>
          <w:szCs w:val="22"/>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85" w:lineRule="exact"/>
        <w:rPr>
          <w:sz w:val="20"/>
          <w:szCs w:val="20"/>
          <w:color w:val="auto"/>
        </w:rPr>
      </w:pPr>
    </w:p>
    <w:p>
      <w:pPr>
        <w:ind w:left="1180" w:hanging="644"/>
        <w:spacing w:after="0"/>
        <w:tabs>
          <w:tab w:leader="none" w:pos="11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Agent.</w:t>
      </w:r>
    </w:p>
    <w:p>
      <w:pPr>
        <w:spacing w:after="0" w:line="202" w:lineRule="exact"/>
        <w:rPr>
          <w:sz w:val="20"/>
          <w:szCs w:val="20"/>
          <w:color w:val="auto"/>
        </w:rPr>
      </w:pPr>
    </w:p>
    <w:p>
      <w:pPr>
        <w:ind w:right="480" w:firstLine="551"/>
        <w:spacing w:after="0" w:line="262" w:lineRule="auto"/>
        <w:rPr>
          <w:sz w:val="20"/>
          <w:szCs w:val="20"/>
          <w:color w:val="auto"/>
        </w:rPr>
      </w:pPr>
      <w:r>
        <w:rPr>
          <w:rFonts w:ascii="Times New Roman" w:cs="Times New Roman" w:eastAsia="Times New Roman" w:hAnsi="Times New Roman"/>
          <w:sz w:val="22"/>
          <w:szCs w:val="22"/>
          <w:color w:val="auto"/>
        </w:rPr>
        <w:t>Initially, U.S. Bank Trust Company, National Association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will act as paying agent. The Issuer may change any paying agent without notice to the holders (the “</w:t>
      </w:r>
      <w:r>
        <w:rPr>
          <w:rFonts w:ascii="Times New Roman" w:cs="Times New Roman" w:eastAsia="Times New Roman" w:hAnsi="Times New Roman"/>
          <w:sz w:val="22"/>
          <w:szCs w:val="22"/>
          <w:b w:val="1"/>
          <w:bCs w:val="1"/>
          <w:color w:val="auto"/>
        </w:rPr>
        <w:t>Holders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180" w:hanging="644"/>
        <w:spacing w:after="0"/>
        <w:tabs>
          <w:tab w:leader="none" w:pos="11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 Defined Terms.</w:t>
      </w:r>
    </w:p>
    <w:p>
      <w:pPr>
        <w:spacing w:after="0" w:line="202" w:lineRule="exact"/>
        <w:rPr>
          <w:sz w:val="20"/>
          <w:szCs w:val="20"/>
          <w:color w:val="auto"/>
        </w:rPr>
      </w:pPr>
    </w:p>
    <w:p>
      <w:pPr>
        <w:ind w:right="160" w:firstLine="551"/>
        <w:spacing w:after="0" w:line="241" w:lineRule="auto"/>
        <w:rPr>
          <w:sz w:val="20"/>
          <w:szCs w:val="20"/>
          <w:color w:val="auto"/>
        </w:rPr>
      </w:pPr>
      <w:r>
        <w:rPr>
          <w:rFonts w:ascii="Times New Roman" w:cs="Times New Roman" w:eastAsia="Times New Roman" w:hAnsi="Times New Roman"/>
          <w:sz w:val="22"/>
          <w:szCs w:val="22"/>
          <w:color w:val="auto"/>
        </w:rPr>
        <w:t>This Note is one of the 5.000% Notes due 2053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issued under an indenture dated as of May 23, 2011 (the “</w:t>
      </w:r>
      <w:r>
        <w:rPr>
          <w:rFonts w:ascii="Times New Roman" w:cs="Times New Roman" w:eastAsia="Times New Roman" w:hAnsi="Times New Roman"/>
          <w:sz w:val="22"/>
          <w:szCs w:val="22"/>
          <w:b w:val="1"/>
          <w:bCs w:val="1"/>
          <w:color w:val="auto"/>
        </w:rPr>
        <w:t>Base Indenture</w:t>
      </w:r>
      <w:r>
        <w:rPr>
          <w:rFonts w:ascii="Times New Roman" w:cs="Times New Roman" w:eastAsia="Times New Roman" w:hAnsi="Times New Roman"/>
          <w:sz w:val="22"/>
          <w:szCs w:val="22"/>
          <w:color w:val="auto"/>
        </w:rPr>
        <w:t>”) by and between the Issuer and the Trustee, and established pursuant to an Officers’ Certificate dated March 14, 2023, issued pursuant to Section 2.01 and Section 2.03 thereof (together,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This Note is a “Security” and the Notes are “Securities” under the Indenture.</w:t>
      </w:r>
    </w:p>
    <w:p>
      <w:pPr>
        <w:spacing w:after="0" w:line="176"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21"/>
          <w:szCs w:val="21"/>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21"/>
          <w:szCs w:val="21"/>
          <w:b w:val="1"/>
          <w:bCs w:val="1"/>
          <w:color w:val="auto"/>
        </w:rPr>
        <w:t>TIA</w:t>
      </w:r>
      <w:r>
        <w:rPr>
          <w:rFonts w:ascii="Times New Roman" w:cs="Times New Roman" w:eastAsia="Times New Roman" w:hAnsi="Times New Roman"/>
          <w:sz w:val="21"/>
          <w:szCs w:val="21"/>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ectPr>
          <w:pgSz w:w="11900" w:h="16838" w:orient="portrait"/>
          <w:cols w:equalWidth="0" w:num="1">
            <w:col w:w="10940"/>
          </w:cols>
          <w:pgMar w:left="440" w:top="261" w:right="519" w:bottom="1440" w:gutter="0" w:footer="0" w:header="0"/>
        </w:sectPr>
      </w:pPr>
    </w:p>
    <w:bookmarkStart w:id="62" w:name="page63"/>
    <w:bookmarkEnd w:id="62"/>
    <w:p>
      <w:pPr>
        <w:ind w:left="540" w:firstLine="523"/>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210" w:lineRule="exact"/>
        <w:rPr>
          <w:sz w:val="20"/>
          <w:szCs w:val="20"/>
          <w:color w:val="auto"/>
        </w:rPr>
      </w:pPr>
    </w:p>
    <w:p>
      <w:pPr>
        <w:ind w:left="1180" w:hanging="644"/>
        <w:spacing w:after="0"/>
        <w:tabs>
          <w:tab w:leader="none" w:pos="11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Denominations; Transfer; Exchange.</w:t>
      </w:r>
    </w:p>
    <w:p>
      <w:pPr>
        <w:spacing w:after="0" w:line="206" w:lineRule="exact"/>
        <w:rPr>
          <w:sz w:val="20"/>
          <w:szCs w:val="20"/>
          <w:color w:val="auto"/>
        </w:rPr>
      </w:pPr>
    </w:p>
    <w:p>
      <w:pPr>
        <w:ind w:right="120" w:firstLine="551"/>
        <w:spacing w:after="0" w:line="235" w:lineRule="auto"/>
        <w:rPr>
          <w:sz w:val="20"/>
          <w:szCs w:val="20"/>
          <w:color w:val="auto"/>
        </w:rPr>
      </w:pPr>
      <w:r>
        <w:rPr>
          <w:rFonts w:ascii="Times New Roman" w:cs="Times New Roman" w:eastAsia="Times New Roman" w:hAnsi="Times New Roman"/>
          <w:sz w:val="22"/>
          <w:szCs w:val="22"/>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210" w:lineRule="exact"/>
        <w:rPr>
          <w:sz w:val="20"/>
          <w:szCs w:val="20"/>
          <w:color w:val="auto"/>
        </w:rPr>
      </w:pPr>
    </w:p>
    <w:p>
      <w:pPr>
        <w:ind w:left="1180" w:hanging="644"/>
        <w:spacing w:after="0"/>
        <w:tabs>
          <w:tab w:leader="none" w:pos="11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Supplement; Waiver.</w:t>
      </w:r>
    </w:p>
    <w:p>
      <w:pPr>
        <w:spacing w:after="0" w:line="206" w:lineRule="exact"/>
        <w:rPr>
          <w:sz w:val="20"/>
          <w:szCs w:val="20"/>
          <w:color w:val="auto"/>
        </w:rPr>
      </w:pPr>
    </w:p>
    <w:p>
      <w:pPr>
        <w:ind w:right="240" w:firstLine="551"/>
        <w:spacing w:after="0" w:line="235" w:lineRule="auto"/>
        <w:rPr>
          <w:sz w:val="20"/>
          <w:szCs w:val="20"/>
          <w:color w:val="auto"/>
        </w:rPr>
      </w:pPr>
      <w:r>
        <w:rPr>
          <w:rFonts w:ascii="Times New Roman" w:cs="Times New Roman" w:eastAsia="Times New Roman" w:hAnsi="Times New Roman"/>
          <w:sz w:val="22"/>
          <w:szCs w:val="22"/>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205" w:lineRule="exact"/>
        <w:rPr>
          <w:sz w:val="20"/>
          <w:szCs w:val="20"/>
          <w:color w:val="auto"/>
        </w:rPr>
      </w:pPr>
    </w:p>
    <w:p>
      <w:pPr>
        <w:ind w:left="1180" w:hanging="644"/>
        <w:spacing w:after="0"/>
        <w:tabs>
          <w:tab w:leader="none" w:pos="11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Redemption.</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Prior to the Par Call Date, the Notes will be redeemable, in whole or in part at any time, or from time to time, at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Issuer’s option, at a “make-whole premium” redemption price calculated by the Issuer equal to the greater of:</w:t>
      </w:r>
    </w:p>
    <w:p>
      <w:pPr>
        <w:sectPr>
          <w:pgSz w:w="11900" w:h="16838" w:orient="portrait"/>
          <w:cols w:equalWidth="0" w:num="1">
            <w:col w:w="10980"/>
          </w:cols>
          <w:pgMar w:left="440" w:top="261" w:right="479" w:bottom="1440" w:gutter="0" w:footer="0" w:header="0"/>
        </w:sectPr>
      </w:pPr>
    </w:p>
    <w:bookmarkStart w:id="63" w:name="page64"/>
    <w:bookmarkEnd w:id="63"/>
    <w:p>
      <w:pPr>
        <w:ind w:left="540" w:right="20" w:hanging="436"/>
        <w:spacing w:after="0" w:line="249" w:lineRule="auto"/>
        <w:tabs>
          <w:tab w:leader="none" w:pos="5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20 basis points less</w:t>
      </w:r>
    </w:p>
    <w:p>
      <w:pPr>
        <w:spacing w:after="0" w:line="1" w:lineRule="exact"/>
        <w:rPr>
          <w:rFonts w:ascii="Times New Roman" w:cs="Times New Roman" w:eastAsia="Times New Roman" w:hAnsi="Times New Roman"/>
          <w:sz w:val="21"/>
          <w:szCs w:val="21"/>
          <w:color w:val="auto"/>
        </w:rPr>
      </w:pPr>
    </w:p>
    <w:p>
      <w:pPr>
        <w:ind w:left="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interest accrued to the date of redemption, and</w:t>
      </w:r>
    </w:p>
    <w:p>
      <w:pPr>
        <w:spacing w:after="0" w:line="209" w:lineRule="exact"/>
        <w:rPr>
          <w:rFonts w:ascii="Times New Roman" w:cs="Times New Roman" w:eastAsia="Times New Roman" w:hAnsi="Times New Roman"/>
          <w:sz w:val="21"/>
          <w:szCs w:val="21"/>
          <w:color w:val="auto"/>
        </w:rPr>
      </w:pPr>
    </w:p>
    <w:p>
      <w:pPr>
        <w:ind w:left="540" w:hanging="436"/>
        <w:spacing w:after="0"/>
        <w:tabs>
          <w:tab w:leader="none" w:pos="5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06" w:lineRule="exact"/>
        <w:rPr>
          <w:sz w:val="20"/>
          <w:szCs w:val="20"/>
          <w:color w:val="auto"/>
        </w:rPr>
      </w:pPr>
    </w:p>
    <w:p>
      <w:pPr>
        <w:ind w:right="40" w:firstLine="551"/>
        <w:spacing w:after="0" w:line="244" w:lineRule="auto"/>
        <w:rPr>
          <w:sz w:val="20"/>
          <w:szCs w:val="20"/>
          <w:color w:val="auto"/>
        </w:rPr>
      </w:pPr>
      <w:r>
        <w:rPr>
          <w:rFonts w:ascii="Times New Roman" w:cs="Times New Roman" w:eastAsia="Times New Roman" w:hAnsi="Times New Roman"/>
          <w:sz w:val="22"/>
          <w:szCs w:val="22"/>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73" w:lineRule="exact"/>
        <w:rPr>
          <w:sz w:val="20"/>
          <w:szCs w:val="20"/>
          <w:color w:val="auto"/>
        </w:rPr>
      </w:pPr>
    </w:p>
    <w:p>
      <w:pPr>
        <w:ind w:right="60" w:firstLine="551"/>
        <w:spacing w:after="0" w:line="244" w:lineRule="auto"/>
        <w:rPr>
          <w:sz w:val="20"/>
          <w:szCs w:val="20"/>
          <w:color w:val="auto"/>
        </w:rPr>
      </w:pPr>
      <w:r>
        <w:rPr>
          <w:rFonts w:ascii="Times New Roman" w:cs="Times New Roman" w:eastAsia="Times New Roman" w:hAnsi="Times New Roman"/>
          <w:sz w:val="22"/>
          <w:szCs w:val="22"/>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 Call Date</w:t>
      </w:r>
      <w:r>
        <w:rPr>
          <w:rFonts w:ascii="Times New Roman" w:cs="Times New Roman" w:eastAsia="Times New Roman" w:hAnsi="Times New Roman"/>
          <w:sz w:val="22"/>
          <w:szCs w:val="22"/>
          <w:color w:val="auto"/>
        </w:rPr>
        <w:t>” means September 14, 2052 (the date that is six months prior to the maturity date of the Notes).</w:t>
      </w:r>
    </w:p>
    <w:p>
      <w:pPr>
        <w:spacing w:after="0" w:line="206" w:lineRule="exact"/>
        <w:rPr>
          <w:sz w:val="20"/>
          <w:szCs w:val="20"/>
          <w:color w:val="auto"/>
        </w:rPr>
      </w:pPr>
    </w:p>
    <w:p>
      <w:pPr>
        <w:ind w:right="80"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yield determined by the Issuer in accordance with the following two paragraphs.</w:t>
      </w:r>
    </w:p>
    <w:p>
      <w:pPr>
        <w:spacing w:after="0" w:line="154" w:lineRule="exact"/>
        <w:rPr>
          <w:sz w:val="20"/>
          <w:szCs w:val="20"/>
          <w:color w:val="auto"/>
        </w:rPr>
      </w:pPr>
    </w:p>
    <w:p>
      <w:pPr>
        <w:ind w:firstLine="551"/>
        <w:spacing w:after="0" w:line="232" w:lineRule="auto"/>
        <w:rPr>
          <w:sz w:val="20"/>
          <w:szCs w:val="20"/>
          <w:color w:val="auto"/>
        </w:rPr>
      </w:pPr>
      <w:r>
        <w:rPr>
          <w:rFonts w:ascii="Times New Roman" w:cs="Times New Roman" w:eastAsia="Times New Roman" w:hAnsi="Times New Roman"/>
          <w:sz w:val="22"/>
          <w:szCs w:val="22"/>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22"/>
          <w:szCs w:val="22"/>
          <w:b w:val="1"/>
          <w:bCs w:val="1"/>
          <w:color w:val="auto"/>
        </w:rPr>
        <w:t>H.15</w:t>
      </w:r>
      <w:r>
        <w:rPr>
          <w:rFonts w:ascii="Times New Roman" w:cs="Times New Roman" w:eastAsia="Times New Roman" w:hAnsi="Times New Roman"/>
          <w:sz w:val="22"/>
          <w:szCs w:val="22"/>
          <w:color w:val="auto"/>
        </w:rPr>
        <w:t>”) under the caption “U.S. government securities—Treasury constant maturities—Nominal” (or any successor caption or heading) (“</w:t>
      </w:r>
      <w:r>
        <w:rPr>
          <w:rFonts w:ascii="Times New Roman" w:cs="Times New Roman" w:eastAsia="Times New Roman" w:hAnsi="Times New Roman"/>
          <w:sz w:val="22"/>
          <w:szCs w:val="22"/>
          <w:b w:val="1"/>
          <w:bCs w:val="1"/>
          <w:color w:val="auto"/>
        </w:rPr>
        <w:t>H.15 TCM</w:t>
      </w:r>
      <w:r>
        <w:rPr>
          <w:rFonts w:ascii="Times New Roman" w:cs="Times New Roman" w:eastAsia="Times New Roman" w:hAnsi="Times New Roman"/>
          <w:sz w:val="22"/>
          <w:szCs w:val="22"/>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22"/>
          <w:szCs w:val="22"/>
          <w:b w:val="1"/>
          <w:bCs w:val="1"/>
          <w:color w:val="auto"/>
        </w:rPr>
        <w:t>Remaining Life</w:t>
      </w:r>
      <w:r>
        <w:rPr>
          <w:rFonts w:ascii="Times New Roman" w:cs="Times New Roman" w:eastAsia="Times New Roman" w:hAnsi="Times New Roman"/>
          <w:sz w:val="22"/>
          <w:szCs w:val="22"/>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0980"/>
          </w:cols>
          <w:pgMar w:left="440" w:top="261" w:right="479" w:bottom="1440" w:gutter="0" w:footer="0" w:header="0"/>
        </w:sectPr>
      </w:pPr>
    </w:p>
    <w:bookmarkStart w:id="64" w:name="page65"/>
    <w:bookmarkEnd w:id="64"/>
    <w:p>
      <w:pPr>
        <w:ind w:right="20" w:firstLine="551"/>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0" w:lineRule="exact"/>
        <w:rPr>
          <w:sz w:val="20"/>
          <w:szCs w:val="20"/>
          <w:color w:val="auto"/>
        </w:rPr>
      </w:pPr>
    </w:p>
    <w:p>
      <w:pPr>
        <w:ind w:right="520" w:firstLine="551"/>
        <w:spacing w:after="0" w:line="258" w:lineRule="auto"/>
        <w:rPr>
          <w:sz w:val="20"/>
          <w:szCs w:val="20"/>
          <w:color w:val="auto"/>
        </w:rPr>
      </w:pPr>
      <w:r>
        <w:rPr>
          <w:rFonts w:ascii="Times New Roman" w:cs="Times New Roman" w:eastAsia="Times New Roman" w:hAnsi="Times New Roman"/>
          <w:sz w:val="22"/>
          <w:szCs w:val="22"/>
          <w:color w:val="auto"/>
        </w:rPr>
        <w:t>The Issuer’s actions and determinations in determining the redemption price shall be conclusive and binding for all purposes, absent manifest error.</w:t>
      </w:r>
    </w:p>
    <w:p>
      <w:pPr>
        <w:spacing w:after="0" w:line="158" w:lineRule="exact"/>
        <w:rPr>
          <w:sz w:val="20"/>
          <w:szCs w:val="20"/>
          <w:color w:val="auto"/>
        </w:rPr>
      </w:pPr>
    </w:p>
    <w:p>
      <w:pPr>
        <w:ind w:right="120" w:firstLine="551"/>
        <w:spacing w:after="0" w:line="244" w:lineRule="auto"/>
        <w:rPr>
          <w:sz w:val="20"/>
          <w:szCs w:val="20"/>
          <w:color w:val="auto"/>
        </w:rPr>
      </w:pPr>
      <w:r>
        <w:rPr>
          <w:rFonts w:ascii="Times New Roman" w:cs="Times New Roman" w:eastAsia="Times New Roman" w:hAnsi="Times New Roman"/>
          <w:sz w:val="22"/>
          <w:szCs w:val="22"/>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73" w:lineRule="exact"/>
        <w:rPr>
          <w:sz w:val="20"/>
          <w:szCs w:val="20"/>
          <w:color w:val="auto"/>
        </w:rPr>
      </w:pPr>
    </w:p>
    <w:p>
      <w:pPr>
        <w:ind w:firstLine="551"/>
        <w:spacing w:after="0" w:line="235" w:lineRule="auto"/>
        <w:rPr>
          <w:sz w:val="20"/>
          <w:szCs w:val="20"/>
          <w:color w:val="auto"/>
        </w:rPr>
      </w:pPr>
      <w:r>
        <w:rPr>
          <w:rFonts w:ascii="Times New Roman" w:cs="Times New Roman" w:eastAsia="Times New Roman" w:hAnsi="Times New Roman"/>
          <w:sz w:val="22"/>
          <w:szCs w:val="22"/>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3" w:lineRule="exact"/>
        <w:rPr>
          <w:sz w:val="20"/>
          <w:szCs w:val="20"/>
          <w:color w:val="auto"/>
        </w:rPr>
      </w:pPr>
    </w:p>
    <w:p>
      <w:pPr>
        <w:ind w:right="360" w:firstLine="551"/>
        <w:spacing w:after="0" w:line="258" w:lineRule="auto"/>
        <w:rPr>
          <w:sz w:val="20"/>
          <w:szCs w:val="20"/>
          <w:color w:val="auto"/>
        </w:rPr>
      </w:pPr>
      <w:r>
        <w:rPr>
          <w:rFonts w:ascii="Times New Roman" w:cs="Times New Roman" w:eastAsia="Times New Roman" w:hAnsi="Times New Roman"/>
          <w:sz w:val="22"/>
          <w:szCs w:val="22"/>
          <w:color w:val="auto"/>
        </w:rPr>
        <w:t>Unless the Issuer defaults in payment of the redemption price, on and after the redemption date, interest will cease to accrue on the Notes or portions thereof called for redemption.</w:t>
      </w:r>
    </w:p>
    <w:p>
      <w:pPr>
        <w:spacing w:after="0" w:line="185" w:lineRule="exact"/>
        <w:rPr>
          <w:sz w:val="20"/>
          <w:szCs w:val="20"/>
          <w:color w:val="auto"/>
        </w:rPr>
      </w:pPr>
    </w:p>
    <w:p>
      <w:pPr>
        <w:ind w:left="1180" w:hanging="644"/>
        <w:spacing w:after="0"/>
        <w:tabs>
          <w:tab w:leader="none" w:pos="11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and Remedies.</w:t>
      </w:r>
    </w:p>
    <w:p>
      <w:pPr>
        <w:spacing w:after="0" w:line="206" w:lineRule="exact"/>
        <w:rPr>
          <w:sz w:val="20"/>
          <w:szCs w:val="20"/>
          <w:color w:val="auto"/>
        </w:rPr>
      </w:pPr>
    </w:p>
    <w:p>
      <w:pPr>
        <w:ind w:right="140" w:firstLine="551"/>
        <w:spacing w:after="0" w:line="239" w:lineRule="auto"/>
        <w:rPr>
          <w:sz w:val="20"/>
          <w:szCs w:val="20"/>
          <w:color w:val="auto"/>
        </w:rPr>
      </w:pPr>
      <w:r>
        <w:rPr>
          <w:rFonts w:ascii="Times New Roman" w:cs="Times New Roman" w:eastAsia="Times New Roman" w:hAnsi="Times New Roman"/>
          <w:sz w:val="22"/>
          <w:szCs w:val="22"/>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1000"/>
          </w:cols>
          <w:pgMar w:left="440" w:top="261" w:right="459" w:bottom="1440" w:gutter="0" w:footer="0" w:header="0"/>
        </w:sectPr>
      </w:pPr>
    </w:p>
    <w:bookmarkStart w:id="65" w:name="page66"/>
    <w:bookmarkEnd w:id="65"/>
    <w:p>
      <w:pPr>
        <w:ind w:right="2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05" w:lineRule="exact"/>
        <w:rPr>
          <w:sz w:val="20"/>
          <w:szCs w:val="20"/>
          <w:color w:val="auto"/>
        </w:rPr>
      </w:pPr>
    </w:p>
    <w:p>
      <w:pPr>
        <w:ind w:left="1180" w:hanging="644"/>
        <w:spacing w:after="0"/>
        <w:tabs>
          <w:tab w:leader="none" w:pos="11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Authentication.</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This Note shall not be valid until the Trustee manually signs the certificate of authentication on this Note.</w:t>
      </w:r>
    </w:p>
    <w:p>
      <w:pPr>
        <w:spacing w:after="0" w:line="233" w:lineRule="exact"/>
        <w:rPr>
          <w:sz w:val="20"/>
          <w:szCs w:val="20"/>
          <w:color w:val="auto"/>
        </w:rPr>
      </w:pPr>
    </w:p>
    <w:p>
      <w:pPr>
        <w:ind w:left="1180" w:hanging="644"/>
        <w:spacing w:after="0"/>
        <w:tabs>
          <w:tab w:leader="none" w:pos="11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Abbreviations and Defined Terms.</w:t>
      </w:r>
    </w:p>
    <w:p>
      <w:pPr>
        <w:spacing w:after="0" w:line="206" w:lineRule="exact"/>
        <w:rPr>
          <w:sz w:val="20"/>
          <w:szCs w:val="20"/>
          <w:color w:val="auto"/>
        </w:rPr>
      </w:pPr>
    </w:p>
    <w:p>
      <w:pPr>
        <w:jc w:val="both"/>
        <w:ind w:right="180" w:firstLine="551"/>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ind w:left="1180" w:hanging="644"/>
        <w:spacing w:after="0"/>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Numbers.</w:t>
      </w:r>
    </w:p>
    <w:p>
      <w:pPr>
        <w:spacing w:after="0" w:line="206" w:lineRule="exact"/>
        <w:rPr>
          <w:sz w:val="20"/>
          <w:szCs w:val="20"/>
          <w:color w:val="auto"/>
        </w:rPr>
      </w:pPr>
    </w:p>
    <w:p>
      <w:pPr>
        <w:jc w:val="both"/>
        <w:ind w:firstLine="551"/>
        <w:spacing w:after="0" w:line="239"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07" w:lineRule="exact"/>
        <w:rPr>
          <w:sz w:val="20"/>
          <w:szCs w:val="20"/>
          <w:color w:val="auto"/>
        </w:rPr>
      </w:pPr>
    </w:p>
    <w:p>
      <w:pPr>
        <w:ind w:left="1180" w:hanging="644"/>
        <w:spacing w:after="0"/>
        <w:tabs>
          <w:tab w:leader="none" w:pos="11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laws of the State of New York shall govern the Indenture and this Note thereof.</w:t>
      </w:r>
    </w:p>
    <w:p>
      <w:pPr>
        <w:sectPr>
          <w:pgSz w:w="11900" w:h="16838" w:orient="portrait"/>
          <w:cols w:equalWidth="0" w:num="1">
            <w:col w:w="11000"/>
          </w:cols>
          <w:pgMar w:left="440" w:top="261" w:right="459" w:bottom="1440" w:gutter="0" w:footer="0" w:header="0"/>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(Print or type assignee’s name, address and zip code)</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(Insert assignee’s soc. sec. or tax I.D. No.)</w:t>
      </w:r>
    </w:p>
    <w:p>
      <w:pPr>
        <w:spacing w:after="0" w:line="206"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and irrevocably appoint 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345440</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456565</wp:posOffset>
            </wp:positionV>
            <wp:extent cx="2091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Signature</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1954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294005</wp:posOffset>
            </wp:positionV>
            <wp:extent cx="2091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 must be guaranteed</w:t>
      </w:r>
      <w:r>
        <w:rPr>
          <w:sz w:val="20"/>
          <w:szCs w:val="20"/>
          <w:color w:val="auto"/>
        </w:rPr>
        <w:tab/>
      </w: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pacing w:after="0" w:line="344" w:lineRule="exact"/>
        <w:rPr>
          <w:sz w:val="20"/>
          <w:szCs w:val="20"/>
          <w:color w:val="auto"/>
        </w:rPr>
      </w:pPr>
    </w:p>
    <w:p>
      <w:pPr>
        <w:ind w:firstLine="551"/>
        <w:spacing w:after="0" w:line="239" w:lineRule="auto"/>
        <w:rPr>
          <w:sz w:val="20"/>
          <w:szCs w:val="20"/>
          <w:color w:val="auto"/>
        </w:rPr>
      </w:pPr>
      <w:r>
        <w:rPr>
          <w:rFonts w:ascii="Times New Roman" w:cs="Times New Roman" w:eastAsia="Times New Roman" w:hAnsi="Times New Roman"/>
          <w:sz w:val="22"/>
          <w:szCs w:val="22"/>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22"/>
          <w:szCs w:val="22"/>
          <w:b w:val="1"/>
          <w:bCs w:val="1"/>
          <w:color w:val="auto"/>
        </w:rPr>
        <w:t>STAMP</w:t>
      </w:r>
      <w:r>
        <w:rPr>
          <w:rFonts w:ascii="Times New Roman" w:cs="Times New Roman" w:eastAsia="Times New Roman" w:hAnsi="Times New Roman"/>
          <w:sz w:val="22"/>
          <w:szCs w:val="22"/>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243205</wp:posOffset>
            </wp:positionV>
            <wp:extent cx="6995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261" w:right="5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exchanges of a part of this Global Note for Physical Notes or a part of another Global Note have been made: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9"/>
        </w:trPr>
        <w:tc>
          <w:tcPr>
            <w:tcW w:w="22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00" w:type="dxa"/>
            <w:vAlign w:val="bottom"/>
            <w:vMerge w:val="restart"/>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 following</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such decrease (or increase)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1" w:right="4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OPINION OF DAVIS POLK &amp; WARDWELL LLP</w:t>
      </w:r>
    </w:p>
    <w:p>
      <w:pPr>
        <w:sectPr>
          <w:pgSz w:w="11900" w:h="16838" w:orient="portrait"/>
          <w:cols w:equalWidth="0" w:num="1">
            <w:col w:w="10020"/>
          </w:cols>
          <w:pgMar w:left="1440" w:top="117" w:right="439" w:bottom="1440" w:gutter="0" w:footer="0" w:header="0"/>
        </w:sectPr>
      </w:pPr>
    </w:p>
    <w:bookmarkStart w:id="69" w:name="page70"/>
    <w:bookmarkEnd w:id="69"/>
    <w:p>
      <w:pPr>
        <w:ind w:left="2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985520" cy="325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85520" cy="325755"/>
                    </a:xfrm>
                    <a:prstGeom prst="rect">
                      <a:avLst/>
                    </a:prstGeom>
                    <a:noFill/>
                  </pic:spPr>
                </pic:pic>
              </a:graphicData>
            </a:graphic>
          </wp:anchor>
        </w:drawing>
      </w:r>
    </w:p>
    <w:p>
      <w:pPr>
        <w:ind w:left="2540"/>
        <w:spacing w:after="0" w:line="226" w:lineRule="auto"/>
        <w:rPr>
          <w:sz w:val="20"/>
          <w:szCs w:val="20"/>
          <w:color w:val="auto"/>
        </w:rPr>
      </w:pPr>
      <w:r>
        <w:rPr>
          <w:rFonts w:ascii="Times New Roman" w:cs="Times New Roman" w:eastAsia="Times New Roman" w:hAnsi="Times New Roman"/>
          <w:sz w:val="14"/>
          <w:szCs w:val="14"/>
          <w:color w:val="auto"/>
        </w:rPr>
        <w:t>1600 El Camino Real</w:t>
      </w:r>
    </w:p>
    <w:p>
      <w:pPr>
        <w:ind w:left="2540"/>
        <w:spacing w:after="0" w:line="222" w:lineRule="auto"/>
        <w:rPr>
          <w:sz w:val="20"/>
          <w:szCs w:val="20"/>
          <w:color w:val="auto"/>
        </w:rPr>
      </w:pPr>
      <w:r>
        <w:rPr>
          <w:rFonts w:ascii="Times New Roman" w:cs="Times New Roman" w:eastAsia="Times New Roman" w:hAnsi="Times New Roman"/>
          <w:sz w:val="14"/>
          <w:szCs w:val="14"/>
          <w:color w:val="auto"/>
        </w:rPr>
        <w:t>Menlo Park, CA 94025</w:t>
      </w:r>
    </w:p>
    <w:p>
      <w:pPr>
        <w:ind w:left="2540"/>
        <w:spacing w:after="0"/>
        <w:rPr>
          <w:sz w:val="20"/>
          <w:szCs w:val="20"/>
          <w:color w:val="auto"/>
        </w:rPr>
      </w:pPr>
      <w:r>
        <w:rPr>
          <w:rFonts w:ascii="Times New Roman" w:cs="Times New Roman" w:eastAsia="Times New Roman" w:hAnsi="Times New Roman"/>
          <w:sz w:val="14"/>
          <w:szCs w:val="14"/>
          <w:color w:val="auto"/>
        </w:rPr>
        <w:t>davispolk.com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special counsel for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of $750,000,000 aggregate principal amount of 4.900% Notes due 2033 and $650,000,000 aggregate principal amount of 5.000% Notes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2053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an underwritten public offering pursuant to an underwriting agreement dated March 7, 2023 (the “</w:t>
      </w:r>
      <w:r>
        <w:rPr>
          <w:rFonts w:ascii="Times New Roman" w:cs="Times New Roman" w:eastAsia="Times New Roman" w:hAnsi="Times New Roman"/>
          <w:sz w:val="18"/>
          <w:szCs w:val="18"/>
          <w:b w:val="1"/>
          <w:bCs w:val="1"/>
          <w:color w:val="auto"/>
        </w:rPr>
        <w:t>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among the Company and Barclays Capital Inc., BofA Securities, Inc. and MUFG Securities Americas Inc. as underwriters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The Notes are to be issued pursuant to an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 as Trustee, and an Officers’ Certificate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issued pursuant thereto on or about March 14, 2023. The Company has filed with the Securities and Exchange Commission a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S-3 (File No. 333-262523,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for the purpose of registering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the offer and sale of certain securities, including the Notes.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ectPr>
          <w:pgSz w:w="11900" w:h="16838" w:orient="portrait"/>
          <w:cols w:equalWidth="0" w:num="1">
            <w:col w:w="10980"/>
          </w:cols>
          <w:pgMar w:left="440" w:top="265" w:right="479" w:bottom="1440" w:gutter="0" w:footer="0" w:header="0"/>
        </w:sectPr>
      </w:pPr>
    </w:p>
    <w:bookmarkStart w:id="70" w:name="page71"/>
    <w:bookmarkEnd w:id="70"/>
    <w:p>
      <w:pPr>
        <w:spacing w:after="0"/>
        <w:tabs>
          <w:tab w:leader="none" w:pos="5680" w:val="left"/>
          <w:tab w:leader="none" w:pos="98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March 14, 2023</w:t>
      </w:r>
    </w:p>
    <w:p>
      <w:pPr>
        <w:spacing w:after="0" w:line="15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 connection with the opinion expressed above, we have assumed that at or prior to the time of the delivery of the Notes, the Indenture and the Notes (the “Documents”)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04"/>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lowerLetter"/>
      <w:start w:val="1"/>
    </w:lvl>
  </w:abstractNum>
  <w:abstractNum w:abstractNumId="5">
    <w:nsid w:val="737B8DD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
    <w:nsid w:val="6CEAF087"/>
    <w:multiLevelType w:val="hybridMultilevel"/>
    <w:lvl w:ilvl="0">
      <w:lvlJc w:val="left"/>
      <w:lvlText w:val="(%1)"/>
      <w:numFmt w:val="lowerRoman"/>
      <w:start w:val="6"/>
    </w:lvl>
    <w:lvl w:ilvl="1">
      <w:lvlJc w:val="left"/>
      <w:lvlText w:val="(%2)"/>
      <w:numFmt w:val="upperLetter"/>
      <w:start w:val="1"/>
    </w:lvl>
  </w:abstractNum>
  <w:abstractNum w:abstractNumId="7">
    <w:nsid w:val="22221A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
    <w:nsid w:val="4516DDE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
    <w:nsid w:val="3006C83E"/>
    <w:multiLevelType w:val="hybridMultilevel"/>
    <w:lvl w:ilvl="0">
      <w:lvlJc w:val="left"/>
      <w:lvlText w:val="%1"/>
      <w:numFmt w:val="lowerRoman"/>
      <w:start w:val="1"/>
    </w:lvl>
    <w:lvl w:ilvl="1">
      <w:lvlJc w:val="left"/>
      <w:lvlText w:val="(%2)"/>
      <w:numFmt w:val="upperLetter"/>
      <w:start w:val="2"/>
    </w:lvl>
  </w:abstractNum>
  <w:abstractNum w:abstractNumId="10">
    <w:nsid w:val="614FD4A1"/>
    <w:multiLevelType w:val="hybridMultilevel"/>
    <w:lvl w:ilvl="0">
      <w:lvlJc w:val="left"/>
      <w:lvlText w:val="(%1)"/>
      <w:numFmt w:val="lowerRoman"/>
      <w:start w:val="3"/>
    </w:lvl>
    <w:lvl w:ilvl="1">
      <w:lvlJc w:val="left"/>
      <w:lvlText w:val="(%2)"/>
      <w:numFmt w:val="upperLetter"/>
      <w:start w:val="1"/>
    </w:lvl>
  </w:abstractNum>
  <w:abstractNum w:abstractNumId="11">
    <w:nsid w:val="419AC241"/>
    <w:multiLevelType w:val="hybridMultilevel"/>
    <w:lvl w:ilvl="0">
      <w:lvlJc w:val="left"/>
      <w:lvlText w:val="(%1)"/>
      <w:numFmt w:val="lowerRoman"/>
      <w:start w:val="8"/>
    </w:lvl>
    <w:lvl w:ilvl="1">
      <w:lvlJc w:val="left"/>
      <w:lvlText w:val="(%2)"/>
      <w:numFmt w:val="upperLetter"/>
      <w:start w:val="1"/>
    </w:lvl>
  </w:abstractNum>
  <w:abstractNum w:abstractNumId="12">
    <w:nsid w:val="5577F8E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
    <w:nsid w:val="440BADFC"/>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4">
    <w:nsid w:val="507236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5">
    <w:nsid w:val="3804823E"/>
    <w:multiLevelType w:val="hybridMultilevel"/>
    <w:lvl w:ilvl="0">
      <w:lvlJc w:val="left"/>
      <w:lvlText w:val="(%1)"/>
      <w:numFmt w:val="lowerLetter"/>
      <w:start w:val="5"/>
    </w:lvl>
  </w:abstractNum>
  <w:abstractNum w:abstractNumId="16">
    <w:nsid w:val="77465F01"/>
    <w:multiLevelType w:val="hybridMultilevel"/>
    <w:lvl w:ilvl="0">
      <w:lvlJc w:val="left"/>
      <w:lvlText w:val="(%1)"/>
      <w:numFmt w:val="lowerLetter"/>
      <w:start w:val="6"/>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6"/>
    </w:lvl>
  </w:abstractNum>
  <w:abstractNum w:abstractNumId="19">
    <w:nsid w:val="2463B9EA"/>
    <w:multiLevelType w:val="hybridMultilevel"/>
    <w:lvl w:ilvl="0">
      <w:lvlJc w:val="left"/>
      <w:lvlText w:val="(%1)"/>
      <w:numFmt w:val="lowerLetter"/>
      <w:start w:val="9"/>
    </w:lvl>
  </w:abstractNum>
  <w:abstractNum w:abstractNumId="20">
    <w:nsid w:val="5E884ADC"/>
    <w:multiLevelType w:val="hybridMultilevel"/>
    <w:lvl w:ilvl="0">
      <w:lvlJc w:val="left"/>
      <w:lvlText w:val="%1"/>
      <w:numFmt w:val="lowerLetter"/>
      <w:start w:val="1"/>
    </w:lvl>
    <w:lvl w:ilvl="1">
      <w:lvlJc w:val="left"/>
      <w:lvlText w:val="(%2)"/>
      <w:numFmt w:val="lowerLetter"/>
      <w:start w:val="14"/>
    </w:lvl>
  </w:abstractNum>
  <w:abstractNum w:abstractNumId="21">
    <w:nsid w:val="51EAD36B"/>
    <w:multiLevelType w:val="hybridMultilevel"/>
    <w:lvl w:ilvl="0">
      <w:lvlJc w:val="left"/>
      <w:lvlText w:val="(%1)"/>
      <w:numFmt w:val="lowerLetter"/>
      <w:start w:val="22"/>
    </w:lvl>
    <w:lvl w:ilvl="1">
      <w:lvlJc w:val="left"/>
      <w:lvlText w:val="%2"/>
      <w:numFmt w:val="lowerLetter"/>
      <w:start w:val="1"/>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2"/>
    </w:lvl>
  </w:abstractNum>
  <w:abstractNum w:abstractNumId="24">
    <w:nsid w:val="153EA438"/>
    <w:multiLevelType w:val="hybridMultilevel"/>
    <w:lvl w:ilvl="0">
      <w:lvlJc w:val="left"/>
      <w:lvlText w:val="(%1)"/>
      <w:numFmt w:val="lowerLetter"/>
      <w:start w:val="4"/>
    </w:lvl>
  </w:abstractNum>
  <w:abstractNum w:abstractNumId="25">
    <w:nsid w:val="3855585C"/>
    <w:multiLevelType w:val="hybridMultilevel"/>
    <w:lvl w:ilvl="0">
      <w:lvlJc w:val="left"/>
      <w:lvlText w:val="%1"/>
      <w:numFmt w:val="lowerLetter"/>
      <w:start w:val="1"/>
    </w:lvl>
    <w:lvl w:ilvl="1">
      <w:lvlJc w:val="left"/>
      <w:lvlText w:val="(%2)"/>
      <w:numFmt w:val="lowerLetter"/>
      <w:start w:val="8"/>
    </w:lvl>
  </w:abstractNum>
  <w:abstractNum w:abstractNumId="26">
    <w:nsid w:val="70A64E2A"/>
    <w:multiLevelType w:val="hybridMultilevel"/>
    <w:lvl w:ilvl="0">
      <w:lvlJc w:val="left"/>
      <w:lvlText w:val="(%1)"/>
      <w:numFmt w:val="lowerLetter"/>
      <w:start w:val="35"/>
    </w:lvl>
    <w:lvl w:ilvl="1">
      <w:lvlJc w:val="left"/>
      <w:lvlText w:val="(%2)"/>
      <w:numFmt w:val="lowerLetter"/>
      <w:start w:val="9"/>
    </w:lvl>
  </w:abstractNum>
  <w:abstractNum w:abstractNumId="27">
    <w:nsid w:val="6A2342EC"/>
    <w:multiLevelType w:val="hybridMultilevel"/>
    <w:lvl w:ilvl="0">
      <w:lvlJc w:val="left"/>
      <w:lvlText w:val="(%1)"/>
      <w:numFmt w:val="lowerLetter"/>
      <w:start w:val="14"/>
    </w:lvl>
  </w:abstractNum>
  <w:abstractNum w:abstractNumId="28">
    <w:nsid w:val="2A487CB0"/>
    <w:multiLevelType w:val="hybridMultilevel"/>
    <w:lvl w:ilvl="0">
      <w:lvlJc w:val="left"/>
      <w:lvlText w:val="(%1)"/>
      <w:numFmt w:val="lowerRoman"/>
      <w:start w:val="2"/>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1"/>
    </w:lvl>
    <w:lvl w:ilvl="1">
      <w:lvlJc w:val="left"/>
      <w:lvlText w:val="(%2)"/>
      <w:numFmt w:val="lowerLetter"/>
      <w:start w:val="1"/>
    </w:lvl>
  </w:abstractNum>
  <w:abstractNum w:abstractNumId="31">
    <w:nsid w:val="2CD89A32"/>
    <w:multiLevelType w:val="hybridMultilevel"/>
    <w:lvl w:ilvl="0">
      <w:lvlJc w:val="left"/>
      <w:lvlText w:val="(%1)"/>
      <w:numFmt w:val="lowerLetter"/>
      <w:start w:val="35"/>
    </w:lvl>
    <w:lvl w:ilvl="1">
      <w:lvlJc w:val="left"/>
      <w:lvlText w:val="%2"/>
      <w:numFmt w:val="lowerLetter"/>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2"/>
    </w:lvl>
  </w:abstractNum>
  <w:abstractNum w:abstractNumId="35">
    <w:nsid w:val="542289EC"/>
    <w:multiLevelType w:val="hybridMultilevel"/>
    <w:lvl w:ilvl="0">
      <w:lvlJc w:val="left"/>
      <w:lvlText w:val="%1."/>
      <w:numFmt w:val="decimal"/>
      <w:start w:val="3"/>
    </w:lvl>
  </w:abstractNum>
  <w:abstractNum w:abstractNumId="36">
    <w:nsid w:val="6DE91B18"/>
    <w:multiLevelType w:val="hybridMultilevel"/>
    <w:lvl w:ilvl="0">
      <w:lvlJc w:val="left"/>
      <w:lvlText w:val="%1."/>
      <w:numFmt w:val="decimal"/>
      <w:start w:val="4"/>
    </w:lvl>
  </w:abstractNum>
  <w:abstractNum w:abstractNumId="37">
    <w:nsid w:val="38437FDB"/>
    <w:multiLevelType w:val="hybridMultilevel"/>
    <w:lvl w:ilvl="0">
      <w:lvlJc w:val="left"/>
      <w:lvlText w:val="%1."/>
      <w:numFmt w:val="decimal"/>
      <w:start w:val="5"/>
    </w:lvl>
  </w:abstractNum>
  <w:abstractNum w:abstractNumId="38">
    <w:nsid w:val="7644A45C"/>
    <w:multiLevelType w:val="hybridMultilevel"/>
    <w:lvl w:ilvl="0">
      <w:lvlJc w:val="left"/>
      <w:lvlText w:val="%1."/>
      <w:numFmt w:val="decimal"/>
      <w:start w:val="6"/>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7"/>
    </w:lvl>
  </w:abstractNum>
  <w:abstractNum w:abstractNumId="41">
    <w:nsid w:val="579478FE"/>
    <w:multiLevelType w:val="hybridMultilevel"/>
    <w:lvl w:ilvl="0">
      <w:lvlJc w:val="left"/>
      <w:lvlText w:val="%1."/>
      <w:numFmt w:val="decimal"/>
      <w:start w:val="8"/>
    </w:lvl>
  </w:abstractNum>
  <w:abstractNum w:abstractNumId="42">
    <w:nsid w:val="749ABB43"/>
    <w:multiLevelType w:val="hybridMultilevel"/>
    <w:lvl w:ilvl="0">
      <w:lvlJc w:val="left"/>
      <w:lvlText w:val="%1."/>
      <w:numFmt w:val="decimal"/>
      <w:start w:val="9"/>
    </w:lvl>
  </w:abstractNum>
  <w:abstractNum w:abstractNumId="43">
    <w:nsid w:val="3DC240FB"/>
    <w:multiLevelType w:val="hybridMultilevel"/>
    <w:lvl w:ilvl="0">
      <w:lvlJc w:val="left"/>
      <w:lvlText w:val="%1."/>
      <w:numFmt w:val="decimal"/>
      <w:start w:val="10"/>
    </w:lvl>
  </w:abstractNum>
  <w:abstractNum w:abstractNumId="44">
    <w:nsid w:val="1BA026FA"/>
    <w:multiLevelType w:val="hybridMultilevel"/>
    <w:lvl w:ilvl="0">
      <w:lvlJc w:val="left"/>
      <w:lvlText w:val="%1."/>
      <w:numFmt w:val="decimal"/>
      <w:start w:val="1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2"/>
    </w:lvl>
  </w:abstractNum>
  <w:abstractNum w:abstractNumId="47">
    <w:nsid w:val="12E685FB"/>
    <w:multiLevelType w:val="hybridMultilevel"/>
    <w:lvl w:ilvl="0">
      <w:lvlJc w:val="left"/>
      <w:lvlText w:val="%1."/>
      <w:numFmt w:val="decimal"/>
      <w:start w:val="3"/>
    </w:lvl>
  </w:abstractNum>
  <w:abstractNum w:abstractNumId="48">
    <w:nsid w:val="70C6A529"/>
    <w:multiLevelType w:val="hybridMultilevel"/>
    <w:lvl w:ilvl="0">
      <w:lvlJc w:val="left"/>
      <w:lvlText w:val="%1."/>
      <w:numFmt w:val="decimal"/>
      <w:start w:val="4"/>
    </w:lvl>
  </w:abstractNum>
  <w:abstractNum w:abstractNumId="49">
    <w:nsid w:val="520EEDD1"/>
    <w:multiLevelType w:val="hybridMultilevel"/>
    <w:lvl w:ilvl="0">
      <w:lvlJc w:val="left"/>
      <w:lvlText w:val="%1."/>
      <w:numFmt w:val="decimal"/>
      <w:start w:val="5"/>
    </w:lvl>
  </w:abstractNum>
  <w:abstractNum w:abstractNumId="50">
    <w:nsid w:val="374A3FE6"/>
    <w:multiLevelType w:val="hybridMultilevel"/>
    <w:lvl w:ilvl="0">
      <w:lvlJc w:val="left"/>
      <w:lvlText w:val="%1."/>
      <w:numFmt w:val="decimal"/>
      <w:start w:val="6"/>
    </w:lvl>
  </w:abstractNum>
  <w:abstractNum w:abstractNumId="51">
    <w:nsid w:val="4F4EF005"/>
    <w:multiLevelType w:val="hybridMultilevel"/>
    <w:lvl w:ilvl="0">
      <w:lvlJc w:val="left"/>
      <w:lvlText w:val="(%1)"/>
      <w:numFmt w:val="decimal"/>
      <w:start w:val="3"/>
    </w:lvl>
  </w:abstractNum>
  <w:abstractNum w:abstractNumId="52">
    <w:nsid w:val="23F9C13C"/>
    <w:multiLevelType w:val="hybridMultilevel"/>
    <w:lvl w:ilvl="0">
      <w:lvlJc w:val="left"/>
      <w:lvlText w:val="%1."/>
      <w:numFmt w:val="decimal"/>
      <w:start w:val="7"/>
    </w:lvl>
  </w:abstractNum>
  <w:abstractNum w:abstractNumId="53">
    <w:nsid w:val="649BB77C"/>
    <w:multiLevelType w:val="hybridMultilevel"/>
    <w:lvl w:ilvl="0">
      <w:lvlJc w:val="left"/>
      <w:lvlText w:val="%1."/>
      <w:numFmt w:val="decimal"/>
      <w:start w:val="8"/>
    </w:lvl>
  </w:abstractNum>
  <w:abstractNum w:abstractNumId="54">
    <w:nsid w:val="275AC794"/>
    <w:multiLevelType w:val="hybridMultilevel"/>
    <w:lvl w:ilvl="0">
      <w:lvlJc w:val="left"/>
      <w:lvlText w:val="%1."/>
      <w:numFmt w:val="decimal"/>
      <w:start w:val="9"/>
    </w:lvl>
  </w:abstractNum>
  <w:abstractNum w:abstractNumId="55">
    <w:nsid w:val="39386575"/>
    <w:multiLevelType w:val="hybridMultilevel"/>
    <w:lvl w:ilvl="0">
      <w:lvlJc w:val="left"/>
      <w:lvlText w:val="%1."/>
      <w:numFmt w:val="decimal"/>
      <w:start w:val="10"/>
    </w:lvl>
  </w:abstractNum>
  <w:abstractNum w:abstractNumId="56">
    <w:nsid w:val="1CF10FD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2023-03-14T15:53:37Z</dcterms:created>
  <dcterms:modified xsi:type="dcterms:W3CDTF">2023-03-14T15:53:37Z</dcterms:modified>
</cp:coreProperties>
</file>