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1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01/16/2009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111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1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60"/>
              <w:spacing w:after="0" w:line="132"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118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60"/>
              <w:spacing w:after="0" w:line="134"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280" w:type="dxa"/>
            <w:vAlign w:val="bottom"/>
          </w:tcPr>
          <w:p>
            <w:pPr>
              <w:spacing w:after="0"/>
              <w:rPr>
                <w:sz w:val="11"/>
                <w:szCs w:val="11"/>
                <w:color w:val="auto"/>
              </w:rPr>
            </w:pPr>
          </w:p>
        </w:tc>
        <w:tc>
          <w:tcPr>
            <w:tcW w:w="10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Owned Following</w:t>
            </w:r>
          </w:p>
        </w:tc>
        <w:tc>
          <w:tcPr>
            <w:tcW w:w="10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gridSpan w:val="4"/>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center"/>
              <w:ind w:left="189"/>
              <w:spacing w:after="0"/>
              <w:rPr>
                <w:sz w:val="20"/>
                <w:szCs w:val="20"/>
                <w:color w:val="auto"/>
              </w:rPr>
            </w:pPr>
            <w:r>
              <w:rPr>
                <w:rFonts w:ascii="Arial" w:cs="Arial" w:eastAsia="Arial" w:hAnsi="Arial"/>
                <w:sz w:val="17"/>
                <w:szCs w:val="17"/>
                <w:color w:val="0000FF"/>
                <w:w w:val="91"/>
              </w:rPr>
              <w:t>315,411</w:t>
            </w:r>
          </w:p>
        </w:tc>
        <w:tc>
          <w:tcPr>
            <w:tcW w:w="280" w:type="dxa"/>
            <w:vAlign w:val="bottom"/>
          </w:tcPr>
          <w:p>
            <w:pPr>
              <w:spacing w:after="0"/>
              <w:rPr>
                <w:sz w:val="23"/>
                <w:szCs w:val="23"/>
                <w:color w:val="auto"/>
              </w:rPr>
            </w:pPr>
          </w:p>
        </w:tc>
        <w:tc>
          <w:tcPr>
            <w:tcW w:w="640" w:type="dxa"/>
            <w:vAlign w:val="bottom"/>
          </w:tcPr>
          <w:p>
            <w:pPr>
              <w:jc w:val="center"/>
              <w:ind w:left="305"/>
              <w:spacing w:after="0"/>
              <w:rPr>
                <w:sz w:val="20"/>
                <w:szCs w:val="20"/>
                <w:color w:val="auto"/>
              </w:rPr>
            </w:pPr>
            <w:r>
              <w:rPr>
                <w:rFonts w:ascii="Arial" w:cs="Arial" w:eastAsia="Arial" w:hAnsi="Arial"/>
                <w:sz w:val="17"/>
                <w:szCs w:val="17"/>
                <w:color w:val="0000FF"/>
              </w:rPr>
              <w:t>D</w:t>
            </w: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jc w:val="center"/>
              <w:ind w:left="189"/>
              <w:spacing w:after="0"/>
              <w:rPr>
                <w:sz w:val="20"/>
                <w:szCs w:val="20"/>
                <w:color w:val="auto"/>
              </w:rPr>
            </w:pPr>
            <w:r>
              <w:rPr>
                <w:rFonts w:ascii="Arial" w:cs="Arial" w:eastAsia="Arial" w:hAnsi="Arial"/>
                <w:sz w:val="17"/>
                <w:szCs w:val="17"/>
                <w:color w:val="0000FF"/>
                <w:w w:val="93"/>
              </w:rPr>
              <w:t>1,450</w:t>
            </w:r>
          </w:p>
        </w:tc>
        <w:tc>
          <w:tcPr>
            <w:tcW w:w="280" w:type="dxa"/>
            <w:vAlign w:val="bottom"/>
          </w:tcPr>
          <w:p>
            <w:pPr>
              <w:spacing w:after="0"/>
              <w:rPr>
                <w:sz w:val="22"/>
                <w:szCs w:val="22"/>
                <w:color w:val="auto"/>
              </w:rPr>
            </w:pPr>
          </w:p>
        </w:tc>
        <w:tc>
          <w:tcPr>
            <w:tcW w:w="640" w:type="dxa"/>
            <w:vAlign w:val="bottom"/>
            <w:vMerge w:val="restart"/>
          </w:tcPr>
          <w:p>
            <w:pPr>
              <w:jc w:val="center"/>
              <w:ind w:left="305"/>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gridSpan w:val="2"/>
            <w:vMerge w:val="restart"/>
          </w:tcPr>
          <w:p>
            <w:pPr>
              <w:spacing w:after="0"/>
              <w:rPr>
                <w:sz w:val="20"/>
                <w:szCs w:val="20"/>
                <w:color w:val="auto"/>
              </w:rPr>
            </w:pPr>
            <w:r>
              <w:rPr>
                <w:rFonts w:ascii="Arial" w:cs="Arial" w:eastAsia="Arial" w:hAnsi="Arial"/>
                <w:sz w:val="17"/>
                <w:szCs w:val="17"/>
                <w:color w:val="0000FF"/>
                <w:w w:val="91"/>
              </w:rPr>
              <w:t>Partnership</w:t>
            </w:r>
            <w:r>
              <w:rPr>
                <w:rFonts w:ascii="Arial" w:cs="Arial" w:eastAsia="Arial" w:hAnsi="Arial"/>
                <w:sz w:val="22"/>
                <w:szCs w:val="22"/>
                <w:color w:val="008000"/>
                <w:w w:val="91"/>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left="189"/>
              <w:spacing w:after="0"/>
              <w:rPr>
                <w:sz w:val="20"/>
                <w:szCs w:val="20"/>
                <w:color w:val="auto"/>
              </w:rPr>
            </w:pPr>
            <w:r>
              <w:rPr>
                <w:rFonts w:ascii="Arial" w:cs="Arial" w:eastAsia="Arial" w:hAnsi="Arial"/>
                <w:sz w:val="17"/>
                <w:szCs w:val="17"/>
                <w:color w:val="0000FF"/>
                <w:w w:val="91"/>
              </w:rPr>
              <w:t>271,550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left="305"/>
              <w:spacing w:after="0"/>
              <w:rPr>
                <w:sz w:val="20"/>
                <w:szCs w:val="20"/>
                <w:color w:val="auto"/>
              </w:rPr>
            </w:pPr>
            <w:r>
              <w:rPr>
                <w:rFonts w:ascii="Arial" w:cs="Arial" w:eastAsia="Arial" w:hAnsi="Arial"/>
                <w:sz w:val="17"/>
                <w:szCs w:val="17"/>
                <w:color w:val="0000FF"/>
              </w:rPr>
              <w:t>I</w:t>
            </w:r>
          </w:p>
        </w:tc>
        <w:tc>
          <w:tcPr>
            <w:tcW w:w="4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0000FF"/>
              </w:rPr>
              <w:t>By Trust</w:t>
            </w:r>
            <w:r>
              <w:rPr>
                <w:rFonts w:ascii="Arial" w:cs="Arial" w:eastAsia="Arial" w:hAnsi="Arial"/>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0"/>
              </w:rPr>
              <w:t>2,954.46</w:t>
            </w:r>
          </w:p>
        </w:tc>
        <w:tc>
          <w:tcPr>
            <w:tcW w:w="640" w:type="dxa"/>
            <w:vAlign w:val="bottom"/>
            <w:vMerge w:val="restart"/>
          </w:tcPr>
          <w:p>
            <w:pPr>
              <w:jc w:val="center"/>
              <w:ind w:left="305"/>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22"/>
                <w:szCs w:val="22"/>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gridSpan w:val="2"/>
            <w:vMerge w:val="restart"/>
          </w:tcPr>
          <w:p>
            <w:pPr>
              <w:spacing w:after="0"/>
              <w:rPr>
                <w:sz w:val="20"/>
                <w:szCs w:val="20"/>
                <w:color w:val="auto"/>
              </w:rPr>
            </w:pPr>
            <w:r>
              <w:rPr>
                <w:rFonts w:ascii="Arial" w:cs="Arial" w:eastAsia="Arial" w:hAnsi="Arial"/>
                <w:sz w:val="17"/>
                <w:szCs w:val="17"/>
                <w:color w:val="0000FF"/>
              </w:rPr>
              <w:t>-401(k)</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jc w:val="center"/>
              <w:ind w:left="189"/>
              <w:spacing w:after="0"/>
              <w:rPr>
                <w:sz w:val="20"/>
                <w:szCs w:val="20"/>
                <w:color w:val="auto"/>
              </w:rPr>
            </w:pPr>
            <w:r>
              <w:rPr>
                <w:rFonts w:ascii="Arial" w:cs="Arial" w:eastAsia="Arial" w:hAnsi="Arial"/>
                <w:sz w:val="17"/>
                <w:szCs w:val="17"/>
                <w:color w:val="0000FF"/>
                <w:w w:val="92"/>
              </w:rPr>
              <w:t>476.01</w:t>
            </w:r>
          </w:p>
        </w:tc>
        <w:tc>
          <w:tcPr>
            <w:tcW w:w="280" w:type="dxa"/>
            <w:vAlign w:val="bottom"/>
          </w:tcPr>
          <w:p>
            <w:pPr>
              <w:spacing w:after="0"/>
              <w:rPr>
                <w:sz w:val="22"/>
                <w:szCs w:val="22"/>
                <w:color w:val="auto"/>
              </w:rPr>
            </w:pPr>
          </w:p>
        </w:tc>
        <w:tc>
          <w:tcPr>
            <w:tcW w:w="640" w:type="dxa"/>
            <w:vAlign w:val="bottom"/>
            <w:vMerge w:val="restart"/>
          </w:tcPr>
          <w:p>
            <w:pPr>
              <w:jc w:val="center"/>
              <w:ind w:left="305"/>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22"/>
                <w:szCs w:val="22"/>
                <w:color w:val="auto"/>
              </w:rPr>
            </w:pPr>
          </w:p>
        </w:tc>
        <w:tc>
          <w:tcPr>
            <w:tcW w:w="110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vMerge w:val="restart"/>
          </w:tcPr>
          <w:p>
            <w:pPr>
              <w:spacing w:after="0" w:line="276" w:lineRule="exact"/>
              <w:rPr>
                <w:sz w:val="20"/>
                <w:szCs w:val="20"/>
                <w:color w:val="auto"/>
              </w:rPr>
            </w:pPr>
            <w:r>
              <w:rPr>
                <w:rFonts w:ascii="Arial" w:cs="Arial" w:eastAsia="Arial" w:hAnsi="Arial"/>
                <w:sz w:val="32"/>
                <w:szCs w:val="32"/>
                <w:color w:val="0000FF"/>
                <w:w w:val="81"/>
                <w:vertAlign w:val="subscript"/>
              </w:rPr>
              <w:t>PS</w:t>
            </w:r>
            <w:r>
              <w:rPr>
                <w:rFonts w:ascii="Arial" w:cs="Arial" w:eastAsia="Arial" w:hAnsi="Arial"/>
                <w:sz w:val="11"/>
                <w:szCs w:val="11"/>
                <w:color w:val="008000"/>
                <w:w w:val="81"/>
              </w:rPr>
              <w:t>(4)</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vMerge w:val="continue"/>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Form:</w:t>
            </w:r>
          </w:p>
        </w:tc>
        <w:tc>
          <w:tcPr>
            <w:tcW w:w="36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01/16/2009</w:t>
            </w:r>
          </w:p>
        </w:tc>
        <w:tc>
          <w:tcPr>
            <w:tcW w:w="1180" w:type="dxa"/>
            <w:vAlign w:val="bottom"/>
          </w:tcPr>
          <w:p>
            <w:pPr>
              <w:spacing w:after="0"/>
              <w:rPr>
                <w:sz w:val="22"/>
                <w:szCs w:val="22"/>
                <w:color w:val="auto"/>
              </w:rPr>
            </w:pPr>
          </w:p>
        </w:tc>
        <w:tc>
          <w:tcPr>
            <w:tcW w:w="500" w:type="dxa"/>
            <w:vAlign w:val="bottom"/>
          </w:tcPr>
          <w:p>
            <w:pPr>
              <w:ind w:left="180"/>
              <w:spacing w:after="0"/>
              <w:rPr>
                <w:sz w:val="20"/>
                <w:szCs w:val="20"/>
                <w:color w:val="auto"/>
              </w:rPr>
            </w:pPr>
            <w:r>
              <w:rPr>
                <w:rFonts w:ascii="Arial" w:cs="Arial" w:eastAsia="Arial" w:hAnsi="Arial"/>
                <w:sz w:val="13"/>
                <w:szCs w:val="13"/>
                <w:color w:val="0000FF"/>
              </w:rPr>
              <w:t>A</w:t>
            </w:r>
          </w:p>
        </w:tc>
        <w:tc>
          <w:tcPr>
            <w:tcW w:w="340" w:type="dxa"/>
            <w:vAlign w:val="bottom"/>
          </w:tcPr>
          <w:p>
            <w:pPr>
              <w:spacing w:after="0"/>
              <w:rPr>
                <w:sz w:val="22"/>
                <w:szCs w:val="22"/>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458.51</w:t>
            </w:r>
          </w:p>
        </w:tc>
        <w:tc>
          <w:tcPr>
            <w:tcW w:w="320" w:type="dxa"/>
            <w:vAlign w:val="bottom"/>
          </w:tcPr>
          <w:p>
            <w:pPr>
              <w:spacing w:after="0"/>
              <w:rPr>
                <w:sz w:val="22"/>
                <w:szCs w:val="22"/>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ind w:left="320"/>
              <w:spacing w:after="0"/>
              <w:rPr>
                <w:sz w:val="20"/>
                <w:szCs w:val="20"/>
                <w:color w:val="auto"/>
              </w:rPr>
            </w:pPr>
            <w:r>
              <w:rPr>
                <w:rFonts w:ascii="Arial" w:cs="Arial" w:eastAsia="Arial" w:hAnsi="Arial"/>
                <w:sz w:val="11"/>
                <w:szCs w:val="11"/>
                <w:color w:val="008000"/>
              </w:rPr>
              <w:t>(6)</w:t>
            </w:r>
          </w:p>
        </w:tc>
        <w:tc>
          <w:tcPr>
            <w:tcW w:w="620" w:type="dxa"/>
            <w:vAlign w:val="bottom"/>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gridSpan w:val="2"/>
          </w:tcPr>
          <w:p>
            <w:pPr>
              <w:ind w:left="100"/>
              <w:spacing w:after="0"/>
              <w:rPr>
                <w:sz w:val="20"/>
                <w:szCs w:val="20"/>
                <w:color w:val="auto"/>
              </w:rPr>
            </w:pPr>
            <w:r>
              <w:rPr>
                <w:rFonts w:ascii="Arial" w:cs="Arial" w:eastAsia="Arial" w:hAnsi="Arial"/>
                <w:sz w:val="17"/>
                <w:szCs w:val="17"/>
                <w:color w:val="0000FF"/>
                <w:w w:val="96"/>
              </w:rPr>
              <w:t>458.51</w:t>
            </w:r>
          </w:p>
        </w:tc>
        <w:tc>
          <w:tcPr>
            <w:tcW w:w="8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14.54</w:t>
            </w:r>
          </w:p>
        </w:tc>
        <w:tc>
          <w:tcPr>
            <w:tcW w:w="920" w:type="dxa"/>
            <w:vAlign w:val="bottom"/>
            <w:gridSpan w:val="2"/>
          </w:tcPr>
          <w:p>
            <w:pPr>
              <w:ind w:left="80"/>
              <w:spacing w:after="0"/>
              <w:rPr>
                <w:sz w:val="20"/>
                <w:szCs w:val="20"/>
                <w:color w:val="auto"/>
              </w:rPr>
            </w:pPr>
            <w:r>
              <w:rPr>
                <w:rFonts w:ascii="Arial" w:cs="Arial" w:eastAsia="Arial" w:hAnsi="Arial"/>
                <w:sz w:val="13"/>
                <w:szCs w:val="13"/>
                <w:color w:val="0000FF"/>
              </w:rPr>
              <w:t>29,192.78</w:t>
            </w:r>
            <w:r>
              <w:rPr>
                <w:rFonts w:ascii="Arial" w:cs="Arial" w:eastAsia="Arial" w:hAnsi="Arial"/>
                <w:sz w:val="22"/>
                <w:szCs w:val="22"/>
                <w:color w:val="008000"/>
                <w:vertAlign w:val="superscript"/>
              </w:rPr>
              <w:t>(6)</w:t>
            </w:r>
          </w:p>
        </w:tc>
        <w:tc>
          <w:tcPr>
            <w:tcW w:w="420" w:type="dxa"/>
            <w:vAlign w:val="bottom"/>
          </w:tcPr>
          <w:p>
            <w:pPr>
              <w:ind w:left="320"/>
              <w:spacing w:after="0"/>
              <w:rPr>
                <w:sz w:val="20"/>
                <w:szCs w:val="20"/>
                <w:color w:val="auto"/>
              </w:rPr>
            </w:pPr>
            <w:r>
              <w:rPr>
                <w:rFonts w:ascii="Arial" w:cs="Arial" w:eastAsia="Arial" w:hAnsi="Arial"/>
                <w:sz w:val="13"/>
                <w:szCs w:val="13"/>
                <w:color w:val="0000FF"/>
                <w:w w:val="84"/>
              </w:rPr>
              <w:t>D</w:t>
            </w: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12-31-08. (Interests in this account are denominated in units. Consequently, share amount shown is an estimate.) This statement does not include changes in beneficial ownership of shares held in this account occurring after 12-31-08 that are eligible for deferred reporting on Form 5.</w:t>
      </w:r>
    </w:p>
    <w:p>
      <w:pPr>
        <w:spacing w:after="0" w:line="10" w:lineRule="exact"/>
        <w:rPr>
          <w:rFonts w:ascii="Arial" w:cs="Arial" w:eastAsia="Arial" w:hAnsi="Arial"/>
          <w:sz w:val="13"/>
          <w:szCs w:val="13"/>
          <w:color w:val="008000"/>
        </w:rPr>
      </w:pPr>
    </w:p>
    <w:p>
      <w:pPr>
        <w:ind w:left="40" w:right="1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12-31-08. (Interests in this account are denominated in units. Consequently, share amount shown is an estimate.) This statement does not include changes in beneficial ownership of shares held in such account occurring after 12-31-08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Daniel M. Drory, Attorney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01/16/2009</w:t>
            </w:r>
          </w:p>
        </w:tc>
        <w:tc>
          <w:tcPr>
            <w:tcW w:w="0" w:type="dxa"/>
            <w:vAlign w:val="bottom"/>
          </w:tcPr>
          <w:p>
            <w:pPr>
              <w:spacing w:after="0"/>
              <w:rPr>
                <w:sz w:val="1"/>
                <w:szCs w:val="1"/>
                <w:color w:val="auto"/>
              </w:rPr>
            </w:pPr>
          </w:p>
        </w:tc>
      </w:tr>
      <w:tr>
        <w:trPr>
          <w:trHeight w:val="92"/>
        </w:trPr>
        <w:tc>
          <w:tcPr>
            <w:tcW w:w="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2"/>
              </w:rPr>
              <w:t>In Fact</w:t>
            </w:r>
          </w:p>
        </w:tc>
        <w:tc>
          <w:tcPr>
            <w:tcW w:w="15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00" w:type="dxa"/>
            <w:vAlign w:val="bottom"/>
            <w:tcBorders>
              <w:bottom w:val="single" w:sz="8" w:color="auto"/>
            </w:tcBorders>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2019-12-16T23:13:35Z</dcterms:created>
  <dcterms:modified xsi:type="dcterms:W3CDTF">2019-12-16T23:13:35Z</dcterms:modified>
</cp:coreProperties>
</file>