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color w:val="auto"/>
        </w:rPr>
        <w:t>SCHEDULE 14A</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(Rule 14a-101)</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INFORMATION REQUIRED IN PROXY STATEMENT</w:t>
      </w:r>
    </w:p>
    <w:p>
      <w:pPr>
        <w:spacing w:after="0" w:line="2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[_]</w:t>
      </w:r>
    </w:p>
    <w:p>
      <w:pPr>
        <w:sectPr>
          <w:pgSz w:w="11900" w:h="16838" w:orient="portrait"/>
          <w:cols w:equalWidth="0" w:num="1">
            <w:col w:w="11300"/>
          </w:cols>
          <w:pgMar w:left="240" w:top="233" w:right="359" w:bottom="0" w:gutter="0" w:footer="0" w:header="0"/>
        </w:sect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Preliminary Proxy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Confidential, For Use of the</w:t>
      </w:r>
    </w:p>
    <w:p>
      <w:pPr>
        <w:spacing w:after="0" w:line="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Commission Only (as permitted</w:t>
      </w:r>
    </w:p>
    <w:p>
      <w:pPr>
        <w:spacing w:after="0" w:line="3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by Rule 14a-6(e)(2))</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Definitive Proxy Statement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Definitive Additional Materials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 Soliciting Material Under Rule</w:t>
      </w:r>
    </w:p>
    <w:p>
      <w:pPr>
        <w:spacing w:after="0" w:line="4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14a-12</w:t>
      </w:r>
    </w:p>
    <w:p>
      <w:pPr>
        <w:spacing w:after="0" w:line="1064" w:lineRule="exact"/>
        <w:rPr>
          <w:sz w:val="24"/>
          <w:szCs w:val="24"/>
          <w:color w:val="auto"/>
        </w:rPr>
      </w:pPr>
    </w:p>
    <w:p>
      <w:pPr>
        <w:sectPr>
          <w:pgSz w:w="11900" w:h="16838" w:orient="portrait"/>
          <w:cols w:equalWidth="0" w:num="2">
            <w:col w:w="2560" w:space="560"/>
            <w:col w:w="8180"/>
          </w:cols>
          <w:pgMar w:left="240" w:top="233" w:right="359" w:bottom="0" w:gutter="0" w:footer="0" w:header="0"/>
          <w:type w:val="continuous"/>
        </w:sectPr>
      </w:pP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1"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2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25"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 No fee required.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Fee computed on table below per Exchange Act Rules 14a-6(i)(4) and 0-11.</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 Title of each class of securities to which transaction applies:</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spacing w:after="0" w:line="6" w:lineRule="exact"/>
        <w:rPr>
          <w:sz w:val="24"/>
          <w:szCs w:val="24"/>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36" w:lineRule="exact"/>
        <w:rPr>
          <w:rFonts w:ascii="Times New Roman" w:cs="Times New Roman" w:eastAsia="Times New Roman" w:hAnsi="Times New Roman"/>
          <w:sz w:val="18"/>
          <w:szCs w:val="18"/>
          <w:color w:val="auto"/>
        </w:rPr>
      </w:pPr>
    </w:p>
    <w:p>
      <w:pPr>
        <w:ind w:left="220" w:right="3000" w:hanging="212"/>
        <w:spacing w:after="0" w:line="281" w:lineRule="auto"/>
        <w:tabs>
          <w:tab w:leader="none" w:pos="23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5) Total fee paid: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 Fee paid previously with preliminary materials:</w:t>
      </w:r>
    </w:p>
    <w:p>
      <w:pPr>
        <w:spacing w:after="0" w:line="36" w:lineRule="exact"/>
        <w:rPr>
          <w:sz w:val="24"/>
          <w:szCs w:val="24"/>
          <w:color w:val="auto"/>
        </w:rPr>
      </w:pPr>
    </w:p>
    <w:p>
      <w:pPr>
        <w:ind w:left="280" w:right="2660" w:hanging="262"/>
        <w:spacing w:after="0" w:line="275" w:lineRule="auto"/>
        <w:rPr>
          <w:sz w:val="20"/>
          <w:szCs w:val="20"/>
          <w:color w:val="auto"/>
        </w:rPr>
      </w:pPr>
      <w:r>
        <w:rPr>
          <w:rFonts w:ascii="Times New Roman" w:cs="Times New Roman" w:eastAsia="Times New Roman" w:hAnsi="Times New Roman"/>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ind w:left="280"/>
        <w:spacing w:after="0"/>
        <w:rPr>
          <w:sz w:val="20"/>
          <w:szCs w:val="20"/>
          <w:color w:val="auto"/>
        </w:rPr>
      </w:pPr>
      <w:r>
        <w:rPr>
          <w:rFonts w:ascii="Times New Roman" w:cs="Times New Roman" w:eastAsia="Times New Roman" w:hAnsi="Times New Roman"/>
          <w:sz w:val="18"/>
          <w:szCs w:val="18"/>
          <w:color w:val="auto"/>
        </w:rPr>
        <w:t>1) Amount previously paid:</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spacing w:after="0" w:line="6"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2) Form, Schedule or Registration Statement No.:</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ind w:left="280"/>
        <w:spacing w:after="0"/>
        <w:rPr>
          <w:sz w:val="20"/>
          <w:szCs w:val="20"/>
          <w:color w:val="auto"/>
        </w:rPr>
      </w:pPr>
      <w:r>
        <w:rPr>
          <w:rFonts w:ascii="Times New Roman" w:cs="Times New Roman" w:eastAsia="Times New Roman" w:hAnsi="Times New Roman"/>
          <w:sz w:val="18"/>
          <w:szCs w:val="18"/>
          <w:color w:val="auto"/>
        </w:rPr>
        <w:t>3) Filing Party:</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____________________________________________________________________________________</w:t>
      </w:r>
    </w:p>
    <w:p>
      <w:pPr>
        <w:ind w:left="280"/>
        <w:spacing w:after="0"/>
        <w:rPr>
          <w:sz w:val="20"/>
          <w:szCs w:val="20"/>
          <w:color w:val="auto"/>
        </w:rPr>
      </w:pPr>
      <w:r>
        <w:rPr>
          <w:rFonts w:ascii="Times New Roman" w:cs="Times New Roman" w:eastAsia="Times New Roman" w:hAnsi="Times New Roman"/>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137160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381635</wp:posOffset>
            </wp:positionV>
            <wp:extent cx="7242175" cy="193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2175" cy="193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Important Notice Regarding the Availability of Proxy Materials for the Stockholder Meeting to be held on April 17, 2008.</w:t>
      </w:r>
    </w:p>
    <w:p>
      <w:pPr>
        <w:spacing w:after="0" w:line="287" w:lineRule="exact"/>
        <w:rPr>
          <w:sz w:val="24"/>
          <w:szCs w:val="24"/>
          <w:color w:val="auto"/>
        </w:rPr>
      </w:pPr>
    </w:p>
    <w:p>
      <w:pPr>
        <w:spacing w:after="0" w:line="262" w:lineRule="auto"/>
        <w:rPr>
          <w:sz w:val="20"/>
          <w:szCs w:val="20"/>
          <w:color w:val="auto"/>
        </w:rPr>
      </w:pPr>
      <w:r>
        <w:rPr>
          <w:rFonts w:ascii="Arial" w:cs="Arial" w:eastAsia="Arial" w:hAnsi="Arial"/>
          <w:sz w:val="14"/>
          <w:szCs w:val="14"/>
          <w:b w:val="1"/>
          <w:bCs w:val="1"/>
          <w:i w:val="1"/>
          <w:i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94" w:lineRule="exact"/>
        <w:rPr>
          <w:sz w:val="24"/>
          <w:szCs w:val="24"/>
          <w:color w:val="auto"/>
        </w:rPr>
      </w:pPr>
    </w:p>
    <w:p>
      <w:pPr>
        <w:spacing w:after="0"/>
        <w:rPr>
          <w:sz w:val="20"/>
          <w:szCs w:val="20"/>
          <w:color w:val="auto"/>
        </w:rPr>
      </w:pPr>
      <w:r>
        <w:rPr>
          <w:rFonts w:ascii="Arial" w:cs="Arial" w:eastAsia="Arial" w:hAnsi="Arial"/>
          <w:sz w:val="14"/>
          <w:szCs w:val="14"/>
          <w:color w:val="auto"/>
        </w:rPr>
        <w:t>The following materials are available for view:</w:t>
      </w:r>
    </w:p>
    <w:p>
      <w:pPr>
        <w:spacing w:after="0" w:line="226" w:lineRule="auto"/>
        <w:rPr>
          <w:sz w:val="20"/>
          <w:szCs w:val="20"/>
          <w:color w:val="auto"/>
        </w:rPr>
      </w:pPr>
      <w:r>
        <w:rPr>
          <w:rFonts w:ascii="Arial" w:cs="Arial" w:eastAsia="Arial" w:hAnsi="Arial"/>
          <w:sz w:val="14"/>
          <w:szCs w:val="14"/>
          <w:b w:val="1"/>
          <w:bCs w:val="1"/>
          <w:color w:val="auto"/>
        </w:rPr>
        <w:t>2008 Notice and Proxy Statement / 2007 Annual Report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To view this material, have the 12-digit Control #(s) (located on the following page) available and visit: </w:t>
      </w:r>
      <w:r>
        <w:rPr>
          <w:rFonts w:ascii="Arial" w:cs="Arial" w:eastAsia="Arial" w:hAnsi="Arial"/>
          <w:sz w:val="14"/>
          <w:szCs w:val="14"/>
          <w:b w:val="1"/>
          <w:bCs w:val="1"/>
          <w:color w:val="auto"/>
        </w:rPr>
        <w:t>www.proxyvote.com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right="140"/>
        <w:spacing w:after="0" w:line="243" w:lineRule="auto"/>
        <w:rPr>
          <w:sz w:val="20"/>
          <w:szCs w:val="20"/>
          <w:color w:val="auto"/>
        </w:rPr>
      </w:pPr>
      <w:r>
        <w:rPr>
          <w:rFonts w:ascii="Arial" w:cs="Arial" w:eastAsia="Arial" w:hAnsi="Arial"/>
          <w:sz w:val="14"/>
          <w:szCs w:val="14"/>
          <w:b w:val="1"/>
          <w:bCs w:val="1"/>
          <w:color w:val="auto"/>
        </w:rPr>
        <w:t>If you want to receive a paper or e-mail copy of the above listed documents you must request one. There is no charge to you for requesting a copy. Stockholders may request paper or electronic copies of the proxy materials for the 2008 Annual Meeting of Stockholders or for all Meetings. To facilitate timely delivery please make the request as instructed below on or before April 3, 2008.</w:t>
      </w:r>
    </w:p>
    <w:p>
      <w:pPr>
        <w:spacing w:after="0" w:line="24" w:lineRule="exact"/>
        <w:rPr>
          <w:sz w:val="24"/>
          <w:szCs w:val="24"/>
          <w:color w:val="auto"/>
        </w:rPr>
      </w:pPr>
    </w:p>
    <w:p>
      <w:pPr>
        <w:spacing w:after="0"/>
        <w:tabs>
          <w:tab w:leader="none" w:pos="1660" w:val="left"/>
          <w:tab w:leader="none" w:pos="3920" w:val="left"/>
          <w:tab w:leader="none" w:pos="6100" w:val="left"/>
        </w:tabs>
        <w:rPr>
          <w:sz w:val="20"/>
          <w:szCs w:val="20"/>
          <w:color w:val="auto"/>
        </w:rPr>
      </w:pPr>
      <w:r>
        <w:rPr>
          <w:rFonts w:ascii="Arial" w:cs="Arial" w:eastAsia="Arial" w:hAnsi="Arial"/>
          <w:sz w:val="14"/>
          <w:szCs w:val="14"/>
          <w:color w:val="auto"/>
        </w:rPr>
        <w:t>To request material:</w:t>
      </w:r>
      <w:r>
        <w:rPr>
          <w:sz w:val="20"/>
          <w:szCs w:val="20"/>
          <w:color w:val="auto"/>
        </w:rPr>
        <w:tab/>
      </w:r>
      <w:r>
        <w:rPr>
          <w:rFonts w:ascii="Arial" w:cs="Arial" w:eastAsia="Arial" w:hAnsi="Arial"/>
          <w:sz w:val="14"/>
          <w:szCs w:val="14"/>
          <w:b w:val="1"/>
          <w:bCs w:val="1"/>
          <w:color w:val="auto"/>
        </w:rPr>
        <w:t>Internet</w:t>
      </w:r>
      <w:r>
        <w:rPr>
          <w:rFonts w:ascii="Arial" w:cs="Arial" w:eastAsia="Arial" w:hAnsi="Arial"/>
          <w:sz w:val="14"/>
          <w:szCs w:val="14"/>
          <w:color w:val="auto"/>
        </w:rPr>
        <w:t>: www.proxyvote.com</w:t>
      </w:r>
      <w:r>
        <w:rPr>
          <w:sz w:val="20"/>
          <w:szCs w:val="20"/>
          <w:color w:val="auto"/>
        </w:rPr>
        <w:tab/>
      </w:r>
      <w:r>
        <w:rPr>
          <w:rFonts w:ascii="Arial" w:cs="Arial" w:eastAsia="Arial" w:hAnsi="Arial"/>
          <w:sz w:val="14"/>
          <w:szCs w:val="14"/>
          <w:b w:val="1"/>
          <w:bCs w:val="1"/>
          <w:color w:val="auto"/>
        </w:rPr>
        <w:t>Telephone</w:t>
      </w:r>
      <w:r>
        <w:rPr>
          <w:rFonts w:ascii="Arial" w:cs="Arial" w:eastAsia="Arial" w:hAnsi="Arial"/>
          <w:sz w:val="14"/>
          <w:szCs w:val="14"/>
          <w:color w:val="auto"/>
        </w:rPr>
        <w:t>: 1-800-579-1639</w:t>
      </w:r>
      <w:r>
        <w:rPr>
          <w:sz w:val="20"/>
          <w:szCs w:val="20"/>
          <w:color w:val="auto"/>
        </w:rPr>
        <w:tab/>
      </w:r>
      <w:r>
        <w:rPr>
          <w:rFonts w:ascii="Arial" w:cs="Arial" w:eastAsia="Arial" w:hAnsi="Arial"/>
          <w:sz w:val="12"/>
          <w:szCs w:val="12"/>
          <w:b w:val="1"/>
          <w:bCs w:val="1"/>
          <w:color w:val="auto"/>
        </w:rPr>
        <w:t>**Email</w:t>
      </w:r>
      <w:r>
        <w:rPr>
          <w:rFonts w:ascii="Arial" w:cs="Arial" w:eastAsia="Arial" w:hAnsi="Arial"/>
          <w:sz w:val="12"/>
          <w:szCs w:val="12"/>
          <w:color w:val="auto"/>
        </w:rPr>
        <w:t>: sendmaterial@proxyvote.com</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**If requesting material by e-mail please send a blank e-mail with the </w:t>
      </w:r>
      <w:r>
        <w:rPr>
          <w:rFonts w:ascii="Arial" w:cs="Arial" w:eastAsia="Arial" w:hAnsi="Arial"/>
          <w:sz w:val="14"/>
          <w:szCs w:val="14"/>
          <w:b w:val="1"/>
          <w:bCs w:val="1"/>
          <w:color w:val="auto"/>
        </w:rPr>
        <w:t>12-digit Control # (located on the following page)</w:t>
      </w:r>
      <w:r>
        <w:rPr>
          <w:rFonts w:ascii="Arial" w:cs="Arial" w:eastAsia="Arial" w:hAnsi="Arial"/>
          <w:sz w:val="14"/>
          <w:szCs w:val="14"/>
          <w:color w:val="auto"/>
        </w:rPr>
        <w:t xml:space="preserve"> in the subject line.</w:t>
      </w:r>
    </w:p>
    <w:p>
      <w:pPr>
        <w:spacing w:after="0"/>
        <w:rPr>
          <w:sz w:val="20"/>
          <w:szCs w:val="20"/>
          <w:color w:val="auto"/>
        </w:rPr>
      </w:pPr>
      <w:r>
        <w:rPr>
          <w:rFonts w:ascii="Arial" w:cs="Arial" w:eastAsia="Arial" w:hAnsi="Arial"/>
          <w:sz w:val="14"/>
          <w:szCs w:val="14"/>
          <w:color w:val="auto"/>
        </w:rPr>
        <w:t>Requests, instructions and other inquiries will NOT be forwarded to your investment advisor.</w:t>
      </w:r>
    </w:p>
    <w:p>
      <w:pPr>
        <w:spacing w:after="0" w:line="211" w:lineRule="exact"/>
        <w:rPr>
          <w:sz w:val="24"/>
          <w:szCs w:val="24"/>
          <w:color w:val="auto"/>
        </w:rPr>
      </w:pPr>
    </w:p>
    <w:p>
      <w:pPr>
        <w:ind w:left="6140"/>
        <w:spacing w:after="0"/>
        <w:rPr>
          <w:sz w:val="20"/>
          <w:szCs w:val="20"/>
          <w:color w:val="auto"/>
        </w:rPr>
      </w:pPr>
      <w:r>
        <w:rPr>
          <w:rFonts w:ascii="Arial" w:cs="Arial" w:eastAsia="Arial" w:hAnsi="Arial"/>
          <w:sz w:val="18"/>
          <w:szCs w:val="18"/>
          <w:b w:val="1"/>
          <w:bCs w:val="1"/>
          <w:color w:val="auto"/>
        </w:rPr>
        <w:t>TEXAS INSTRUMENTS INCORPORATED</w:t>
      </w:r>
    </w:p>
    <w:p>
      <w:pPr>
        <w:sectPr>
          <w:pgSz w:w="11900" w:h="16838" w:orient="portrait"/>
          <w:cols w:equalWidth="0" w:num="1">
            <w:col w:w="11300"/>
          </w:cols>
          <w:pgMar w:left="240" w:top="233" w:right="359"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431800</wp:posOffset>
            </wp:positionH>
            <wp:positionV relativeFrom="page">
              <wp:posOffset>88900</wp:posOffset>
            </wp:positionV>
            <wp:extent cx="10293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29335" cy="428625"/>
                    </a:xfrm>
                    <a:prstGeom prst="rect">
                      <a:avLst/>
                    </a:prstGeom>
                    <a:noFill/>
                  </pic:spPr>
                </pic:pic>
              </a:graphicData>
            </a:graphic>
          </wp:anchor>
        </w:drawing>
      </w:r>
    </w:p>
    <w:p>
      <w:pPr>
        <w:spacing w:after="0" w:line="288"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TEXAS INSTRUMENTS INCORPORATED</w:t>
      </w:r>
    </w:p>
    <w:p>
      <w:pPr>
        <w:ind w:left="440"/>
        <w:spacing w:after="0" w:line="226" w:lineRule="auto"/>
        <w:rPr>
          <w:sz w:val="20"/>
          <w:szCs w:val="20"/>
          <w:color w:val="auto"/>
        </w:rPr>
      </w:pPr>
      <w:r>
        <w:rPr>
          <w:rFonts w:ascii="Arial" w:cs="Arial" w:eastAsia="Arial" w:hAnsi="Arial"/>
          <w:sz w:val="14"/>
          <w:szCs w:val="14"/>
          <w:i w:val="1"/>
          <w:iCs w:val="1"/>
          <w:color w:val="auto"/>
        </w:rPr>
        <w:t>12500 TI BOULEVARD</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DALLAS, TX 75243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Location</w:t>
      </w:r>
    </w:p>
    <w:p>
      <w:pPr>
        <w:spacing w:after="0" w:line="214" w:lineRule="exact"/>
        <w:rPr>
          <w:sz w:val="20"/>
          <w:szCs w:val="20"/>
          <w:color w:val="auto"/>
        </w:rPr>
      </w:pPr>
    </w:p>
    <w:p>
      <w:pPr>
        <w:ind w:right="660"/>
        <w:spacing w:after="0" w:line="290" w:lineRule="auto"/>
        <w:rPr>
          <w:sz w:val="20"/>
          <w:szCs w:val="20"/>
          <w:color w:val="auto"/>
        </w:rPr>
      </w:pPr>
      <w:r>
        <w:rPr>
          <w:rFonts w:ascii="Arial" w:cs="Arial" w:eastAsia="Arial" w:hAnsi="Arial"/>
          <w:sz w:val="16"/>
          <w:szCs w:val="16"/>
          <w:color w:val="auto"/>
        </w:rPr>
        <w:t>The Annual Meeting of Stockholders of Texas Instruments Incorporated for holders as of 2/19/08 is to be held on 4/17/08 at 10:00 AM Dallas time at: Corporate Headquarters</w:t>
      </w:r>
    </w:p>
    <w:p>
      <w:pPr>
        <w:ind w:left="2860"/>
        <w:spacing w:after="0" w:line="238" w:lineRule="auto"/>
        <w:rPr>
          <w:sz w:val="20"/>
          <w:szCs w:val="20"/>
          <w:color w:val="auto"/>
        </w:rPr>
      </w:pPr>
      <w:r>
        <w:rPr>
          <w:rFonts w:ascii="Arial" w:cs="Arial" w:eastAsia="Arial" w:hAnsi="Arial"/>
          <w:sz w:val="18"/>
          <w:szCs w:val="18"/>
          <w:color w:val="auto"/>
        </w:rPr>
        <w:t>12500 TI Boulevard</w:t>
      </w:r>
    </w:p>
    <w:p>
      <w:pPr>
        <w:spacing w:after="0" w:line="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Dallas, TX 75243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Directions to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DFW Airport:</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4"/>
          <w:szCs w:val="14"/>
          <w:b w:val="1"/>
          <w:bCs w:val="1"/>
          <w:color w:val="auto"/>
        </w:rPr>
        <w:t>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732790" cy="158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790" cy="158750"/>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-115570</wp:posOffset>
            </wp:positionV>
            <wp:extent cx="16319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195" cy="360045"/>
                    </a:xfrm>
                    <a:prstGeom prst="rect">
                      <a:avLst/>
                    </a:prstGeom>
                    <a:noFill/>
                  </pic:spPr>
                </pic:pic>
              </a:graphicData>
            </a:graphic>
          </wp:anchor>
        </w:drawing>
      </w:r>
    </w:p>
    <w:p>
      <w:pPr>
        <w:spacing w:after="0" w:line="24"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Many stockholder meetings have attendance requirements including, but not limited to, the possession of an 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434975</wp:posOffset>
            </wp:positionV>
            <wp:extent cx="1236980" cy="344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6980" cy="344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Vote By Internet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vote </w:t>
      </w:r>
      <w:r>
        <w:rPr>
          <w:rFonts w:ascii="Arial" w:cs="Arial" w:eastAsia="Arial" w:hAnsi="Arial"/>
          <w:sz w:val="14"/>
          <w:szCs w:val="14"/>
          <w:b w:val="1"/>
          <w:bCs w:val="1"/>
          <w:i w:val="1"/>
          <w:iCs w:val="1"/>
          <w:color w:val="auto"/>
        </w:rPr>
        <w:t>now</w:t>
      </w:r>
      <w:r>
        <w:rPr>
          <w:rFonts w:ascii="Arial" w:cs="Arial" w:eastAsia="Arial" w:hAnsi="Arial"/>
          <w:sz w:val="14"/>
          <w:szCs w:val="14"/>
          <w:color w:val="auto"/>
        </w:rPr>
        <w:t xml:space="preserve"> by Internet, go to </w:t>
      </w:r>
      <w:r>
        <w:rPr>
          <w:rFonts w:ascii="Arial" w:cs="Arial" w:eastAsia="Arial" w:hAnsi="Arial"/>
          <w:sz w:val="14"/>
          <w:szCs w:val="14"/>
          <w:b w:val="1"/>
          <w:bCs w:val="1"/>
          <w:color w:val="auto"/>
        </w:rPr>
        <w:t>WWW.PROXYVOTE.COM.</w:t>
      </w:r>
    </w:p>
    <w:p>
      <w:pPr>
        <w:spacing w:after="0" w:line="6" w:lineRule="exact"/>
        <w:rPr>
          <w:sz w:val="20"/>
          <w:szCs w:val="20"/>
          <w:color w:val="auto"/>
        </w:rPr>
      </w:pPr>
    </w:p>
    <w:p>
      <w:pPr>
        <w:jc w:val="both"/>
        <w:ind w:right="540"/>
        <w:spacing w:after="0" w:line="226"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April 16, 2008. Have your notice in hand when you access the web site and follow the instructions. No personal information other than the 12 Digit Control number (located on the following page) is necessary to execute a proxy.</w:t>
      </w:r>
    </w:p>
    <w:p>
      <w:pPr>
        <w:spacing w:after="0" w:line="3086" w:lineRule="exact"/>
        <w:rPr>
          <w:sz w:val="20"/>
          <w:szCs w:val="20"/>
          <w:color w:val="auto"/>
        </w:rPr>
      </w:pPr>
    </w:p>
    <w:p>
      <w:pPr>
        <w:sectPr>
          <w:pgSz w:w="11900" w:h="16838" w:orient="portrait"/>
          <w:cols w:equalWidth="0" w:num="2">
            <w:col w:w="5420" w:space="720"/>
            <w:col w:w="5280"/>
          </w:cols>
          <w:pgMar w:left="240" w:top="310" w:right="239" w:bottom="0" w:gutter="0" w:footer="0" w:header="0"/>
        </w:sectPr>
      </w:pPr>
    </w:p>
    <w:p>
      <w:pPr>
        <w:spacing w:after="0" w:line="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Take the North Airport exit to IH-635E.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-87630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Take IH-635E to the Greenville Avenue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Turn right (South) on Greenville.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Turn right (West) on Forest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Texas Instruments will be on your right at the second traffic light.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Please use the North entrance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From Love Field Airport:</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Take Mockingbird Lane East to US-75N (Central Expressway).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-87630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Travel North on 75N to the Forest Lane exit.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Turn right (East) on Forest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You will pass two traffic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 the third light, the entrance to Texas Instruments will be on your left.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Please use the North entrance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387350</wp:posOffset>
            </wp:positionV>
            <wp:extent cx="1805305" cy="193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5305" cy="193040"/>
                    </a:xfrm>
                    <a:prstGeom prst="rect">
                      <a:avLst/>
                    </a:prstGeom>
                    <a:noFill/>
                  </pic:spPr>
                </pic:pic>
              </a:graphicData>
            </a:graphic>
          </wp:anchor>
        </w:drawing>
        <w:drawing>
          <wp:anchor simplePos="0" relativeHeight="251657728" behindDoc="1" locked="0" layoutInCell="0" allowOverlap="1">
            <wp:simplePos x="0" y="0"/>
            <wp:positionH relativeFrom="column">
              <wp:posOffset>335280</wp:posOffset>
            </wp:positionH>
            <wp:positionV relativeFrom="paragraph">
              <wp:posOffset>-89535</wp:posOffset>
            </wp:positionV>
            <wp:extent cx="68580"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Voting items</w:t>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RECOMMENDS A VOTE "FOR" ALL DIRECTOR NOMINEES, "FOR" PROPOSAL 2 AND "AGAINST" PROPOSAL 3.</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60" w:type="dxa"/>
            <w:vAlign w:val="bottom"/>
            <w:gridSpan w:val="2"/>
          </w:tcPr>
          <w:p>
            <w:pPr>
              <w:spacing w:after="0"/>
              <w:rPr>
                <w:sz w:val="20"/>
                <w:szCs w:val="20"/>
                <w:color w:val="auto"/>
              </w:rPr>
            </w:pPr>
            <w:r>
              <w:rPr>
                <w:rFonts w:ascii="Arial" w:cs="Arial" w:eastAsia="Arial" w:hAnsi="Arial"/>
                <w:sz w:val="14"/>
                <w:szCs w:val="14"/>
                <w:color w:val="auto"/>
              </w:rPr>
              <w:t xml:space="preserve">1.  Election of Directors - </w:t>
            </w:r>
            <w:r>
              <w:rPr>
                <w:rFonts w:ascii="Arial" w:cs="Arial" w:eastAsia="Arial" w:hAnsi="Arial"/>
                <w:sz w:val="14"/>
                <w:szCs w:val="14"/>
                <w:i w:val="1"/>
                <w:iCs w:val="1"/>
                <w:color w:val="auto"/>
              </w:rPr>
              <w:t>Nominees:</w:t>
            </w:r>
          </w:p>
        </w:tc>
        <w:tc>
          <w:tcPr>
            <w:tcW w:w="5460" w:type="dxa"/>
            <w:vAlign w:val="bottom"/>
          </w:tcPr>
          <w:p>
            <w:pPr>
              <w:jc w:val="right"/>
              <w:spacing w:after="0"/>
              <w:rPr>
                <w:sz w:val="20"/>
                <w:szCs w:val="20"/>
                <w:color w:val="auto"/>
              </w:rPr>
            </w:pPr>
            <w:r>
              <w:rPr>
                <w:rFonts w:ascii="Arial" w:cs="Arial" w:eastAsia="Arial" w:hAnsi="Arial"/>
                <w:sz w:val="14"/>
                <w:szCs w:val="14"/>
                <w:color w:val="auto"/>
              </w:rPr>
              <w:t>2.   Board proposal to ratify the appointment of Ernst &amp; Young</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5460" w:type="dxa"/>
            <w:vAlign w:val="bottom"/>
          </w:tcPr>
          <w:p>
            <w:pPr>
              <w:jc w:val="right"/>
              <w:spacing w:after="0" w:line="149" w:lineRule="exact"/>
              <w:rPr>
                <w:sz w:val="20"/>
                <w:szCs w:val="20"/>
                <w:color w:val="auto"/>
              </w:rPr>
            </w:pPr>
            <w:r>
              <w:rPr>
                <w:rFonts w:ascii="Arial" w:cs="Arial" w:eastAsia="Arial" w:hAnsi="Arial"/>
                <w:sz w:val="14"/>
                <w:szCs w:val="14"/>
                <w:color w:val="auto"/>
              </w:rPr>
              <w:t>LLP  as  the  Company's  independent  registered  public</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60" w:type="dxa"/>
            <w:vAlign w:val="bottom"/>
          </w:tcPr>
          <w:p>
            <w:pPr>
              <w:ind w:left="1760"/>
              <w:spacing w:after="0"/>
              <w:rPr>
                <w:sz w:val="20"/>
                <w:szCs w:val="20"/>
                <w:color w:val="auto"/>
              </w:rPr>
            </w:pPr>
            <w:r>
              <w:rPr>
                <w:rFonts w:ascii="Arial" w:cs="Arial" w:eastAsia="Arial" w:hAnsi="Arial"/>
                <w:sz w:val="14"/>
                <w:szCs w:val="14"/>
                <w:color w:val="auto"/>
              </w:rPr>
              <w:t>accounting firm for 2008.</w:t>
            </w:r>
          </w:p>
        </w:tc>
        <w:tc>
          <w:tcPr>
            <w:tcW w:w="0" w:type="dxa"/>
            <w:vAlign w:val="bottom"/>
          </w:tcPr>
          <w:p>
            <w:pPr>
              <w:spacing w:after="0"/>
              <w:rPr>
                <w:sz w:val="1"/>
                <w:szCs w:val="1"/>
                <w:color w:val="auto"/>
              </w:rPr>
            </w:pPr>
          </w:p>
        </w:tc>
      </w:tr>
      <w:tr>
        <w:trPr>
          <w:trHeight w:val="392"/>
        </w:trPr>
        <w:tc>
          <w:tcPr>
            <w:tcW w:w="560" w:type="dxa"/>
            <w:vAlign w:val="bottom"/>
          </w:tcPr>
          <w:p>
            <w:pPr>
              <w:ind w:left="280"/>
              <w:spacing w:after="0"/>
              <w:rPr>
                <w:sz w:val="20"/>
                <w:szCs w:val="20"/>
                <w:color w:val="auto"/>
              </w:rPr>
            </w:pPr>
            <w:r>
              <w:rPr>
                <w:rFonts w:ascii="Arial" w:cs="Arial" w:eastAsia="Arial" w:hAnsi="Arial"/>
                <w:sz w:val="14"/>
                <w:szCs w:val="14"/>
                <w:color w:val="auto"/>
              </w:rPr>
              <w:t>1A)</w:t>
            </w:r>
          </w:p>
        </w:tc>
        <w:tc>
          <w:tcPr>
            <w:tcW w:w="3100" w:type="dxa"/>
            <w:vAlign w:val="bottom"/>
          </w:tcPr>
          <w:p>
            <w:pPr>
              <w:ind w:left="40"/>
              <w:spacing w:after="0"/>
              <w:rPr>
                <w:sz w:val="20"/>
                <w:szCs w:val="20"/>
                <w:color w:val="auto"/>
              </w:rPr>
            </w:pPr>
            <w:r>
              <w:rPr>
                <w:rFonts w:ascii="Arial" w:cs="Arial" w:eastAsia="Arial" w:hAnsi="Arial"/>
                <w:sz w:val="14"/>
                <w:szCs w:val="14"/>
                <w:color w:val="auto"/>
              </w:rPr>
              <w:t>J. R. Adams</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460" w:type="dxa"/>
            <w:vAlign w:val="bottom"/>
          </w:tcPr>
          <w:p>
            <w:pPr>
              <w:jc w:val="right"/>
              <w:spacing w:after="0"/>
              <w:rPr>
                <w:sz w:val="20"/>
                <w:szCs w:val="20"/>
                <w:color w:val="auto"/>
              </w:rPr>
            </w:pPr>
            <w:r>
              <w:rPr>
                <w:rFonts w:ascii="Arial" w:cs="Arial" w:eastAsia="Arial" w:hAnsi="Arial"/>
                <w:sz w:val="14"/>
                <w:szCs w:val="14"/>
                <w:color w:val="auto"/>
              </w:rPr>
              <w:t>3.   Stockholder  proposal  regarding  qualifications  for  director</w:t>
            </w:r>
          </w:p>
        </w:tc>
        <w:tc>
          <w:tcPr>
            <w:tcW w:w="0" w:type="dxa"/>
            <w:vAlign w:val="bottom"/>
          </w:tcPr>
          <w:p>
            <w:pPr>
              <w:spacing w:after="0"/>
              <w:rPr>
                <w:sz w:val="1"/>
                <w:szCs w:val="1"/>
                <w:color w:val="auto"/>
              </w:rPr>
            </w:pPr>
          </w:p>
        </w:tc>
      </w:tr>
      <w:tr>
        <w:trPr>
          <w:trHeight w:val="180"/>
        </w:trPr>
        <w:tc>
          <w:tcPr>
            <w:tcW w:w="560" w:type="dxa"/>
            <w:vAlign w:val="bottom"/>
            <w:vMerge w:val="restart"/>
          </w:tcPr>
          <w:p>
            <w:pPr>
              <w:ind w:left="280"/>
              <w:spacing w:after="0"/>
              <w:rPr>
                <w:sz w:val="20"/>
                <w:szCs w:val="20"/>
                <w:color w:val="auto"/>
              </w:rPr>
            </w:pPr>
            <w:r>
              <w:rPr>
                <w:rFonts w:ascii="Arial" w:cs="Arial" w:eastAsia="Arial" w:hAnsi="Arial"/>
                <w:sz w:val="14"/>
                <w:szCs w:val="14"/>
                <w:color w:val="auto"/>
              </w:rPr>
              <w:t>1B)</w:t>
            </w:r>
          </w:p>
        </w:tc>
        <w:tc>
          <w:tcPr>
            <w:tcW w:w="3100" w:type="dxa"/>
            <w:vAlign w:val="bottom"/>
            <w:vMerge w:val="restart"/>
          </w:tcPr>
          <w:p>
            <w:pPr>
              <w:ind w:left="40"/>
              <w:spacing w:after="0"/>
              <w:rPr>
                <w:sz w:val="20"/>
                <w:szCs w:val="20"/>
                <w:color w:val="auto"/>
              </w:rPr>
            </w:pPr>
            <w:r>
              <w:rPr>
                <w:rFonts w:ascii="Arial" w:cs="Arial" w:eastAsia="Arial" w:hAnsi="Arial"/>
                <w:sz w:val="14"/>
                <w:szCs w:val="14"/>
                <w:color w:val="auto"/>
              </w:rPr>
              <w:t>D. L. Boren</w:t>
            </w:r>
          </w:p>
        </w:tc>
        <w:tc>
          <w:tcPr>
            <w:tcW w:w="5460" w:type="dxa"/>
            <w:vAlign w:val="bottom"/>
          </w:tcPr>
          <w:p>
            <w:pPr>
              <w:ind w:left="1760"/>
              <w:spacing w:after="0"/>
              <w:rPr>
                <w:sz w:val="20"/>
                <w:szCs w:val="20"/>
                <w:color w:val="auto"/>
              </w:rPr>
            </w:pPr>
            <w:r>
              <w:rPr>
                <w:rFonts w:ascii="Arial" w:cs="Arial" w:eastAsia="Arial" w:hAnsi="Arial"/>
                <w:sz w:val="14"/>
                <w:szCs w:val="14"/>
                <w:color w:val="auto"/>
              </w:rPr>
              <w:t>nominees.</w:t>
            </w:r>
          </w:p>
        </w:tc>
        <w:tc>
          <w:tcPr>
            <w:tcW w:w="0" w:type="dxa"/>
            <w:vAlign w:val="bottom"/>
          </w:tcPr>
          <w:p>
            <w:pPr>
              <w:spacing w:after="0"/>
              <w:rPr>
                <w:sz w:val="1"/>
                <w:szCs w:val="1"/>
                <w:color w:val="auto"/>
              </w:rPr>
            </w:pPr>
          </w:p>
        </w:tc>
      </w:tr>
      <w:tr>
        <w:trPr>
          <w:trHeight w:val="149"/>
        </w:trPr>
        <w:tc>
          <w:tcPr>
            <w:tcW w:w="560" w:type="dxa"/>
            <w:vAlign w:val="bottom"/>
            <w:vMerge w:val="continue"/>
          </w:tcPr>
          <w:p>
            <w:pPr>
              <w:spacing w:after="0"/>
              <w:rPr>
                <w:sz w:val="12"/>
                <w:szCs w:val="12"/>
                <w:color w:val="auto"/>
              </w:rPr>
            </w:pPr>
          </w:p>
        </w:tc>
        <w:tc>
          <w:tcPr>
            <w:tcW w:w="3100" w:type="dxa"/>
            <w:vAlign w:val="bottom"/>
            <w:vMerge w:val="continue"/>
          </w:tcPr>
          <w:p>
            <w:pPr>
              <w:spacing w:after="0"/>
              <w:rPr>
                <w:sz w:val="12"/>
                <w:szCs w:val="12"/>
                <w:color w:val="auto"/>
              </w:rPr>
            </w:pPr>
          </w:p>
        </w:tc>
        <w:tc>
          <w:tcPr>
            <w:tcW w:w="5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5"/>
        </w:trPr>
        <w:tc>
          <w:tcPr>
            <w:tcW w:w="560" w:type="dxa"/>
            <w:vAlign w:val="bottom"/>
          </w:tcPr>
          <w:p>
            <w:pPr>
              <w:ind w:left="280"/>
              <w:spacing w:after="0"/>
              <w:rPr>
                <w:sz w:val="20"/>
                <w:szCs w:val="20"/>
                <w:color w:val="auto"/>
              </w:rPr>
            </w:pPr>
            <w:r>
              <w:rPr>
                <w:rFonts w:ascii="Arial" w:cs="Arial" w:eastAsia="Arial" w:hAnsi="Arial"/>
                <w:sz w:val="14"/>
                <w:szCs w:val="14"/>
                <w:color w:val="auto"/>
              </w:rPr>
              <w:t>1C)</w:t>
            </w:r>
          </w:p>
        </w:tc>
        <w:tc>
          <w:tcPr>
            <w:tcW w:w="3100" w:type="dxa"/>
            <w:vAlign w:val="bottom"/>
          </w:tcPr>
          <w:p>
            <w:pPr>
              <w:ind w:left="40"/>
              <w:spacing w:after="0"/>
              <w:rPr>
                <w:sz w:val="20"/>
                <w:szCs w:val="20"/>
                <w:color w:val="auto"/>
              </w:rPr>
            </w:pPr>
            <w:r>
              <w:rPr>
                <w:rFonts w:ascii="Arial" w:cs="Arial" w:eastAsia="Arial" w:hAnsi="Arial"/>
                <w:sz w:val="14"/>
                <w:szCs w:val="14"/>
                <w:color w:val="auto"/>
              </w:rPr>
              <w:t>D. A. Carp</w:t>
            </w:r>
          </w:p>
        </w:tc>
        <w:tc>
          <w:tcPr>
            <w:tcW w:w="5460" w:type="dxa"/>
            <w:vAlign w:val="bottom"/>
          </w:tcPr>
          <w:p>
            <w:pPr>
              <w:jc w:val="right"/>
              <w:spacing w:after="0"/>
              <w:rPr>
                <w:sz w:val="20"/>
                <w:szCs w:val="20"/>
                <w:color w:val="auto"/>
              </w:rPr>
            </w:pPr>
            <w:r>
              <w:rPr>
                <w:rFonts w:ascii="Arial" w:cs="Arial" w:eastAsia="Arial" w:hAnsi="Arial"/>
                <w:sz w:val="14"/>
                <w:szCs w:val="14"/>
                <w:color w:val="auto"/>
              </w:rPr>
              <w:t>4.   Transact such other business as may properly come before</w:t>
            </w: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5460" w:type="dxa"/>
            <w:vAlign w:val="bottom"/>
          </w:tcPr>
          <w:p>
            <w:pPr>
              <w:ind w:left="1760"/>
              <w:spacing w:after="0"/>
              <w:rPr>
                <w:sz w:val="20"/>
                <w:szCs w:val="20"/>
                <w:color w:val="auto"/>
              </w:rPr>
            </w:pPr>
            <w:r>
              <w:rPr>
                <w:rFonts w:ascii="Arial" w:cs="Arial" w:eastAsia="Arial" w:hAnsi="Arial"/>
                <w:sz w:val="14"/>
                <w:szCs w:val="14"/>
                <w:color w:val="auto"/>
              </w:rPr>
              <w:t>the meeting.</w:t>
            </w:r>
          </w:p>
        </w:tc>
        <w:tc>
          <w:tcPr>
            <w:tcW w:w="0" w:type="dxa"/>
            <w:vAlign w:val="bottom"/>
          </w:tcPr>
          <w:p>
            <w:pPr>
              <w:spacing w:after="0"/>
              <w:rPr>
                <w:sz w:val="1"/>
                <w:szCs w:val="1"/>
                <w:color w:val="auto"/>
              </w:rPr>
            </w:pPr>
          </w:p>
        </w:tc>
      </w:tr>
      <w:tr>
        <w:trPr>
          <w:trHeight w:val="392"/>
        </w:trPr>
        <w:tc>
          <w:tcPr>
            <w:tcW w:w="560" w:type="dxa"/>
            <w:vAlign w:val="bottom"/>
          </w:tcPr>
          <w:p>
            <w:pPr>
              <w:ind w:left="280"/>
              <w:spacing w:after="0"/>
              <w:rPr>
                <w:sz w:val="20"/>
                <w:szCs w:val="20"/>
                <w:color w:val="auto"/>
              </w:rPr>
            </w:pPr>
            <w:r>
              <w:rPr>
                <w:rFonts w:ascii="Arial" w:cs="Arial" w:eastAsia="Arial" w:hAnsi="Arial"/>
                <w:sz w:val="14"/>
                <w:szCs w:val="14"/>
                <w:color w:val="auto"/>
              </w:rPr>
              <w:t>1D)</w:t>
            </w:r>
          </w:p>
        </w:tc>
        <w:tc>
          <w:tcPr>
            <w:tcW w:w="3100" w:type="dxa"/>
            <w:vAlign w:val="bottom"/>
          </w:tcPr>
          <w:p>
            <w:pPr>
              <w:ind w:left="40"/>
              <w:spacing w:after="0"/>
              <w:rPr>
                <w:sz w:val="20"/>
                <w:szCs w:val="20"/>
                <w:color w:val="auto"/>
              </w:rPr>
            </w:pPr>
            <w:r>
              <w:rPr>
                <w:rFonts w:ascii="Arial" w:cs="Arial" w:eastAsia="Arial" w:hAnsi="Arial"/>
                <w:sz w:val="14"/>
                <w:szCs w:val="14"/>
                <w:color w:val="auto"/>
              </w:rPr>
              <w:t>C. S. Cox</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1E)</w:t>
            </w:r>
          </w:p>
        </w:tc>
        <w:tc>
          <w:tcPr>
            <w:tcW w:w="3100" w:type="dxa"/>
            <w:vAlign w:val="bottom"/>
          </w:tcPr>
          <w:p>
            <w:pPr>
              <w:ind w:left="40"/>
              <w:spacing w:after="0"/>
              <w:rPr>
                <w:sz w:val="20"/>
                <w:szCs w:val="20"/>
                <w:color w:val="auto"/>
              </w:rPr>
            </w:pPr>
            <w:r>
              <w:rPr>
                <w:rFonts w:ascii="Arial" w:cs="Arial" w:eastAsia="Arial" w:hAnsi="Arial"/>
                <w:sz w:val="14"/>
                <w:szCs w:val="14"/>
                <w:color w:val="auto"/>
              </w:rPr>
              <w:t>D. R. Goode</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1F)</w:t>
            </w:r>
          </w:p>
        </w:tc>
        <w:tc>
          <w:tcPr>
            <w:tcW w:w="3100" w:type="dxa"/>
            <w:vAlign w:val="bottom"/>
          </w:tcPr>
          <w:p>
            <w:pPr>
              <w:ind w:left="40"/>
              <w:spacing w:after="0"/>
              <w:rPr>
                <w:sz w:val="20"/>
                <w:szCs w:val="20"/>
                <w:color w:val="auto"/>
              </w:rPr>
            </w:pPr>
            <w:r>
              <w:rPr>
                <w:rFonts w:ascii="Arial" w:cs="Arial" w:eastAsia="Arial" w:hAnsi="Arial"/>
                <w:sz w:val="14"/>
                <w:szCs w:val="14"/>
                <w:color w:val="auto"/>
              </w:rPr>
              <w:t>P. H. Patsley</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1G)</w:t>
            </w:r>
          </w:p>
        </w:tc>
        <w:tc>
          <w:tcPr>
            <w:tcW w:w="3100" w:type="dxa"/>
            <w:vAlign w:val="bottom"/>
          </w:tcPr>
          <w:p>
            <w:pPr>
              <w:ind w:left="40"/>
              <w:spacing w:after="0"/>
              <w:rPr>
                <w:sz w:val="20"/>
                <w:szCs w:val="20"/>
                <w:color w:val="auto"/>
              </w:rPr>
            </w:pPr>
            <w:r>
              <w:rPr>
                <w:rFonts w:ascii="Arial" w:cs="Arial" w:eastAsia="Arial" w:hAnsi="Arial"/>
                <w:sz w:val="14"/>
                <w:szCs w:val="14"/>
                <w:color w:val="auto"/>
              </w:rPr>
              <w:t>W. R. Sanders</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1H)</w:t>
            </w:r>
          </w:p>
        </w:tc>
        <w:tc>
          <w:tcPr>
            <w:tcW w:w="3100" w:type="dxa"/>
            <w:vAlign w:val="bottom"/>
          </w:tcPr>
          <w:p>
            <w:pPr>
              <w:ind w:left="40"/>
              <w:spacing w:after="0"/>
              <w:rPr>
                <w:sz w:val="20"/>
                <w:szCs w:val="20"/>
                <w:color w:val="auto"/>
              </w:rPr>
            </w:pPr>
            <w:r>
              <w:rPr>
                <w:rFonts w:ascii="Arial" w:cs="Arial" w:eastAsia="Arial" w:hAnsi="Arial"/>
                <w:sz w:val="14"/>
                <w:szCs w:val="14"/>
                <w:color w:val="auto"/>
              </w:rPr>
              <w:t>R. J. Simmons</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1I)</w:t>
            </w:r>
          </w:p>
        </w:tc>
        <w:tc>
          <w:tcPr>
            <w:tcW w:w="3100" w:type="dxa"/>
            <w:vAlign w:val="bottom"/>
          </w:tcPr>
          <w:p>
            <w:pPr>
              <w:ind w:left="40"/>
              <w:spacing w:after="0"/>
              <w:rPr>
                <w:sz w:val="20"/>
                <w:szCs w:val="20"/>
                <w:color w:val="auto"/>
              </w:rPr>
            </w:pPr>
            <w:r>
              <w:rPr>
                <w:rFonts w:ascii="Arial" w:cs="Arial" w:eastAsia="Arial" w:hAnsi="Arial"/>
                <w:sz w:val="14"/>
                <w:szCs w:val="14"/>
                <w:color w:val="auto"/>
              </w:rPr>
              <w:t>R. K. Templeton</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0" w:type="dxa"/>
            <w:vAlign w:val="bottom"/>
          </w:tcPr>
          <w:p>
            <w:pPr>
              <w:ind w:left="280"/>
              <w:spacing w:after="0"/>
              <w:rPr>
                <w:sz w:val="20"/>
                <w:szCs w:val="20"/>
                <w:color w:val="auto"/>
              </w:rPr>
            </w:pPr>
            <w:r>
              <w:rPr>
                <w:rFonts w:ascii="Arial" w:cs="Arial" w:eastAsia="Arial" w:hAnsi="Arial"/>
                <w:sz w:val="14"/>
                <w:szCs w:val="14"/>
                <w:color w:val="auto"/>
              </w:rPr>
              <w:t>1J)</w:t>
            </w:r>
          </w:p>
        </w:tc>
        <w:tc>
          <w:tcPr>
            <w:tcW w:w="3100" w:type="dxa"/>
            <w:vAlign w:val="bottom"/>
          </w:tcPr>
          <w:p>
            <w:pPr>
              <w:ind w:left="40"/>
              <w:spacing w:after="0"/>
              <w:rPr>
                <w:sz w:val="20"/>
                <w:szCs w:val="20"/>
                <w:color w:val="auto"/>
              </w:rPr>
            </w:pPr>
            <w:r>
              <w:rPr>
                <w:rFonts w:ascii="Arial" w:cs="Arial" w:eastAsia="Arial" w:hAnsi="Arial"/>
                <w:sz w:val="14"/>
                <w:szCs w:val="14"/>
                <w:color w:val="auto"/>
              </w:rPr>
              <w:t>C. T. Whitman</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0" w:right="239" w:bottom="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2019-12-13T07:25:33Z</dcterms:created>
  <dcterms:modified xsi:type="dcterms:W3CDTF">2019-12-13T07:25:33Z</dcterms:modified>
</cp:coreProperties>
</file>