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190500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168275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720" w:type="dxa"/>
            <w:vAlign w:val="bottom"/>
          </w:tcPr>
          <w:p>
            <w:pPr>
              <w:spacing w:after="0"/>
              <w:rPr>
                <w:sz w:val="20"/>
                <w:szCs w:val="20"/>
                <w:color w:val="auto"/>
              </w:rPr>
            </w:pPr>
          </w:p>
        </w:tc>
      </w:tr>
      <w:tr>
        <w:trPr>
          <w:trHeight w:val="233"/>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1"/>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6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72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72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2"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January 23, 2019, regarding its fourth-quarter and 2018 results of operations and financial condition is attached hereto as Exhibit 99.</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Designation</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of Exhibit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in this</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88"/>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Report</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4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0" w:lineRule="exact"/>
        <w:rPr>
          <w:sz w:val="20"/>
          <w:szCs w:val="20"/>
          <w:color w:val="auto"/>
        </w:rPr>
      </w:pPr>
    </w:p>
    <w:p>
      <w:pPr>
        <w:ind w:left="1280" w:hanging="788"/>
        <w:spacing w:after="0"/>
        <w:tabs>
          <w:tab w:leader="none" w:pos="1280" w:val="left"/>
        </w:tabs>
        <w:numPr>
          <w:ilvl w:val="0"/>
          <w:numId w:val="2"/>
        </w:numPr>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Registrant’s News Release</w:t>
        </w:r>
      </w:hyperlink>
    </w:p>
    <w:p>
      <w:pPr>
        <w:spacing w:after="0" w:line="27" w:lineRule="exact"/>
        <w:rPr>
          <w:rFonts w:ascii="Times New Roman" w:cs="Times New Roman" w:eastAsia="Times New Roman" w:hAnsi="Times New Roman"/>
          <w:sz w:val="18"/>
          <w:szCs w:val="18"/>
          <w:u w:val="single" w:color="auto"/>
          <w:color w:val="0000EE"/>
        </w:rPr>
      </w:pPr>
    </w:p>
    <w:p>
      <w:pPr>
        <w:ind w:left="128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Dated January 23, 2019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2019</w:t>
            </w:r>
          </w:p>
        </w:tc>
        <w:tc>
          <w:tcPr>
            <w:tcW w:w="73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Rafael R. Lizardi</w:t>
            </w:r>
          </w:p>
        </w:tc>
      </w:tr>
      <w:tr>
        <w:trPr>
          <w:trHeight w:val="191"/>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Rafael R. Lizardi</w:t>
            </w:r>
          </w:p>
        </w:tc>
      </w:tr>
      <w:tr>
        <w:trPr>
          <w:trHeight w:val="216"/>
        </w:trPr>
        <w:tc>
          <w:tcPr>
            <w:tcW w:w="4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 reports 4Q18 and 2018 financial results and shareholder returns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www.ti.com/ir</w:t>
      </w:r>
    </w:p>
    <w:p>
      <w:pPr>
        <w:spacing w:after="0" w:line="225" w:lineRule="exact"/>
        <w:rPr>
          <w:sz w:val="20"/>
          <w:szCs w:val="20"/>
          <w:color w:val="auto"/>
        </w:rPr>
      </w:pPr>
    </w:p>
    <w:p>
      <w:pPr>
        <w:jc w:val="both"/>
        <w:ind w:right="580"/>
        <w:spacing w:after="0" w:line="275" w:lineRule="auto"/>
        <w:rPr>
          <w:sz w:val="20"/>
          <w:szCs w:val="20"/>
          <w:color w:val="auto"/>
        </w:rPr>
      </w:pPr>
      <w:r>
        <w:rPr>
          <w:rFonts w:ascii="Times New Roman" w:cs="Times New Roman" w:eastAsia="Times New Roman" w:hAnsi="Times New Roman"/>
          <w:sz w:val="18"/>
          <w:szCs w:val="18"/>
          <w:color w:val="auto"/>
        </w:rPr>
        <w:t>DALLAS (Jan. 23, 2019) – Texas Instruments Incorporated (TI) (NASDAQ: TXN) today reported fourth-quarter revenue of $3.72 billion, net income of $1.24 billion and earnings per share of $1.27. Earnings per share include a 1 cent discrete tax benefit not in the company’s original guidance.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company’s performance and returns to shareholders, Rich Templeton, TI’s chairman, president and CEO, made the following comments:</w:t>
      </w:r>
    </w:p>
    <w:p>
      <w:pPr>
        <w:spacing w:after="0" w:line="117"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1 percent from the same quarter a year ago as demand for our products continued to slow across most markets.</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core businesses, Analog revenue grew 4 percent and Embedded Processing declined 12 percent from the same quarter a year ago.</w:t>
      </w:r>
    </w:p>
    <w:p>
      <w:pPr>
        <w:spacing w:after="0" w:line="117" w:lineRule="exact"/>
        <w:rPr>
          <w:rFonts w:ascii="Times New Roman" w:cs="Times New Roman" w:eastAsia="Times New Roman" w:hAnsi="Times New Roman"/>
          <w:sz w:val="18"/>
          <w:szCs w:val="18"/>
          <w:color w:val="auto"/>
        </w:rPr>
      </w:pPr>
    </w:p>
    <w:p>
      <w:pPr>
        <w:jc w:val="both"/>
        <w:ind w:left="440" w:right="100" w:hanging="432"/>
        <w:spacing w:after="0" w:line="266"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of $7.2 billion for the year again underscored the strength of our business model. Free cash flow for the year was $6.1 billion and represents 38.4 percent of revenue. This reflects the quality of our product portfolio, as well as the efficiency of our manufacturing strategy, including the benefit of 300-millimeter Analog production.</w:t>
      </w:r>
    </w:p>
    <w:p>
      <w:pPr>
        <w:spacing w:after="0" w:line="68" w:lineRule="exact"/>
        <w:rPr>
          <w:rFonts w:ascii="Times New Roman" w:cs="Times New Roman" w:eastAsia="Times New Roman" w:hAnsi="Times New Roman"/>
          <w:sz w:val="18"/>
          <w:szCs w:val="18"/>
          <w:color w:val="auto"/>
        </w:rPr>
      </w:pPr>
    </w:p>
    <w:p>
      <w:pPr>
        <w:ind w:left="440" w:right="260" w:hanging="432"/>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returned $7.7 billion to owners in 2018 through stock repurchases and dividends. Our strategy is to return all our free cash flow to owners. Over the last 12 months, our dividends represented 42 percent of free cash flow, underscoring their sustainability.</w:t>
      </w:r>
    </w:p>
    <w:p>
      <w:pPr>
        <w:spacing w:after="0" w:line="53" w:lineRule="exact"/>
        <w:rPr>
          <w:rFonts w:ascii="Times New Roman" w:cs="Times New Roman" w:eastAsia="Times New Roman" w:hAnsi="Times New Roman"/>
          <w:sz w:val="18"/>
          <w:szCs w:val="18"/>
          <w:color w:val="auto"/>
        </w:rPr>
      </w:pPr>
    </w:p>
    <w:p>
      <w:pPr>
        <w:ind w:left="440" w:right="140" w:hanging="432"/>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first-quarter outlook is for revenue in the range of $3.34 billion to $3.62 billion, and earnings per share between $1.03 and $1.21, which includes an estimated $20 million discrete tax benefit. For 2019, TI’s annual operating tax rate is expected to be about 16 percent.”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non-GAAP financial measure, is 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Page 2</w:t>
            </w:r>
          </w:p>
        </w:tc>
      </w:tr>
      <w:tr>
        <w:trPr>
          <w:trHeight w:val="41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summary</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 except per-share amounts.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00"/>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4Q18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4Q17</w:t>
            </w:r>
          </w:p>
        </w:tc>
        <w:tc>
          <w:tcPr>
            <w:tcW w:w="1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80" w:type="dxa"/>
            <w:vAlign w:val="bottom"/>
          </w:tcPr>
          <w:p>
            <w:pPr>
              <w:spacing w:after="0"/>
              <w:rPr>
                <w:sz w:val="19"/>
                <w:szCs w:val="19"/>
                <w:color w:val="auto"/>
              </w:rPr>
            </w:pPr>
          </w:p>
        </w:tc>
        <w:tc>
          <w:tcPr>
            <w:tcW w:w="52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9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9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tcPr>
          <w:p>
            <w:pPr>
              <w:spacing w:after="0"/>
              <w:rPr>
                <w:sz w:val="20"/>
                <w:szCs w:val="20"/>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generation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Trailing 12 Months</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54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4Q18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4Q18</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4Q17</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tcBorders>
              <w:bottom w:val="single" w:sz="8" w:color="CFF0FC"/>
            </w:tcBorders>
          </w:tcPr>
          <w:p>
            <w:pPr>
              <w:spacing w:after="0"/>
              <w:rPr>
                <w:sz w:val="19"/>
                <w:szCs w:val="19"/>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8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4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4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Free cash flow % of revenue</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22"/>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Cash return</w:t>
            </w: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0"/>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9"/>
              </w:rPr>
              <w:t>Trailing 12 Months</w:t>
            </w: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30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4Q18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4Q18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4Q17</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rPr>
              <w:t>2,555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5,100</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18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rPr>
              <w:t>7,655</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580" w:type="dxa"/>
            <w:vAlign w:val="bottom"/>
          </w:tcPr>
          <w:p>
            <w:pPr>
              <w:spacing w:after="0"/>
              <w:rPr>
                <w:sz w:val="19"/>
                <w:szCs w:val="19"/>
                <w:color w:val="auto"/>
              </w:rPr>
            </w:pPr>
          </w:p>
        </w:tc>
      </w:tr>
      <w:tr>
        <w:trPr>
          <w:trHeight w:val="1033"/>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0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3</w:t>
            </w: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2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 AND SUBSIDIARIES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60" w:type="dxa"/>
            <w:vAlign w:val="bottom"/>
            <w:gridSpan w:val="5"/>
          </w:tcPr>
          <w:p>
            <w:pPr>
              <w:jc w:val="center"/>
              <w:ind w:left="1134"/>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62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(Millions of dollars, except share and per-share amounts)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For Years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Borders>
              <w:bottom w:val="single" w:sz="8" w:color="CFF0FC"/>
            </w:tcBorders>
          </w:tcPr>
          <w:p>
            <w:pPr>
              <w:spacing w:after="0"/>
              <w:rPr>
                <w:sz w:val="18"/>
                <w:szCs w:val="18"/>
                <w:color w:val="auto"/>
              </w:rPr>
            </w:pPr>
          </w:p>
        </w:tc>
        <w:tc>
          <w:tcPr>
            <w:tcW w:w="26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2017</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2017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800" w:type="dxa"/>
            <w:vAlign w:val="bottom"/>
            <w:gridSpan w:val="2"/>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3,717</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15,784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revenue (COR)</w:t>
            </w:r>
          </w:p>
        </w:tc>
        <w:tc>
          <w:tcPr>
            <w:tcW w:w="26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1,310</w:t>
            </w:r>
          </w:p>
        </w:tc>
        <w:tc>
          <w:tcPr>
            <w:tcW w:w="3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5,507</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2,407</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10,277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(R&amp;D)</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(SG&amp;A)</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charges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charges/other</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1,516</w:t>
            </w:r>
          </w:p>
        </w:tc>
        <w:tc>
          <w:tcPr>
            <w:tcW w:w="3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6,713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 (OI&amp;E)</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Interest and debt expense</w:t>
            </w:r>
          </w:p>
        </w:tc>
        <w:tc>
          <w:tcPr>
            <w:tcW w:w="26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3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1,503</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6,686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w:t>
            </w:r>
          </w:p>
        </w:tc>
        <w:tc>
          <w:tcPr>
            <w:tcW w:w="3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1,106</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1,239</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5,580</w:t>
            </w: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66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3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w:t>
            </w:r>
          </w:p>
        </w:tc>
        <w:tc>
          <w:tcPr>
            <w:tcW w:w="220" w:type="dxa"/>
            <w:vAlign w:val="bottom"/>
          </w:tcPr>
          <w:p>
            <w:pPr>
              <w:spacing w:after="0"/>
              <w:rPr>
                <w:sz w:val="18"/>
                <w:szCs w:val="18"/>
                <w:color w:val="auto"/>
              </w:rPr>
            </w:pPr>
          </w:p>
        </w:tc>
        <w:tc>
          <w:tcPr>
            <w:tcW w:w="4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Average shares outstanding (millions):</w:t>
            </w:r>
          </w:p>
        </w:tc>
        <w:tc>
          <w:tcPr>
            <w:tcW w:w="2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6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953</w:t>
            </w:r>
          </w:p>
        </w:tc>
        <w:tc>
          <w:tcPr>
            <w:tcW w:w="3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6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970</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990</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266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3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Pr>
          <w:p>
            <w:pPr>
              <w:spacing w:after="0"/>
              <w:rPr>
                <w:sz w:val="18"/>
                <w:szCs w:val="18"/>
                <w:color w:val="auto"/>
              </w:rPr>
            </w:pPr>
          </w:p>
        </w:tc>
        <w:tc>
          <w:tcPr>
            <w:tcW w:w="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w:t>
            </w:r>
          </w:p>
        </w:tc>
        <w:tc>
          <w:tcPr>
            <w:tcW w:w="220" w:type="dxa"/>
            <w:vAlign w:val="bottom"/>
          </w:tcPr>
          <w:p>
            <w:pPr>
              <w:spacing w:after="0"/>
              <w:rPr>
                <w:sz w:val="18"/>
                <w:szCs w:val="18"/>
                <w:color w:val="auto"/>
              </w:rPr>
            </w:pPr>
          </w:p>
        </w:tc>
        <w:tc>
          <w:tcPr>
            <w:tcW w:w="4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4260" w:type="dxa"/>
            <w:vAlign w:val="bottom"/>
            <w:gridSpan w:val="5"/>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5760" w:type="dxa"/>
            <w:vAlign w:val="bottom"/>
            <w:gridSpan w:val="3"/>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Provision for income taxes is based on the following:</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76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0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taxes (calculated using the estimated annual effective</w:t>
            </w: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tax rate)</w:t>
            </w:r>
          </w:p>
        </w:tc>
        <w:tc>
          <w:tcPr>
            <w:tcW w:w="30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277</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1,304</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Discrete tax items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(13)</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 (effective taxes)</w:t>
            </w:r>
          </w:p>
        </w:tc>
        <w:tc>
          <w:tcPr>
            <w:tcW w:w="26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264</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1,106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w:t>
            </w:r>
          </w:p>
        </w:tc>
        <w:tc>
          <w:tcPr>
            <w:tcW w:w="3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20" w:right="3600" w:hanging="121"/>
        <w:spacing w:after="0" w:line="298" w:lineRule="auto"/>
        <w:rPr>
          <w:sz w:val="20"/>
          <w:szCs w:val="20"/>
          <w:color w:val="auto"/>
        </w:rPr>
      </w:pPr>
      <w:r>
        <w:rPr>
          <w:rFonts w:ascii="Times New Roman" w:cs="Times New Roman" w:eastAsia="Times New Roman" w:hAnsi="Times New Roman"/>
          <w:sz w:val="16"/>
          <w:szCs w:val="16"/>
          <w:color w:val="auto"/>
        </w:rPr>
        <w:t>Our annual operating tax rate, which does not include discrete tax items, was 20 percent compared with 31 percent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40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portion of net income is allocated to unvested restricted stock units (RSUs) on which we pay dividend equivalents. Diluted</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EPS is calculated using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1,239</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5,580</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Income allocated to RSUs</w:t>
            </w:r>
          </w:p>
        </w:tc>
        <w:tc>
          <w:tcPr>
            <w:tcW w:w="4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w:t>
            </w:r>
          </w:p>
        </w:tc>
        <w:tc>
          <w:tcPr>
            <w:tcW w:w="4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8"/>
                <w:szCs w:val="18"/>
                <w:color w:val="auto"/>
              </w:rPr>
            </w:pPr>
          </w:p>
        </w:tc>
      </w:tr>
      <w:tr>
        <w:trPr>
          <w:trHeight w:val="210"/>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allocated to common stock for diluted EPS</w:t>
            </w:r>
          </w:p>
        </w:tc>
        <w:tc>
          <w:tcPr>
            <w:tcW w:w="42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1,231</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5,538</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2"/>
        </w:trPr>
        <w:tc>
          <w:tcPr>
            <w:tcW w:w="5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Page 4</w:t>
            </w: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820" w:type="dxa"/>
            <w:vAlign w:val="bottom"/>
            <w:gridSpan w:val="3"/>
          </w:tcPr>
          <w:p>
            <w:pPr>
              <w:jc w:val="center"/>
              <w:ind w:left="2478"/>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 AND SUBSIDIARIES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38"/>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80" w:type="dxa"/>
            <w:vAlign w:val="bottom"/>
          </w:tcPr>
          <w:p>
            <w:pPr>
              <w:jc w:val="center"/>
              <w:ind w:left="3718"/>
              <w:spacing w:after="0"/>
              <w:rPr>
                <w:sz w:val="20"/>
                <w:szCs w:val="20"/>
                <w:color w:val="auto"/>
              </w:rPr>
            </w:pPr>
            <w:r>
              <w:rPr>
                <w:rFonts w:ascii="Times New Roman" w:cs="Times New Roman" w:eastAsia="Times New Roman" w:hAnsi="Times New Roman"/>
                <w:sz w:val="18"/>
                <w:szCs w:val="18"/>
                <w:b w:val="1"/>
                <w:bCs w:val="1"/>
                <w:color w:val="auto"/>
                <w:w w:val="99"/>
              </w:rPr>
              <w:t>(Millions of dollars, except share amounts)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2,438</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 of ($19) and ($8)</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Raw materials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Work in process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(2,242)</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Acquisition-related intangibles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software licenses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Overfunded retirement plans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4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749</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Underfunded retirement plans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Preferred stock, $25 par value. Authorized – 10,000,000 shares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Participating cumulative preferred – None issued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Common stock, $1 par value. Authorized – 2,400,000,000 shares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 1,740,815,939</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Paid-in capital</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Treasury common stock at cost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2018 – 795,665,646; 2017 – 757,657,217</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(32,130)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(loss), net of taxes (AOCI)</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(473)</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8,994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17,137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17,642</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8"/>
        </w:trPr>
        <w:tc>
          <w:tcPr>
            <w:tcW w:w="20" w:type="dxa"/>
            <w:vAlign w:val="bottom"/>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Page 5</w:t>
            </w: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700" w:type="dxa"/>
            <w:vAlign w:val="bottom"/>
            <w:gridSpan w:val="8"/>
          </w:tcPr>
          <w:p>
            <w:pPr>
              <w:jc w:val="center"/>
              <w:ind w:left="2599"/>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 AND SUBSIDIARIES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60" w:type="dxa"/>
            <w:vAlign w:val="bottom"/>
            <w:gridSpan w:val="4"/>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60" w:type="dxa"/>
            <w:vAlign w:val="bottom"/>
            <w:gridSpan w:val="4"/>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9"/>
              </w:rPr>
              <w:t>(Millions of dollars)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240" w:type="dxa"/>
            <w:vAlign w:val="bottom"/>
          </w:tcPr>
          <w:p>
            <w:pPr>
              <w:spacing w:after="0"/>
              <w:rPr>
                <w:sz w:val="24"/>
                <w:szCs w:val="24"/>
                <w:color w:val="auto"/>
              </w:rPr>
            </w:pPr>
          </w:p>
        </w:tc>
        <w:tc>
          <w:tcPr>
            <w:tcW w:w="248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For Years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Borders>
              <w:bottom w:val="single" w:sz="8" w:color="CFF0FC"/>
            </w:tcBorders>
          </w:tcPr>
          <w:p>
            <w:pPr>
              <w:spacing w:after="0"/>
              <w:rPr>
                <w:sz w:val="18"/>
                <w:szCs w:val="18"/>
                <w:color w:val="auto"/>
              </w:rPr>
            </w:pPr>
          </w:p>
        </w:tc>
        <w:tc>
          <w:tcPr>
            <w:tcW w:w="20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1,239</w:t>
            </w:r>
          </w:p>
        </w:tc>
        <w:tc>
          <w:tcPr>
            <w:tcW w:w="24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5,580</w:t>
            </w:r>
          </w:p>
        </w:tc>
        <w:tc>
          <w:tcPr>
            <w:tcW w:w="140" w:type="dxa"/>
            <w:vAlign w:val="bottom"/>
          </w:tcPr>
          <w:p>
            <w:pPr>
              <w:spacing w:after="0"/>
              <w:rPr>
                <w:sz w:val="18"/>
                <w:szCs w:val="18"/>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Adjustments to net income:</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Amortization of acquisition-related intangibles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capitalized software</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Stock compensation</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Gains on sales of assets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w:t>
            </w:r>
          </w:p>
        </w:tc>
        <w:tc>
          <w:tcPr>
            <w:tcW w:w="3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Deferred taxes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(23)</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(105)</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Increase (decrease) from changes in:</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(101)</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Accrued compensation</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payable</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Changes in funded status of retirement plans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2,145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7,189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(323)</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(231)</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(1,131)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asset sales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(333)</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(1,450)</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(5,641)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2,163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1,505</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Repayment of debt</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Dividends paid</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(736)</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(611)</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Stock repurchases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(2,009)</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(706)</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(5,100)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common stock transactions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(2,714)</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936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1,502</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8"/>
        </w:trPr>
        <w:tc>
          <w:tcPr>
            <w:tcW w:w="20" w:type="dxa"/>
            <w:vAlign w:val="bottom"/>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6</w:t>
            </w:r>
          </w:p>
        </w:tc>
      </w:tr>
      <w:tr>
        <w:trPr>
          <w:trHeight w:val="74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Quarterly segment results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3"/>
        </w:trPr>
        <w:tc>
          <w:tcPr>
            <w:tcW w:w="20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4Q18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4Q17</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Analog:</w:t>
            </w: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8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Processing: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Includes acquisition charges and restructuring charges/other.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Analog: </w:t>
      </w:r>
      <w:r>
        <w:rPr>
          <w:rFonts w:ascii="Times New Roman" w:cs="Times New Roman" w:eastAsia="Times New Roman" w:hAnsi="Times New Roman"/>
          <w:sz w:val="18"/>
          <w:szCs w:val="18"/>
          <w:i w:val="1"/>
          <w:iCs w:val="1"/>
          <w:color w:val="auto"/>
        </w:rPr>
        <w:t>(includes Power, Signal Chain and High Volume)</w:t>
      </w:r>
    </w:p>
    <w:p>
      <w:pPr>
        <w:spacing w:after="0" w:line="121"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Signal Chain and Power, partially offset by declines in High Volume.</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Embedded Processing: </w:t>
      </w:r>
      <w:r>
        <w:rPr>
          <w:rFonts w:ascii="Times New Roman" w:cs="Times New Roman" w:eastAsia="Times New Roman" w:hAnsi="Times New Roman"/>
          <w:sz w:val="18"/>
          <w:szCs w:val="18"/>
          <w:i w:val="1"/>
          <w:iCs w:val="1"/>
          <w:color w:val="auto"/>
        </w:rPr>
        <w:t>(includes Connected Microcontrollers and Processors)</w:t>
      </w:r>
    </w:p>
    <w:p>
      <w:pPr>
        <w:spacing w:after="0" w:line="121"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in both product lines.</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decreased primarily due to lower revenue and associated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i w:val="1"/>
          <w:iCs w:val="1"/>
          <w:color w:val="auto"/>
        </w:rPr>
        <w:t>(includes DLP</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products, calculators and custom ASIC products)</w:t>
      </w:r>
    </w:p>
    <w:p>
      <w:pPr>
        <w:spacing w:after="0" w:line="121"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$31 million, and operating profit decreased by $19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7</w:t>
            </w:r>
          </w:p>
        </w:tc>
      </w:tr>
      <w:tr>
        <w:trPr>
          <w:trHeight w:val="419"/>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segment results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3"/>
        </w:trPr>
        <w:tc>
          <w:tcPr>
            <w:tcW w:w="18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Analog:</w:t>
            </w: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8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Processing: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Includes acquisition charges and restructuring charges/other.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Analog:</w:t>
      </w:r>
    </w:p>
    <w:p>
      <w:pPr>
        <w:spacing w:after="0" w:line="121"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Power and Signal Chain, partially offset by declines in High Volume.</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due to higher revenue and associated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Embedded Processing:</w:t>
      </w:r>
    </w:p>
    <w:p>
      <w:pPr>
        <w:spacing w:after="0" w:line="121"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Connected Microcontrollers. Processors was about even.</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primarily due to higher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$134 million, and operating profit decreased by $73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tabs>
          <w:tab w:leader="none" w:pos="10900" w:val="left"/>
        </w:tabs>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r>
        <w:rPr>
          <w:sz w:val="20"/>
          <w:szCs w:val="20"/>
          <w:color w:val="auto"/>
        </w:rPr>
        <w:tab/>
      </w:r>
      <w:r>
        <w:rPr>
          <w:rFonts w:ascii="Times New Roman" w:cs="Times New Roman" w:eastAsia="Times New Roman" w:hAnsi="Times New Roman"/>
          <w:sz w:val="17"/>
          <w:szCs w:val="17"/>
          <w:b w:val="1"/>
          <w:bCs w:val="1"/>
          <w:color w:val="auto"/>
        </w:rPr>
        <w:t>Page 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to the most directly comparable GAAP measures is provided in the table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Years Ended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operations (GAAP)</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7,189</w:t>
            </w: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(1,131)</w:t>
            </w:r>
          </w:p>
        </w:tc>
        <w:tc>
          <w:tcPr>
            <w:tcW w:w="8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(695)</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Free cash flow (non-GAAP)</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6,058</w:t>
            </w: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4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15,784</w:t>
            </w:r>
          </w:p>
        </w:tc>
        <w:tc>
          <w:tcPr>
            <w:tcW w:w="340" w:type="dxa"/>
            <w:vAlign w:val="bottom"/>
          </w:tcPr>
          <w:p>
            <w:pPr>
              <w:spacing w:after="0"/>
              <w:rPr>
                <w:sz w:val="18"/>
                <w:szCs w:val="18"/>
                <w:color w:val="auto"/>
              </w:rPr>
            </w:pPr>
          </w:p>
        </w:tc>
        <w:tc>
          <w:tcPr>
            <w:tcW w:w="8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14,961</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operations as a percent of revenue (GAAP)</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45.5%</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35.8%</w:t>
            </w: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Free cash flow as a percent of revenue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38.4%</w:t>
            </w:r>
          </w:p>
        </w:tc>
        <w:tc>
          <w:tcPr>
            <w:tcW w:w="8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31.2%</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tabs>
          <w:tab w:leader="none" w:pos="10900" w:val="left"/>
        </w:tabs>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r>
        <w:rPr>
          <w:sz w:val="20"/>
          <w:szCs w:val="20"/>
          <w:color w:val="auto"/>
        </w:rPr>
        <w:tab/>
      </w:r>
      <w:r>
        <w:rPr>
          <w:rFonts w:ascii="Times New Roman" w:cs="Times New Roman" w:eastAsia="Times New Roman" w:hAnsi="Times New Roman"/>
          <w:sz w:val="17"/>
          <w:szCs w:val="17"/>
          <w:b w:val="1"/>
          <w:bCs w:val="1"/>
          <w:color w:val="auto"/>
        </w:rPr>
        <w:t>Page 9</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our management:</w:t>
      </w:r>
    </w:p>
    <w:p>
      <w:pPr>
        <w:spacing w:after="0" w:line="54"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our end markets;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17"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forecasts and the financial impact of inadequate or excess company inventory that results from demand that differs from projections;</w:t>
      </w:r>
    </w:p>
    <w:p>
      <w:pPr>
        <w:spacing w:after="0" w:line="53"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threats to our information technology systems or those of our customers or suppliers;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geological events or health epidemics in the locations in which we, our customers or our suppliers operate;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w:t>
      </w:r>
    </w:p>
    <w:p>
      <w:pPr>
        <w:spacing w:after="0" w:line="117"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117" w:lineRule="exact"/>
        <w:rPr>
          <w:rFonts w:ascii="Times New Roman" w:cs="Times New Roman" w:eastAsia="Times New Roman" w:hAnsi="Times New Roman"/>
          <w:sz w:val="18"/>
          <w:szCs w:val="18"/>
          <w:color w:val="auto"/>
        </w:rPr>
      </w:pPr>
    </w:p>
    <w:p>
      <w:pPr>
        <w:ind w:left="880" w:right="460" w:hanging="440"/>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68" w:lineRule="exact"/>
        <w:rPr>
          <w:rFonts w:ascii="Times New Roman" w:cs="Times New Roman" w:eastAsia="Times New Roman" w:hAnsi="Times New Roman"/>
          <w:sz w:val="18"/>
          <w:szCs w:val="18"/>
          <w:color w:val="auto"/>
        </w:rPr>
      </w:pPr>
    </w:p>
    <w:p>
      <w:pPr>
        <w:ind w:left="880" w:right="62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spacing w:after="0"/>
        <w:tabs>
          <w:tab w:leader="none" w:pos="10800" w:val="left"/>
        </w:tabs>
        <w:rPr>
          <w:sz w:val="20"/>
          <w:szCs w:val="20"/>
          <w:color w:val="auto"/>
        </w:rPr>
      </w:pPr>
      <w:r>
        <w:rPr>
          <w:rFonts w:ascii="Times New Roman" w:cs="Times New Roman" w:eastAsia="Times New Roman" w:hAnsi="Times New Roman"/>
          <w:sz w:val="18"/>
          <w:szCs w:val="18"/>
          <w:b w:val="1"/>
          <w:bCs w:val="1"/>
          <w:color w:val="auto"/>
        </w:rPr>
        <w:t>TI reports 4Q18 and 2018 financial results and shareholder returns</w:t>
      </w:r>
      <w:r>
        <w:rPr>
          <w:sz w:val="20"/>
          <w:szCs w:val="20"/>
          <w:color w:val="auto"/>
        </w:rPr>
        <w:tab/>
      </w:r>
      <w:r>
        <w:rPr>
          <w:rFonts w:ascii="Times New Roman" w:cs="Times New Roman" w:eastAsia="Times New Roman" w:hAnsi="Times New Roman"/>
          <w:sz w:val="18"/>
          <w:szCs w:val="18"/>
          <w:b w:val="1"/>
          <w:bCs w:val="1"/>
          <w:color w:val="auto"/>
        </w:rPr>
        <w:t>Page 10</w:t>
      </w:r>
    </w:p>
    <w:p>
      <w:pPr>
        <w:spacing w:after="0" w:line="256" w:lineRule="exact"/>
        <w:rPr>
          <w:sz w:val="20"/>
          <w:szCs w:val="20"/>
          <w:color w:val="auto"/>
        </w:rPr>
      </w:pPr>
    </w:p>
    <w:p>
      <w:pPr>
        <w:ind w:left="880" w:right="20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one of our customers or distributors with respect to TI-consigned inventory;</w:t>
      </w:r>
    </w:p>
    <w:p>
      <w:pPr>
        <w:spacing w:after="0" w:line="117" w:lineRule="exact"/>
        <w:rPr>
          <w:rFonts w:ascii="Times New Roman" w:cs="Times New Roman" w:eastAsia="Times New Roman" w:hAnsi="Times New Roman"/>
          <w:sz w:val="18"/>
          <w:szCs w:val="18"/>
          <w:color w:val="auto"/>
        </w:rPr>
      </w:pPr>
    </w:p>
    <w:p>
      <w:pPr>
        <w:ind w:left="880" w:right="42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our detriment, or the loss of a significant number of distributors;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distributor and other customer inventory adjustments;</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53" w:lineRule="exact"/>
        <w:rPr>
          <w:rFonts w:ascii="Times New Roman" w:cs="Times New Roman" w:eastAsia="Times New Roman" w:hAnsi="Times New Roman"/>
          <w:sz w:val="18"/>
          <w:szCs w:val="18"/>
          <w:color w:val="auto"/>
        </w:rPr>
      </w:pPr>
    </w:p>
    <w:p>
      <w:pPr>
        <w:ind w:left="880" w:right="60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53" w:lineRule="exact"/>
        <w:rPr>
          <w:rFonts w:ascii="Times New Roman" w:cs="Times New Roman" w:eastAsia="Times New Roman" w:hAnsi="Times New Roman"/>
          <w:sz w:val="18"/>
          <w:szCs w:val="18"/>
          <w:color w:val="auto"/>
        </w:rPr>
      </w:pPr>
    </w:p>
    <w:p>
      <w:pPr>
        <w:ind w:left="880" w:right="40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care and pension benefit costs;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engineering, management and technical personnel;</w:t>
      </w:r>
    </w:p>
    <w:p>
      <w:pPr>
        <w:spacing w:after="0" w:line="117"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Texas Instruments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Times New Roman" w:cs="Times New Roman" w:eastAsia="Times New Roman" w:hAnsi="Times New Roman"/>
          <w:sz w:val="18"/>
          <w:szCs w:val="18"/>
          <w:u w:val="single" w:color="auto"/>
          <w:color w:val="0000FF"/>
        </w:rPr>
        <w:t>www.ti.com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trademarks: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trademarks are the property of their respective owners.</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2019-12-28T17:10:05Z</dcterms:created>
  <dcterms:modified xsi:type="dcterms:W3CDTF">2019-12-28T17:10:05Z</dcterms:modified>
</cp:coreProperties>
</file>