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November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6"/>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8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November 29, 2018, the Board of Directors of the Company terminated the Texas Instruments Executive Officer Performance Plan, as amended September 17, 2009 (the “Plan”), because the tax benefit of paying the Company’s named executive officer bonuses under the Plan was eliminated by changes in the tax laws. The Company’s executive officer compensation program is not affected by the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1880"/>
              <w:spacing w:after="0"/>
              <w:rPr>
                <w:sz w:val="20"/>
                <w:szCs w:val="20"/>
                <w:color w:val="auto"/>
              </w:rPr>
            </w:pPr>
            <w:r>
              <w:rPr>
                <w:rFonts w:ascii="Arial" w:cs="Arial" w:eastAsia="Arial" w:hAnsi="Arial"/>
                <w:sz w:val="18"/>
                <w:szCs w:val="18"/>
                <w:color w:val="auto"/>
              </w:rPr>
              <w:t>TEXAS INSTRUMENTS INCORPORATED</w:t>
            </w:r>
          </w:p>
        </w:tc>
      </w:tr>
      <w:tr>
        <w:trPr>
          <w:trHeight w:val="446"/>
        </w:trPr>
        <w:tc>
          <w:tcPr>
            <w:tcW w:w="3740" w:type="dxa"/>
            <w:vAlign w:val="bottom"/>
          </w:tcPr>
          <w:p>
            <w:pPr>
              <w:spacing w:after="0"/>
              <w:rPr>
                <w:sz w:val="20"/>
                <w:szCs w:val="20"/>
                <w:color w:val="auto"/>
              </w:rPr>
            </w:pPr>
            <w:r>
              <w:rPr>
                <w:rFonts w:ascii="Arial" w:cs="Arial" w:eastAsia="Arial" w:hAnsi="Arial"/>
                <w:sz w:val="18"/>
                <w:szCs w:val="18"/>
                <w:color w:val="auto"/>
              </w:rPr>
              <w:t>Date: November 30, 2018</w:t>
            </w:r>
          </w:p>
        </w:tc>
        <w:tc>
          <w:tcPr>
            <w:tcW w:w="2500" w:type="dxa"/>
            <w:vAlign w:val="bottom"/>
          </w:tcPr>
          <w:p>
            <w:pPr>
              <w:ind w:left="18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5"/>
        </w:trPr>
        <w:tc>
          <w:tcPr>
            <w:tcW w:w="37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2019-12-05T09:31:46Z</dcterms:created>
  <dcterms:modified xsi:type="dcterms:W3CDTF">2019-12-05T09:31:46Z</dcterms:modified>
</cp:coreProperties>
</file>