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19, 2002</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001-03761</w:t>
      </w:r>
    </w:p>
    <w:p>
      <w:pPr>
        <w:spacing w:after="0" w:line="16"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file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ind w:left="200"/>
        <w:spacing w:after="0"/>
        <w:tabs>
          <w:tab w:leader="none" w:pos="1140" w:val="left"/>
        </w:tabs>
        <w:rPr>
          <w:sz w:val="20"/>
          <w:szCs w:val="20"/>
          <w:color w:val="auto"/>
        </w:rPr>
      </w:pPr>
      <w:r>
        <w:rPr>
          <w:rFonts w:ascii="Courier New" w:cs="Courier New" w:eastAsia="Courier New" w:hAnsi="Courier New"/>
          <w:sz w:val="16"/>
          <w:szCs w:val="16"/>
          <w:color w:val="auto"/>
        </w:rPr>
        <w:t>(I.R.S.</w:t>
        <w:tab/>
        <w:t>employer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4">
            <w:col w:w="2960" w:space="200"/>
            <w:col w:w="1900" w:space="100"/>
            <w:col w:w="740" w:space="220"/>
            <w:col w:w="4099"/>
          </w:cols>
          <w:pgMar w:left="240" w:top="1440"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59"/>
        <w:spacing w:after="0"/>
        <w:rPr>
          <w:sz w:val="20"/>
          <w:szCs w:val="20"/>
          <w:color w:val="auto"/>
        </w:rPr>
      </w:pPr>
      <w:r>
        <w:rPr>
          <w:rFonts w:ascii="Courier New" w:cs="Courier New" w:eastAsia="Courier New" w:hAnsi="Courier New"/>
          <w:sz w:val="18"/>
          <w:szCs w:val="18"/>
          <w:color w:val="auto"/>
        </w:rPr>
        <w:t>DALLAS, TEXAS 75266-0199</w:t>
      </w:r>
    </w:p>
    <w:p>
      <w:pPr>
        <w:jc w:val="center"/>
        <w:ind w:right="175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620" w:val="left"/>
          <w:tab w:leader="none" w:pos="1040" w:val="left"/>
          <w:tab w:leader="none" w:pos="2300" w:val="left"/>
          <w:tab w:leader="none" w:pos="2720" w:val="left"/>
        </w:tabs>
        <w:rPr>
          <w:sz w:val="20"/>
          <w:szCs w:val="20"/>
          <w:color w:val="auto"/>
        </w:rPr>
      </w:pPr>
      <w:r>
        <w:rPr>
          <w:rFonts w:ascii="Courier New" w:cs="Courier New" w:eastAsia="Courier New" w:hAnsi="Courier New"/>
          <w:sz w:val="18"/>
          <w:szCs w:val="18"/>
          <w:color w:val="auto"/>
        </w:rPr>
        <w:t>ITEM</w:t>
        <w:tab/>
        <w:t>9.</w:t>
        <w:tab/>
        <w:t>REGULATION</w:t>
        <w:tab/>
        <w:t>FD</w:t>
      </w:r>
      <w:r>
        <w:rPr>
          <w:sz w:val="20"/>
          <w:szCs w:val="20"/>
          <w:color w:val="auto"/>
        </w:rPr>
        <w:tab/>
      </w:r>
      <w:r>
        <w:rPr>
          <w:rFonts w:ascii="Courier New" w:cs="Courier New" w:eastAsia="Courier New" w:hAnsi="Courier New"/>
          <w:sz w:val="16"/>
          <w:szCs w:val="16"/>
          <w:color w:val="auto"/>
        </w:rPr>
        <w:t>DISCLOSURE.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Registrant ("TI") re-confirms its outlook for the first quarter of 2002 as set forth in the Outlook section included in its fourth quarter and year-end 2001 earnings release dated January 28,2002. This re-confirmation is being made for purposes of Regulation FD only and is not an indication or assessment of materiality, nor is it intended to constitute a representation that the information is not otherwise publicly available. The full text of that Outlook section is as follows:</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For the first quarter, compared with the fourth quarter of 2001, TI expects the following:</w:t>
      </w:r>
    </w:p>
    <w:p>
      <w:pPr>
        <w:spacing w:after="0" w:line="203" w:lineRule="exact"/>
        <w:rPr>
          <w:sz w:val="24"/>
          <w:szCs w:val="24"/>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will be about even.</w:t>
      </w:r>
    </w:p>
    <w:p>
      <w:pPr>
        <w:spacing w:after="0" w:line="206" w:lineRule="exact"/>
        <w:rPr>
          <w:rFonts w:ascii="Courier New" w:cs="Courier New" w:eastAsia="Courier New" w:hAnsi="Courier New"/>
          <w:sz w:val="18"/>
          <w:szCs w:val="18"/>
          <w:color w:val="auto"/>
        </w:rPr>
      </w:pPr>
    </w:p>
    <w:p>
      <w:pPr>
        <w:ind w:right="1999" w:firstLine="429"/>
        <w:spacing w:after="0" w:line="235" w:lineRule="auto"/>
        <w:tabs>
          <w:tab w:leader="none" w:pos="6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operating margin will improve about 7 points, reflecting lower depreciation and steady inventory levels.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non-operating income will increase to about $15 million.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EPS will be about breakeven.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2002, TI expects the following:</w:t>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640" w:hanging="21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R&amp;D will be $1.5 billion pro forma, the same as in 2001.</w:t>
      </w:r>
    </w:p>
    <w:p>
      <w:pPr>
        <w:spacing w:after="0" w:line="206" w:lineRule="exact"/>
        <w:rPr>
          <w:rFonts w:ascii="Courier New" w:cs="Courier New" w:eastAsia="Courier New" w:hAnsi="Courier New"/>
          <w:sz w:val="18"/>
          <w:szCs w:val="18"/>
          <w:color w:val="auto"/>
        </w:rPr>
      </w:pPr>
    </w:p>
    <w:p>
      <w:pPr>
        <w:ind w:right="1999" w:firstLine="429"/>
        <w:spacing w:after="0" w:line="237"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 will be $800 million, compared with $1.8 billion in 2001. The decline follows significant capital expenditures in 2000 and the first quarter of 2001 to install the initial production line of TI's new DMOS6 300-millimeter fabrication facility in Dallas and to upgrade three analog fabrication facilities to 200-millimeter wafers.</w:t>
      </w:r>
    </w:p>
    <w:p>
      <w:pPr>
        <w:spacing w:after="0" w:line="208" w:lineRule="exact"/>
        <w:rPr>
          <w:rFonts w:ascii="Courier New" w:cs="Courier New" w:eastAsia="Courier New" w:hAnsi="Courier New"/>
          <w:sz w:val="18"/>
          <w:szCs w:val="18"/>
          <w:color w:val="auto"/>
        </w:rPr>
      </w:pPr>
    </w:p>
    <w:p>
      <w:pPr>
        <w:ind w:right="1779" w:firstLine="429"/>
        <w:spacing w:after="0" w:line="237"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 will be $1.6 billion pro forma, the same as in 2001. In 2001, depreciation expense peaked in the fourth quarter due to the initiation of depreciation of DMOS6 equipment. Depreciation in each quarter of 2002 will be lower than the fourth-quarter peak of 2001.</w:t>
      </w:r>
    </w:p>
    <w:p>
      <w:pPr>
        <w:spacing w:after="0" w:line="207" w:lineRule="exact"/>
        <w:rPr>
          <w:rFonts w:ascii="Courier New" w:cs="Courier New" w:eastAsia="Courier New" w:hAnsi="Courier New"/>
          <w:sz w:val="18"/>
          <w:szCs w:val="18"/>
          <w:color w:val="auto"/>
        </w:rPr>
      </w:pPr>
    </w:p>
    <w:p>
      <w:pPr>
        <w:ind w:right="1779" w:firstLine="429"/>
        <w:spacing w:after="0" w:line="237"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tax rate will vary based on the company's level of profitability. The company's pro forma tax expense/benefit each quarter is based on a tax rate of 35 percent. In addition, various tax benefits, such as the credit for research activities, are expected to be about $25 million in each quarter of 2002.</w:t>
      </w:r>
    </w:p>
    <w:p>
      <w:pPr>
        <w:spacing w:after="0" w:line="209"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2" w:name="page3"/>
    <w:bookmarkEnd w:id="2"/>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right="2739" w:firstLine="429"/>
        <w:spacing w:after="0" w:line="236"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208" w:lineRule="exact"/>
        <w:rPr>
          <w:rFonts w:ascii="Courier New" w:cs="Courier New" w:eastAsia="Courier New" w:hAnsi="Courier New"/>
          <w:sz w:val="18"/>
          <w:szCs w:val="18"/>
          <w:color w:val="auto"/>
        </w:rPr>
      </w:pPr>
    </w:p>
    <w:p>
      <w:pPr>
        <w:ind w:right="1999" w:firstLine="429"/>
        <w:spacing w:after="0" w:line="235"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right="1779" w:firstLine="429"/>
        <w:spacing w:after="0" w:line="235"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right="2519" w:firstLine="429"/>
        <w:spacing w:after="0" w:line="235"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completion and successful integration of announced acquisitions;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w:t>
      </w:r>
    </w:p>
    <w:p>
      <w:pPr>
        <w:spacing w:after="0" w:line="4"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and its customers and suppliers operate, including security risks, possible disruptions in transportation networks and fluctuations in foreign currency exchange rates;</w:t>
      </w:r>
    </w:p>
    <w:p>
      <w:pPr>
        <w:spacing w:after="0" w:line="209" w:lineRule="exact"/>
        <w:rPr>
          <w:sz w:val="20"/>
          <w:szCs w:val="20"/>
          <w:color w:val="auto"/>
        </w:rPr>
      </w:pPr>
    </w:p>
    <w:p>
      <w:pPr>
        <w:ind w:right="2099" w:firstLine="429"/>
        <w:spacing w:after="0" w:line="235"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recruit and retain skilled personnel; and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19,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WILLIAM A. AYLESWORTH</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William A. Aylesworth</w:t>
      </w:r>
    </w:p>
    <w:p>
      <w:pPr>
        <w:ind w:left="3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320"/>
        <w:spacing w:after="0"/>
        <w:rPr>
          <w:sz w:val="20"/>
          <w:szCs w:val="20"/>
          <w:color w:val="auto"/>
        </w:rPr>
      </w:pPr>
      <w:r>
        <w:rPr>
          <w:rFonts w:ascii="Courier New" w:cs="Courier New" w:eastAsia="Courier New" w:hAnsi="Courier New"/>
          <w:sz w:val="18"/>
          <w:szCs w:val="18"/>
          <w:color w:val="auto"/>
        </w:rPr>
        <w:t>Treasurer and</w:t>
      </w:r>
    </w:p>
    <w:p>
      <w:pPr>
        <w:ind w:left="3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3">
            <w:col w:w="540" w:space="200"/>
            <w:col w:w="2860" w:space="720"/>
            <w:col w:w="589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2019-12-13T07:48:52Z</dcterms:created>
  <dcterms:modified xsi:type="dcterms:W3CDTF">2019-12-13T07:48:52Z</dcterms:modified>
</cp:coreProperties>
</file>