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940" w:type="dxa"/>
            <w:vAlign w:val="bottom"/>
          </w:tcPr>
          <w:p>
            <w:pPr>
              <w:jc w:val="center"/>
              <w:ind w:left="666"/>
              <w:spacing w:after="0"/>
              <w:rPr>
                <w:sz w:val="20"/>
                <w:szCs w:val="20"/>
                <w:color w:val="auto"/>
              </w:rPr>
            </w:pPr>
            <w:r>
              <w:rPr>
                <w:rFonts w:ascii="Arial" w:cs="Arial" w:eastAsia="Arial" w:hAnsi="Arial"/>
                <w:sz w:val="18"/>
                <w:szCs w:val="18"/>
                <w:b w:val="1"/>
                <w:bCs w:val="1"/>
                <w:color w:val="auto"/>
                <w:w w:val="96"/>
              </w:rPr>
              <w:t>DELAWARE</w:t>
            </w:r>
          </w:p>
        </w:tc>
        <w:tc>
          <w:tcPr>
            <w:tcW w:w="5720" w:type="dxa"/>
            <w:vAlign w:val="bottom"/>
          </w:tcPr>
          <w:p>
            <w:pPr>
              <w:jc w:val="center"/>
              <w:ind w:right="78"/>
              <w:spacing w:after="0"/>
              <w:rPr>
                <w:sz w:val="20"/>
                <w:szCs w:val="20"/>
                <w:color w:val="auto"/>
              </w:rPr>
            </w:pPr>
            <w:r>
              <w:rPr>
                <w:rFonts w:ascii="Arial" w:cs="Arial" w:eastAsia="Arial" w:hAnsi="Arial"/>
                <w:sz w:val="18"/>
                <w:szCs w:val="18"/>
                <w:b w:val="1"/>
                <w:bCs w:val="1"/>
                <w:color w:val="auto"/>
                <w:w w:val="88"/>
              </w:rPr>
              <w:t>001-03761</w:t>
            </w:r>
          </w:p>
        </w:tc>
        <w:tc>
          <w:tcPr>
            <w:tcW w:w="2760" w:type="dxa"/>
            <w:vAlign w:val="bottom"/>
          </w:tcPr>
          <w:p>
            <w:pPr>
              <w:jc w:val="center"/>
              <w:ind w:right="806"/>
              <w:spacing w:after="0"/>
              <w:rPr>
                <w:sz w:val="20"/>
                <w:szCs w:val="20"/>
                <w:color w:val="auto"/>
              </w:rPr>
            </w:pPr>
            <w:r>
              <w:rPr>
                <w:rFonts w:ascii="Arial" w:cs="Arial" w:eastAsia="Arial" w:hAnsi="Arial"/>
                <w:sz w:val="18"/>
                <w:szCs w:val="18"/>
                <w:b w:val="1"/>
                <w:bCs w:val="1"/>
                <w:color w:val="auto"/>
                <w:w w:val="88"/>
              </w:rPr>
              <w:t>750289970</w:t>
            </w:r>
          </w:p>
        </w:tc>
      </w:tr>
      <w:tr>
        <w:trPr>
          <w:trHeight w:val="149"/>
        </w:trPr>
        <w:tc>
          <w:tcPr>
            <w:tcW w:w="2940" w:type="dxa"/>
            <w:vAlign w:val="bottom"/>
          </w:tcPr>
          <w:p>
            <w:pPr>
              <w:jc w:val="center"/>
              <w:ind w:left="666"/>
              <w:spacing w:after="0" w:line="149" w:lineRule="exact"/>
              <w:rPr>
                <w:sz w:val="20"/>
                <w:szCs w:val="20"/>
                <w:color w:val="auto"/>
              </w:rPr>
            </w:pPr>
            <w:r>
              <w:rPr>
                <w:rFonts w:ascii="Arial" w:cs="Arial" w:eastAsia="Arial" w:hAnsi="Arial"/>
                <w:sz w:val="14"/>
                <w:szCs w:val="14"/>
                <w:b w:val="1"/>
                <w:bCs w:val="1"/>
                <w:color w:val="auto"/>
                <w:w w:val="87"/>
              </w:rPr>
              <w:t>(State or other</w:t>
            </w:r>
          </w:p>
        </w:tc>
        <w:tc>
          <w:tcPr>
            <w:tcW w:w="5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(Commission file number)</w:t>
            </w:r>
          </w:p>
        </w:tc>
        <w:tc>
          <w:tcPr>
            <w:tcW w:w="2760" w:type="dxa"/>
            <w:vAlign w:val="bottom"/>
          </w:tcPr>
          <w:p>
            <w:pPr>
              <w:jc w:val="center"/>
              <w:ind w:right="82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940" w:type="dxa"/>
            <w:vAlign w:val="bottom"/>
          </w:tcPr>
          <w:p>
            <w:pPr>
              <w:jc w:val="center"/>
              <w:ind w:left="666"/>
              <w:spacing w:after="0"/>
              <w:rPr>
                <w:sz w:val="20"/>
                <w:szCs w:val="20"/>
                <w:color w:val="auto"/>
              </w:rPr>
            </w:pPr>
            <w:r>
              <w:rPr>
                <w:rFonts w:ascii="Arial" w:cs="Arial" w:eastAsia="Arial" w:hAnsi="Arial"/>
                <w:sz w:val="14"/>
                <w:szCs w:val="14"/>
                <w:b w:val="1"/>
                <w:bCs w:val="1"/>
                <w:color w:val="auto"/>
                <w:w w:val="87"/>
              </w:rPr>
              <w:t>jurisdiction of incorporation)</w:t>
            </w:r>
          </w:p>
        </w:tc>
        <w:tc>
          <w:tcPr>
            <w:tcW w:w="5720" w:type="dxa"/>
            <w:vAlign w:val="bottom"/>
          </w:tcPr>
          <w:p>
            <w:pPr>
              <w:spacing w:after="0"/>
              <w:rPr>
                <w:sz w:val="15"/>
                <w:szCs w:val="15"/>
                <w:color w:val="auto"/>
              </w:rPr>
            </w:pPr>
          </w:p>
        </w:tc>
        <w:tc>
          <w:tcPr>
            <w:tcW w:w="2760" w:type="dxa"/>
            <w:vAlign w:val="bottom"/>
          </w:tcPr>
          <w:p>
            <w:pPr>
              <w:jc w:val="center"/>
              <w:ind w:right="826"/>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940" w:type="dxa"/>
            <w:vAlign w:val="bottom"/>
          </w:tcPr>
          <w:p>
            <w:pPr>
              <w:spacing w:after="0"/>
              <w:rPr>
                <w:sz w:val="24"/>
                <w:szCs w:val="24"/>
                <w:color w:val="auto"/>
              </w:rPr>
            </w:pPr>
          </w:p>
        </w:tc>
        <w:tc>
          <w:tcPr>
            <w:tcW w:w="5720" w:type="dxa"/>
            <w:vAlign w:val="bottom"/>
          </w:tcPr>
          <w:p>
            <w:pPr>
              <w:jc w:val="center"/>
              <w:ind w:right="98"/>
              <w:spacing w:after="0"/>
              <w:rPr>
                <w:sz w:val="20"/>
                <w:szCs w:val="20"/>
                <w:color w:val="auto"/>
              </w:rPr>
            </w:pPr>
            <w:r>
              <w:rPr>
                <w:rFonts w:ascii="Arial" w:cs="Arial" w:eastAsia="Arial" w:hAnsi="Arial"/>
                <w:sz w:val="18"/>
                <w:szCs w:val="18"/>
                <w:b w:val="1"/>
                <w:bCs w:val="1"/>
                <w:color w:val="auto"/>
                <w:w w:val="95"/>
              </w:rPr>
              <w:t>12500 TI BOULEVARD</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5720" w:type="dxa"/>
            <w:vAlign w:val="bottom"/>
          </w:tcPr>
          <w:p>
            <w:pPr>
              <w:jc w:val="center"/>
              <w:ind w:right="98"/>
              <w:spacing w:after="0"/>
              <w:rPr>
                <w:sz w:val="20"/>
                <w:szCs w:val="20"/>
                <w:color w:val="auto"/>
              </w:rPr>
            </w:pPr>
            <w:r>
              <w:rPr>
                <w:rFonts w:ascii="Arial" w:cs="Arial" w:eastAsia="Arial" w:hAnsi="Arial"/>
                <w:sz w:val="18"/>
                <w:szCs w:val="18"/>
                <w:b w:val="1"/>
                <w:bCs w:val="1"/>
                <w:color w:val="auto"/>
                <w:w w:val="89"/>
              </w:rPr>
              <w:t>P.O. BOX 660199</w:t>
            </w:r>
          </w:p>
        </w:tc>
        <w:tc>
          <w:tcPr>
            <w:tcW w:w="2760" w:type="dxa"/>
            <w:vAlign w:val="bottom"/>
          </w:tcPr>
          <w:p>
            <w:pPr>
              <w:spacing w:after="0"/>
              <w:rPr>
                <w:sz w:val="18"/>
                <w:szCs w:val="18"/>
                <w:color w:val="auto"/>
              </w:rPr>
            </w:pPr>
          </w:p>
        </w:tc>
      </w:tr>
      <w:tr>
        <w:trPr>
          <w:trHeight w:val="218"/>
        </w:trPr>
        <w:tc>
          <w:tcPr>
            <w:tcW w:w="2940" w:type="dxa"/>
            <w:vAlign w:val="bottom"/>
          </w:tcPr>
          <w:p>
            <w:pPr>
              <w:spacing w:after="0"/>
              <w:rPr>
                <w:sz w:val="18"/>
                <w:szCs w:val="18"/>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b w:val="1"/>
                <w:bCs w:val="1"/>
                <w:color w:val="auto"/>
                <w:w w:val="93"/>
              </w:rPr>
              <w:t>DALLAS, TEXAS 75266-0199</w:t>
            </w:r>
          </w:p>
        </w:tc>
        <w:tc>
          <w:tcPr>
            <w:tcW w:w="2760" w:type="dxa"/>
            <w:vAlign w:val="bottom"/>
          </w:tcPr>
          <w:p>
            <w:pPr>
              <w:spacing w:after="0"/>
              <w:rPr>
                <w:sz w:val="18"/>
                <w:szCs w:val="18"/>
                <w:color w:val="auto"/>
              </w:rPr>
            </w:pPr>
          </w:p>
        </w:tc>
      </w:tr>
      <w:tr>
        <w:trPr>
          <w:trHeight w:val="174"/>
        </w:trPr>
        <w:tc>
          <w:tcPr>
            <w:tcW w:w="2940" w:type="dxa"/>
            <w:vAlign w:val="bottom"/>
          </w:tcPr>
          <w:p>
            <w:pPr>
              <w:spacing w:after="0"/>
              <w:rPr>
                <w:sz w:val="15"/>
                <w:szCs w:val="15"/>
                <w:color w:val="auto"/>
              </w:rPr>
            </w:pPr>
          </w:p>
        </w:tc>
        <w:tc>
          <w:tcPr>
            <w:tcW w:w="572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760" w:type="dxa"/>
            <w:vAlign w:val="bottom"/>
          </w:tcPr>
          <w:p>
            <w:pPr>
              <w:spacing w:after="0"/>
              <w:rPr>
                <w:sz w:val="15"/>
                <w:szCs w:val="15"/>
                <w:color w:val="auto"/>
              </w:rPr>
            </w:pPr>
          </w:p>
        </w:tc>
      </w:tr>
      <w:tr>
        <w:trPr>
          <w:trHeight w:val="350"/>
        </w:trPr>
        <w:tc>
          <w:tcPr>
            <w:tcW w:w="29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2760" w:type="dxa"/>
            <w:vAlign w:val="bottom"/>
          </w:tcPr>
          <w:p>
            <w:pPr>
              <w:spacing w:after="0"/>
              <w:rPr>
                <w:sz w:val="24"/>
                <w:szCs w:val="24"/>
                <w:color w:val="auto"/>
              </w:rPr>
            </w:pPr>
          </w:p>
        </w:tc>
      </w:tr>
      <w:tr>
        <w:trPr>
          <w:trHeight w:val="282"/>
        </w:trPr>
        <w:tc>
          <w:tcPr>
            <w:tcW w:w="29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rPr>
              <w:t>Exhibits</w:t>
            </w:r>
          </w:p>
        </w:tc>
      </w:tr>
      <w:tr>
        <w:trPr>
          <w:trHeight w:val="288"/>
        </w:trPr>
        <w:tc>
          <w:tcPr>
            <w:tcW w:w="880" w:type="dxa"/>
            <w:vAlign w:val="bottom"/>
          </w:tcPr>
          <w:p>
            <w:pPr>
              <w:jc w:val="center"/>
              <w:spacing w:after="0"/>
              <w:rPr>
                <w:sz w:val="20"/>
                <w:szCs w:val="20"/>
                <w:color w:val="auto"/>
              </w:rPr>
            </w:pPr>
            <w:r>
              <w:rPr>
                <w:rFonts w:ascii="Arial" w:cs="Arial" w:eastAsia="Arial" w:hAnsi="Arial"/>
                <w:sz w:val="14"/>
                <w:szCs w:val="14"/>
                <w:color w:val="auto"/>
                <w:w w:val="89"/>
              </w:rPr>
              <w:t>Designation of</w:t>
            </w:r>
          </w:p>
        </w:tc>
        <w:tc>
          <w:tcPr>
            <w:tcW w:w="1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49"/>
        </w:trPr>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1"/>
              </w:rPr>
              <w:t>Exhibit in</w:t>
            </w:r>
          </w:p>
        </w:tc>
        <w:tc>
          <w:tcPr>
            <w:tcW w:w="1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72"/>
        </w:trPr>
        <w:tc>
          <w:tcPr>
            <w:tcW w:w="880" w:type="dxa"/>
            <w:vAlign w:val="bottom"/>
          </w:tcPr>
          <w:p>
            <w:pPr>
              <w:jc w:val="center"/>
              <w:spacing w:after="0"/>
              <w:rPr>
                <w:sz w:val="20"/>
                <w:szCs w:val="20"/>
                <w:color w:val="auto"/>
              </w:rPr>
            </w:pPr>
            <w:r>
              <w:rPr>
                <w:rFonts w:ascii="Arial" w:cs="Arial" w:eastAsia="Arial" w:hAnsi="Arial"/>
                <w:sz w:val="14"/>
                <w:szCs w:val="14"/>
                <w:color w:val="auto"/>
                <w:w w:val="88"/>
              </w:rPr>
              <w:t>this Report</w:t>
            </w:r>
          </w:p>
        </w:tc>
        <w:tc>
          <w:tcPr>
            <w:tcW w:w="124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Description of Exhibit</w:t>
            </w:r>
          </w:p>
        </w:tc>
      </w:tr>
      <w:tr>
        <w:trPr>
          <w:trHeight w:val="95"/>
        </w:trPr>
        <w:tc>
          <w:tcPr>
            <w:tcW w:w="8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r>
      <w:tr>
        <w:trPr>
          <w:trHeight w:val="383"/>
        </w:trPr>
        <w:tc>
          <w:tcPr>
            <w:tcW w:w="880" w:type="dxa"/>
            <w:vAlign w:val="bottom"/>
          </w:tcPr>
          <w:p>
            <w:pPr>
              <w:jc w:val="center"/>
              <w:spacing w:after="0"/>
              <w:rPr>
                <w:sz w:val="20"/>
                <w:szCs w:val="20"/>
                <w:color w:val="auto"/>
              </w:rPr>
            </w:pPr>
            <w:r>
              <w:rPr>
                <w:rFonts w:ascii="Arial" w:cs="Arial" w:eastAsia="Arial" w:hAnsi="Arial"/>
                <w:sz w:val="18"/>
                <w:szCs w:val="18"/>
                <w:color w:val="auto"/>
                <w:w w:val="79"/>
              </w:rPr>
              <w:t>99</w:t>
            </w:r>
          </w:p>
        </w:tc>
        <w:tc>
          <w:tcPr>
            <w:tcW w:w="12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Registrant’s Earnings Release Dated July 21, 2003</w:t>
            </w:r>
          </w:p>
        </w:tc>
      </w:tr>
      <w:tr>
        <w:trPr>
          <w:trHeight w:val="365"/>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6140" w:type="dxa"/>
            <w:vAlign w:val="bottom"/>
            <w:gridSpan w:val="3"/>
          </w:tcPr>
          <w:p>
            <w:pPr>
              <w:ind w:left="140"/>
              <w:spacing w:after="0"/>
              <w:rPr>
                <w:sz w:val="20"/>
                <w:szCs w:val="20"/>
                <w:color w:val="auto"/>
              </w:rPr>
            </w:pPr>
            <w:r>
              <w:rPr>
                <w:rFonts w:ascii="Arial" w:cs="Arial" w:eastAsia="Arial" w:hAnsi="Arial"/>
                <w:sz w:val="18"/>
                <w:szCs w:val="18"/>
                <w:color w:val="auto"/>
                <w:w w:val="89"/>
              </w:rPr>
              <w:t>Regulation FD Disclosure (ITEM 12. Results of Operations and Financial Condition)</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6" w:lineRule="auto"/>
        <w:rPr>
          <w:sz w:val="20"/>
          <w:szCs w:val="20"/>
          <w:color w:val="auto"/>
        </w:rPr>
      </w:pPr>
      <w:r>
        <w:rPr>
          <w:rFonts w:ascii="Arial" w:cs="Arial" w:eastAsia="Arial" w:hAnsi="Arial"/>
          <w:sz w:val="16"/>
          <w:szCs w:val="16"/>
          <w:color w:val="auto"/>
        </w:rPr>
        <w:t>The Registrant’s earnings release dated July 21, 2003, regarding its second quarter 2003 results of operations and financial condition attached hereto as Exhibit 99 is incorporated by reference herein. This information is being furnished under Item 12 of Form 8-K and is being presented under Item 9 in accordance with the Commission’s interim guidance regarding Form 8-K Item 11 and Item 12 filing requirements, as set forth in Release No. 33-8216.</w:t>
      </w:r>
    </w:p>
    <w:p>
      <w:pPr>
        <w:spacing w:after="0" w:line="9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Market demand for semiconductors, particularly for digital signal processors and analog chips in key markets such as telecommunications and computers;</w:t>
      </w:r>
    </w:p>
    <w:p>
      <w:pPr>
        <w:spacing w:after="0" w:line="76" w:lineRule="exact"/>
        <w:rPr>
          <w:sz w:val="20"/>
          <w:szCs w:val="20"/>
          <w:color w:val="auto"/>
        </w:rPr>
      </w:pPr>
    </w:p>
    <w:p>
      <w:pPr>
        <w:ind w:left="460" w:right="160" w:hanging="446"/>
        <w:spacing w:after="0" w:line="268"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develop, manufacture and market innovative products in a rapidly changing technological environment;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compete in products and prices in an intensely competitive industry;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maintain and enforce a strong intellectual property portfolio and obtain needed licenses from third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Consolidation of TI’s patent licensees and market conditions reducing royalty payments to TI;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Timely completion and successful integration of announced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ind w:left="460" w:hanging="44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possible disruptions in the transportation networks and fluctuations in foreign currency exchange rates;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Losses or curtailments of purchases from key customers or the timing of customer inventory adjustments;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Availability of raw materials and critical manufacturing equipment;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TI’s ability to recruit and retain skilled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Fluctuations in the market value of TI’s investments and in interest rates;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Timely implementation of new manufacturing technologies and installation of manufacturing equipment.</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EXAS</w:t>
      </w:r>
      <w:r>
        <w:rPr>
          <w:rFonts w:ascii="Arial" w:cs="Arial" w:eastAsia="Arial" w:hAnsi="Arial"/>
          <w:sz w:val="18"/>
          <w:szCs w:val="18"/>
          <w:color w:val="auto"/>
        </w:rPr>
        <w:t xml:space="preserve"> I</w:t>
      </w:r>
      <w:r>
        <w:rPr>
          <w:rFonts w:ascii="Arial" w:cs="Arial" w:eastAsia="Arial" w:hAnsi="Arial"/>
          <w:sz w:val="14"/>
          <w:szCs w:val="14"/>
          <w:color w:val="auto"/>
        </w:rPr>
        <w:t>NSTRUMENTS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600" w:val="left"/>
          <w:tab w:leader="none" w:pos="6140" w:val="left"/>
          <w:tab w:leader="none" w:pos="7660" w:val="left"/>
          <w:tab w:leader="none" w:pos="8000" w:val="left"/>
        </w:tabs>
        <w:rPr>
          <w:sz w:val="20"/>
          <w:szCs w:val="20"/>
          <w:color w:val="auto"/>
        </w:rPr>
      </w:pPr>
      <w:r>
        <w:rPr>
          <w:rFonts w:ascii="Arial" w:cs="Arial" w:eastAsia="Arial" w:hAnsi="Arial"/>
          <w:sz w:val="18"/>
          <w:szCs w:val="18"/>
          <w:color w:val="auto"/>
        </w:rPr>
        <w:t>Date:</w:t>
        <w:tab/>
        <w:t>July 21,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A. A</w:t>
      </w:r>
      <w:r>
        <w:rPr>
          <w:rFonts w:ascii="Arial" w:cs="Arial" w:eastAsia="Arial" w:hAnsi="Arial"/>
          <w:sz w:val="14"/>
          <w:szCs w:val="14"/>
          <w:color w:val="auto"/>
        </w:rPr>
        <w:t>YLESWORTH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6" w:lineRule="exact"/>
        <w:rPr>
          <w:sz w:val="20"/>
          <w:szCs w:val="20"/>
          <w:color w:val="auto"/>
        </w:rPr>
      </w:pPr>
    </w:p>
    <w:p>
      <w:pPr>
        <w:jc w:val="center"/>
        <w:ind w:left="6640"/>
        <w:spacing w:after="0"/>
        <w:rPr>
          <w:sz w:val="20"/>
          <w:szCs w:val="20"/>
          <w:color w:val="auto"/>
        </w:rPr>
      </w:pPr>
      <w:r>
        <w:rPr>
          <w:rFonts w:ascii="Arial" w:cs="Arial" w:eastAsia="Arial" w:hAnsi="Arial"/>
          <w:sz w:val="14"/>
          <w:szCs w:val="14"/>
          <w:color w:val="auto"/>
        </w:rPr>
        <w:t>William A. Aylesworth</w:t>
      </w:r>
    </w:p>
    <w:p>
      <w:pPr>
        <w:jc w:val="center"/>
        <w:ind w:left="6640"/>
        <w:spacing w:after="0" w:line="221" w:lineRule="auto"/>
        <w:rPr>
          <w:sz w:val="20"/>
          <w:szCs w:val="20"/>
          <w:color w:val="auto"/>
        </w:rPr>
      </w:pPr>
      <w:r>
        <w:rPr>
          <w:rFonts w:ascii="Arial" w:cs="Arial" w:eastAsia="Arial" w:hAnsi="Arial"/>
          <w:sz w:val="14"/>
          <w:szCs w:val="14"/>
          <w:color w:val="auto"/>
        </w:rPr>
        <w:t>Senior Vice President</w:t>
      </w:r>
    </w:p>
    <w:p>
      <w:pPr>
        <w:jc w:val="center"/>
        <w:ind w:left="6640"/>
        <w:spacing w:after="0"/>
        <w:rPr>
          <w:sz w:val="20"/>
          <w:szCs w:val="20"/>
          <w:color w:val="auto"/>
        </w:rPr>
      </w:pPr>
      <w:r>
        <w:rPr>
          <w:rFonts w:ascii="Arial" w:cs="Arial" w:eastAsia="Arial" w:hAnsi="Arial"/>
          <w:sz w:val="14"/>
          <w:szCs w:val="14"/>
          <w:color w:val="auto"/>
        </w:rPr>
        <w:t>and 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C-03037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2Q03 Financial Results</w:t>
      </w:r>
    </w:p>
    <w:p>
      <w:pPr>
        <w:spacing w:after="0" w:line="164"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Increases 7% Sequentially, 8% from Year Ago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$0.07</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Revenue Increases 3% Sequentially, 9% from Year Ago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4:30 p.m. Central Time Today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www.ti.com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All results are reported in accordance with U.S. GAAP.</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DALLAS (July 21, 2003)—Texas Instruments Incorporated (NYSE: TXN) today reported that second-quarter revenue of $2339 million increased 7 percent sequentially due to seasonal growth in Educational &amp; Productivity Solutions (E&amp;PS) as well as growth in Semiconductor. Revenue grew 8 percent compared with the year-ago quarter due to growth in Semiconductor.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Semiconductor revenue increased 3 percent sequentially as growth from a broad range of semiconductor products offset a sequential decline in wireless.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 Semiconductor revenue increased 9 percent due to growth in demand across most product lines.</w:t>
      </w:r>
    </w:p>
    <w:p>
      <w:pPr>
        <w:spacing w:after="0" w:line="15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Revenue from the wireless market was down 5 percent sequentially and was up 16 percent from the year-ago quarter. Despite the sequential decline, wireless revenue was higher than the company expected in its June 10 financial update due to strong customer demand during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last few days of the quarter. Broadband revenue grew 44 percent on a sequential basis and 84 percent compared with the year-ago quarter. Analog revenue grew 5 percent sequentially and 4 percent compared with the year-ago quarter. DSP revenue was about even sequentially and grew 21 percent compared with the year-ago quarter.</w:t>
      </w:r>
    </w:p>
    <w:p>
      <w:pPr>
        <w:spacing w:after="0" w:line="12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Sensors &amp; Controls revenue increased 3 percent sequentially and 4 percent compared with the year-ago quarter. In a seasonally strong quarter, E&amp;PS revenue increased 104 percent sequentially and 4 percent compared with the year-ago period.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second quarter, the company incurred $49 million in restructuring charges. Of that total, $43 million is included in cost of revenue, and $6 million is in selling, general and administrative (SG&amp;A) expense. TI expects an additional $100 million in restructuring charges by the end of 2004. These charges are related to job reductions and will be distributed over the quarters in which jobs are eliminated. When completed, the restructuring actions are expected to result in about $105 million of annual savings, of which $65 million will be in Semiconductor and $40 million will be in Sensors &amp; Controls.</w:t>
      </w:r>
    </w:p>
    <w:p>
      <w:pPr>
        <w:spacing w:after="0" w:line="99"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Gross profit of $877 million increased 2 percent sequentially and 3 percent compared with the year-ago quarter. Gross profit margin was 37.5 percent of revenue, a decrease of 1.8 percentage points sequentially and 2.1 percentage points compared with the year-ago quarter primarily due to restructuring charges.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 (R&amp;D) expense of $424 million was up 4 percent sequentially and 5 percent compared with the year-ago quarter due to increased product development activity within Semiconductor, especially for wireless products.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SG&amp;A expense of $328 million increased 9 percent sequentially and 10 percent compared with the year-ago period primarily due to higher G&amp;A expenses, including lease termination and restructuring expenses. Seasonally higher E&amp;PS marketing expenses also contributed to the sequential growth in SG&amp;A.</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Operating profit of $125 million, or 5.3 percent of revenue, decreased $28 million sequentially and $30 million compared with the year-ago quarter due to restructuring charges.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Other income (expense) net (OI&amp;E) of $36 million includes interest income, investment gains (losses) and other items. OI&amp;E increased sequentially and compared with the year-ago quarter due to lower net investment losses as well as a $10 million charge in the first quarter associated with the redemption of convertible notes originally issued by Burr-Brown Corporation, which was acquired by TI. Interest expense of $10 million declined on a sequential basis and compared with the year-ago quarter due to the company’s lower debt level.</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income in the quarter was $121 million, or $0.07 per share. The effective tax rate for the quarter was 20 percent, lower than previously expected due to a revision in the company’s expected tax rate for the year and the resulting cumulative catch-up tax benefit of $3 million.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orders of $2311 million and Semiconductor orders of $1901 million in the second quarter were about even sequentially and compared with the year-ago period. The Semiconductor book-to-bill ratio was 0.99 for the second quarter, compared with 1.03 in the prior quarter.</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“TI’s revenue growth in the second quarter demonstrates the benefit of diversity in our products and markets as sequential growth across almost all of our major product lines more than offset a decline in wireless. We believe TI continues to gain share in critical markets, including broadband communications, digital signal processing and analog,” said Tom Engibous, TI chairman, president and CEO.</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“Important product milestones were reached during the quarter, including demonstration of the world’s first 1-gigahertz DSP and the first product made using our new high-performance analog manufacturing process that provides best-in-class performance and integration benefits for precision data converters and amplifiers,” Engibous said. “We also announced our entry into the CDMA wireless market with standard chipsets that we’ll be sampling this quarter. Toward the end of the quarter, we announced selection of the site for our next 300-millimeter wafer fab, further establishing TI’s position as one of the world’s very few semiconductor companies with the manufacturing technology and financial strength to compete successfully over the long term.”</w:t>
      </w:r>
    </w:p>
    <w:p>
      <w:pPr>
        <w:spacing w:after="0" w:line="10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cash (cash and cash equivalents plus short-term investments and long-term cash investments) of $4183 million increased by $38 million compared with the end of the prior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7" w:name="page8"/>
    <w:bookmarkEnd w:id="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 and increased by $709 million from the end of the year-ago quarter. Cash flow from operations increased to $378 million compared with $196 million in the prior quarter due to working capital, and decreased slightly compared with $387 million in the year-ago quarter. Capital expenditures were $162 million in the second quarter, up from $132 million in the first quarter and down from $177 million in the year-ago quarter.</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Accounts receivable increased sequentially by $75 million due to seasonally higher sales of E&amp;PS products. Accounts receivable were about even with the year-ago quarter. Days sales outstanding were 55 days at the end of the second quarter compared with 56 days in the prior quarter and 60 days in the year-ago quarter.</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Inventory increased by $118 million sequentially primarily to support reduced product lead times. In addition, delays by certain wireless customers of product shipments from second quarter into third quarter and a normal seasonal increase in E&amp;PS contributed to higher inventory. Compared with the year-ago quarter, inventory increased $180 million primarily due to the higher revenue level and to support reduced product leadtimes. Days of inventory increased to 62 days at the end of the second quarter compared with 60 days at the end of the prior quarter and 56 days at the end of the year-ago quarter</w:t>
      </w:r>
      <w:r>
        <w:rPr>
          <w:rFonts w:ascii="Arial" w:cs="Arial" w:eastAsia="Arial" w:hAnsi="Arial"/>
          <w:sz w:val="16"/>
          <w:szCs w:val="16"/>
          <w:i w:val="1"/>
          <w:i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7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September 9 by issuing a press release and holding a conference call. Both will be available on the company’s web site.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jc w:val="both"/>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third quarter of 2003, TI expects total revenue to be in the range of $2290 million to $2490 million. Inside that total, Semiconductor revenue is expected to be in the range of $1890 million to $2050 million; Sensors &amp; Controls revenue is expected to be in the range of $230 million to $250 million; and E&amp;PS revenue is expected to be in the range of $170 million to $190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TI expects earnings per share to be in the range of $0.19 to $0.23, including a $0.13 per share contribution from the company’s previously announced sale of 24.7 million shares of Micron Technology, Inc. common stock. Restructuring charges in the third quarter are expected to be about $45 million.</w:t>
      </w:r>
    </w:p>
    <w:p>
      <w:pPr>
        <w:spacing w:after="0" w:line="7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2003, TI continues to expect: R&amp;D to be about $1.7 billion</w:t>
      </w:r>
      <w:r>
        <w:rPr>
          <w:rFonts w:ascii="Arial" w:cs="Arial" w:eastAsia="Arial" w:hAnsi="Arial"/>
          <w:sz w:val="18"/>
          <w:szCs w:val="18"/>
          <w:i w:val="1"/>
          <w:iCs w:val="1"/>
          <w:color w:val="auto"/>
        </w:rPr>
        <w:t>;</w:t>
      </w:r>
      <w:r>
        <w:rPr>
          <w:rFonts w:ascii="Arial" w:cs="Arial" w:eastAsia="Arial" w:hAnsi="Arial"/>
          <w:sz w:val="18"/>
          <w:szCs w:val="18"/>
          <w:color w:val="auto"/>
        </w:rPr>
        <w:t xml:space="preserve"> capital expenditures to be about $800 million; and depreciation to be about $1.4 billion. The effective tax rate for the year is expected to be about 22 percent, exclusive of the tax impact of the Micron stock transaction, compared with the company’s previous estimate of 24 percent.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80"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jc w:val="center"/>
              <w:ind w:right="240"/>
              <w:spacing w:after="0"/>
              <w:rPr>
                <w:sz w:val="20"/>
                <w:szCs w:val="20"/>
                <w:color w:val="auto"/>
              </w:rPr>
            </w:pPr>
            <w:r>
              <w:rPr>
                <w:rFonts w:ascii="Arial" w:cs="Arial" w:eastAsia="Arial" w:hAnsi="Arial"/>
                <w:sz w:val="14"/>
                <w:szCs w:val="14"/>
                <w:color w:val="auto"/>
                <w:w w:val="87"/>
              </w:rPr>
              <w:t>For 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color w:val="auto"/>
                <w:w w:val="96"/>
              </w:rPr>
              <w:t>June 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color w:val="auto"/>
                <w:w w:val="88"/>
              </w:rPr>
              <w:t>Mar. 31</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96"/>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color w:val="auto"/>
              </w:rPr>
              <w:t>2003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4"/>
              <w:spacing w:after="0"/>
              <w:rPr>
                <w:sz w:val="20"/>
                <w:szCs w:val="20"/>
                <w:color w:val="auto"/>
              </w:rPr>
            </w:pPr>
            <w:r>
              <w:rPr>
                <w:rFonts w:ascii="Arial" w:cs="Arial" w:eastAsia="Arial" w:hAnsi="Arial"/>
                <w:sz w:val="14"/>
                <w:szCs w:val="14"/>
                <w:color w:val="auto"/>
                <w:w w:val="89"/>
              </w:rPr>
              <w:t>2003</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color w:val="auto"/>
              </w:rPr>
              <w:t>2002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 of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 % of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 of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Operating income % of revenue</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on loans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-833120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-833120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-833120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-833120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-833120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-833120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-833120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-833120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-833120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-533400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-533400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-533400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-533400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-533400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-533400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-533400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-533400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-533400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-233045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-233045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-233045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-233045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-233045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-233045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-233045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-233045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-233045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80" w:firstLine="8"/>
        <w:spacing w:after="0" w:line="289" w:lineRule="auto"/>
        <w:tabs>
          <w:tab w:leader="none" w:pos="13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for the second quarter of 2003 includes, in millions of dollars, a charge of $49, of which $26 is for the initial phase of restructuring associated with moving certain production lines in the Sensors &amp; Controls business from Attleboro to other TI sites and $23 is for the initial phase of restructuring to achieve manufacturing efficiencies in the Semiconductor business. The $49 restructuring charge is primarily for severance cost. Of the $49, $43 is included in cost of revenue and $6 is in selling, general and administrative expense. Income for the first quarter of 2003 includes, in millions of dollars, a charge of $10 in other income (expense) net from the redemption of $250 million in convertible notes. Income for the second quarter of 2002 includes, in millions of dollars, net gains of $16, of which $20 is the reversal of a warranty reserve taken against the gain on the sale of the software business unit in 1997 because the warranty period had expired. Of the $16 net gains, $20 is included in other income, $5 is in selling, general and administrative expense, $2 is a reduction in cost of revenue and $1 is in research and development expense.</w:t>
      </w:r>
    </w:p>
    <w:p>
      <w:pPr>
        <w:spacing w:after="0" w:line="1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Income includes, in millions of dollars, acquisition-related amortization of $25, $28 and $29 for the second and first quarters of 2003 and the second quarter of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ind w:left="-8" w:firstLine="8"/>
        <w:spacing w:after="0" w:line="268" w:lineRule="auto"/>
        <w:tabs>
          <w:tab w:leader="none" w:pos="21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Diluted earnings per common share are based on average common and dilutive potential common shares outstanding (1762.6 million shares, 1753.4 million shares and 1774.4 million shares for the second and first quarters of 2003 and the second quarter of 2002).</w:t>
      </w:r>
    </w:p>
    <w:p>
      <w:pPr>
        <w:spacing w:after="0" w:line="11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72"/>
          </w:cols>
          <w:pgMar w:left="248" w:top="280"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color w:val="auto"/>
              </w:rPr>
              <w:t>June 30</w:t>
            </w:r>
          </w:p>
        </w:tc>
        <w:tc>
          <w:tcPr>
            <w:tcW w:w="980" w:type="dxa"/>
            <w:vAlign w:val="bottom"/>
            <w:gridSpan w:val="3"/>
          </w:tcPr>
          <w:p>
            <w:pPr>
              <w:jc w:val="right"/>
              <w:ind w:right="500"/>
              <w:spacing w:after="0"/>
              <w:rPr>
                <w:sz w:val="20"/>
                <w:szCs w:val="20"/>
                <w:color w:val="auto"/>
              </w:rPr>
            </w:pPr>
            <w:r>
              <w:rPr>
                <w:rFonts w:ascii="Arial" w:cs="Arial" w:eastAsia="Arial" w:hAnsi="Arial"/>
                <w:sz w:val="14"/>
                <w:szCs w:val="14"/>
                <w:color w:val="auto"/>
                <w:w w:val="96"/>
              </w:rPr>
              <w:t>Mar.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color w:val="auto"/>
                <w:w w:val="89"/>
              </w:rPr>
              <w:t>2003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2075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receivable, net of allowances for customer adjustments and doubtful accounts of $63 million at June 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2003, $62 million at March 31, 2003, and $60 million at December 31, 2002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(4986)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(4862)</w:t>
            </w: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(4722)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780" w:type="dxa"/>
            <w:vAlign w:val="bottom"/>
            <w:gridSpan w:val="2"/>
          </w:tcPr>
          <w:p>
            <w:pPr>
              <w:jc w:val="right"/>
              <w:ind w:right="29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-2127250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-2127250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-2127250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-2127250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-2127250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-2127250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-2127250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-2127250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-2127250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w w:val="93"/>
              </w:rPr>
              <w:t>Preferred stock, $25 par value. Authorized—10,000,000 shares. Participating cumulative preferred. None issued</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Authorized—2,400,000,000 shares. Shares issued: June 30,</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2003—1,740,470,215; March 31, 2003—1,740,467,816; December 31,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2002—1,740,364,197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4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June 30, 2003—9,218,747; March 31, 2003—11,185,274; December 31,</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2002—9,775,781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(328)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$ 14634</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$ 14395</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780" w:type="dxa"/>
            <w:vAlign w:val="bottom"/>
            <w:gridSpan w:val="2"/>
            <w:vMerge w:val="restart"/>
          </w:tcPr>
          <w:p>
            <w:pPr>
              <w:jc w:val="right"/>
              <w:ind w:right="2892"/>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7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3816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7"/>
          </w:tcPr>
          <w:p>
            <w:pPr>
              <w:ind w:left="340"/>
              <w:spacing w:after="0"/>
              <w:rPr>
                <w:sz w:val="20"/>
                <w:szCs w:val="20"/>
                <w:color w:val="auto"/>
              </w:rPr>
            </w:pPr>
            <w:r>
              <w:rPr>
                <w:rFonts w:ascii="Arial" w:cs="Arial" w:eastAsia="Arial" w:hAnsi="Arial"/>
                <w:sz w:val="14"/>
                <w:szCs w:val="14"/>
                <w:color w:val="auto"/>
                <w:w w:val="92"/>
              </w:rPr>
              <w:t>For 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June 30</w:t>
            </w:r>
          </w:p>
        </w:tc>
        <w:tc>
          <w:tcPr>
            <w:tcW w:w="900" w:type="dxa"/>
            <w:vAlign w:val="bottom"/>
            <w:gridSpan w:val="4"/>
          </w:tcPr>
          <w:p>
            <w:pPr>
              <w:ind w:left="20"/>
              <w:spacing w:after="0"/>
              <w:rPr>
                <w:sz w:val="20"/>
                <w:szCs w:val="20"/>
                <w:color w:val="auto"/>
              </w:rPr>
            </w:pPr>
            <w:r>
              <w:rPr>
                <w:rFonts w:ascii="Arial" w:cs="Arial" w:eastAsia="Arial" w:hAnsi="Arial"/>
                <w:sz w:val="14"/>
                <w:szCs w:val="14"/>
                <w:color w:val="auto"/>
              </w:rPr>
              <w:t>Mar. 31</w:t>
            </w:r>
          </w:p>
        </w:tc>
        <w:tc>
          <w:tcPr>
            <w:tcW w:w="540" w:type="dxa"/>
            <w:vAlign w:val="bottom"/>
            <w:gridSpan w:val="3"/>
          </w:tcPr>
          <w:p>
            <w:pPr>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color w:val="auto"/>
                <w:w w:val="83"/>
              </w:rPr>
              <w:t>2003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3"/>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Write-downs of equity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(Increase) decrease in working capital (excluding cash and cash equivalents, short-term investments, deferred income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taxes, and loans payable and current portion long-term debt):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(160)</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(118)</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retirement and profit sharing contributions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(162)</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5"/>
              </w:rPr>
              <w:t>(132)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(192)</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(493)</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(883)</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(560)</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Purchases of equity investments</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8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(264)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(129)</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(256)</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Decrease in current assets for restricted cash</w:t>
            </w:r>
          </w:p>
        </w:tc>
        <w:tc>
          <w:tcPr>
            <w:tcW w:w="80" w:type="dxa"/>
            <w:vAlign w:val="bottom"/>
          </w:tcPr>
          <w:p>
            <w:pPr>
              <w:spacing w:after="0"/>
              <w:rPr>
                <w:sz w:val="19"/>
                <w:szCs w:val="19"/>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1089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100" w:type="dxa"/>
            <w:vAlign w:val="bottom"/>
            <w:gridSpan w:val="2"/>
            <w:vMerge w:val="restart"/>
          </w:tcPr>
          <w:p>
            <w:pPr>
              <w:jc w:val="right"/>
              <w:ind w:right="3212"/>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-325755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-325755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8"/>
          </w:tcPr>
          <w:p>
            <w:pPr>
              <w:jc w:val="center"/>
              <w:ind w:right="100"/>
              <w:spacing w:after="0"/>
              <w:rPr>
                <w:sz w:val="20"/>
                <w:szCs w:val="20"/>
                <w:color w:val="auto"/>
              </w:rPr>
            </w:pPr>
            <w:r>
              <w:rPr>
                <w:rFonts w:ascii="Arial" w:cs="Arial" w:eastAsia="Arial" w:hAnsi="Arial"/>
                <w:sz w:val="14"/>
                <w:szCs w:val="14"/>
                <w:color w:val="auto"/>
                <w:w w:val="87"/>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w w:val="80"/>
              </w:rPr>
              <w:t>June 30</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Mar. 31</w:t>
            </w:r>
          </w:p>
        </w:tc>
        <w:tc>
          <w:tcPr>
            <w:tcW w:w="560" w:type="dxa"/>
            <w:vAlign w:val="bottom"/>
            <w:gridSpan w:val="3"/>
          </w:tcPr>
          <w:p>
            <w:pPr>
              <w:jc w:val="right"/>
              <w:ind w:right="120"/>
              <w:spacing w:after="0"/>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380" w:type="dxa"/>
            <w:vAlign w:val="bottom"/>
            <w:gridSpan w:val="3"/>
          </w:tcPr>
          <w:p>
            <w:pPr>
              <w:jc w:val="right"/>
              <w:ind w:right="1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3"/>
              </w:rPr>
              <w:t>2003</w:t>
            </w:r>
          </w:p>
        </w:tc>
        <w:tc>
          <w:tcPr>
            <w:tcW w:w="4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$ 1922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$ 1863</w:t>
            </w:r>
          </w:p>
        </w:tc>
        <w:tc>
          <w:tcPr>
            <w:tcW w:w="4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$ 1761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420"/>
              <w:spacing w:after="0"/>
              <w:rPr>
                <w:sz w:val="20"/>
                <w:szCs w:val="20"/>
                <w:color w:val="auto"/>
              </w:rPr>
            </w:pPr>
            <w:r>
              <w:rPr>
                <w:rFonts w:ascii="Arial" w:cs="Arial" w:eastAsia="Arial" w:hAnsi="Arial"/>
                <w:sz w:val="18"/>
                <w:szCs w:val="18"/>
                <w:color w:val="auto"/>
              </w:rPr>
              <w:t>Trade</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582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$ 2339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$ 2192</w:t>
            </w:r>
          </w:p>
        </w:tc>
        <w:tc>
          <w:tcPr>
            <w:tcW w:w="4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$ 2162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920" w:type="dxa"/>
            <w:vAlign w:val="bottom"/>
            <w:vMerge w:val="restart"/>
          </w:tcPr>
          <w:p>
            <w:pPr>
              <w:jc w:val="right"/>
              <w:ind w:right="3174"/>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-325755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-325755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32131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Profit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center"/>
              <w:ind w:left="177"/>
              <w:spacing w:after="0"/>
              <w:rPr>
                <w:sz w:val="20"/>
                <w:szCs w:val="20"/>
                <w:color w:val="auto"/>
              </w:rPr>
            </w:pPr>
            <w:r>
              <w:rPr>
                <w:rFonts w:ascii="Arial" w:cs="Arial" w:eastAsia="Arial" w:hAnsi="Arial"/>
                <w:sz w:val="14"/>
                <w:szCs w:val="14"/>
                <w:color w:val="auto"/>
                <w:w w:val="87"/>
              </w:rPr>
              <w:t>For 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900" w:type="dxa"/>
            <w:vAlign w:val="bottom"/>
            <w:gridSpan w:val="4"/>
          </w:tcPr>
          <w:p>
            <w:pPr>
              <w:jc w:val="center"/>
              <w:ind w:right="440"/>
              <w:spacing w:after="0"/>
              <w:rPr>
                <w:sz w:val="20"/>
                <w:szCs w:val="20"/>
                <w:color w:val="auto"/>
              </w:rPr>
            </w:pPr>
            <w:r>
              <w:rPr>
                <w:rFonts w:ascii="Arial" w:cs="Arial" w:eastAsia="Arial" w:hAnsi="Arial"/>
                <w:sz w:val="14"/>
                <w:szCs w:val="14"/>
                <w:color w:val="auto"/>
                <w:w w:val="84"/>
              </w:rPr>
              <w:t>June 30</w:t>
            </w:r>
          </w:p>
        </w:tc>
        <w:tc>
          <w:tcPr>
            <w:tcW w:w="920" w:type="dxa"/>
            <w:vAlign w:val="bottom"/>
            <w:gridSpan w:val="4"/>
          </w:tcPr>
          <w:p>
            <w:pPr>
              <w:jc w:val="center"/>
              <w:ind w:right="420"/>
              <w:spacing w:after="0"/>
              <w:rPr>
                <w:sz w:val="20"/>
                <w:szCs w:val="20"/>
                <w:color w:val="auto"/>
              </w:rPr>
            </w:pPr>
            <w:r>
              <w:rPr>
                <w:rFonts w:ascii="Arial" w:cs="Arial" w:eastAsia="Arial" w:hAnsi="Arial"/>
                <w:sz w:val="14"/>
                <w:szCs w:val="14"/>
                <w:color w:val="auto"/>
                <w:w w:val="88"/>
              </w:rPr>
              <w:t>Mar. 31</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w w:val="84"/>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color w:val="auto"/>
                <w:w w:val="76"/>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center"/>
              <w:ind w:right="15"/>
              <w:spacing w:after="0"/>
              <w:rPr>
                <w:sz w:val="20"/>
                <w:szCs w:val="20"/>
                <w:color w:val="auto"/>
              </w:rPr>
            </w:pPr>
            <w:r>
              <w:rPr>
                <w:rFonts w:ascii="Arial" w:cs="Arial" w:eastAsia="Arial" w:hAnsi="Arial"/>
                <w:sz w:val="14"/>
                <w:szCs w:val="14"/>
                <w:color w:val="auto"/>
                <w:w w:val="89"/>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color w:val="auto"/>
                <w:w w:val="83"/>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Sensors &amp; Controls</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Corporate activities</w:t>
            </w:r>
          </w:p>
        </w:tc>
        <w:tc>
          <w:tcPr>
            <w:tcW w:w="10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 net of applicable profit sharing</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2"/>
              </w:rPr>
              <w:t>Interest on loans/other income (expense) net, excluding a second-quarter 2002 gain of $20 and a first-quarter 2003 charge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of $10 included above in Charges/gains and acquisition-related amortization</w:t>
            </w: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w:t>
      </w:r>
    </w:p>
    <w:p>
      <w:pPr>
        <w:spacing w:after="0" w:line="83" w:lineRule="exact"/>
        <w:rPr>
          <w:sz w:val="20"/>
          <w:szCs w:val="20"/>
          <w:color w:val="auto"/>
        </w:rPr>
      </w:pPr>
    </w:p>
    <w:p>
      <w:pPr>
        <w:ind w:left="220" w:right="8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revenue in the second quarter was $1927 million, up 3 percent sequentially as strength across a broad range of product areas offset a decline in wireless. Revenue was up 9 percent from the year-ago quarter due to strength across most product areas.</w:t>
      </w:r>
    </w:p>
    <w:p>
      <w:pPr>
        <w:spacing w:after="0" w:line="37" w:lineRule="exact"/>
        <w:rPr>
          <w:rFonts w:ascii="Arial" w:cs="Arial" w:eastAsia="Arial" w:hAnsi="Arial"/>
          <w:sz w:val="18"/>
          <w:szCs w:val="18"/>
          <w:color w:val="auto"/>
        </w:rPr>
      </w:pPr>
    </w:p>
    <w:p>
      <w:pPr>
        <w:ind w:left="220" w:right="100" w:hanging="212"/>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the second quarter was $743 million compared with $748 million in the prior period. Second-quarter gross profit was up from $703 million in the year-ago quarter due to higher revenue</w:t>
      </w:r>
      <w:r>
        <w:rPr>
          <w:rFonts w:ascii="Arial" w:cs="Arial" w:eastAsia="Arial" w:hAnsi="Arial"/>
          <w:sz w:val="18"/>
          <w:szCs w:val="18"/>
          <w:i w:val="1"/>
          <w:iCs w:val="1"/>
          <w:color w:val="auto"/>
        </w:rPr>
        <w:t>.</w:t>
      </w:r>
    </w:p>
    <w:p>
      <w:pPr>
        <w:spacing w:after="0" w:line="37" w:lineRule="exact"/>
        <w:rPr>
          <w:rFonts w:ascii="Arial" w:cs="Arial" w:eastAsia="Arial" w:hAnsi="Arial"/>
          <w:sz w:val="18"/>
          <w:szCs w:val="18"/>
          <w:color w:val="auto"/>
        </w:rPr>
      </w:pPr>
    </w:p>
    <w:p>
      <w:pPr>
        <w:jc w:val="both"/>
        <w:ind w:left="220" w:right="120" w:hanging="212"/>
        <w:spacing w:after="0" w:line="306" w:lineRule="auto"/>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Gross profit margin of 38.6 percent in the quarter declined 1.4 percentage points sequentially. Much of the second quarter’s revenue growth came from newer products that are still ramping to mature manufacturing yields, and from commodity products that are affected by cyclical price pressure. Gross profit margin declined 1.2 percentage points compared with the year-ago quarter primarily due to lower royalties. Royalties declined from the year-ago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left="2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 due to a $30 million catch-up royalty in the second quarter of 2002 from a new semiconductor cross-license agreement.</w:t>
      </w:r>
    </w:p>
    <w:p>
      <w:pPr>
        <w:spacing w:after="0" w:line="77" w:lineRule="exact"/>
        <w:rPr>
          <w:sz w:val="20"/>
          <w:szCs w:val="20"/>
          <w:color w:val="auto"/>
        </w:rPr>
      </w:pPr>
    </w:p>
    <w:p>
      <w:pPr>
        <w:ind w:left="332" w:right="200" w:hanging="332"/>
        <w:spacing w:after="0" w:line="268"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operating profit for the second quarter declined to $126 million, or 6.5 percent of revenue, compared with $147 million in the prior quarter and $132 million in the year-ago quarter due to higher operating expenses.</w:t>
      </w:r>
    </w:p>
    <w:p>
      <w:pPr>
        <w:spacing w:after="0" w:line="37" w:lineRule="exact"/>
        <w:rPr>
          <w:rFonts w:ascii="Arial" w:cs="Arial" w:eastAsia="Arial" w:hAnsi="Arial"/>
          <w:sz w:val="18"/>
          <w:szCs w:val="18"/>
          <w:color w:val="auto"/>
        </w:rPr>
      </w:pPr>
    </w:p>
    <w:p>
      <w:pPr>
        <w:ind w:left="332" w:right="120" w:hanging="332"/>
        <w:spacing w:after="0" w:line="306"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Analog revenue increased 5 percent sequentially primarily due to higher shipments of display drivers, broadband products and high-performance analog products. Analog revenue increased 4 percent from the year-ago quarter primarily due to growth in high-performance analog standard product shipments as well as strength in storage, display drivers and broadband. In the first half of 2003, about 40 percent of total Semiconductor revenue came from Analog.</w:t>
      </w:r>
    </w:p>
    <w:p>
      <w:pPr>
        <w:spacing w:after="0" w:line="12" w:lineRule="exact"/>
        <w:rPr>
          <w:rFonts w:ascii="Arial" w:cs="Arial" w:eastAsia="Arial" w:hAnsi="Arial"/>
          <w:sz w:val="16"/>
          <w:szCs w:val="16"/>
          <w:color w:val="auto"/>
        </w:rPr>
      </w:pPr>
    </w:p>
    <w:p>
      <w:pPr>
        <w:ind w:left="332" w:right="280" w:hanging="332"/>
        <w:spacing w:after="0" w:line="259"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DSP revenue was about even sequentially as growth in shipments for the digital consumer and broadband markets offset lower wireless revenue. DSP revenue grew 21 percent from the year-ago quarter due to higher shipments into the wireless, broadband and digital consumer markets. In the first half of 2003, about 30 percent of total Semiconductor revenue came from DSP.</w:t>
      </w:r>
    </w:p>
    <w:p>
      <w:pPr>
        <w:spacing w:after="0" w:line="45" w:lineRule="exact"/>
        <w:rPr>
          <w:rFonts w:ascii="Arial" w:cs="Arial" w:eastAsia="Arial" w:hAnsi="Arial"/>
          <w:sz w:val="18"/>
          <w:szCs w:val="18"/>
          <w:color w:val="auto"/>
        </w:rPr>
      </w:pPr>
    </w:p>
    <w:p>
      <w:pPr>
        <w:ind w:left="332" w:hanging="332"/>
        <w:spacing w:after="0" w:line="239"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remaining Semiconductor revenue increased 4 percent sequentially primarily due to higher shipments of standard logic products as well as growth in RISC microprocessors. Revenue from Digital Light Processing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(DLP</w:t>
      </w:r>
      <w:r>
        <w:rPr>
          <w:rFonts w:ascii="Arial" w:cs="Arial" w:eastAsia="Arial" w:hAnsi="Arial"/>
          <w:sz w:val="22"/>
          <w:szCs w:val="22"/>
          <w:color w:val="auto"/>
          <w:vertAlign w:val="superscript"/>
        </w:rPr>
        <w:t>™</w:t>
      </w:r>
      <w:r>
        <w:rPr>
          <w:rFonts w:ascii="Arial" w:cs="Arial" w:eastAsia="Arial" w:hAnsi="Arial"/>
          <w:sz w:val="18"/>
          <w:szCs w:val="18"/>
          <w:color w:val="auto"/>
        </w:rPr>
        <w:t>) products, microcontrollers and royalties declined on a sequential basis due to lower shipments. Compared with the year-ago quarter, revenue increased 4 percent due to higher shipments of DLP products, RISC microprocessors and standard logic, while revenue from royalties and microcontrollers declined.</w:t>
      </w:r>
    </w:p>
    <w:p>
      <w:pPr>
        <w:spacing w:after="0" w:line="61" w:lineRule="exact"/>
        <w:rPr>
          <w:rFonts w:ascii="Arial" w:cs="Arial" w:eastAsia="Arial" w:hAnsi="Arial"/>
          <w:sz w:val="18"/>
          <w:szCs w:val="18"/>
          <w:color w:val="auto"/>
        </w:rPr>
      </w:pPr>
    </w:p>
    <w:p>
      <w:pPr>
        <w:ind w:left="332" w:hanging="332"/>
        <w:spacing w:after="0"/>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Semiconductor revenue in key markets was as follows:</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80" w:right="279" w:bottom="1440" w:gutter="0" w:footer="0" w:header="0"/>
        </w:sectPr>
      </w:pPr>
    </w:p>
    <w:bookmarkStart w:id="17" w:name="page18"/>
    <w:bookmarkEnd w:id="17"/>
    <w:p>
      <w:pPr>
        <w:ind w:left="780" w:right="400" w:hanging="326"/>
        <w:spacing w:after="0" w:line="239" w:lineRule="auto"/>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Wireless revenue decreased 5 percent compared with the first quarter. In the second quarter, TI’s wireless customers experienced a slowdown in demand for handsets and excess inventory, particularly in Asia. Compared with the year-ago period, TI’s wireless revenue increased 16 percent primarily due to higher shipments of 2.5G products and OMAP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applications processors. In the first half of 2003, about 30 percent of total Semiconductor revenue came from wireless.</w:t>
      </w:r>
    </w:p>
    <w:p>
      <w:pPr>
        <w:spacing w:after="0" w:line="61" w:lineRule="exact"/>
        <w:rPr>
          <w:rFonts w:ascii="Arial" w:cs="Arial" w:eastAsia="Arial" w:hAnsi="Arial"/>
          <w:sz w:val="18"/>
          <w:szCs w:val="18"/>
          <w:color w:val="auto"/>
        </w:rPr>
      </w:pPr>
    </w:p>
    <w:p>
      <w:pPr>
        <w:ind w:left="780" w:right="100" w:hanging="326"/>
        <w:spacing w:after="0" w:line="347" w:lineRule="auto"/>
        <w:tabs>
          <w:tab w:leader="none" w:pos="780" w:val="left"/>
        </w:tabs>
        <w:numPr>
          <w:ilvl w:val="1"/>
          <w:numId w:val="8"/>
        </w:numPr>
        <w:rPr>
          <w:rFonts w:ascii="Arial" w:cs="Arial" w:eastAsia="Arial" w:hAnsi="Arial"/>
          <w:sz w:val="15"/>
          <w:szCs w:val="15"/>
          <w:color w:val="auto"/>
        </w:rPr>
      </w:pPr>
      <w:r>
        <w:rPr>
          <w:rFonts w:ascii="Arial" w:cs="Arial" w:eastAsia="Arial" w:hAnsi="Arial"/>
          <w:sz w:val="15"/>
          <w:szCs w:val="15"/>
          <w:color w:val="auto"/>
        </w:rPr>
        <w:t>Revenue from TI’s catalog products, composed of high-performance analog and catalog DSP, was up 6 percent sequentially and 14 percent from the year-ago quarter due to higher shipments. In the first half of 2003, about 15 percent of total Semiconductor revenue came from catalog products.</w:t>
      </w:r>
    </w:p>
    <w:p>
      <w:pPr>
        <w:ind w:left="780" w:right="80" w:hanging="326"/>
        <w:spacing w:after="0" w:line="259" w:lineRule="auto"/>
        <w:tabs>
          <w:tab w:leader="none" w:pos="7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packet (VoP) and wireless local area networks (WLANs), increased 44 percent sequentially and 84 percent from the year-ago quarter due to higher shipments. In the first half of 2003, about 5 percent of total Semiconductor revenue came from broadband communications.</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orders were $1901 million, about even sequentially and compared with the year-ago quarter.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2Q Highlights</w:t>
      </w:r>
    </w:p>
    <w:p>
      <w:pPr>
        <w:spacing w:after="0" w:line="8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 selected Richardson, Texas, as the site for its next 300-millimeter wafer fab. Groundbreaking is expected by the end of 2005.</w:t>
      </w:r>
    </w:p>
    <w:p>
      <w:pPr>
        <w:spacing w:after="0" w:line="103"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 demonstrated the world’s first DSP to reach the 1-gigahertz speed threshold, just weeks after introducing the world’s fastest commercially available DSP at 720 megahertz.</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80" w:right="379" w:bottom="1440" w:gutter="0" w:footer="0" w:header="0"/>
        </w:sectPr>
      </w:pPr>
    </w:p>
    <w:bookmarkStart w:id="18" w:name="page19"/>
    <w:bookmarkEnd w:id="18"/>
    <w:p>
      <w:pPr>
        <w:ind w:left="340" w:right="20" w:hanging="332"/>
        <w:spacing w:after="0" w:line="32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 announced its entry into the standard CDMA wireless chipset market with technology developed jointly with STMicroelectronics and Nokia. cdma2000 1X chipsets are expected to begin sampling in the third quarter, and 1xEV-DV chipsets are expected to sample in 2004.</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Motorola, Inc. said it will use TI’s OMAP application processors and 802.11 wireless networking solutions in its new Wi-Fi/cellular dual system phone.</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 introduced the industry’s first ADSL modem on a chip, a single-chip solution that increases TI’s system content while reducing overall system cost.</w:t>
      </w:r>
    </w:p>
    <w:p>
      <w:pPr>
        <w:spacing w:after="0" w:line="126" w:lineRule="exact"/>
        <w:rPr>
          <w:rFonts w:ascii="Arial" w:cs="Arial" w:eastAsia="Arial" w:hAnsi="Arial"/>
          <w:sz w:val="16"/>
          <w:szCs w:val="16"/>
          <w:color w:val="auto"/>
        </w:rPr>
      </w:pPr>
    </w:p>
    <w:p>
      <w:pPr>
        <w:ind w:left="340" w:right="2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Concurrent with the IEEE Standards Board’s approval of the 802.11g standard, TI announced that it was shipping 802.11g and multi-mode 802.11 a/b/g solutions to customers worldwide.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Sensors &amp; Controls</w:t>
      </w:r>
    </w:p>
    <w:p>
      <w:pPr>
        <w:spacing w:after="0" w:line="83" w:lineRule="exact"/>
        <w:rPr>
          <w:sz w:val="20"/>
          <w:szCs w:val="20"/>
          <w:color w:val="auto"/>
        </w:rPr>
      </w:pPr>
    </w:p>
    <w:p>
      <w:pPr>
        <w:ind w:left="340" w:right="6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Sensors &amp; Controls revenue was $261 million in the second quarter, up 3 percent sequentially and 4 percent compared with the year-ago quarter due about equally to higher shipments of sensor products and higher shipments of control products.</w:t>
      </w:r>
    </w:p>
    <w:p>
      <w:pPr>
        <w:spacing w:after="0" w:line="37"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$98 million, or 37.6 percent of revenue, up from $90 million in the prior quarter and $84 million in the year-ago quarter. About $4 million of gross profit in the second quarter was due to a settlement of litigation. The gain in gross profit from the year-ago quarter was primarily due to manufacturing cost reductions.</w:t>
      </w:r>
    </w:p>
    <w:p>
      <w:pPr>
        <w:spacing w:after="0" w:line="45"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was $68 million, or 26.0 percent of revenue, up from $61 million in the prior quarter and $56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Educational &amp; Productivity Solutions (E&amp;PS)</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280" w:right="419" w:bottom="1440" w:gutter="0" w:footer="0" w:header="0"/>
        </w:sectPr>
      </w:pPr>
    </w:p>
    <w:bookmarkStart w:id="19" w:name="page20"/>
    <w:bookmarkEnd w:id="19"/>
    <w:p>
      <w:pPr>
        <w:ind w:left="340" w:right="300" w:hanging="332"/>
        <w:spacing w:after="0" w:line="32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E&amp;PS revenue was $156 million in the second quarter, up 104 percent sequentially due to the start of retail stocking of calculators ahead of the back-to-school season. Compared with the year-ago period, revenue was up 4 percent due to higher sales to U.S. retailers.</w:t>
      </w:r>
    </w:p>
    <w:p>
      <w:pPr>
        <w:spacing w:after="0" w:line="1" w:lineRule="exact"/>
        <w:rPr>
          <w:rFonts w:ascii="Arial" w:cs="Arial" w:eastAsia="Arial" w:hAnsi="Arial"/>
          <w:sz w:val="16"/>
          <w:szCs w:val="16"/>
          <w:color w:val="auto"/>
        </w:rPr>
      </w:pPr>
    </w:p>
    <w:p>
      <w:pPr>
        <w:ind w:left="340" w:right="28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$89 million, or 57.0 percent of revenue, up 135 percent sequentially due to higher revenue and up 12 percent from the year-ago quarter primarily due to a combination of higher revenue and product cost reductions.</w:t>
      </w:r>
    </w:p>
    <w:p>
      <w:pPr>
        <w:spacing w:after="0" w:line="37"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was $58 million, or 37.1 percent of revenue, up from $15 million in the previous quarter and $49 million in the year-ago quarter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8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Depreciation was $356 million in the second quarter, compared with $346 million in the prior quarter and $390 million in the year-ago quarter.</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end of the second quarter, the debt-to-total-capital ratio was 0.07, down from 0.09 at the end of the prior quarter.</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18" w:lineRule="exact"/>
        <w:rPr>
          <w:sz w:val="20"/>
          <w:szCs w:val="20"/>
          <w:color w:val="auto"/>
        </w:rPr>
      </w:pPr>
    </w:p>
    <w:p>
      <w:pPr>
        <w:jc w:val="center"/>
        <w:ind w:left="5620" w:right="320" w:hanging="5612"/>
        <w:spacing w:after="0" w:line="440"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digital signal processors and analog chips in key markets, such as telecommunications and computers; 17</w:t>
      </w:r>
    </w:p>
    <w:p>
      <w:pPr>
        <w:sectPr>
          <w:pgSz w:w="11900" w:h="16838" w:orient="portrait"/>
          <w:cols w:equalWidth="0" w:num="1">
            <w:col w:w="11300"/>
          </w:cols>
          <w:pgMar w:left="240" w:top="280" w:right="359" w:bottom="1440" w:gutter="0" w:footer="0" w:header="0"/>
        </w:sectPr>
      </w:pPr>
    </w:p>
    <w:bookmarkStart w:id="20" w:name="page21"/>
    <w:bookmarkEnd w:id="20"/>
    <w:p>
      <w:pPr>
        <w:ind w:firstLine="8"/>
        <w:spacing w:after="0" w:line="268" w:lineRule="auto"/>
        <w:tabs>
          <w:tab w:leader="none" w:pos="10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maintain or improve profit margins, including its ability to utilize its manufacturing facilities at sufficient levels to cover its fixed operating costs, in an intensely competitive and cyclical industry;</w:t>
      </w:r>
    </w:p>
    <w:p>
      <w:pPr>
        <w:spacing w:after="0" w:line="118"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completion and successful integration of announced acquisitions;</w:t>
      </w:r>
    </w:p>
    <w:p>
      <w:pPr>
        <w:spacing w:after="0" w:line="157" w:lineRule="exact"/>
        <w:rPr>
          <w:rFonts w:ascii="Arial" w:cs="Arial" w:eastAsia="Arial" w:hAnsi="Arial"/>
          <w:sz w:val="18"/>
          <w:szCs w:val="18"/>
          <w:color w:val="auto"/>
        </w:rPr>
      </w:pPr>
    </w:p>
    <w:p>
      <w:pPr>
        <w:ind w:right="300" w:firstLine="8"/>
        <w:spacing w:after="0" w:line="268" w:lineRule="auto"/>
        <w:tabs>
          <w:tab w:leader="none" w:pos="1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18"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Digital Light Processing</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OMAP</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endash "/>
      <w:numFmt w:val="bullet"/>
      <w:start w:val="1"/>
    </w:lvl>
  </w:abstractNum>
  <w:abstractNum w:abstractNumId="1">
    <w:nsid w:val="515F007C"/>
    <w:multiLevelType w:val="hybridMultilevel"/>
    <w:lvl w:ilvl="0">
      <w:lvlJc w:val="left"/>
      <w:lvlText w:val="\endash "/>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2019-12-11T19:44:55Z</dcterms:created>
  <dcterms:modified xsi:type="dcterms:W3CDTF">2019-12-11T19:44:55Z</dcterms:modified>
</cp:coreProperties>
</file>