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7"/>
        </w:trPr>
        <w:tc>
          <w:tcPr>
            <w:tcW w:w="8560" w:type="dxa"/>
            <w:vAlign w:val="bottom"/>
            <w:vMerge w:val="restart"/>
          </w:tcPr>
          <w:p>
            <w:pPr>
              <w:jc w:val="center"/>
              <w:ind w:left="2761"/>
              <w:spacing w:after="0"/>
              <w:rPr>
                <w:sz w:val="20"/>
                <w:szCs w:val="20"/>
                <w:color w:val="auto"/>
              </w:rPr>
            </w:pPr>
            <w:r>
              <w:rPr>
                <w:rFonts w:ascii="Arial" w:cs="Arial" w:eastAsia="Arial" w:hAnsi="Arial"/>
                <w:sz w:val="22"/>
                <w:szCs w:val="22"/>
                <w:b w:val="1"/>
                <w:bCs w:val="1"/>
                <w:color w:val="auto"/>
                <w:w w:val="97"/>
              </w:rPr>
              <w:t>UNITED STATES</w:t>
            </w:r>
          </w:p>
        </w:tc>
        <w:tc>
          <w:tcPr>
            <w:tcW w:w="28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96"/>
        </w:trPr>
        <w:tc>
          <w:tcPr>
            <w:tcW w:w="8560" w:type="dxa"/>
            <w:vAlign w:val="bottom"/>
            <w:vMerge w:val="continue"/>
          </w:tcPr>
          <w:p>
            <w:pPr>
              <w:spacing w:after="0"/>
              <w:rPr>
                <w:sz w:val="17"/>
                <w:szCs w:val="17"/>
                <w:color w:val="auto"/>
              </w:rPr>
            </w:pPr>
          </w:p>
        </w:tc>
        <w:tc>
          <w:tcPr>
            <w:tcW w:w="2860" w:type="dxa"/>
            <w:vAlign w:val="bottom"/>
            <w:tcBorders>
              <w:left w:val="single" w:sz="8" w:color="auto"/>
              <w:right w:val="single" w:sz="8" w:color="auto"/>
            </w:tcBorders>
          </w:tcPr>
          <w:p>
            <w:pPr>
              <w:ind w:left="740"/>
              <w:spacing w:after="0" w:line="195" w:lineRule="exact"/>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27"/>
        </w:trPr>
        <w:tc>
          <w:tcPr>
            <w:tcW w:w="8560" w:type="dxa"/>
            <w:vAlign w:val="bottom"/>
            <w:vMerge w:val="restart"/>
          </w:tcPr>
          <w:p>
            <w:pPr>
              <w:jc w:val="center"/>
              <w:ind w:left="2761"/>
              <w:spacing w:after="0"/>
              <w:rPr>
                <w:sz w:val="20"/>
                <w:szCs w:val="20"/>
                <w:color w:val="auto"/>
              </w:rPr>
            </w:pPr>
            <w:r>
              <w:rPr>
                <w:rFonts w:ascii="Arial" w:cs="Arial" w:eastAsia="Arial" w:hAnsi="Arial"/>
                <w:sz w:val="22"/>
                <w:szCs w:val="22"/>
                <w:b w:val="1"/>
                <w:bCs w:val="1"/>
                <w:color w:val="auto"/>
                <w:w w:val="99"/>
              </w:rPr>
              <w:t>SECURITIES AND EXCHANGE COMMISSION</w:t>
            </w:r>
          </w:p>
        </w:tc>
        <w:tc>
          <w:tcPr>
            <w:tcW w:w="2860" w:type="dxa"/>
            <w:vAlign w:val="bottom"/>
            <w:tcBorders>
              <w:left w:val="single" w:sz="8" w:color="auto"/>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8560" w:type="dxa"/>
            <w:vAlign w:val="bottom"/>
            <w:vMerge w:val="continue"/>
          </w:tcPr>
          <w:p>
            <w:pPr>
              <w:spacing w:after="0"/>
              <w:rPr>
                <w:sz w:val="17"/>
                <w:szCs w:val="17"/>
                <w:color w:val="auto"/>
              </w:rPr>
            </w:pPr>
          </w:p>
        </w:tc>
        <w:tc>
          <w:tcPr>
            <w:tcW w:w="2860" w:type="dxa"/>
            <w:vAlign w:val="bottom"/>
            <w:tcBorders>
              <w:left w:val="single" w:sz="8" w:color="auto"/>
              <w:right w:val="single" w:sz="8" w:color="auto"/>
            </w:tcBorders>
          </w:tcPr>
          <w:p>
            <w:pPr>
              <w:ind w:left="20"/>
              <w:spacing w:after="0" w:line="205" w:lineRule="exact"/>
              <w:rPr>
                <w:sz w:val="20"/>
                <w:szCs w:val="20"/>
                <w:color w:val="auto"/>
              </w:rPr>
            </w:pPr>
            <w:r>
              <w:rPr>
                <w:rFonts w:ascii="Arial" w:cs="Arial" w:eastAsia="Arial" w:hAnsi="Arial"/>
                <w:sz w:val="18"/>
                <w:szCs w:val="18"/>
                <w:color w:val="auto"/>
              </w:rPr>
              <w:t>OMB Number: 3235-0145</w:t>
            </w:r>
          </w:p>
        </w:tc>
        <w:tc>
          <w:tcPr>
            <w:tcW w:w="0" w:type="dxa"/>
            <w:vAlign w:val="bottom"/>
          </w:tcPr>
          <w:p>
            <w:pPr>
              <w:spacing w:after="0"/>
              <w:rPr>
                <w:sz w:val="1"/>
                <w:szCs w:val="1"/>
                <w:color w:val="auto"/>
              </w:rPr>
            </w:pPr>
          </w:p>
        </w:tc>
      </w:tr>
      <w:tr>
        <w:trPr>
          <w:trHeight w:val="220"/>
        </w:trPr>
        <w:tc>
          <w:tcPr>
            <w:tcW w:w="8560" w:type="dxa"/>
            <w:vAlign w:val="bottom"/>
          </w:tcPr>
          <w:p>
            <w:pPr>
              <w:jc w:val="center"/>
              <w:ind w:left="2761"/>
              <w:spacing w:after="0"/>
              <w:rPr>
                <w:sz w:val="20"/>
                <w:szCs w:val="20"/>
                <w:color w:val="auto"/>
              </w:rPr>
            </w:pPr>
            <w:r>
              <w:rPr>
                <w:rFonts w:ascii="Arial" w:cs="Arial" w:eastAsia="Arial" w:hAnsi="Arial"/>
                <w:sz w:val="18"/>
                <w:szCs w:val="18"/>
                <w:b w:val="1"/>
                <w:bCs w:val="1"/>
                <w:color w:val="auto"/>
                <w:w w:val="91"/>
              </w:rPr>
              <w:t>Washington, D.C. 20549</w:t>
            </w:r>
          </w:p>
        </w:tc>
        <w:tc>
          <w:tcPr>
            <w:tcW w:w="28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Expires: February 28, 2009</w:t>
            </w:r>
          </w:p>
        </w:tc>
        <w:tc>
          <w:tcPr>
            <w:tcW w:w="0" w:type="dxa"/>
            <w:vAlign w:val="bottom"/>
          </w:tcPr>
          <w:p>
            <w:pPr>
              <w:spacing w:after="0"/>
              <w:rPr>
                <w:sz w:val="1"/>
                <w:szCs w:val="1"/>
                <w:color w:val="auto"/>
              </w:rPr>
            </w:pPr>
          </w:p>
        </w:tc>
      </w:tr>
      <w:tr>
        <w:trPr>
          <w:trHeight w:val="216"/>
        </w:trPr>
        <w:tc>
          <w:tcPr>
            <w:tcW w:w="8560" w:type="dxa"/>
            <w:vAlign w:val="bottom"/>
          </w:tcPr>
          <w:p>
            <w:pPr>
              <w:spacing w:after="0"/>
              <w:rPr>
                <w:sz w:val="18"/>
                <w:szCs w:val="18"/>
                <w:color w:val="auto"/>
              </w:rPr>
            </w:pPr>
          </w:p>
        </w:tc>
        <w:tc>
          <w:tcPr>
            <w:tcW w:w="28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Estimated average burden</w:t>
            </w:r>
          </w:p>
        </w:tc>
        <w:tc>
          <w:tcPr>
            <w:tcW w:w="0" w:type="dxa"/>
            <w:vAlign w:val="bottom"/>
          </w:tcPr>
          <w:p>
            <w:pPr>
              <w:spacing w:after="0"/>
              <w:rPr>
                <w:sz w:val="1"/>
                <w:szCs w:val="1"/>
                <w:color w:val="auto"/>
              </w:rPr>
            </w:pPr>
          </w:p>
        </w:tc>
      </w:tr>
      <w:tr>
        <w:trPr>
          <w:trHeight w:val="230"/>
        </w:trPr>
        <w:tc>
          <w:tcPr>
            <w:tcW w:w="8560" w:type="dxa"/>
            <w:vAlign w:val="bottom"/>
          </w:tcPr>
          <w:p>
            <w:pPr>
              <w:spacing w:after="0"/>
              <w:rPr>
                <w:sz w:val="20"/>
                <w:szCs w:val="20"/>
                <w:color w:val="auto"/>
              </w:rPr>
            </w:pPr>
          </w:p>
        </w:tc>
        <w:tc>
          <w:tcPr>
            <w:tcW w:w="286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hours per response. . . . . . . .10.4</w:t>
            </w:r>
          </w:p>
        </w:tc>
        <w:tc>
          <w:tcPr>
            <w:tcW w:w="0" w:type="dxa"/>
            <w:vAlign w:val="bottom"/>
          </w:tcPr>
          <w:p>
            <w:pPr>
              <w:spacing w:after="0"/>
              <w:rPr>
                <w:sz w:val="1"/>
                <w:szCs w:val="1"/>
                <w:color w:val="auto"/>
              </w:rPr>
            </w:pPr>
          </w:p>
        </w:tc>
      </w:tr>
      <w:tr>
        <w:trPr>
          <w:trHeight w:val="463"/>
        </w:trPr>
        <w:tc>
          <w:tcPr>
            <w:tcW w:w="8560" w:type="dxa"/>
            <w:vAlign w:val="bottom"/>
          </w:tcPr>
          <w:p>
            <w:pPr>
              <w:jc w:val="center"/>
              <w:ind w:left="2761"/>
              <w:spacing w:after="0"/>
              <w:rPr>
                <w:sz w:val="20"/>
                <w:szCs w:val="20"/>
                <w:color w:val="auto"/>
              </w:rPr>
            </w:pPr>
            <w:r>
              <w:rPr>
                <w:rFonts w:ascii="Arial" w:cs="Arial" w:eastAsia="Arial" w:hAnsi="Arial"/>
                <w:sz w:val="22"/>
                <w:szCs w:val="22"/>
                <w:b w:val="1"/>
                <w:bCs w:val="1"/>
                <w:color w:val="auto"/>
                <w:w w:val="96"/>
              </w:rPr>
              <w:t>SCHEDULE 13G</w:t>
            </w:r>
          </w:p>
        </w:tc>
        <w:tc>
          <w:tcPr>
            <w:tcW w:w="2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4"/>
        </w:trPr>
        <w:tc>
          <w:tcPr>
            <w:tcW w:w="8560" w:type="dxa"/>
            <w:vAlign w:val="bottom"/>
          </w:tcPr>
          <w:p>
            <w:pPr>
              <w:jc w:val="center"/>
              <w:ind w:left="2781"/>
              <w:spacing w:after="0"/>
              <w:rPr>
                <w:sz w:val="20"/>
                <w:szCs w:val="20"/>
                <w:color w:val="auto"/>
              </w:rPr>
            </w:pPr>
            <w:r>
              <w:rPr>
                <w:rFonts w:ascii="Arial" w:cs="Arial" w:eastAsia="Arial" w:hAnsi="Arial"/>
                <w:sz w:val="18"/>
                <w:szCs w:val="18"/>
                <w:b w:val="1"/>
                <w:bCs w:val="1"/>
                <w:color w:val="auto"/>
                <w:w w:val="89"/>
              </w:rPr>
              <w:t>Under the Securities Exchange Act of 1934</w:t>
            </w:r>
          </w:p>
        </w:tc>
        <w:tc>
          <w:tcPr>
            <w:tcW w:w="2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8560" w:type="dxa"/>
            <w:vAlign w:val="bottom"/>
          </w:tcPr>
          <w:p>
            <w:pPr>
              <w:jc w:val="center"/>
              <w:ind w:left="2781"/>
              <w:spacing w:after="0"/>
              <w:rPr>
                <w:sz w:val="20"/>
                <w:szCs w:val="20"/>
                <w:color w:val="auto"/>
              </w:rPr>
            </w:pPr>
            <w:r>
              <w:rPr>
                <w:rFonts w:ascii="Arial" w:cs="Arial" w:eastAsia="Arial" w:hAnsi="Arial"/>
                <w:sz w:val="18"/>
                <w:szCs w:val="18"/>
                <w:b w:val="1"/>
                <w:bCs w:val="1"/>
                <w:color w:val="auto"/>
                <w:w w:val="92"/>
              </w:rPr>
              <w:t>(Amendment No. 5)*</w:t>
            </w:r>
          </w:p>
        </w:tc>
        <w:tc>
          <w:tcPr>
            <w:tcW w:w="2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81"/>
        </w:trPr>
        <w:tc>
          <w:tcPr>
            <w:tcW w:w="8560" w:type="dxa"/>
            <w:vAlign w:val="bottom"/>
            <w:tcBorders>
              <w:bottom w:val="single" w:sz="8" w:color="auto"/>
            </w:tcBorders>
          </w:tcPr>
          <w:p>
            <w:pPr>
              <w:jc w:val="center"/>
              <w:ind w:left="2781"/>
              <w:spacing w:after="0"/>
              <w:rPr>
                <w:sz w:val="20"/>
                <w:szCs w:val="20"/>
                <w:color w:val="auto"/>
              </w:rPr>
            </w:pPr>
            <w:r>
              <w:rPr>
                <w:rFonts w:ascii="Arial" w:cs="Arial" w:eastAsia="Arial" w:hAnsi="Arial"/>
                <w:sz w:val="32"/>
                <w:szCs w:val="32"/>
                <w:b w:val="1"/>
                <w:bCs w:val="1"/>
                <w:color w:val="auto"/>
                <w:w w:val="91"/>
              </w:rPr>
              <w:t>Texas Instruments Inc.</w:t>
            </w:r>
          </w:p>
        </w:tc>
        <w:tc>
          <w:tcPr>
            <w:tcW w:w="28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8560" w:type="dxa"/>
            <w:vAlign w:val="bottom"/>
          </w:tcPr>
          <w:p>
            <w:pPr>
              <w:jc w:val="center"/>
              <w:ind w:left="2761"/>
              <w:spacing w:after="0"/>
              <w:rPr>
                <w:sz w:val="20"/>
                <w:szCs w:val="20"/>
                <w:color w:val="auto"/>
              </w:rPr>
            </w:pPr>
            <w:r>
              <w:rPr>
                <w:rFonts w:ascii="Arial" w:cs="Arial" w:eastAsia="Arial" w:hAnsi="Arial"/>
                <w:sz w:val="18"/>
                <w:szCs w:val="18"/>
                <w:color w:val="auto"/>
                <w:w w:val="90"/>
              </w:rPr>
              <w:t>(Name of Issuer)</w:t>
            </w:r>
          </w:p>
        </w:tc>
        <w:tc>
          <w:tcPr>
            <w:tcW w:w="2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8560" w:type="dxa"/>
            <w:vAlign w:val="bottom"/>
          </w:tcPr>
          <w:p>
            <w:pPr>
              <w:jc w:val="center"/>
              <w:ind w:left="2761"/>
              <w:spacing w:after="0"/>
              <w:rPr>
                <w:sz w:val="20"/>
                <w:szCs w:val="20"/>
                <w:color w:val="auto"/>
              </w:rPr>
            </w:pPr>
            <w:r>
              <w:rPr>
                <w:rFonts w:ascii="Arial" w:cs="Arial" w:eastAsia="Arial" w:hAnsi="Arial"/>
                <w:sz w:val="18"/>
                <w:szCs w:val="18"/>
                <w:b w:val="1"/>
                <w:bCs w:val="1"/>
                <w:color w:val="auto"/>
                <w:w w:val="89"/>
              </w:rPr>
              <w:t>Common</w:t>
            </w:r>
          </w:p>
        </w:tc>
        <w:tc>
          <w:tcPr>
            <w:tcW w:w="2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8560" w:type="dxa"/>
            <w:vAlign w:val="bottom"/>
            <w:tcBorders>
              <w:bottom w:val="single" w:sz="8" w:color="auto"/>
            </w:tcBorders>
          </w:tcPr>
          <w:p>
            <w:pPr>
              <w:spacing w:after="0"/>
              <w:rPr>
                <w:sz w:val="2"/>
                <w:szCs w:val="2"/>
                <w:color w:val="auto"/>
              </w:rPr>
            </w:pPr>
          </w:p>
        </w:tc>
        <w:tc>
          <w:tcPr>
            <w:tcW w:w="2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8560" w:type="dxa"/>
            <w:vAlign w:val="bottom"/>
          </w:tcPr>
          <w:p>
            <w:pPr>
              <w:jc w:val="center"/>
              <w:ind w:left="2781"/>
              <w:spacing w:after="0"/>
              <w:rPr>
                <w:sz w:val="20"/>
                <w:szCs w:val="20"/>
                <w:color w:val="auto"/>
              </w:rPr>
            </w:pPr>
            <w:r>
              <w:rPr>
                <w:rFonts w:ascii="Arial" w:cs="Arial" w:eastAsia="Arial" w:hAnsi="Arial"/>
                <w:sz w:val="18"/>
                <w:szCs w:val="18"/>
                <w:color w:val="auto"/>
                <w:w w:val="92"/>
              </w:rPr>
              <w:t>(Title of Class of Securities)</w:t>
            </w:r>
          </w:p>
        </w:tc>
        <w:tc>
          <w:tcPr>
            <w:tcW w:w="2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8560" w:type="dxa"/>
            <w:vAlign w:val="bottom"/>
          </w:tcPr>
          <w:p>
            <w:pPr>
              <w:jc w:val="center"/>
              <w:ind w:left="2761"/>
              <w:spacing w:after="0"/>
              <w:rPr>
                <w:sz w:val="20"/>
                <w:szCs w:val="20"/>
                <w:color w:val="auto"/>
              </w:rPr>
            </w:pPr>
            <w:r>
              <w:rPr>
                <w:rFonts w:ascii="Arial" w:cs="Arial" w:eastAsia="Arial" w:hAnsi="Arial"/>
                <w:sz w:val="18"/>
                <w:szCs w:val="18"/>
                <w:b w:val="1"/>
                <w:bCs w:val="1"/>
                <w:color w:val="auto"/>
                <w:w w:val="90"/>
              </w:rPr>
              <w:t>882508104</w:t>
            </w:r>
          </w:p>
        </w:tc>
        <w:tc>
          <w:tcPr>
            <w:tcW w:w="2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8560" w:type="dxa"/>
            <w:vAlign w:val="bottom"/>
            <w:tcBorders>
              <w:bottom w:val="single" w:sz="8" w:color="auto"/>
            </w:tcBorders>
          </w:tcPr>
          <w:p>
            <w:pPr>
              <w:spacing w:after="0"/>
              <w:rPr>
                <w:sz w:val="2"/>
                <w:szCs w:val="2"/>
                <w:color w:val="auto"/>
              </w:rPr>
            </w:pPr>
          </w:p>
        </w:tc>
        <w:tc>
          <w:tcPr>
            <w:tcW w:w="2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8560" w:type="dxa"/>
            <w:vAlign w:val="bottom"/>
          </w:tcPr>
          <w:p>
            <w:pPr>
              <w:jc w:val="center"/>
              <w:ind w:left="2761"/>
              <w:spacing w:after="0"/>
              <w:rPr>
                <w:sz w:val="20"/>
                <w:szCs w:val="20"/>
                <w:color w:val="auto"/>
              </w:rPr>
            </w:pPr>
            <w:r>
              <w:rPr>
                <w:rFonts w:ascii="Arial" w:cs="Arial" w:eastAsia="Arial" w:hAnsi="Arial"/>
                <w:sz w:val="18"/>
                <w:szCs w:val="18"/>
                <w:color w:val="auto"/>
                <w:w w:val="92"/>
              </w:rPr>
              <w:t>(CUSIP Number)</w:t>
            </w:r>
          </w:p>
        </w:tc>
        <w:tc>
          <w:tcPr>
            <w:tcW w:w="2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5"/>
        </w:trPr>
        <w:tc>
          <w:tcPr>
            <w:tcW w:w="8560" w:type="dxa"/>
            <w:vAlign w:val="bottom"/>
            <w:tcBorders>
              <w:bottom w:val="single" w:sz="8" w:color="auto"/>
            </w:tcBorders>
          </w:tcPr>
          <w:p>
            <w:pPr>
              <w:jc w:val="center"/>
              <w:ind w:left="2761"/>
              <w:spacing w:after="0"/>
              <w:rPr>
                <w:sz w:val="20"/>
                <w:szCs w:val="20"/>
                <w:color w:val="auto"/>
              </w:rPr>
            </w:pPr>
            <w:r>
              <w:rPr>
                <w:rFonts w:ascii="Arial" w:cs="Arial" w:eastAsia="Arial" w:hAnsi="Arial"/>
                <w:sz w:val="18"/>
                <w:szCs w:val="18"/>
                <w:b w:val="1"/>
                <w:bCs w:val="1"/>
                <w:color w:val="auto"/>
                <w:w w:val="90"/>
              </w:rPr>
              <w:t>December 31, 2015</w:t>
            </w:r>
          </w:p>
        </w:tc>
        <w:tc>
          <w:tcPr>
            <w:tcW w:w="28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8560" w:type="dxa"/>
            <w:vAlign w:val="bottom"/>
          </w:tcPr>
          <w:p>
            <w:pPr>
              <w:jc w:val="center"/>
              <w:ind w:left="2761"/>
              <w:spacing w:after="0"/>
              <w:rPr>
                <w:sz w:val="20"/>
                <w:szCs w:val="20"/>
                <w:color w:val="auto"/>
              </w:rPr>
            </w:pPr>
            <w:r>
              <w:rPr>
                <w:rFonts w:ascii="Arial" w:cs="Arial" w:eastAsia="Arial" w:hAnsi="Arial"/>
                <w:sz w:val="18"/>
                <w:szCs w:val="18"/>
                <w:color w:val="auto"/>
                <w:w w:val="92"/>
              </w:rPr>
              <w:t>(Date of Event Which Requires Filing of this Statement)</w:t>
            </w:r>
          </w:p>
        </w:tc>
        <w:tc>
          <w:tcPr>
            <w:tcW w:w="28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63" w:lineRule="exact"/>
        <w:rPr>
          <w:sz w:val="24"/>
          <w:szCs w:val="24"/>
          <w:color w:val="auto"/>
        </w:rPr>
      </w:pPr>
    </w:p>
    <w:p>
      <w:pPr>
        <w:ind w:left="1140" w:hanging="637"/>
        <w:spacing w:after="0"/>
        <w:tabs>
          <w:tab w:leader="none" w:pos="1140" w:val="left"/>
        </w:tabs>
        <w:numPr>
          <w:ilvl w:val="0"/>
          <w:numId w:val="1"/>
        </w:numPr>
        <w:rPr>
          <w:rFonts w:ascii="Arial" w:cs="Arial" w:eastAsia="Arial" w:hAnsi="Arial"/>
          <w:sz w:val="18"/>
          <w:szCs w:val="18"/>
          <w:color w:val="auto"/>
        </w:rPr>
      </w:pPr>
      <w:r>
        <w:rPr>
          <w:rFonts w:ascii="Arial" w:cs="Arial" w:eastAsia="Arial" w:hAnsi="Arial"/>
          <w:sz w:val="18"/>
          <w:szCs w:val="18"/>
          <w:color w:val="auto"/>
        </w:rPr>
        <w:t>Rule 13d-1(b)</w:t>
      </w:r>
    </w:p>
    <w:p>
      <w:pPr>
        <w:spacing w:after="0" w:line="117" w:lineRule="exact"/>
        <w:rPr>
          <w:rFonts w:ascii="Arial" w:cs="Arial" w:eastAsia="Arial" w:hAnsi="Arial"/>
          <w:sz w:val="18"/>
          <w:szCs w:val="18"/>
          <w:color w:val="auto"/>
        </w:rPr>
      </w:pPr>
    </w:p>
    <w:p>
      <w:pPr>
        <w:ind w:left="500"/>
        <w:spacing w:after="0"/>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Rule 13d-1(c)</w:t>
      </w:r>
    </w:p>
    <w:p>
      <w:pPr>
        <w:spacing w:after="0" w:line="117" w:lineRule="exact"/>
        <w:rPr>
          <w:rFonts w:ascii="Arial" w:cs="Arial" w:eastAsia="Arial" w:hAnsi="Arial"/>
          <w:sz w:val="18"/>
          <w:szCs w:val="18"/>
          <w:color w:val="auto"/>
        </w:rPr>
      </w:pPr>
    </w:p>
    <w:p>
      <w:pPr>
        <w:ind w:left="500"/>
        <w:spacing w:after="0"/>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Rule 13d-1(d)</w:t>
      </w:r>
    </w:p>
    <w:p>
      <w:pPr>
        <w:spacing w:after="0" w:line="279" w:lineRule="exact"/>
        <w:rPr>
          <w:sz w:val="24"/>
          <w:szCs w:val="24"/>
          <w:color w:val="auto"/>
        </w:rPr>
      </w:pPr>
    </w:p>
    <w:p>
      <w:pPr>
        <w:ind w:right="260"/>
        <w:spacing w:after="0" w:line="277"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0" w:lineRule="exact"/>
        <w:rPr>
          <w:sz w:val="24"/>
          <w:szCs w:val="24"/>
          <w:color w:val="auto"/>
        </w:rPr>
      </w:pPr>
    </w:p>
    <w:p>
      <w:pPr>
        <w:ind w:right="20"/>
        <w:spacing w:after="0" w:line="342"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120" w:lineRule="exact"/>
        <w:rPr>
          <w:sz w:val="24"/>
          <w:szCs w:val="24"/>
          <w:color w:val="auto"/>
        </w:rPr>
      </w:pPr>
    </w:p>
    <w:p>
      <w:pPr>
        <w:ind w:right="260"/>
        <w:spacing w:after="0" w:line="282" w:lineRule="auto"/>
        <w:rPr>
          <w:sz w:val="20"/>
          <w:szCs w:val="20"/>
          <w:color w:val="auto"/>
        </w:rPr>
      </w:pPr>
      <w:r>
        <w:rPr>
          <w:rFonts w:ascii="Arial" w:cs="Arial" w:eastAsia="Arial" w:hAnsi="Arial"/>
          <w:sz w:val="18"/>
          <w:szCs w:val="18"/>
          <w:b w:val="1"/>
          <w:bCs w:val="1"/>
          <w:color w:val="auto"/>
        </w:rPr>
        <w:t>Persons who respond to the collection of information contained in this form are not required to respond unless the form displays a currently valid OMB control number.</w:t>
      </w:r>
    </w:p>
    <w:p>
      <w:pPr>
        <w:spacing w:after="0" w:line="166" w:lineRule="exact"/>
        <w:rPr>
          <w:sz w:val="24"/>
          <w:szCs w:val="24"/>
          <w:color w:val="auto"/>
        </w:rPr>
      </w:pPr>
    </w:p>
    <w:p>
      <w:pPr>
        <w:spacing w:after="0"/>
        <w:rPr>
          <w:sz w:val="20"/>
          <w:szCs w:val="20"/>
          <w:color w:val="auto"/>
        </w:rPr>
      </w:pPr>
      <w:r>
        <w:rPr>
          <w:rFonts w:ascii="Arial" w:cs="Arial" w:eastAsia="Arial" w:hAnsi="Arial"/>
          <w:sz w:val="18"/>
          <w:szCs w:val="18"/>
          <w:color w:val="auto"/>
        </w:rPr>
        <w:t>SEC 1745 (3-06)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75" w:lineRule="exact"/>
        <w:rPr>
          <w:sz w:val="24"/>
          <w:szCs w:val="24"/>
          <w:color w:val="auto"/>
        </w:rPr>
      </w:pPr>
    </w:p>
    <w:p>
      <w:pPr>
        <w:ind w:left="60"/>
        <w:spacing w:after="0"/>
        <w:rPr>
          <w:sz w:val="20"/>
          <w:szCs w:val="20"/>
          <w:color w:val="auto"/>
        </w:rPr>
      </w:pPr>
      <w:r>
        <w:rPr>
          <w:rFonts w:ascii="Arial" w:cs="Arial" w:eastAsia="Arial" w:hAnsi="Arial"/>
          <w:sz w:val="18"/>
          <w:szCs w:val="18"/>
          <w:color w:val="auto"/>
        </w:rPr>
        <w:t>CUSIP No. 882508104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35" w:lineRule="exact"/>
        <w:rPr>
          <w:sz w:val="24"/>
          <w:szCs w:val="24"/>
          <w:color w:val="auto"/>
        </w:rPr>
      </w:pPr>
    </w:p>
    <w:p>
      <w:pPr>
        <w:ind w:left="1060" w:hanging="620"/>
        <w:spacing w:after="0"/>
        <w:tabs>
          <w:tab w:leader="none" w:pos="1060" w:val="left"/>
        </w:tabs>
        <w:numPr>
          <w:ilvl w:val="0"/>
          <w:numId w:val="2"/>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23" w:lineRule="exact"/>
        <w:rPr>
          <w:rFonts w:ascii="Arial" w:cs="Arial" w:eastAsia="Arial" w:hAnsi="Arial"/>
          <w:sz w:val="18"/>
          <w:szCs w:val="18"/>
          <w:color w:val="auto"/>
        </w:rPr>
      </w:pPr>
    </w:p>
    <w:p>
      <w:pPr>
        <w:ind w:left="1060" w:right="6180"/>
        <w:spacing w:after="0" w:line="290" w:lineRule="auto"/>
        <w:rPr>
          <w:rFonts w:ascii="Arial" w:cs="Arial" w:eastAsia="Arial" w:hAnsi="Arial"/>
          <w:sz w:val="18"/>
          <w:szCs w:val="18"/>
          <w:color w:val="auto"/>
        </w:rPr>
      </w:pPr>
      <w:r>
        <w:rPr>
          <w:rFonts w:ascii="Arial" w:cs="Arial" w:eastAsia="Arial" w:hAnsi="Arial"/>
          <w:sz w:val="17"/>
          <w:szCs w:val="17"/>
          <w:color w:val="auto"/>
        </w:rPr>
        <w:t>I.R.S. Identification Nos. of above persons (entities only). PRIMECAP Management Company 95-3868081</w:t>
      </w:r>
    </w:p>
    <w:p>
      <w:pPr>
        <w:spacing w:after="0" w:line="377" w:lineRule="exact"/>
        <w:rPr>
          <w:rFonts w:ascii="Arial" w:cs="Arial" w:eastAsia="Arial" w:hAnsi="Arial"/>
          <w:sz w:val="18"/>
          <w:szCs w:val="18"/>
          <w:color w:val="auto"/>
        </w:rPr>
      </w:pPr>
    </w:p>
    <w:p>
      <w:pPr>
        <w:ind w:left="1060" w:hanging="620"/>
        <w:spacing w:after="0"/>
        <w:tabs>
          <w:tab w:leader="none" w:pos="10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17" w:lineRule="exact"/>
        <w:rPr>
          <w:rFonts w:ascii="Arial" w:cs="Arial" w:eastAsia="Arial" w:hAnsi="Arial"/>
          <w:sz w:val="18"/>
          <w:szCs w:val="18"/>
          <w:color w:val="auto"/>
        </w:rPr>
      </w:pPr>
    </w:p>
    <w:p>
      <w:pPr>
        <w:ind w:left="2220" w:hanging="1159"/>
        <w:spacing w:after="0"/>
        <w:tabs>
          <w:tab w:leader="none" w:pos="2220" w:val="left"/>
        </w:tabs>
        <w:numPr>
          <w:ilvl w:val="1"/>
          <w:numId w:val="2"/>
        </w:numPr>
        <w:rPr>
          <w:rFonts w:ascii="Arial" w:cs="Arial" w:eastAsia="Arial" w:hAnsi="Arial"/>
          <w:sz w:val="18"/>
          <w:szCs w:val="18"/>
          <w:color w:val="auto"/>
        </w:rPr>
      </w:pPr>
      <w:r>
        <w:rPr>
          <w:rFonts w:ascii="Arial" w:cs="Arial" w:eastAsia="Arial" w:hAnsi="Arial"/>
          <w:sz w:val="18"/>
          <w:szCs w:val="18"/>
          <w:color w:val="auto"/>
        </w:rPr>
        <w:t>o</w:t>
      </w:r>
    </w:p>
    <w:p>
      <w:pPr>
        <w:spacing w:after="0" w:line="130" w:lineRule="exact"/>
        <w:rPr>
          <w:rFonts w:ascii="Arial" w:cs="Arial" w:eastAsia="Arial" w:hAnsi="Arial"/>
          <w:sz w:val="18"/>
          <w:szCs w:val="18"/>
          <w:color w:val="auto"/>
        </w:rPr>
      </w:pPr>
    </w:p>
    <w:p>
      <w:pPr>
        <w:ind w:left="2220" w:hanging="1159"/>
        <w:spacing w:after="0"/>
        <w:tabs>
          <w:tab w:leader="none" w:pos="2220" w:val="left"/>
        </w:tabs>
        <w:numPr>
          <w:ilvl w:val="1"/>
          <w:numId w:val="2"/>
        </w:numPr>
        <w:rPr>
          <w:rFonts w:ascii="Arial" w:cs="Arial" w:eastAsia="Arial" w:hAnsi="Arial"/>
          <w:sz w:val="18"/>
          <w:szCs w:val="18"/>
          <w:color w:val="auto"/>
        </w:rPr>
      </w:pPr>
      <w:r>
        <w:rPr>
          <w:rFonts w:ascii="Arial" w:cs="Arial" w:eastAsia="Arial" w:hAnsi="Arial"/>
          <w:sz w:val="18"/>
          <w:szCs w:val="18"/>
          <w:color w:val="auto"/>
        </w:rPr>
        <w:t>o</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60" w:hanging="620"/>
        <w:spacing w:after="0"/>
        <w:tabs>
          <w:tab w:leader="none" w:pos="1060" w:val="left"/>
        </w:tabs>
        <w:numPr>
          <w:ilvl w:val="0"/>
          <w:numId w:val="2"/>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60" w:hanging="620"/>
        <w:spacing w:after="0"/>
        <w:tabs>
          <w:tab w:leader="none" w:pos="10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3" w:lineRule="exact"/>
        <w:rPr>
          <w:rFonts w:ascii="Arial" w:cs="Arial" w:eastAsia="Arial" w:hAnsi="Arial"/>
          <w:sz w:val="18"/>
          <w:szCs w:val="18"/>
          <w:color w:val="auto"/>
        </w:rPr>
      </w:pPr>
    </w:p>
    <w:p>
      <w:pPr>
        <w:ind w:left="1060"/>
        <w:spacing w:after="0"/>
        <w:rPr>
          <w:rFonts w:ascii="Arial" w:cs="Arial" w:eastAsia="Arial" w:hAnsi="Arial"/>
          <w:sz w:val="18"/>
          <w:szCs w:val="18"/>
          <w:color w:val="auto"/>
        </w:rPr>
      </w:pPr>
      <w:r>
        <w:rPr>
          <w:rFonts w:ascii="Arial" w:cs="Arial" w:eastAsia="Arial" w:hAnsi="Arial"/>
          <w:sz w:val="18"/>
          <w:szCs w:val="18"/>
          <w:color w:val="auto"/>
        </w:rPr>
        <w:t>225 South Lake Ave., #400, Pasadena, CA 91101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639445</wp:posOffset>
            </wp:positionH>
            <wp:positionV relativeFrom="paragraph">
              <wp:posOffset>40005</wp:posOffset>
            </wp:positionV>
            <wp:extent cx="661225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-508000</wp:posOffset>
            </wp:positionV>
            <wp:extent cx="661225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1377315</wp:posOffset>
            </wp:positionH>
            <wp:positionV relativeFrom="paragraph">
              <wp:posOffset>-919480</wp:posOffset>
            </wp:positionV>
            <wp:extent cx="587438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874385" cy="8890"/>
                    </a:xfrm>
                    <a:prstGeom prst="rect">
                      <a:avLst/>
                    </a:prstGeom>
                    <a:noFill/>
                  </pic:spPr>
                </pic:pic>
              </a:graphicData>
            </a:graphic>
          </wp:anchor>
        </w:drawing>
        <w:drawing>
          <wp:anchor simplePos="0" relativeHeight="251657728" behindDoc="1" locked="0" layoutInCell="0" allowOverlap="1">
            <wp:simplePos x="0" y="0"/>
            <wp:positionH relativeFrom="column">
              <wp:posOffset>1377315</wp:posOffset>
            </wp:positionH>
            <wp:positionV relativeFrom="paragraph">
              <wp:posOffset>-1134110</wp:posOffset>
            </wp:positionV>
            <wp:extent cx="587438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874385" cy="8890"/>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-1751330</wp:posOffset>
            </wp:positionV>
            <wp:extent cx="66122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200" w:lineRule="exact"/>
        <w:rPr>
          <w:sz w:val="24"/>
          <w:szCs w:val="24"/>
          <w:color w:val="auto"/>
        </w:rPr>
      </w:pPr>
    </w:p>
    <w:p>
      <w:pPr>
        <w:spacing w:after="0" w:line="220" w:lineRule="exact"/>
        <w:rPr>
          <w:sz w:val="24"/>
          <w:szCs w:val="24"/>
          <w:color w:val="auto"/>
        </w:rPr>
      </w:pPr>
    </w:p>
    <w:tbl>
      <w:tblPr>
        <w:tblLayout w:type="fixed"/>
        <w:tblInd w:w="60" w:type="dxa"/>
        <w:tblCellMar>
          <w:top w:w="0" w:type="dxa"/>
          <w:left w:w="0" w:type="dxa"/>
          <w:bottom w:w="0" w:type="dxa"/>
          <w:right w:w="0" w:type="dxa"/>
        </w:tblCellMar>
      </w:tblP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Number of</w:t>
            </w:r>
          </w:p>
        </w:tc>
        <w:tc>
          <w:tcPr>
            <w:tcW w:w="1280" w:type="dxa"/>
            <w:vAlign w:val="bottom"/>
          </w:tcPr>
          <w:p>
            <w:pPr>
              <w:jc w:val="right"/>
              <w:ind w:right="810"/>
              <w:spacing w:after="0"/>
              <w:rPr>
                <w:sz w:val="20"/>
                <w:szCs w:val="20"/>
                <w:color w:val="auto"/>
              </w:rPr>
            </w:pPr>
            <w:r>
              <w:rPr>
                <w:rFonts w:ascii="Arial" w:cs="Arial" w:eastAsia="Arial" w:hAnsi="Arial"/>
                <w:sz w:val="18"/>
                <w:szCs w:val="18"/>
                <w:color w:val="auto"/>
              </w:rPr>
              <w:t>5.</w:t>
            </w:r>
          </w:p>
        </w:tc>
        <w:tc>
          <w:tcPr>
            <w:tcW w:w="8720" w:type="dxa"/>
            <w:vAlign w:val="bottom"/>
          </w:tcPr>
          <w:p>
            <w:pPr>
              <w:ind w:left="6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Shares</w:t>
            </w:r>
          </w:p>
        </w:tc>
        <w:tc>
          <w:tcPr>
            <w:tcW w:w="1280" w:type="dxa"/>
            <w:vAlign w:val="bottom"/>
          </w:tcPr>
          <w:p>
            <w:pPr>
              <w:spacing w:after="0"/>
              <w:rPr>
                <w:sz w:val="18"/>
                <w:szCs w:val="18"/>
                <w:color w:val="auto"/>
              </w:rPr>
            </w:pPr>
          </w:p>
        </w:tc>
        <w:tc>
          <w:tcPr>
            <w:tcW w:w="8720" w:type="dxa"/>
            <w:vAlign w:val="bottom"/>
          </w:tcPr>
          <w:p>
            <w:pPr>
              <w:ind w:left="60"/>
              <w:spacing w:after="0"/>
              <w:rPr>
                <w:sz w:val="20"/>
                <w:szCs w:val="20"/>
                <w:color w:val="auto"/>
              </w:rPr>
            </w:pPr>
            <w:r>
              <w:rPr>
                <w:rFonts w:ascii="Arial" w:cs="Arial" w:eastAsia="Arial" w:hAnsi="Arial"/>
                <w:sz w:val="18"/>
                <w:szCs w:val="18"/>
                <w:color w:val="auto"/>
              </w:rPr>
              <w:t>7,185,153</w:t>
            </w:r>
          </w:p>
        </w:tc>
        <w:tc>
          <w:tcPr>
            <w:tcW w:w="0" w:type="dxa"/>
            <w:vAlign w:val="bottom"/>
          </w:tcPr>
          <w:p>
            <w:pPr>
              <w:spacing w:after="0"/>
              <w:rPr>
                <w:sz w:val="1"/>
                <w:szCs w:val="1"/>
                <w:color w:val="auto"/>
              </w:rPr>
            </w:pPr>
          </w:p>
        </w:tc>
      </w:tr>
      <w:tr>
        <w:trPr>
          <w:trHeight w:val="68"/>
        </w:trPr>
        <w:tc>
          <w:tcPr>
            <w:tcW w:w="1360" w:type="dxa"/>
            <w:vAlign w:val="bottom"/>
            <w:vMerge w:val="restart"/>
          </w:tcPr>
          <w:p>
            <w:pPr>
              <w:spacing w:after="0"/>
              <w:rPr>
                <w:sz w:val="20"/>
                <w:szCs w:val="20"/>
                <w:color w:val="auto"/>
              </w:rPr>
            </w:pPr>
            <w:r>
              <w:rPr>
                <w:rFonts w:ascii="Arial" w:cs="Arial" w:eastAsia="Arial" w:hAnsi="Arial"/>
                <w:sz w:val="18"/>
                <w:szCs w:val="18"/>
                <w:color w:val="auto"/>
              </w:rPr>
              <w:t>Beneficially by</w:t>
            </w:r>
          </w:p>
        </w:tc>
        <w:tc>
          <w:tcPr>
            <w:tcW w:w="1280" w:type="dxa"/>
            <w:vAlign w:val="bottom"/>
          </w:tcPr>
          <w:p>
            <w:pPr>
              <w:spacing w:after="0"/>
              <w:rPr>
                <w:sz w:val="5"/>
                <w:szCs w:val="5"/>
                <w:color w:val="auto"/>
              </w:rPr>
            </w:pPr>
          </w:p>
        </w:tc>
        <w:tc>
          <w:tcPr>
            <w:tcW w:w="87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8"/>
        </w:trPr>
        <w:tc>
          <w:tcPr>
            <w:tcW w:w="1360" w:type="dxa"/>
            <w:vAlign w:val="bottom"/>
            <w:vMerge w:val="continue"/>
          </w:tcPr>
          <w:p>
            <w:pPr>
              <w:spacing w:after="0"/>
              <w:rPr>
                <w:sz w:val="11"/>
                <w:szCs w:val="11"/>
                <w:color w:val="auto"/>
              </w:rPr>
            </w:pPr>
          </w:p>
        </w:tc>
        <w:tc>
          <w:tcPr>
            <w:tcW w:w="1280" w:type="dxa"/>
            <w:vAlign w:val="bottom"/>
          </w:tcPr>
          <w:p>
            <w:pPr>
              <w:spacing w:after="0"/>
              <w:rPr>
                <w:sz w:val="11"/>
                <w:szCs w:val="11"/>
                <w:color w:val="auto"/>
              </w:rPr>
            </w:pPr>
          </w:p>
        </w:tc>
        <w:tc>
          <w:tcPr>
            <w:tcW w:w="8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Owned by</w:t>
            </w:r>
          </w:p>
        </w:tc>
        <w:tc>
          <w:tcPr>
            <w:tcW w:w="1280" w:type="dxa"/>
            <w:vAlign w:val="bottom"/>
          </w:tcPr>
          <w:p>
            <w:pPr>
              <w:spacing w:after="0"/>
              <w:rPr>
                <w:sz w:val="18"/>
                <w:szCs w:val="18"/>
                <w:color w:val="auto"/>
              </w:rPr>
            </w:pPr>
          </w:p>
        </w:tc>
        <w:tc>
          <w:tcPr>
            <w:tcW w:w="8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Each</w:t>
            </w:r>
          </w:p>
        </w:tc>
        <w:tc>
          <w:tcPr>
            <w:tcW w:w="1280" w:type="dxa"/>
            <w:vAlign w:val="bottom"/>
          </w:tcPr>
          <w:p>
            <w:pPr>
              <w:jc w:val="right"/>
              <w:ind w:right="810"/>
              <w:spacing w:after="0"/>
              <w:rPr>
                <w:sz w:val="20"/>
                <w:szCs w:val="20"/>
                <w:color w:val="auto"/>
              </w:rPr>
            </w:pPr>
            <w:r>
              <w:rPr>
                <w:rFonts w:ascii="Arial" w:cs="Arial" w:eastAsia="Arial" w:hAnsi="Arial"/>
                <w:sz w:val="18"/>
                <w:szCs w:val="18"/>
                <w:color w:val="auto"/>
              </w:rPr>
              <w:t>6.</w:t>
            </w:r>
          </w:p>
        </w:tc>
        <w:tc>
          <w:tcPr>
            <w:tcW w:w="8720" w:type="dxa"/>
            <w:vAlign w:val="bottom"/>
          </w:tcPr>
          <w:p>
            <w:pPr>
              <w:ind w:left="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Reporting</w:t>
            </w:r>
          </w:p>
        </w:tc>
        <w:tc>
          <w:tcPr>
            <w:tcW w:w="1280" w:type="dxa"/>
            <w:vAlign w:val="bottom"/>
          </w:tcPr>
          <w:p>
            <w:pPr>
              <w:spacing w:after="0"/>
              <w:rPr>
                <w:sz w:val="18"/>
                <w:szCs w:val="18"/>
                <w:color w:val="auto"/>
              </w:rPr>
            </w:pPr>
          </w:p>
        </w:tc>
        <w:tc>
          <w:tcPr>
            <w:tcW w:w="8720" w:type="dxa"/>
            <w:vAlign w:val="bottom"/>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68"/>
        </w:trPr>
        <w:tc>
          <w:tcPr>
            <w:tcW w:w="1360" w:type="dxa"/>
            <w:vAlign w:val="bottom"/>
            <w:vMerge w:val="restart"/>
          </w:tcPr>
          <w:p>
            <w:pPr>
              <w:spacing w:after="0"/>
              <w:rPr>
                <w:sz w:val="20"/>
                <w:szCs w:val="20"/>
                <w:color w:val="auto"/>
              </w:rPr>
            </w:pPr>
            <w:r>
              <w:rPr>
                <w:rFonts w:ascii="Arial" w:cs="Arial" w:eastAsia="Arial" w:hAnsi="Arial"/>
                <w:sz w:val="18"/>
                <w:szCs w:val="18"/>
                <w:color w:val="auto"/>
              </w:rPr>
              <w:t>Person With:</w:t>
            </w:r>
          </w:p>
        </w:tc>
        <w:tc>
          <w:tcPr>
            <w:tcW w:w="1280" w:type="dxa"/>
            <w:vAlign w:val="bottom"/>
          </w:tcPr>
          <w:p>
            <w:pPr>
              <w:spacing w:after="0"/>
              <w:rPr>
                <w:sz w:val="5"/>
                <w:szCs w:val="5"/>
                <w:color w:val="auto"/>
              </w:rPr>
            </w:pPr>
          </w:p>
        </w:tc>
        <w:tc>
          <w:tcPr>
            <w:tcW w:w="87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2"/>
        </w:trPr>
        <w:tc>
          <w:tcPr>
            <w:tcW w:w="1360" w:type="dxa"/>
            <w:vAlign w:val="bottom"/>
            <w:vMerge w:val="continue"/>
          </w:tcPr>
          <w:p>
            <w:pPr>
              <w:spacing w:after="0"/>
              <w:rPr>
                <w:sz w:val="12"/>
                <w:szCs w:val="12"/>
                <w:color w:val="auto"/>
              </w:rPr>
            </w:pPr>
          </w:p>
        </w:tc>
        <w:tc>
          <w:tcPr>
            <w:tcW w:w="1280" w:type="dxa"/>
            <w:vAlign w:val="bottom"/>
          </w:tcPr>
          <w:p>
            <w:pPr>
              <w:spacing w:after="0"/>
              <w:rPr>
                <w:sz w:val="12"/>
                <w:szCs w:val="12"/>
                <w:color w:val="auto"/>
              </w:rPr>
            </w:pPr>
          </w:p>
        </w:tc>
        <w:tc>
          <w:tcPr>
            <w:tcW w:w="87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26" w:right="239" w:bottom="0" w:gutter="0" w:footer="0" w:header="0"/>
        </w:sectPr>
      </w:pPr>
    </w:p>
    <w:bookmarkStart w:id="1" w:name="page2"/>
    <w:bookmarkEnd w:id="1"/>
    <w:p>
      <w:pPr>
        <w:ind w:left="2700" w:right="6800" w:hanging="1091"/>
        <w:spacing w:after="0" w:line="277" w:lineRule="auto"/>
        <w:tabs>
          <w:tab w:leader="none" w:pos="2700" w:val="left"/>
        </w:tabs>
        <w:numPr>
          <w:ilvl w:val="1"/>
          <w:numId w:val="3"/>
        </w:numPr>
        <w:rPr>
          <w:rFonts w:ascii="Arial" w:cs="Arial" w:eastAsia="Arial" w:hAnsi="Arial"/>
          <w:sz w:val="18"/>
          <w:szCs w:val="18"/>
          <w:color w:val="auto"/>
        </w:rPr>
      </w:pPr>
      <w:r>
        <w:rPr>
          <w:rFonts w:ascii="Arial" w:cs="Arial" w:eastAsia="Arial" w:hAnsi="Arial"/>
          <w:sz w:val="18"/>
          <w:szCs w:val="18"/>
          <w:color w:val="auto"/>
        </w:rPr>
        <w:t>Sole Dispositive Power 54,483,936</w:t>
      </w:r>
    </w:p>
    <w:p>
      <w:pPr>
        <w:spacing w:after="0" w:line="386" w:lineRule="exact"/>
        <w:rPr>
          <w:rFonts w:ascii="Arial" w:cs="Arial" w:eastAsia="Arial" w:hAnsi="Arial"/>
          <w:sz w:val="18"/>
          <w:szCs w:val="18"/>
          <w:color w:val="auto"/>
        </w:rPr>
      </w:pPr>
    </w:p>
    <w:p>
      <w:pPr>
        <w:ind w:left="2700" w:right="6620" w:hanging="1091"/>
        <w:spacing w:after="0" w:line="277" w:lineRule="auto"/>
        <w:tabs>
          <w:tab w:leader="none" w:pos="2700" w:val="left"/>
        </w:tabs>
        <w:numPr>
          <w:ilvl w:val="1"/>
          <w:numId w:val="3"/>
        </w:numPr>
        <w:rPr>
          <w:rFonts w:ascii="Arial" w:cs="Arial" w:eastAsia="Arial" w:hAnsi="Arial"/>
          <w:sz w:val="18"/>
          <w:szCs w:val="18"/>
          <w:color w:val="auto"/>
        </w:rPr>
      </w:pPr>
      <w:r>
        <w:rPr>
          <w:rFonts w:ascii="Arial" w:cs="Arial" w:eastAsia="Arial" w:hAnsi="Arial"/>
          <w:sz w:val="18"/>
          <w:szCs w:val="18"/>
          <w:color w:val="auto"/>
        </w:rPr>
        <w:t>Shared Dispositive Power 0</w:t>
      </w:r>
    </w:p>
    <w:p>
      <w:pPr>
        <w:spacing w:after="0" w:line="386" w:lineRule="exact"/>
        <w:rPr>
          <w:rFonts w:ascii="Arial" w:cs="Arial" w:eastAsia="Arial" w:hAnsi="Arial"/>
          <w:sz w:val="18"/>
          <w:szCs w:val="18"/>
          <w:color w:val="auto"/>
        </w:rPr>
      </w:pPr>
    </w:p>
    <w:p>
      <w:pPr>
        <w:ind w:left="1000" w:right="5400" w:hanging="620"/>
        <w:spacing w:after="0" w:line="277" w:lineRule="auto"/>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54,483,936</w:t>
      </w:r>
    </w:p>
    <w:p>
      <w:pPr>
        <w:spacing w:after="0" w:line="386" w:lineRule="exact"/>
        <w:rPr>
          <w:rFonts w:ascii="Arial" w:cs="Arial" w:eastAsia="Arial" w:hAnsi="Arial"/>
          <w:sz w:val="18"/>
          <w:szCs w:val="18"/>
          <w:color w:val="auto"/>
        </w:rPr>
      </w:pPr>
    </w:p>
    <w:p>
      <w:pPr>
        <w:ind w:left="1000" w:hanging="620"/>
        <w:spacing w:after="0"/>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Check if the Aggregate Amount in Row (9) Excludes Certain Shares (See Instructions) o</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00" w:right="6400" w:hanging="620"/>
        <w:spacing w:after="0" w:line="277" w:lineRule="auto"/>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Percent of Class Represented by Amount in Row (9) 5.37%</w:t>
      </w:r>
    </w:p>
    <w:p>
      <w:pPr>
        <w:spacing w:after="0" w:line="386" w:lineRule="exact"/>
        <w:rPr>
          <w:rFonts w:ascii="Arial" w:cs="Arial" w:eastAsia="Arial" w:hAnsi="Arial"/>
          <w:sz w:val="18"/>
          <w:szCs w:val="18"/>
          <w:color w:val="auto"/>
        </w:rPr>
      </w:pPr>
    </w:p>
    <w:p>
      <w:pPr>
        <w:ind w:left="1000" w:hanging="620"/>
        <w:spacing w:after="0"/>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3" w:lineRule="exact"/>
        <w:rPr>
          <w:rFonts w:ascii="Arial" w:cs="Arial" w:eastAsia="Arial" w:hAnsi="Arial"/>
          <w:sz w:val="18"/>
          <w:szCs w:val="18"/>
          <w:color w:val="auto"/>
        </w:rPr>
      </w:pPr>
    </w:p>
    <w:p>
      <w:pPr>
        <w:ind w:left="1000"/>
        <w:spacing w:after="0"/>
        <w:rPr>
          <w:rFonts w:ascii="Arial" w:cs="Arial" w:eastAsia="Arial" w:hAnsi="Arial"/>
          <w:sz w:val="18"/>
          <w:szCs w:val="18"/>
          <w:color w:val="auto"/>
        </w:rPr>
      </w:pPr>
      <w:r>
        <w:rPr>
          <w:rFonts w:ascii="Arial" w:cs="Arial" w:eastAsia="Arial" w:hAnsi="Arial"/>
          <w:sz w:val="18"/>
          <w:szCs w:val="18"/>
          <w:color w:val="auto"/>
        </w:rPr>
        <w:t>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601345</wp:posOffset>
            </wp:positionH>
            <wp:positionV relativeFrom="paragraph">
              <wp:posOffset>40005</wp:posOffset>
            </wp:positionV>
            <wp:extent cx="661225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-508000</wp:posOffset>
            </wp:positionV>
            <wp:extent cx="661225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-1057275</wp:posOffset>
            </wp:positionV>
            <wp:extent cx="661225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-1468755</wp:posOffset>
            </wp:positionV>
            <wp:extent cx="661225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1682115</wp:posOffset>
            </wp:positionH>
            <wp:positionV relativeFrom="paragraph">
              <wp:posOffset>-2017395</wp:posOffset>
            </wp:positionV>
            <wp:extent cx="553148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531485" cy="8890"/>
                    </a:xfrm>
                    <a:prstGeom prst="rect">
                      <a:avLst/>
                    </a:prstGeom>
                    <a:noFill/>
                  </pic:spPr>
                </pic:pic>
              </a:graphicData>
            </a:graphic>
          </wp:anchor>
        </w:drawing>
        <w:drawing>
          <wp:anchor simplePos="0" relativeHeight="251657728" behindDoc="1" locked="0" layoutInCell="0" allowOverlap="1">
            <wp:simplePos x="0" y="0"/>
            <wp:positionH relativeFrom="column">
              <wp:posOffset>1682115</wp:posOffset>
            </wp:positionH>
            <wp:positionV relativeFrom="paragraph">
              <wp:posOffset>-2566035</wp:posOffset>
            </wp:positionV>
            <wp:extent cx="553148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spacing w:after="0" w:line="2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81280</wp:posOffset>
            </wp:positionV>
            <wp:extent cx="7267575"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w:t>
      </w:r>
    </w:p>
    <w:p>
      <w:pPr>
        <w:spacing w:after="0" w:line="121" w:lineRule="exact"/>
        <w:rPr>
          <w:sz w:val="20"/>
          <w:szCs w:val="20"/>
          <w:color w:val="auto"/>
        </w:rPr>
      </w:pPr>
    </w:p>
    <w:p>
      <w:pPr>
        <w:ind w:left="1440" w:hanging="493"/>
        <w:spacing w:after="0"/>
        <w:tabs>
          <w:tab w:leader="none" w:pos="1440" w:val="left"/>
        </w:tabs>
        <w:numPr>
          <w:ilvl w:val="0"/>
          <w:numId w:val="5"/>
        </w:numPr>
        <w:rPr>
          <w:rFonts w:ascii="Arial" w:cs="Arial" w:eastAsia="Arial" w:hAnsi="Arial"/>
          <w:sz w:val="18"/>
          <w:szCs w:val="18"/>
          <w:color w:val="auto"/>
        </w:rPr>
      </w:pPr>
      <w:r>
        <w:rPr>
          <w:rFonts w:ascii="Arial" w:cs="Arial" w:eastAsia="Arial" w:hAnsi="Arial"/>
          <w:sz w:val="18"/>
          <w:szCs w:val="18"/>
          <w:color w:val="auto"/>
        </w:rPr>
        <w:t>Name of Issuer</w:t>
      </w:r>
    </w:p>
    <w:p>
      <w:pPr>
        <w:spacing w:after="0" w:line="23" w:lineRule="exact"/>
        <w:rPr>
          <w:rFonts w:ascii="Arial" w:cs="Arial" w:eastAsia="Arial" w:hAnsi="Arial"/>
          <w:sz w:val="18"/>
          <w:szCs w:val="18"/>
          <w:color w:val="auto"/>
        </w:rPr>
      </w:pPr>
    </w:p>
    <w:p>
      <w:pPr>
        <w:ind w:left="1440"/>
        <w:spacing w:after="0"/>
        <w:rPr>
          <w:rFonts w:ascii="Arial" w:cs="Arial" w:eastAsia="Arial" w:hAnsi="Arial"/>
          <w:sz w:val="18"/>
          <w:szCs w:val="18"/>
          <w:color w:val="auto"/>
        </w:rPr>
      </w:pPr>
      <w:r>
        <w:rPr>
          <w:rFonts w:ascii="Arial" w:cs="Arial" w:eastAsia="Arial" w:hAnsi="Arial"/>
          <w:sz w:val="18"/>
          <w:szCs w:val="18"/>
          <w:color w:val="auto"/>
        </w:rPr>
        <w:t>Texas Instruments Inc.</w:t>
      </w:r>
    </w:p>
    <w:p>
      <w:pPr>
        <w:spacing w:after="0" w:line="116" w:lineRule="exact"/>
        <w:rPr>
          <w:rFonts w:ascii="Arial" w:cs="Arial" w:eastAsia="Arial" w:hAnsi="Arial"/>
          <w:sz w:val="18"/>
          <w:szCs w:val="18"/>
          <w:color w:val="auto"/>
        </w:rPr>
      </w:pPr>
    </w:p>
    <w:p>
      <w:pPr>
        <w:ind w:left="1440" w:right="6340" w:hanging="493"/>
        <w:spacing w:after="0" w:line="277" w:lineRule="auto"/>
        <w:tabs>
          <w:tab w:leader="none" w:pos="1440" w:val="left"/>
        </w:tabs>
        <w:numPr>
          <w:ilvl w:val="0"/>
          <w:numId w:val="5"/>
        </w:numPr>
        <w:rPr>
          <w:rFonts w:ascii="Arial" w:cs="Arial" w:eastAsia="Arial" w:hAnsi="Arial"/>
          <w:sz w:val="18"/>
          <w:szCs w:val="18"/>
          <w:color w:val="auto"/>
        </w:rPr>
      </w:pPr>
      <w:r>
        <w:rPr>
          <w:rFonts w:ascii="Arial" w:cs="Arial" w:eastAsia="Arial" w:hAnsi="Arial"/>
          <w:sz w:val="18"/>
          <w:szCs w:val="18"/>
          <w:color w:val="auto"/>
        </w:rPr>
        <w:t>Address of Issuer’s Principal Executive Offices 12500 TI Blvd., Dallas, TX 75243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884555</wp:posOffset>
            </wp:positionH>
            <wp:positionV relativeFrom="paragraph">
              <wp:posOffset>14605</wp:posOffset>
            </wp:positionV>
            <wp:extent cx="632904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329045" cy="8890"/>
                    </a:xfrm>
                    <a:prstGeom prst="rect">
                      <a:avLst/>
                    </a:prstGeom>
                    <a:noFill/>
                  </pic:spPr>
                </pic:pic>
              </a:graphicData>
            </a:graphic>
          </wp:anchor>
        </w:drawing>
        <w:drawing>
          <wp:anchor simplePos="0" relativeHeight="251657728" behindDoc="1" locked="0" layoutInCell="0" allowOverlap="1">
            <wp:simplePos x="0" y="0"/>
            <wp:positionH relativeFrom="column">
              <wp:posOffset>884555</wp:posOffset>
            </wp:positionH>
            <wp:positionV relativeFrom="paragraph">
              <wp:posOffset>-336550</wp:posOffset>
            </wp:positionV>
            <wp:extent cx="632904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329045" cy="8890"/>
                    </a:xfrm>
                    <a:prstGeom prst="rect">
                      <a:avLst/>
                    </a:prstGeom>
                    <a:noFill/>
                  </pic:spPr>
                </pic:pic>
              </a:graphicData>
            </a:graphic>
          </wp:anchor>
        </w:drawing>
      </w: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w:t>
      </w:r>
    </w:p>
    <w:p>
      <w:pPr>
        <w:spacing w:after="0" w:line="121" w:lineRule="exact"/>
        <w:rPr>
          <w:sz w:val="20"/>
          <w:szCs w:val="20"/>
          <w:color w:val="auto"/>
        </w:rPr>
      </w:pPr>
    </w:p>
    <w:p>
      <w:pPr>
        <w:ind w:left="1440" w:hanging="493"/>
        <w:spacing w:after="0"/>
        <w:tabs>
          <w:tab w:leader="none" w:pos="1440" w:val="left"/>
        </w:tabs>
        <w:numPr>
          <w:ilvl w:val="0"/>
          <w:numId w:val="6"/>
        </w:numPr>
        <w:rPr>
          <w:rFonts w:ascii="Arial" w:cs="Arial" w:eastAsia="Arial" w:hAnsi="Arial"/>
          <w:sz w:val="18"/>
          <w:szCs w:val="18"/>
          <w:color w:val="auto"/>
        </w:rPr>
      </w:pPr>
      <w:r>
        <w:rPr>
          <w:rFonts w:ascii="Arial" w:cs="Arial" w:eastAsia="Arial" w:hAnsi="Arial"/>
          <w:sz w:val="18"/>
          <w:szCs w:val="18"/>
          <w:color w:val="auto"/>
        </w:rPr>
        <w:t>Name of Person Filing</w:t>
      </w:r>
    </w:p>
    <w:p>
      <w:pPr>
        <w:spacing w:after="0" w:line="23" w:lineRule="exact"/>
        <w:rPr>
          <w:rFonts w:ascii="Arial" w:cs="Arial" w:eastAsia="Arial" w:hAnsi="Arial"/>
          <w:sz w:val="18"/>
          <w:szCs w:val="18"/>
          <w:color w:val="auto"/>
        </w:rPr>
      </w:pPr>
    </w:p>
    <w:p>
      <w:pPr>
        <w:ind w:left="1440"/>
        <w:spacing w:after="0"/>
        <w:rPr>
          <w:rFonts w:ascii="Arial" w:cs="Arial" w:eastAsia="Arial" w:hAnsi="Arial"/>
          <w:sz w:val="18"/>
          <w:szCs w:val="18"/>
          <w:color w:val="auto"/>
        </w:rPr>
      </w:pPr>
      <w:r>
        <w:rPr>
          <w:rFonts w:ascii="Arial" w:cs="Arial" w:eastAsia="Arial" w:hAnsi="Arial"/>
          <w:sz w:val="18"/>
          <w:szCs w:val="18"/>
          <w:color w:val="auto"/>
        </w:rPr>
        <w:t>PRIMECAP Management Company</w:t>
      </w:r>
    </w:p>
    <w:p>
      <w:pPr>
        <w:spacing w:after="0" w:line="116" w:lineRule="exact"/>
        <w:rPr>
          <w:rFonts w:ascii="Arial" w:cs="Arial" w:eastAsia="Arial" w:hAnsi="Arial"/>
          <w:sz w:val="18"/>
          <w:szCs w:val="18"/>
          <w:color w:val="auto"/>
        </w:rPr>
      </w:pPr>
    </w:p>
    <w:p>
      <w:pPr>
        <w:ind w:left="1440" w:right="5480" w:hanging="493"/>
        <w:spacing w:after="0" w:line="342" w:lineRule="auto"/>
        <w:tabs>
          <w:tab w:leader="none" w:pos="1440" w:val="left"/>
        </w:tabs>
        <w:numPr>
          <w:ilvl w:val="0"/>
          <w:numId w:val="6"/>
        </w:numPr>
        <w:rPr>
          <w:rFonts w:ascii="Arial" w:cs="Arial" w:eastAsia="Arial" w:hAnsi="Arial"/>
          <w:sz w:val="16"/>
          <w:szCs w:val="16"/>
          <w:color w:val="auto"/>
        </w:rPr>
      </w:pPr>
      <w:r>
        <w:rPr>
          <w:rFonts w:ascii="Arial" w:cs="Arial" w:eastAsia="Arial" w:hAnsi="Arial"/>
          <w:sz w:val="16"/>
          <w:szCs w:val="16"/>
          <w:color w:val="auto"/>
        </w:rPr>
        <w:t>Address of Principal Business Office or, if none, Residence 225 South Lake Ave., #400, Pasadena, CA 91101</w:t>
      </w:r>
    </w:p>
    <w:p>
      <w:pPr>
        <w:spacing w:after="0" w:line="29" w:lineRule="exact"/>
        <w:rPr>
          <w:rFonts w:ascii="Arial" w:cs="Arial" w:eastAsia="Arial" w:hAnsi="Arial"/>
          <w:sz w:val="16"/>
          <w:szCs w:val="16"/>
          <w:color w:val="auto"/>
        </w:rPr>
      </w:pPr>
    </w:p>
    <w:p>
      <w:pPr>
        <w:ind w:left="1440" w:right="8940" w:hanging="493"/>
        <w:spacing w:after="0" w:line="342" w:lineRule="auto"/>
        <w:tabs>
          <w:tab w:leader="none" w:pos="1440" w:val="left"/>
        </w:tabs>
        <w:numPr>
          <w:ilvl w:val="0"/>
          <w:numId w:val="6"/>
        </w:numPr>
        <w:rPr>
          <w:rFonts w:ascii="Arial" w:cs="Arial" w:eastAsia="Arial" w:hAnsi="Arial"/>
          <w:sz w:val="16"/>
          <w:szCs w:val="16"/>
          <w:color w:val="auto"/>
        </w:rPr>
      </w:pPr>
      <w:r>
        <w:rPr>
          <w:rFonts w:ascii="Arial" w:cs="Arial" w:eastAsia="Arial" w:hAnsi="Arial"/>
          <w:sz w:val="16"/>
          <w:szCs w:val="16"/>
          <w:color w:val="auto"/>
        </w:rPr>
        <w:t>Citizenship U.S.A.</w:t>
      </w:r>
    </w:p>
    <w:p>
      <w:pPr>
        <w:spacing w:after="0" w:line="29" w:lineRule="exact"/>
        <w:rPr>
          <w:rFonts w:ascii="Arial" w:cs="Arial" w:eastAsia="Arial" w:hAnsi="Arial"/>
          <w:sz w:val="16"/>
          <w:szCs w:val="16"/>
          <w:color w:val="auto"/>
        </w:rPr>
      </w:pPr>
    </w:p>
    <w:p>
      <w:pPr>
        <w:ind w:left="1440" w:right="7840" w:hanging="493"/>
        <w:spacing w:after="0" w:line="277" w:lineRule="auto"/>
        <w:tabs>
          <w:tab w:leader="none" w:pos="14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Title of Class of Securities Common</w:t>
      </w:r>
    </w:p>
    <w:p>
      <w:pPr>
        <w:spacing w:after="0" w:line="75" w:lineRule="exact"/>
        <w:rPr>
          <w:rFonts w:ascii="Arial" w:cs="Arial" w:eastAsia="Arial" w:hAnsi="Arial"/>
          <w:sz w:val="18"/>
          <w:szCs w:val="18"/>
          <w:color w:val="auto"/>
        </w:rPr>
      </w:pPr>
    </w:p>
    <w:p>
      <w:pPr>
        <w:ind w:left="1440" w:right="8600" w:hanging="493"/>
        <w:spacing w:after="0" w:line="342" w:lineRule="auto"/>
        <w:tabs>
          <w:tab w:leader="none" w:pos="1440" w:val="left"/>
        </w:tabs>
        <w:numPr>
          <w:ilvl w:val="0"/>
          <w:numId w:val="6"/>
        </w:numPr>
        <w:rPr>
          <w:rFonts w:ascii="Arial" w:cs="Arial" w:eastAsia="Arial" w:hAnsi="Arial"/>
          <w:sz w:val="16"/>
          <w:szCs w:val="16"/>
          <w:color w:val="auto"/>
        </w:rPr>
      </w:pPr>
      <w:r>
        <w:rPr>
          <w:rFonts w:ascii="Arial" w:cs="Arial" w:eastAsia="Arial" w:hAnsi="Arial"/>
          <w:sz w:val="16"/>
          <w:szCs w:val="16"/>
          <w:color w:val="auto"/>
        </w:rPr>
        <w:t>CUSIP Number 882508104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884555</wp:posOffset>
            </wp:positionH>
            <wp:positionV relativeFrom="paragraph">
              <wp:posOffset>-14605</wp:posOffset>
            </wp:positionV>
            <wp:extent cx="632904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329045" cy="8890"/>
                    </a:xfrm>
                    <a:prstGeom prst="rect">
                      <a:avLst/>
                    </a:prstGeom>
                    <a:noFill/>
                  </pic:spPr>
                </pic:pic>
              </a:graphicData>
            </a:graphic>
          </wp:anchor>
        </w:drawing>
        <w:drawing>
          <wp:anchor simplePos="0" relativeHeight="251657728" behindDoc="1" locked="0" layoutInCell="0" allowOverlap="1">
            <wp:simplePos x="0" y="0"/>
            <wp:positionH relativeFrom="column">
              <wp:posOffset>884555</wp:posOffset>
            </wp:positionH>
            <wp:positionV relativeFrom="paragraph">
              <wp:posOffset>-366395</wp:posOffset>
            </wp:positionV>
            <wp:extent cx="632904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329045" cy="8890"/>
                    </a:xfrm>
                    <a:prstGeom prst="rect">
                      <a:avLst/>
                    </a:prstGeom>
                    <a:noFill/>
                  </pic:spPr>
                </pic:pic>
              </a:graphicData>
            </a:graphic>
          </wp:anchor>
        </w:drawing>
        <w:drawing>
          <wp:anchor simplePos="0" relativeHeight="251657728" behindDoc="1" locked="0" layoutInCell="0" allowOverlap="1">
            <wp:simplePos x="0" y="0"/>
            <wp:positionH relativeFrom="column">
              <wp:posOffset>884555</wp:posOffset>
            </wp:positionH>
            <wp:positionV relativeFrom="paragraph">
              <wp:posOffset>-717550</wp:posOffset>
            </wp:positionV>
            <wp:extent cx="632904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329045" cy="8890"/>
                    </a:xfrm>
                    <a:prstGeom prst="rect">
                      <a:avLst/>
                    </a:prstGeom>
                    <a:noFill/>
                  </pic:spPr>
                </pic:pic>
              </a:graphicData>
            </a:graphic>
          </wp:anchor>
        </w:drawing>
        <w:drawing>
          <wp:anchor simplePos="0" relativeHeight="251657728" behindDoc="1" locked="0" layoutInCell="0" allowOverlap="1">
            <wp:simplePos x="0" y="0"/>
            <wp:positionH relativeFrom="column">
              <wp:posOffset>884555</wp:posOffset>
            </wp:positionH>
            <wp:positionV relativeFrom="paragraph">
              <wp:posOffset>-1069340</wp:posOffset>
            </wp:positionV>
            <wp:extent cx="632904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329045" cy="8890"/>
                    </a:xfrm>
                    <a:prstGeom prst="rect">
                      <a:avLst/>
                    </a:prstGeom>
                    <a:noFill/>
                  </pic:spPr>
                </pic:pic>
              </a:graphicData>
            </a:graphic>
          </wp:anchor>
        </w:drawing>
        <w:drawing>
          <wp:anchor simplePos="0" relativeHeight="251657728" behindDoc="1" locked="0" layoutInCell="0" allowOverlap="1">
            <wp:simplePos x="0" y="0"/>
            <wp:positionH relativeFrom="column">
              <wp:posOffset>884555</wp:posOffset>
            </wp:positionH>
            <wp:positionV relativeFrom="paragraph">
              <wp:posOffset>-1421130</wp:posOffset>
            </wp:positionV>
            <wp:extent cx="632904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329045" cy="8890"/>
                    </a:xfrm>
                    <a:prstGeom prst="rect">
                      <a:avLst/>
                    </a:prstGeom>
                    <a:noFill/>
                  </pic:spPr>
                </pic:pic>
              </a:graphicData>
            </a:graphic>
          </wp:anchor>
        </w:drawing>
      </w:r>
    </w:p>
    <w:p>
      <w:pPr>
        <w:spacing w:after="0" w:line="316"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If this statement is filed pursuant to §§240.13d-1(b) or 240.13d-2(b) or (c), check whether the person filing is a:</w:t>
      </w:r>
    </w:p>
    <w:p>
      <w:pPr>
        <w:spacing w:after="0" w:line="175" w:lineRule="exact"/>
        <w:rPr>
          <w:sz w:val="20"/>
          <w:szCs w:val="20"/>
          <w:color w:val="auto"/>
        </w:rPr>
      </w:pPr>
    </w:p>
    <w:p>
      <w:pPr>
        <w:ind w:left="1440" w:hanging="493"/>
        <w:spacing w:after="0"/>
        <w:tabs>
          <w:tab w:leader="none" w:pos="1440" w:val="left"/>
        </w:tabs>
        <w:numPr>
          <w:ilvl w:val="0"/>
          <w:numId w:val="7"/>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Broker or dealer registered under section 15 of the Act (15 U.S.C. 78o).</w:t>
      </w:r>
    </w:p>
    <w:p>
      <w:pPr>
        <w:spacing w:after="0" w:line="225" w:lineRule="exact"/>
        <w:rPr>
          <w:rFonts w:ascii="Arial" w:cs="Arial" w:eastAsia="Arial" w:hAnsi="Arial"/>
          <w:sz w:val="18"/>
          <w:szCs w:val="18"/>
          <w:color w:val="auto"/>
        </w:rPr>
      </w:pPr>
    </w:p>
    <w:p>
      <w:pPr>
        <w:ind w:left="1440" w:hanging="493"/>
        <w:spacing w:after="0"/>
        <w:tabs>
          <w:tab w:leader="none" w:pos="1440" w:val="left"/>
        </w:tabs>
        <w:numPr>
          <w:ilvl w:val="0"/>
          <w:numId w:val="7"/>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Bank as defined in section 3(a)(6) of the Act (15 U.S.C. 78c).</w:t>
      </w:r>
    </w:p>
    <w:p>
      <w:pPr>
        <w:spacing w:after="0" w:line="225" w:lineRule="exact"/>
        <w:rPr>
          <w:rFonts w:ascii="Arial" w:cs="Arial" w:eastAsia="Arial" w:hAnsi="Arial"/>
          <w:sz w:val="18"/>
          <w:szCs w:val="18"/>
          <w:color w:val="auto"/>
        </w:rPr>
      </w:pPr>
    </w:p>
    <w:p>
      <w:pPr>
        <w:ind w:left="1440" w:hanging="493"/>
        <w:spacing w:after="0"/>
        <w:tabs>
          <w:tab w:leader="none" w:pos="1440" w:val="left"/>
        </w:tabs>
        <w:numPr>
          <w:ilvl w:val="0"/>
          <w:numId w:val="7"/>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Insurance company as defined in section 3(a)(19) of the Act (15 U.S.C. 78c).</w:t>
      </w:r>
    </w:p>
    <w:p>
      <w:pPr>
        <w:spacing w:after="0" w:line="225" w:lineRule="exact"/>
        <w:rPr>
          <w:rFonts w:ascii="Arial" w:cs="Arial" w:eastAsia="Arial" w:hAnsi="Arial"/>
          <w:sz w:val="18"/>
          <w:szCs w:val="18"/>
          <w:color w:val="auto"/>
        </w:rPr>
      </w:pPr>
    </w:p>
    <w:p>
      <w:pPr>
        <w:ind w:left="1440" w:hanging="493"/>
        <w:spacing w:after="0"/>
        <w:tabs>
          <w:tab w:leader="none" w:pos="1440" w:val="left"/>
        </w:tabs>
        <w:numPr>
          <w:ilvl w:val="0"/>
          <w:numId w:val="7"/>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Investment company registered under section 8 of the Investment Company Act of 1940 (15 U.S.C 80a-8).</w:t>
      </w:r>
    </w:p>
    <w:p>
      <w:pPr>
        <w:spacing w:after="0" w:line="225" w:lineRule="exact"/>
        <w:rPr>
          <w:rFonts w:ascii="Arial" w:cs="Arial" w:eastAsia="Arial" w:hAnsi="Arial"/>
          <w:sz w:val="18"/>
          <w:szCs w:val="18"/>
          <w:color w:val="auto"/>
        </w:rPr>
      </w:pPr>
    </w:p>
    <w:p>
      <w:pPr>
        <w:ind w:left="1440" w:hanging="493"/>
        <w:spacing w:after="0"/>
        <w:tabs>
          <w:tab w:leader="none" w:pos="1440" w:val="left"/>
        </w:tabs>
        <w:numPr>
          <w:ilvl w:val="0"/>
          <w:numId w:val="7"/>
        </w:numPr>
        <w:rPr>
          <w:rFonts w:ascii="Arial" w:cs="Arial" w:eastAsia="Arial" w:hAnsi="Arial"/>
          <w:sz w:val="18"/>
          <w:szCs w:val="18"/>
          <w:color w:val="auto"/>
        </w:rPr>
      </w:pPr>
      <w:r>
        <w:rPr>
          <w:rFonts w:ascii="Arial" w:cs="Arial" w:eastAsia="Arial" w:hAnsi="Arial"/>
          <w:sz w:val="18"/>
          <w:szCs w:val="18"/>
          <w:color w:val="auto"/>
        </w:rPr>
        <w:t>x</w:t>
      </w:r>
      <w:r>
        <w:rPr>
          <w:rFonts w:ascii="Arial" w:cs="Arial" w:eastAsia="Arial" w:hAnsi="Arial"/>
          <w:sz w:val="16"/>
          <w:szCs w:val="16"/>
          <w:color w:val="auto"/>
        </w:rPr>
        <w:t>An investment adviser in accordance with §240.13d-1(b)(1)(ii)(E);</w:t>
      </w:r>
    </w:p>
    <w:p>
      <w:pPr>
        <w:spacing w:after="0" w:line="225" w:lineRule="exact"/>
        <w:rPr>
          <w:rFonts w:ascii="Arial" w:cs="Arial" w:eastAsia="Arial" w:hAnsi="Arial"/>
          <w:sz w:val="18"/>
          <w:szCs w:val="18"/>
          <w:color w:val="auto"/>
        </w:rPr>
      </w:pPr>
    </w:p>
    <w:p>
      <w:pPr>
        <w:ind w:left="1440" w:hanging="493"/>
        <w:spacing w:after="0"/>
        <w:tabs>
          <w:tab w:leader="none" w:pos="1440" w:val="left"/>
        </w:tabs>
        <w:numPr>
          <w:ilvl w:val="0"/>
          <w:numId w:val="7"/>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An employee benefit plan or endowment fund in accordance with §240.13d-1(b)(1)(ii)(F);</w:t>
      </w:r>
    </w:p>
    <w:p>
      <w:pPr>
        <w:spacing w:after="0" w:line="225" w:lineRule="exact"/>
        <w:rPr>
          <w:rFonts w:ascii="Arial" w:cs="Arial" w:eastAsia="Arial" w:hAnsi="Arial"/>
          <w:sz w:val="18"/>
          <w:szCs w:val="18"/>
          <w:color w:val="auto"/>
        </w:rPr>
      </w:pPr>
    </w:p>
    <w:p>
      <w:pPr>
        <w:ind w:left="1440" w:hanging="493"/>
        <w:spacing w:after="0"/>
        <w:tabs>
          <w:tab w:leader="none" w:pos="1440" w:val="left"/>
        </w:tabs>
        <w:numPr>
          <w:ilvl w:val="0"/>
          <w:numId w:val="7"/>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 parent holding company or control person in accordance with § 240.13d-1(b)(1)(ii)(G);</w:t>
      </w:r>
    </w:p>
    <w:p>
      <w:pPr>
        <w:spacing w:after="0" w:line="225" w:lineRule="exact"/>
        <w:rPr>
          <w:rFonts w:ascii="Arial" w:cs="Arial" w:eastAsia="Arial" w:hAnsi="Arial"/>
          <w:sz w:val="18"/>
          <w:szCs w:val="18"/>
          <w:color w:val="auto"/>
        </w:rPr>
      </w:pPr>
    </w:p>
    <w:p>
      <w:pPr>
        <w:ind w:left="1440" w:hanging="493"/>
        <w:spacing w:after="0"/>
        <w:tabs>
          <w:tab w:leader="none" w:pos="1440" w:val="left"/>
        </w:tabs>
        <w:numPr>
          <w:ilvl w:val="0"/>
          <w:numId w:val="7"/>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 savings associations as defined in Section 3(b) of the Federal Deposit Insurance Act (12 U.S.C. 1813);</w:t>
      </w:r>
    </w:p>
    <w:p>
      <w:pPr>
        <w:spacing w:after="0" w:line="225" w:lineRule="exact"/>
        <w:rPr>
          <w:rFonts w:ascii="Arial" w:cs="Arial" w:eastAsia="Arial" w:hAnsi="Arial"/>
          <w:sz w:val="18"/>
          <w:szCs w:val="18"/>
          <w:color w:val="auto"/>
        </w:rPr>
      </w:pPr>
    </w:p>
    <w:p>
      <w:pPr>
        <w:ind w:left="1960" w:hanging="1013"/>
        <w:spacing w:after="0" w:line="277" w:lineRule="auto"/>
        <w:tabs>
          <w:tab w:leader="none" w:pos="1447" w:val="left"/>
        </w:tabs>
        <w:numPr>
          <w:ilvl w:val="0"/>
          <w:numId w:val="7"/>
        </w:numPr>
        <w:rPr>
          <w:rFonts w:ascii="Arial" w:cs="Arial" w:eastAsia="Arial" w:hAnsi="Arial"/>
          <w:sz w:val="18"/>
          <w:szCs w:val="18"/>
          <w:color w:val="auto"/>
        </w:rPr>
      </w:pPr>
      <w:r>
        <w:rPr>
          <w:rFonts w:ascii="Arial" w:cs="Arial" w:eastAsia="Arial" w:hAnsi="Arial"/>
          <w:sz w:val="18"/>
          <w:szCs w:val="18"/>
          <w:color w:val="auto"/>
        </w:rPr>
        <w:t>oA church plan that is excluded from the definition of an investment company under section 3(c)(14) of the Investment Company Act of 1940 (15 U.S.C. 80a-3);</w:t>
      </w:r>
    </w:p>
    <w:p>
      <w:pPr>
        <w:spacing w:after="0" w:line="170" w:lineRule="exact"/>
        <w:rPr>
          <w:rFonts w:ascii="Arial" w:cs="Arial" w:eastAsia="Arial" w:hAnsi="Arial"/>
          <w:sz w:val="18"/>
          <w:szCs w:val="18"/>
          <w:color w:val="auto"/>
        </w:rPr>
      </w:pPr>
    </w:p>
    <w:p>
      <w:pPr>
        <w:ind w:left="1440" w:hanging="493"/>
        <w:spacing w:after="0"/>
        <w:tabs>
          <w:tab w:leader="none" w:pos="1440" w:val="left"/>
        </w:tabs>
        <w:numPr>
          <w:ilvl w:val="0"/>
          <w:numId w:val="7"/>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Group, in accordance with §240.13d-1(b)(1)(ii)(J).</w:t>
      </w:r>
    </w:p>
    <w:p>
      <w:pPr>
        <w:sectPr>
          <w:pgSz w:w="11900" w:h="16838" w:orient="portrait"/>
          <w:cols w:equalWidth="0" w:num="1">
            <w:col w:w="11200"/>
          </w:cols>
          <w:pgMar w:left="300" w:top="179" w:right="399" w:bottom="0" w:gutter="0" w:footer="0" w:header="0"/>
        </w:sectPr>
      </w:pPr>
    </w:p>
    <w:p>
      <w:pPr>
        <w:spacing w:after="0" w:line="333"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88900</wp:posOffset>
            </wp:positionV>
            <wp:extent cx="7267575"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200"/>
          </w:cols>
          <w:pgMar w:left="300" w:top="179" w:right="399" w:bottom="0" w:gutter="0" w:footer="0" w:header="0"/>
          <w:type w:val="continuous"/>
        </w:sectPr>
      </w:pPr>
    </w:p>
    <w:bookmarkStart w:id="2" w:name="page3"/>
    <w:bookmarkEnd w:id="2"/>
    <w:p>
      <w:pPr>
        <w:spacing w:after="0"/>
        <w:tabs>
          <w:tab w:leader="none" w:pos="11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Ownership.</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Provide the following information regarding the aggregate number and percentage of the class of securities of the issuer identified in Item 1.</w:t>
      </w:r>
    </w:p>
    <w:p>
      <w:pPr>
        <w:spacing w:after="0" w:line="171" w:lineRule="exact"/>
        <w:rPr>
          <w:sz w:val="20"/>
          <w:szCs w:val="20"/>
          <w:color w:val="auto"/>
        </w:rPr>
      </w:pPr>
    </w:p>
    <w:p>
      <w:pPr>
        <w:ind w:left="1600" w:right="7620" w:hanging="381"/>
        <w:spacing w:after="0" w:line="340" w:lineRule="auto"/>
        <w:tabs>
          <w:tab w:leader="none" w:pos="16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Amount beneficially owned: 54,483,936.</w:t>
      </w:r>
    </w:p>
    <w:p>
      <w:pPr>
        <w:spacing w:after="0" w:line="129" w:lineRule="exact"/>
        <w:rPr>
          <w:rFonts w:ascii="Arial" w:cs="Arial" w:eastAsia="Arial" w:hAnsi="Arial"/>
          <w:sz w:val="18"/>
          <w:szCs w:val="18"/>
          <w:color w:val="auto"/>
        </w:rPr>
      </w:pPr>
    </w:p>
    <w:p>
      <w:pPr>
        <w:ind w:left="1600" w:hanging="386"/>
        <w:spacing w:after="0"/>
        <w:tabs>
          <w:tab w:leader="none" w:pos="1600" w:val="left"/>
        </w:tabs>
        <w:numPr>
          <w:ilvl w:val="0"/>
          <w:numId w:val="8"/>
        </w:numPr>
        <w:rPr>
          <w:rFonts w:ascii="Arial" w:cs="Arial" w:eastAsia="Arial" w:hAnsi="Arial"/>
          <w:sz w:val="18"/>
          <w:szCs w:val="18"/>
          <w:color w:val="auto"/>
        </w:rPr>
      </w:pPr>
      <w:r>
        <w:rPr>
          <w:rFonts w:ascii="Arial" w:cs="Arial" w:eastAsia="Arial" w:hAnsi="Arial"/>
          <w:sz w:val="18"/>
          <w:szCs w:val="18"/>
          <w:color w:val="auto"/>
        </w:rPr>
        <w:t>Percent of class:</w:t>
      </w:r>
    </w:p>
    <w:p>
      <w:pPr>
        <w:spacing w:after="0" w:line="63" w:lineRule="exact"/>
        <w:rPr>
          <w:rFonts w:ascii="Arial" w:cs="Arial" w:eastAsia="Arial" w:hAnsi="Arial"/>
          <w:sz w:val="18"/>
          <w:szCs w:val="18"/>
          <w:color w:val="auto"/>
        </w:rPr>
      </w:pPr>
    </w:p>
    <w:p>
      <w:pPr>
        <w:ind w:left="1600"/>
        <w:spacing w:after="0"/>
        <w:rPr>
          <w:rFonts w:ascii="Arial" w:cs="Arial" w:eastAsia="Arial" w:hAnsi="Arial"/>
          <w:sz w:val="18"/>
          <w:szCs w:val="18"/>
          <w:color w:val="auto"/>
        </w:rPr>
      </w:pPr>
      <w:r>
        <w:rPr>
          <w:rFonts w:ascii="Arial" w:cs="Arial" w:eastAsia="Arial" w:hAnsi="Arial"/>
          <w:sz w:val="18"/>
          <w:szCs w:val="18"/>
          <w:color w:val="auto"/>
        </w:rPr>
        <w:t>5.37%.</w:t>
      </w:r>
    </w:p>
    <w:p>
      <w:pPr>
        <w:spacing w:after="0" w:line="238" w:lineRule="exact"/>
        <w:rPr>
          <w:rFonts w:ascii="Arial" w:cs="Arial" w:eastAsia="Arial" w:hAnsi="Arial"/>
          <w:sz w:val="18"/>
          <w:szCs w:val="18"/>
          <w:color w:val="auto"/>
        </w:rPr>
      </w:pPr>
    </w:p>
    <w:p>
      <w:pPr>
        <w:ind w:left="1600" w:hanging="381"/>
        <w:spacing w:after="0"/>
        <w:tabs>
          <w:tab w:leader="none" w:pos="1600" w:val="left"/>
        </w:tabs>
        <w:numPr>
          <w:ilvl w:val="0"/>
          <w:numId w:val="8"/>
        </w:numPr>
        <w:rPr>
          <w:rFonts w:ascii="Arial" w:cs="Arial" w:eastAsia="Arial" w:hAnsi="Arial"/>
          <w:sz w:val="18"/>
          <w:szCs w:val="18"/>
          <w:color w:val="auto"/>
        </w:rPr>
      </w:pPr>
      <w:r>
        <w:rPr>
          <w:rFonts w:ascii="Arial" w:cs="Arial" w:eastAsia="Arial" w:hAnsi="Arial"/>
          <w:sz w:val="18"/>
          <w:szCs w:val="18"/>
          <w:color w:val="auto"/>
        </w:rPr>
        <w:t>Number of shares as to which the person has: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987425</wp:posOffset>
            </wp:positionH>
            <wp:positionV relativeFrom="paragraph">
              <wp:posOffset>255270</wp:posOffset>
            </wp:positionV>
            <wp:extent cx="622617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226175" cy="8890"/>
                    </a:xfrm>
                    <a:prstGeom prst="rect">
                      <a:avLst/>
                    </a:prstGeom>
                    <a:noFill/>
                  </pic:spPr>
                </pic:pic>
              </a:graphicData>
            </a:graphic>
          </wp:anchor>
        </w:drawing>
        <w:drawing>
          <wp:anchor simplePos="0" relativeHeight="251657728" behindDoc="1" locked="0" layoutInCell="0" allowOverlap="1">
            <wp:simplePos x="0" y="0"/>
            <wp:positionH relativeFrom="column">
              <wp:posOffset>987425</wp:posOffset>
            </wp:positionH>
            <wp:positionV relativeFrom="paragraph">
              <wp:posOffset>-198755</wp:posOffset>
            </wp:positionV>
            <wp:extent cx="622617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226175" cy="8890"/>
                    </a:xfrm>
                    <a:prstGeom prst="rect">
                      <a:avLst/>
                    </a:prstGeom>
                    <a:noFill/>
                  </pic:spPr>
                </pic:pic>
              </a:graphicData>
            </a:graphic>
          </wp:anchor>
        </w:drawing>
        <w:drawing>
          <wp:anchor simplePos="0" relativeHeight="251657728" behindDoc="1" locked="0" layoutInCell="0" allowOverlap="1">
            <wp:simplePos x="0" y="0"/>
            <wp:positionH relativeFrom="column">
              <wp:posOffset>987425</wp:posOffset>
            </wp:positionH>
            <wp:positionV relativeFrom="paragraph">
              <wp:posOffset>-653415</wp:posOffset>
            </wp:positionV>
            <wp:extent cx="622617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226175" cy="8890"/>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ind w:left="2240" w:right="6240" w:hanging="459"/>
        <w:spacing w:after="0" w:line="340" w:lineRule="auto"/>
        <w:tabs>
          <w:tab w:leader="none" w:pos="2240" w:val="left"/>
        </w:tabs>
        <w:numPr>
          <w:ilvl w:val="0"/>
          <w:numId w:val="9"/>
        </w:numPr>
        <w:rPr>
          <w:rFonts w:ascii="Arial" w:cs="Arial" w:eastAsia="Arial" w:hAnsi="Arial"/>
          <w:sz w:val="18"/>
          <w:szCs w:val="18"/>
          <w:color w:val="auto"/>
        </w:rPr>
      </w:pPr>
      <w:r>
        <w:rPr>
          <w:rFonts w:ascii="Arial" w:cs="Arial" w:eastAsia="Arial" w:hAnsi="Arial"/>
          <w:sz w:val="18"/>
          <w:szCs w:val="18"/>
          <w:color w:val="auto"/>
        </w:rPr>
        <w:t>Sole power to vote or to direct the vote 7,185,153.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1381760</wp:posOffset>
            </wp:positionH>
            <wp:positionV relativeFrom="paragraph">
              <wp:posOffset>13970</wp:posOffset>
            </wp:positionV>
            <wp:extent cx="583184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831840" cy="8890"/>
                    </a:xfrm>
                    <a:prstGeom prst="rect">
                      <a:avLst/>
                    </a:prstGeom>
                    <a:noFill/>
                  </pic:spPr>
                </pic:pic>
              </a:graphicData>
            </a:graphic>
          </wp:anchor>
        </w:drawing>
      </w:r>
    </w:p>
    <w:p>
      <w:pPr>
        <w:spacing w:after="0" w:line="109" w:lineRule="exact"/>
        <w:rPr>
          <w:sz w:val="20"/>
          <w:szCs w:val="20"/>
          <w:color w:val="auto"/>
        </w:rPr>
      </w:pPr>
    </w:p>
    <w:p>
      <w:pPr>
        <w:ind w:left="2240" w:right="6060" w:hanging="484"/>
        <w:spacing w:after="0" w:line="340" w:lineRule="auto"/>
        <w:tabs>
          <w:tab w:leader="none" w:pos="22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Shared power to vote or to direct the vote 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1381760</wp:posOffset>
            </wp:positionH>
            <wp:positionV relativeFrom="paragraph">
              <wp:posOffset>13970</wp:posOffset>
            </wp:positionV>
            <wp:extent cx="583184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831840" cy="8890"/>
                    </a:xfrm>
                    <a:prstGeom prst="rect">
                      <a:avLst/>
                    </a:prstGeom>
                    <a:noFill/>
                  </pic:spPr>
                </pic:pic>
              </a:graphicData>
            </a:graphic>
          </wp:anchor>
        </w:drawing>
      </w:r>
    </w:p>
    <w:p>
      <w:pPr>
        <w:spacing w:after="0" w:line="109" w:lineRule="exact"/>
        <w:rPr>
          <w:sz w:val="20"/>
          <w:szCs w:val="20"/>
          <w:color w:val="auto"/>
        </w:rPr>
      </w:pPr>
    </w:p>
    <w:p>
      <w:pPr>
        <w:ind w:left="2240" w:right="5340" w:hanging="509"/>
        <w:spacing w:after="0" w:line="340" w:lineRule="auto"/>
        <w:tabs>
          <w:tab w:leader="none" w:pos="22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54,483,936.</w:t>
      </w:r>
    </w:p>
    <w:p>
      <w:pPr>
        <w:spacing w:after="0" w:line="129" w:lineRule="exact"/>
        <w:rPr>
          <w:rFonts w:ascii="Arial" w:cs="Arial" w:eastAsia="Arial" w:hAnsi="Arial"/>
          <w:sz w:val="18"/>
          <w:szCs w:val="18"/>
          <w:color w:val="auto"/>
        </w:rPr>
      </w:pPr>
    </w:p>
    <w:p>
      <w:pPr>
        <w:ind w:left="2240" w:right="5160" w:hanging="504"/>
        <w:spacing w:after="0" w:line="340" w:lineRule="auto"/>
        <w:tabs>
          <w:tab w:leader="none" w:pos="22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1381760</wp:posOffset>
            </wp:positionH>
            <wp:positionV relativeFrom="paragraph">
              <wp:posOffset>13970</wp:posOffset>
            </wp:positionV>
            <wp:extent cx="583184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831840" cy="8890"/>
                    </a:xfrm>
                    <a:prstGeom prst="rect">
                      <a:avLst/>
                    </a:prstGeom>
                    <a:noFill/>
                  </pic:spPr>
                </pic:pic>
              </a:graphicData>
            </a:graphic>
          </wp:anchor>
        </w:drawing>
        <w:drawing>
          <wp:anchor simplePos="0" relativeHeight="251657728" behindDoc="1" locked="0" layoutInCell="0" allowOverlap="1">
            <wp:simplePos x="0" y="0"/>
            <wp:positionH relativeFrom="column">
              <wp:posOffset>1381760</wp:posOffset>
            </wp:positionH>
            <wp:positionV relativeFrom="paragraph">
              <wp:posOffset>-440055</wp:posOffset>
            </wp:positionV>
            <wp:extent cx="583184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831840" cy="8890"/>
                    </a:xfrm>
                    <a:prstGeom prst="rect">
                      <a:avLst/>
                    </a:prstGeom>
                    <a:noFill/>
                  </pic:spPr>
                </pic:pic>
              </a:graphicData>
            </a:graphic>
          </wp:anchor>
        </w:drawing>
      </w:r>
    </w:p>
    <w:p>
      <w:pPr>
        <w:spacing w:after="0" w:line="258" w:lineRule="exact"/>
        <w:rPr>
          <w:sz w:val="20"/>
          <w:szCs w:val="20"/>
          <w:color w:val="auto"/>
        </w:rPr>
      </w:pPr>
    </w:p>
    <w:p>
      <w:pPr>
        <w:ind w:left="580"/>
        <w:spacing w:after="0"/>
        <w:rPr>
          <w:sz w:val="20"/>
          <w:szCs w:val="20"/>
          <w:color w:val="auto"/>
        </w:rPr>
      </w:pPr>
      <w:r>
        <w:rPr>
          <w:rFonts w:ascii="Arial" w:cs="Arial" w:eastAsia="Arial" w:hAnsi="Arial"/>
          <w:sz w:val="18"/>
          <w:szCs w:val="18"/>
          <w:i w:val="1"/>
          <w:iCs w:val="1"/>
          <w:color w:val="auto"/>
        </w:rPr>
        <w:t xml:space="preserve">Instruction. </w:t>
      </w:r>
      <w:r>
        <w:rPr>
          <w:rFonts w:ascii="Arial" w:cs="Arial" w:eastAsia="Arial" w:hAnsi="Arial"/>
          <w:sz w:val="18"/>
          <w:szCs w:val="18"/>
          <w:color w:val="auto"/>
        </w:rPr>
        <w:t>For computations regarding securities which represent a right to acquire an underlying security</w:t>
      </w:r>
      <w:r>
        <w:rPr>
          <w:rFonts w:ascii="Arial" w:cs="Arial" w:eastAsia="Arial" w:hAnsi="Arial"/>
          <w:sz w:val="18"/>
          <w:szCs w:val="18"/>
          <w:i w:val="1"/>
          <w:iCs w:val="1"/>
          <w:color w:val="auto"/>
        </w:rPr>
        <w:t xml:space="preserve"> see </w:t>
      </w:r>
      <w:r>
        <w:rPr>
          <w:rFonts w:ascii="Arial" w:cs="Arial" w:eastAsia="Arial" w:hAnsi="Arial"/>
          <w:sz w:val="18"/>
          <w:szCs w:val="18"/>
          <w:color w:val="auto"/>
        </w:rPr>
        <w:t>§240.13d-3(d)(1).</w:t>
      </w:r>
    </w:p>
    <w:p>
      <w:pPr>
        <w:spacing w:after="0" w:line="200" w:lineRule="exact"/>
        <w:rPr>
          <w:sz w:val="20"/>
          <w:szCs w:val="20"/>
          <w:color w:val="auto"/>
        </w:rPr>
      </w:pPr>
    </w:p>
    <w:p>
      <w:pPr>
        <w:spacing w:after="0" w:line="237"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Ownership of Five Percent or Less of a Class</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If this statement is being filed to report the fact that as of the date hereof the reporting person has ceased to be the beneficial owner of more than five percent of the class of securities, check the following o.</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Instruction: </w:t>
      </w:r>
      <w:r>
        <w:rPr>
          <w:rFonts w:ascii="Arial" w:cs="Arial" w:eastAsia="Arial" w:hAnsi="Arial"/>
          <w:sz w:val="18"/>
          <w:szCs w:val="18"/>
          <w:color w:val="auto"/>
        </w:rPr>
        <w:t>Dissolution of a group requires a response to this item.</w:t>
      </w:r>
    </w:p>
    <w:p>
      <w:pPr>
        <w:spacing w:after="0" w:line="200" w:lineRule="exact"/>
        <w:rPr>
          <w:sz w:val="20"/>
          <w:szCs w:val="20"/>
          <w:color w:val="auto"/>
        </w:rPr>
      </w:pPr>
    </w:p>
    <w:p>
      <w:pPr>
        <w:spacing w:after="0" w:line="237"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Ownership of More than Five Percent on Behalf of Another Person.</w:t>
      </w:r>
    </w:p>
    <w:p>
      <w:pPr>
        <w:spacing w:after="0" w:line="121"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five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399"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Identification and Classification of the Subsidiary Which Acquired the Security Being Reported on By the Parent Holding Company</w:t>
      </w:r>
    </w:p>
    <w:p>
      <w:pPr>
        <w:spacing w:after="0" w:line="121" w:lineRule="exact"/>
        <w:rPr>
          <w:sz w:val="20"/>
          <w:szCs w:val="20"/>
          <w:color w:val="auto"/>
        </w:rPr>
      </w:pPr>
    </w:p>
    <w:p>
      <w:pPr>
        <w:ind w:right="180" w:firstLine="324"/>
        <w:spacing w:after="0" w:line="264" w:lineRule="auto"/>
        <w:rPr>
          <w:sz w:val="20"/>
          <w:szCs w:val="20"/>
          <w:color w:val="auto"/>
        </w:rPr>
      </w:pPr>
      <w:r>
        <w:rPr>
          <w:rFonts w:ascii="Arial" w:cs="Arial" w:eastAsia="Arial" w:hAnsi="Arial"/>
          <w:sz w:val="18"/>
          <w:szCs w:val="18"/>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393"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Identification and Classification of Members of the Group</w:t>
      </w:r>
    </w:p>
    <w:p>
      <w:pPr>
        <w:spacing w:after="0" w:line="121" w:lineRule="exact"/>
        <w:rPr>
          <w:sz w:val="20"/>
          <w:szCs w:val="20"/>
          <w:color w:val="auto"/>
        </w:rPr>
      </w:pPr>
    </w:p>
    <w:p>
      <w:pPr>
        <w:ind w:right="320" w:firstLine="324"/>
        <w:spacing w:after="0" w:line="264" w:lineRule="auto"/>
        <w:rPr>
          <w:sz w:val="20"/>
          <w:szCs w:val="20"/>
          <w:color w:val="auto"/>
        </w:rPr>
      </w:pPr>
      <w:r>
        <w:rPr>
          <w:rFonts w:ascii="Arial" w:cs="Arial" w:eastAsia="Arial" w:hAnsi="Arial"/>
          <w:sz w:val="18"/>
          <w:szCs w:val="18"/>
          <w:color w:val="auto"/>
        </w:rPr>
        <w:t>If a group has filed this schedule pursuant to §240.13d-1(b)(1)(ii)(J), so indicate under Item 3(j) and attach an exhibit stating the identity and Item 3 classification of each member of the group. If a group has filed this schedule pursuant to §240.13d-1(c) or §240.13d-1(d), attach an exhibit stating the identity of each member of the group.</w:t>
      </w:r>
    </w:p>
    <w:p>
      <w:pPr>
        <w:spacing w:after="0" w:line="393"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Notice of Dissolution of Group</w:t>
      </w:r>
    </w:p>
    <w:p>
      <w:pPr>
        <w:spacing w:after="0" w:line="121"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 See Item 5.</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81280</wp:posOffset>
            </wp:positionV>
            <wp:extent cx="7267575"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Certification</w:t>
      </w:r>
    </w:p>
    <w:p>
      <w:pPr>
        <w:spacing w:after="0" w:line="121" w:lineRule="exact"/>
        <w:rPr>
          <w:sz w:val="20"/>
          <w:szCs w:val="20"/>
          <w:color w:val="auto"/>
        </w:rPr>
      </w:pPr>
    </w:p>
    <w:p>
      <w:pPr>
        <w:ind w:left="960" w:hanging="569"/>
        <w:spacing w:after="0"/>
        <w:tabs>
          <w:tab w:leader="none" w:pos="9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following certification shall be included if the statement is filed pursuant to §240.13d-1(b):</w:t>
      </w:r>
    </w:p>
    <w:p>
      <w:pPr>
        <w:spacing w:after="0" w:line="225" w:lineRule="exact"/>
        <w:rPr>
          <w:sz w:val="20"/>
          <w:szCs w:val="20"/>
          <w:color w:val="auto"/>
        </w:rPr>
      </w:pPr>
    </w:p>
    <w:p>
      <w:pPr>
        <w:ind w:left="1300" w:right="140"/>
        <w:spacing w:after="0" w:line="342" w:lineRule="auto"/>
        <w:rPr>
          <w:sz w:val="20"/>
          <w:szCs w:val="20"/>
          <w:color w:val="auto"/>
        </w:rPr>
      </w:pPr>
      <w:r>
        <w:rPr>
          <w:rFonts w:ascii="Arial" w:cs="Arial" w:eastAsia="Arial" w:hAnsi="Arial"/>
          <w:sz w:val="16"/>
          <w:szCs w:val="16"/>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w:t>
      </w:r>
    </w:p>
    <w:p>
      <w:pPr>
        <w:sectPr>
          <w:pgSz w:w="11900" w:h="16838" w:orient="portrait"/>
          <w:cols w:equalWidth="0" w:num="1">
            <w:col w:w="11280"/>
          </w:cols>
          <w:pgMar w:left="300" w:top="634" w:right="319" w:bottom="0" w:gutter="0" w:footer="0" w:header="0"/>
        </w:sectPr>
      </w:pPr>
    </w:p>
    <w:bookmarkStart w:id="3" w:name="page4"/>
    <w:bookmarkEnd w:id="3"/>
    <w:p>
      <w:pPr>
        <w:ind w:left="1360" w:right="520"/>
        <w:spacing w:after="0" w:line="277" w:lineRule="auto"/>
        <w:rPr>
          <w:sz w:val="20"/>
          <w:szCs w:val="20"/>
          <w:color w:val="auto"/>
        </w:rPr>
      </w:pPr>
      <w:r>
        <w:rPr>
          <w:rFonts w:ascii="Arial" w:cs="Arial" w:eastAsia="Arial" w:hAnsi="Arial"/>
          <w:sz w:val="18"/>
          <w:szCs w:val="18"/>
          <w:color w:val="auto"/>
        </w:rPr>
        <w:t>control of the issuer of the securities and were not acquired and are not held in connection with or as a participant in any transaction having that purpose or effect.</w:t>
      </w:r>
    </w:p>
    <w:p>
      <w:pPr>
        <w:spacing w:after="0" w:line="170" w:lineRule="exact"/>
        <w:rPr>
          <w:sz w:val="20"/>
          <w:szCs w:val="20"/>
          <w:color w:val="auto"/>
        </w:rPr>
      </w:pPr>
    </w:p>
    <w:p>
      <w:pPr>
        <w:ind w:left="1020" w:hanging="569"/>
        <w:spacing w:after="0"/>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following certification shall be included if the statement is filed pursuant to §240.13d-1(c):</w:t>
      </w:r>
    </w:p>
    <w:p>
      <w:pPr>
        <w:spacing w:after="0" w:line="225" w:lineRule="exact"/>
        <w:rPr>
          <w:sz w:val="20"/>
          <w:szCs w:val="20"/>
          <w:color w:val="auto"/>
        </w:rPr>
      </w:pPr>
    </w:p>
    <w:p>
      <w:pPr>
        <w:jc w:val="both"/>
        <w:ind w:left="1360" w:right="80"/>
        <w:spacing w:after="0" w:line="264"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3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48"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February 11, 2016</w:t>
      </w:r>
    </w:p>
    <w:p>
      <w:pPr>
        <w:spacing w:after="0" w:line="23"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4"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/s/ Karen Chen</w:t>
      </w:r>
    </w:p>
    <w:p>
      <w:pPr>
        <w:spacing w:after="0" w:line="23"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4"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Karen Chen, CCO</w:t>
      </w:r>
    </w:p>
    <w:p>
      <w:pPr>
        <w:spacing w:after="0" w:line="23"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Name/Title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4"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 signs the statement shall be typed or printed beneath his signature.</w:t>
      </w:r>
    </w:p>
    <w:p>
      <w:pPr>
        <w:spacing w:after="0" w:line="188"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i w:val="1"/>
          <w:iCs w:val="1"/>
          <w:color w:val="auto"/>
        </w:rPr>
        <w:t>NOTE</w:t>
      </w:r>
      <w:r>
        <w:rPr>
          <w:rFonts w:ascii="Arial" w:cs="Arial" w:eastAsia="Arial" w:hAnsi="Arial"/>
          <w:sz w:val="18"/>
          <w:szCs w:val="18"/>
          <w:color w:val="auto"/>
        </w:rPr>
        <w:t>: Schedules filed in paper format shall include a signed original and five copies of the schedule, including all exhibits.</w:t>
      </w:r>
      <w:r>
        <w:rPr>
          <w:rFonts w:ascii="Arial" w:cs="Arial" w:eastAsia="Arial" w:hAnsi="Arial"/>
          <w:sz w:val="18"/>
          <w:szCs w:val="18"/>
          <w:i w:val="1"/>
          <w:iCs w:val="1"/>
          <w:color w:val="auto"/>
        </w:rPr>
        <w:t xml:space="preserve"> See </w:t>
      </w:r>
      <w:r>
        <w:rPr>
          <w:rFonts w:ascii="Arial" w:cs="Arial" w:eastAsia="Arial" w:hAnsi="Arial"/>
          <w:sz w:val="18"/>
          <w:szCs w:val="18"/>
          <w:color w:val="auto"/>
        </w:rPr>
        <w:t>§240.13d-7 for other parties</w:t>
      </w:r>
      <w:r>
        <w:rPr>
          <w:rFonts w:ascii="Arial" w:cs="Arial" w:eastAsia="Arial" w:hAnsi="Arial"/>
          <w:sz w:val="18"/>
          <w:szCs w:val="18"/>
          <w:i w:val="1"/>
          <w:iCs w:val="1"/>
          <w:color w:val="auto"/>
        </w:rPr>
        <w:t xml:space="preserve"> </w:t>
      </w:r>
      <w:r>
        <w:rPr>
          <w:rFonts w:ascii="Arial" w:cs="Arial" w:eastAsia="Arial" w:hAnsi="Arial"/>
          <w:sz w:val="18"/>
          <w:szCs w:val="18"/>
          <w:color w:val="auto"/>
        </w:rPr>
        <w:t>for whom copies are to be sent.</w:t>
      </w:r>
    </w:p>
    <w:p>
      <w:pPr>
        <w:spacing w:after="0" w:line="16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ATTENTION:</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Intentional misstatements or omissions of fact constitute Federal Criminal Violations (See 18 U.S.C. 1001)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54875" cy="1543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4875" cy="154305"/>
                    </a:xfrm>
                    <a:prstGeom prst="rect">
                      <a:avLst/>
                    </a:prstGeom>
                    <a:noFill/>
                  </pic:spPr>
                </pic:pic>
              </a:graphicData>
            </a:graphic>
          </wp:anchor>
        </w:drawing>
      </w:r>
    </w:p>
    <w:p>
      <w:pPr>
        <w:spacing w:after="0" w:line="2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380"/>
      </w:cols>
      <w:pgMar w:left="240" w:top="125"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1B71EFB"/>
    <w:multiLevelType w:val="hybridMultilevel"/>
    <w:lvl w:ilvl="0">
      <w:lvlJc w:val="left"/>
      <w:lvlText w:val="x"/>
      <w:numFmt w:val="bullet"/>
      <w:start w:val="1"/>
    </w:lvl>
  </w:abstractNum>
  <w:abstractNum w:abstractNumId="1">
    <w:nsid w:val="79E2A9E3"/>
    <w:multiLevelType w:val="hybridMultilevel"/>
    <w:lvl w:ilvl="0">
      <w:lvlJc w:val="left"/>
      <w:lvlText w:val="%1."/>
      <w:numFmt w:val="decimal"/>
      <w:start w:val="1"/>
    </w:lvl>
    <w:lvl w:ilvl="1">
      <w:lvlJc w:val="left"/>
      <w:lvlText w:val="(%2)"/>
      <w:numFmt w:val="lowerLetter"/>
      <w:start w:val="1"/>
    </w:lvl>
  </w:abstractNum>
  <w:abstractNum w:abstractNumId="2">
    <w:nsid w:val="7545E146"/>
    <w:multiLevelType w:val="hybridMultilevel"/>
    <w:lvl w:ilvl="0">
      <w:lvlJc w:val="left"/>
      <w:lvlText w:val="%1"/>
      <w:numFmt w:val="decimal"/>
      <w:start w:val="1"/>
    </w:lvl>
    <w:lvl w:ilvl="1">
      <w:lvlJc w:val="left"/>
      <w:lvlText w:val="%2."/>
      <w:numFmt w:val="decimal"/>
      <w:start w:val="7"/>
    </w:lvl>
  </w:abstractNum>
  <w:abstractNum w:abstractNumId="3">
    <w:nsid w:val="515F007C"/>
    <w:multiLevelType w:val="hybridMultilevel"/>
    <w:lvl w:ilvl="0">
      <w:lvlJc w:val="left"/>
      <w:lvlText w:val="%1."/>
      <w:numFmt w:val="decimal"/>
      <w:start w:val="9"/>
    </w:lvl>
    <w:lvl w:ilvl="1">
      <w:lvlJc w:val="left"/>
      <w:lvlText w:val="%2"/>
      <w:numFmt w:val="decimal"/>
      <w:start w:val="1"/>
    </w:lvl>
  </w:abstractNum>
  <w:abstractNum w:abstractNumId="4">
    <w:nsid w:val="5BD062C2"/>
    <w:multiLevelType w:val="hybridMultilevel"/>
    <w:lvl w:ilvl="0">
      <w:lvlJc w:val="left"/>
      <w:lvlText w:val="(%1)"/>
      <w:numFmt w:val="lowerLetter"/>
      <w:start w:val="1"/>
    </w:lvl>
  </w:abstractNum>
  <w:abstractNum w:abstractNumId="5">
    <w:nsid w:val="12200854"/>
    <w:multiLevelType w:val="hybridMultilevel"/>
    <w:lvl w:ilvl="0">
      <w:lvlJc w:val="left"/>
      <w:lvlText w:val="(%1)"/>
      <w:numFmt w:val="lowerLetter"/>
      <w:start w:val="1"/>
    </w:lvl>
  </w:abstractNum>
  <w:abstractNum w:abstractNumId="6">
    <w:nsid w:val="4DB127F8"/>
    <w:multiLevelType w:val="hybridMultilevel"/>
    <w:lvl w:ilvl="0">
      <w:lvlJc w:val="left"/>
      <w:lvlText w:val="(%1)"/>
      <w:numFmt w:val="lowerLetter"/>
      <w:start w:val="1"/>
    </w:lvl>
  </w:abstractNum>
  <w:abstractNum w:abstractNumId="7">
    <w:nsid w:val="216231B"/>
    <w:multiLevelType w:val="hybridMultilevel"/>
    <w:lvl w:ilvl="0">
      <w:lvlJc w:val="left"/>
      <w:lvlText w:val="(%1)"/>
      <w:numFmt w:val="lowerLetter"/>
      <w:start w:val="1"/>
    </w:lvl>
  </w:abstractNum>
  <w:abstractNum w:abstractNumId="8">
    <w:nsid w:val="1F16E9E8"/>
    <w:multiLevelType w:val="hybridMultilevel"/>
    <w:lvl w:ilvl="0">
      <w:lvlJc w:val="left"/>
      <w:lvlText w:val="(%1)"/>
      <w:numFmt w:val="lowerRoman"/>
      <w:start w:val="1"/>
    </w:lvl>
  </w:abstractNum>
  <w:abstractNum w:abstractNumId="9">
    <w:nsid w:val="1190CDE7"/>
    <w:multiLevelType w:val="hybridMultilevel"/>
    <w:lvl w:ilvl="0">
      <w:lvlJc w:val="left"/>
      <w:lvlText w:val="(%1)"/>
      <w:numFmt w:val="lowerRoman"/>
      <w:start w:val="2"/>
    </w:lvl>
  </w:abstractNum>
  <w:abstractNum w:abstractNumId="10">
    <w:nsid w:val="66EF438D"/>
    <w:multiLevelType w:val="hybridMultilevel"/>
    <w:lvl w:ilvl="0">
      <w:lvlJc w:val="left"/>
      <w:lvlText w:val="(%1)"/>
      <w:numFmt w:val="lowerRoman"/>
      <w:start w:val="3"/>
    </w:lvl>
  </w:abstractNum>
  <w:abstractNum w:abstractNumId="11">
    <w:nsid w:val="140E0F76"/>
    <w:multiLevelType w:val="hybridMultilevel"/>
    <w:lvl w:ilvl="0">
      <w:lvlJc w:val="left"/>
      <w:lvlText w:val="(%1)"/>
      <w:numFmt w:val="lowerLetter"/>
      <w:start w:val="1"/>
    </w:lvl>
  </w:abstractNum>
  <w:abstractNum w:abstractNumId="12">
    <w:nsid w:val="3352255A"/>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2019-12-16T22:03:49Z</dcterms:created>
  <dcterms:modified xsi:type="dcterms:W3CDTF">2019-12-16T22:03:49Z</dcterms:modified>
</cp:coreProperties>
</file>