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671830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611505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12700</wp:posOffset>
            </wp:positionV>
            <wp:extent cx="41662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41275</wp:posOffset>
            </wp:positionV>
            <wp:extent cx="41662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66235" cy="88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October 20,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27940</wp:posOffset>
            </wp:positionV>
            <wp:extent cx="41662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66235" cy="8890"/>
                    </a:xfrm>
                    <a:prstGeom prst="rect">
                      <a:avLst/>
                    </a:prstGeom>
                    <a:noFill/>
                  </pic:spPr>
                </pic:pic>
              </a:graphicData>
            </a:graphic>
          </wp:anchor>
        </w:drawing>
      </w:r>
    </w:p>
    <w:p>
      <w:pPr>
        <w:spacing w:after="0" w:line="15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21590</wp:posOffset>
            </wp:positionV>
            <wp:extent cx="41662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tbl>
      <w:tblPr>
        <w:tblLayout w:type="fixed"/>
        <w:tblInd w:w="940" w:type="dxa"/>
        <w:tblCellMar>
          <w:top w:w="0" w:type="dxa"/>
          <w:left w:w="0" w:type="dxa"/>
          <w:bottom w:w="0" w:type="dxa"/>
          <w:right w:w="0" w:type="dxa"/>
        </w:tblCellMar>
      </w:tblPr>
      <w:tr>
        <w:trPr>
          <w:trHeight w:val="234"/>
        </w:trPr>
        <w:tc>
          <w:tcPr>
            <w:tcW w:w="21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8"/>
              </w:rPr>
              <w:t>DELAWARE</w:t>
            </w:r>
          </w:p>
        </w:tc>
        <w:tc>
          <w:tcPr>
            <w:tcW w:w="5820" w:type="dxa"/>
            <w:vAlign w:val="bottom"/>
          </w:tcPr>
          <w:p>
            <w:pPr>
              <w:jc w:val="center"/>
              <w:ind w:right="640"/>
              <w:spacing w:after="0"/>
              <w:rPr>
                <w:sz w:val="20"/>
                <w:szCs w:val="20"/>
                <w:color w:val="auto"/>
              </w:rPr>
            </w:pPr>
            <w:r>
              <w:rPr>
                <w:rFonts w:ascii="Arial" w:cs="Arial" w:eastAsia="Arial" w:hAnsi="Arial"/>
                <w:sz w:val="18"/>
                <w:szCs w:val="18"/>
                <w:b w:val="1"/>
                <w:bCs w:val="1"/>
                <w:color w:val="auto"/>
                <w:w w:val="90"/>
              </w:rPr>
              <w:t>001-03761</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75-0289970</w:t>
            </w:r>
          </w:p>
        </w:tc>
      </w:tr>
      <w:tr>
        <w:trPr>
          <w:trHeight w:val="180"/>
        </w:trPr>
        <w:tc>
          <w:tcPr>
            <w:tcW w:w="21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(State or other jurisdiction</w:t>
            </w:r>
          </w:p>
        </w:tc>
        <w:tc>
          <w:tcPr>
            <w:tcW w:w="5820" w:type="dxa"/>
            <w:vAlign w:val="bottom"/>
          </w:tcPr>
          <w:p>
            <w:pPr>
              <w:jc w:val="center"/>
              <w:ind w:right="640"/>
              <w:spacing w:after="0"/>
              <w:rPr>
                <w:sz w:val="20"/>
                <w:szCs w:val="20"/>
                <w:color w:val="auto"/>
              </w:rPr>
            </w:pPr>
            <w:r>
              <w:rPr>
                <w:rFonts w:ascii="Arial" w:cs="Arial" w:eastAsia="Arial" w:hAnsi="Arial"/>
                <w:sz w:val="14"/>
                <w:szCs w:val="14"/>
                <w:b w:val="1"/>
                <w:bCs w:val="1"/>
                <w:color w:val="auto"/>
                <w:w w:val="92"/>
              </w:rPr>
              <w:t>(Commission</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(I.R.S. employer</w:t>
            </w:r>
          </w:p>
        </w:tc>
      </w:tr>
      <w:tr>
        <w:trPr>
          <w:trHeight w:val="186"/>
        </w:trPr>
        <w:tc>
          <w:tcPr>
            <w:tcW w:w="21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of incorporation)</w:t>
            </w:r>
          </w:p>
        </w:tc>
        <w:tc>
          <w:tcPr>
            <w:tcW w:w="5820" w:type="dxa"/>
            <w:vAlign w:val="bottom"/>
          </w:tcPr>
          <w:p>
            <w:pPr>
              <w:jc w:val="center"/>
              <w:ind w:right="640"/>
              <w:spacing w:after="0"/>
              <w:rPr>
                <w:sz w:val="20"/>
                <w:szCs w:val="20"/>
                <w:color w:val="auto"/>
              </w:rPr>
            </w:pPr>
            <w:r>
              <w:rPr>
                <w:rFonts w:ascii="Arial" w:cs="Arial" w:eastAsia="Arial" w:hAnsi="Arial"/>
                <w:sz w:val="14"/>
                <w:szCs w:val="14"/>
                <w:b w:val="1"/>
                <w:bCs w:val="1"/>
                <w:color w:val="auto"/>
                <w:w w:val="97"/>
              </w:rPr>
              <w:t>file number)</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2"/>
              </w:rPr>
              <w:t>identification no.)</w:t>
            </w:r>
          </w:p>
        </w:tc>
      </w:tr>
      <w:tr>
        <w:trPr>
          <w:trHeight w:val="426"/>
        </w:trPr>
        <w:tc>
          <w:tcPr>
            <w:tcW w:w="1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20" w:type="dxa"/>
            <w:vAlign w:val="bottom"/>
          </w:tcPr>
          <w:p>
            <w:pPr>
              <w:jc w:val="center"/>
              <w:ind w:right="640"/>
              <w:spacing w:after="0"/>
              <w:rPr>
                <w:sz w:val="20"/>
                <w:szCs w:val="20"/>
                <w:color w:val="auto"/>
              </w:rPr>
            </w:pPr>
            <w:r>
              <w:rPr>
                <w:rFonts w:ascii="Arial" w:cs="Arial" w:eastAsia="Arial" w:hAnsi="Arial"/>
                <w:sz w:val="18"/>
                <w:szCs w:val="18"/>
                <w:b w:val="1"/>
                <w:bCs w:val="1"/>
                <w:color w:val="auto"/>
                <w:w w:val="97"/>
              </w:rPr>
              <w:t>12500 TI BOULEVARD</w:t>
            </w:r>
          </w:p>
        </w:tc>
        <w:tc>
          <w:tcPr>
            <w:tcW w:w="1120" w:type="dxa"/>
            <w:vAlign w:val="bottom"/>
          </w:tcPr>
          <w:p>
            <w:pPr>
              <w:spacing w:after="0"/>
              <w:rPr>
                <w:sz w:val="24"/>
                <w:szCs w:val="24"/>
                <w:color w:val="auto"/>
              </w:rPr>
            </w:pPr>
          </w:p>
        </w:tc>
      </w:tr>
      <w:tr>
        <w:trPr>
          <w:trHeight w:val="212"/>
        </w:trPr>
        <w:tc>
          <w:tcPr>
            <w:tcW w:w="1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20" w:type="dxa"/>
            <w:vAlign w:val="bottom"/>
          </w:tcPr>
          <w:p>
            <w:pPr>
              <w:jc w:val="center"/>
              <w:ind w:right="660"/>
              <w:spacing w:after="0"/>
              <w:rPr>
                <w:sz w:val="20"/>
                <w:szCs w:val="20"/>
                <w:color w:val="auto"/>
              </w:rPr>
            </w:pPr>
            <w:r>
              <w:rPr>
                <w:rFonts w:ascii="Arial" w:cs="Arial" w:eastAsia="Arial" w:hAnsi="Arial"/>
                <w:sz w:val="18"/>
                <w:szCs w:val="18"/>
                <w:b w:val="1"/>
                <w:bCs w:val="1"/>
                <w:color w:val="auto"/>
                <w:w w:val="96"/>
              </w:rPr>
              <w:t>DALLAS, TEXAS 75243</w:t>
            </w:r>
          </w:p>
        </w:tc>
        <w:tc>
          <w:tcPr>
            <w:tcW w:w="1120" w:type="dxa"/>
            <w:vAlign w:val="bottom"/>
          </w:tcPr>
          <w:p>
            <w:pPr>
              <w:spacing w:after="0"/>
              <w:rPr>
                <w:sz w:val="18"/>
                <w:szCs w:val="18"/>
                <w:color w:val="auto"/>
              </w:rPr>
            </w:pPr>
          </w:p>
        </w:tc>
      </w:tr>
      <w:tr>
        <w:trPr>
          <w:trHeight w:val="186"/>
        </w:trPr>
        <w:tc>
          <w:tcPr>
            <w:tcW w:w="1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20" w:type="dxa"/>
            <w:vAlign w:val="bottom"/>
          </w:tcPr>
          <w:p>
            <w:pPr>
              <w:jc w:val="center"/>
              <w:ind w:right="6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120" w:type="dxa"/>
            <w:vAlign w:val="bottom"/>
          </w:tcPr>
          <w:p>
            <w:pPr>
              <w:spacing w:after="0"/>
              <w:rPr>
                <w:sz w:val="16"/>
                <w:szCs w:val="16"/>
                <w:color w:val="auto"/>
              </w:rPr>
            </w:pPr>
          </w:p>
        </w:tc>
      </w:tr>
      <w:tr>
        <w:trPr>
          <w:trHeight w:val="378"/>
        </w:trPr>
        <w:tc>
          <w:tcPr>
            <w:tcW w:w="1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20" w:type="dxa"/>
            <w:vAlign w:val="bottom"/>
          </w:tcPr>
          <w:p>
            <w:pPr>
              <w:jc w:val="center"/>
              <w:ind w:right="640"/>
              <w:spacing w:after="0"/>
              <w:rPr>
                <w:sz w:val="20"/>
                <w:szCs w:val="20"/>
                <w:color w:val="auto"/>
              </w:rPr>
            </w:pPr>
            <w:r>
              <w:rPr>
                <w:rFonts w:ascii="Arial" w:cs="Arial" w:eastAsia="Arial" w:hAnsi="Arial"/>
                <w:sz w:val="14"/>
                <w:szCs w:val="14"/>
                <w:b w:val="1"/>
                <w:bCs w:val="1"/>
                <w:color w:val="auto"/>
                <w:w w:val="92"/>
              </w:rPr>
              <w:t>Registrant’s telephone number, including area code: (214) 479-3773</w:t>
            </w:r>
          </w:p>
        </w:tc>
        <w:tc>
          <w:tcPr>
            <w:tcW w:w="1120" w:type="dxa"/>
            <w:vAlign w:val="bottom"/>
          </w:tcPr>
          <w:p>
            <w:pPr>
              <w:spacing w:after="0"/>
              <w:rPr>
                <w:sz w:val="24"/>
                <w:szCs w:val="24"/>
                <w:color w:val="auto"/>
              </w:rPr>
            </w:pPr>
          </w:p>
        </w:tc>
      </w:tr>
      <w:tr>
        <w:trPr>
          <w:trHeight w:val="25"/>
        </w:trPr>
        <w:tc>
          <w:tcPr>
            <w:tcW w:w="14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820" w:type="dxa"/>
            <w:vAlign w:val="bottom"/>
            <w:tcBorders>
              <w:bottom w:val="single" w:sz="8" w:color="auto"/>
            </w:tcBorders>
          </w:tcPr>
          <w:p>
            <w:pPr>
              <w:spacing w:after="0"/>
              <w:rPr>
                <w:sz w:val="2"/>
                <w:szCs w:val="2"/>
                <w:color w:val="auto"/>
              </w:rPr>
            </w:pPr>
          </w:p>
        </w:tc>
        <w:tc>
          <w:tcPr>
            <w:tcW w:w="1120" w:type="dxa"/>
            <w:vAlign w:val="bottom"/>
          </w:tcPr>
          <w:p>
            <w:pPr>
              <w:spacing w:after="0"/>
              <w:rPr>
                <w:sz w:val="2"/>
                <w:szCs w:val="2"/>
                <w:color w:val="auto"/>
              </w:rPr>
            </w:pPr>
          </w:p>
        </w:tc>
      </w:tr>
    </w:tbl>
    <w:p>
      <w:pPr>
        <w:spacing w:after="0" w:line="364" w:lineRule="exact"/>
        <w:rPr>
          <w:sz w:val="24"/>
          <w:szCs w:val="24"/>
          <w:color w:val="auto"/>
        </w:rPr>
      </w:pPr>
    </w:p>
    <w:p>
      <w:pPr>
        <w:ind w:right="36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62" w:lineRule="exact"/>
        <w:rPr>
          <w:sz w:val="24"/>
          <w:szCs w:val="24"/>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87"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00" w:lineRule="exact"/>
        <w:rPr>
          <w:rFonts w:ascii="MS PGothic" w:cs="MS PGothic" w:eastAsia="MS PGothic" w:hAnsi="MS PGothic"/>
          <w:sz w:val="18"/>
          <w:szCs w:val="18"/>
          <w:color w:val="auto"/>
        </w:rPr>
      </w:pPr>
    </w:p>
    <w:p>
      <w:pPr>
        <w:spacing w:after="0" w:line="241"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00" w:lineRule="exact"/>
        <w:rPr>
          <w:rFonts w:ascii="MS PGothic" w:cs="MS PGothic" w:eastAsia="MS PGothic" w:hAnsi="MS PGothic"/>
          <w:sz w:val="18"/>
          <w:szCs w:val="18"/>
          <w:color w:val="auto"/>
        </w:rPr>
      </w:pPr>
    </w:p>
    <w:p>
      <w:pPr>
        <w:spacing w:after="0" w:line="241"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w w:val="95"/>
              </w:rPr>
              <w:t>Securities registered pursuant to Section 12(b) of the Act:</w:t>
            </w:r>
          </w:p>
        </w:tc>
        <w:tc>
          <w:tcPr>
            <w:tcW w:w="1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780" w:type="dxa"/>
            <w:vAlign w:val="bottom"/>
          </w:tcPr>
          <w:p>
            <w:pPr>
              <w:spacing w:after="0"/>
              <w:rPr>
                <w:sz w:val="20"/>
                <w:szCs w:val="20"/>
                <w:color w:val="auto"/>
              </w:rPr>
            </w:pPr>
          </w:p>
        </w:tc>
      </w:tr>
      <w:tr>
        <w:trPr>
          <w:trHeight w:val="373"/>
        </w:trPr>
        <w:tc>
          <w:tcPr>
            <w:tcW w:w="4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Trading</w:t>
            </w:r>
          </w:p>
        </w:tc>
        <w:tc>
          <w:tcPr>
            <w:tcW w:w="4780" w:type="dxa"/>
            <w:vAlign w:val="bottom"/>
          </w:tcPr>
          <w:p>
            <w:pPr>
              <w:spacing w:after="0"/>
              <w:rPr>
                <w:sz w:val="24"/>
                <w:szCs w:val="24"/>
                <w:color w:val="auto"/>
              </w:rPr>
            </w:pPr>
          </w:p>
        </w:tc>
      </w:tr>
      <w:tr>
        <w:trPr>
          <w:trHeight w:val="234"/>
        </w:trPr>
        <w:tc>
          <w:tcPr>
            <w:tcW w:w="4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Title of each class</w:t>
            </w:r>
          </w:p>
        </w:tc>
        <w:tc>
          <w:tcPr>
            <w:tcW w:w="2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Symbol(s)</w:t>
            </w:r>
          </w:p>
        </w:tc>
        <w:tc>
          <w:tcPr>
            <w:tcW w:w="47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40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r>
      <w:tr>
        <w:trPr>
          <w:trHeight w:val="236"/>
        </w:trPr>
        <w:tc>
          <w:tcPr>
            <w:tcW w:w="4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Common Stock, par value $1.00</w:t>
            </w:r>
          </w:p>
        </w:tc>
        <w:tc>
          <w:tcPr>
            <w:tcW w:w="20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rPr>
              <w:t>TXN</w:t>
            </w:r>
          </w:p>
        </w:tc>
        <w:tc>
          <w:tcPr>
            <w:tcW w:w="4780" w:type="dxa"/>
            <w:vAlign w:val="bottom"/>
          </w:tcPr>
          <w:p>
            <w:pPr>
              <w:jc w:val="center"/>
              <w:spacing w:after="0"/>
              <w:rPr>
                <w:sz w:val="20"/>
                <w:szCs w:val="20"/>
                <w:color w:val="auto"/>
              </w:rPr>
            </w:pPr>
            <w:r>
              <w:rPr>
                <w:rFonts w:ascii="Arial" w:cs="Arial" w:eastAsia="Arial" w:hAnsi="Arial"/>
                <w:sz w:val="18"/>
                <w:szCs w:val="18"/>
                <w:b w:val="1"/>
                <w:bCs w:val="1"/>
                <w:color w:val="auto"/>
                <w:w w:val="91"/>
              </w:rPr>
              <w:t>The Nasdaq Global Select Market</w:t>
            </w:r>
          </w:p>
        </w:tc>
      </w:tr>
    </w:tbl>
    <w:p>
      <w:pPr>
        <w:spacing w:after="0" w:line="337"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802005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287655</wp:posOffset>
            </wp:positionV>
            <wp:extent cx="70891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227965</wp:posOffset>
            </wp:positionV>
            <wp:extent cx="7089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20"/>
          </w:cols>
          <w:pgMar w:left="320" w:top="1151"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ITEM 2.02. Results of Operations and Financial Condition</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Registrant’s news release dated October 20, 2020, regarding its third quarter results of operations and financial condition is attached hereto as Exhibit 99.</w:t>
      </w:r>
    </w:p>
    <w:p>
      <w:pPr>
        <w:spacing w:after="0" w:line="170"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attached news release includes references to the following financial measures that were not prepared in accordance with generally accepted accounting principles in the United States (non-GAAP measures): free cash flow and ratios based on free cash flow. The company believes these non-GAAP measures provide insight into its liquidity, cash generating capability and the amount of cash potentially available to return to shareholders, as well as insight into its financial performance. These non-GAAP measures are supplemental to the comparable GAAP measures. Reconciliation to the most directly comparable GAAP measures is included in the “Non-GAAP financial information” section of the news release.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ITEM 9.01. Exhibits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jc w:val="center"/>
              <w:ind w:right="262"/>
              <w:spacing w:after="0"/>
              <w:rPr>
                <w:sz w:val="20"/>
                <w:szCs w:val="20"/>
                <w:color w:val="auto"/>
              </w:rPr>
            </w:pPr>
            <w:r>
              <w:rPr>
                <w:rFonts w:ascii="Arial" w:cs="Arial" w:eastAsia="Arial" w:hAnsi="Arial"/>
                <w:sz w:val="14"/>
                <w:szCs w:val="14"/>
                <w:color w:val="auto"/>
                <w:w w:val="91"/>
              </w:rPr>
              <w:t>Designation</w:t>
            </w:r>
          </w:p>
        </w:tc>
        <w:tc>
          <w:tcPr>
            <w:tcW w:w="9660" w:type="dxa"/>
            <w:vAlign w:val="bottom"/>
          </w:tcPr>
          <w:p>
            <w:pPr>
              <w:spacing w:after="0"/>
              <w:rPr>
                <w:sz w:val="14"/>
                <w:szCs w:val="14"/>
                <w:color w:val="auto"/>
              </w:rPr>
            </w:pPr>
          </w:p>
        </w:tc>
      </w:tr>
      <w:tr>
        <w:trPr>
          <w:trHeight w:val="148"/>
        </w:trPr>
        <w:tc>
          <w:tcPr>
            <w:tcW w:w="1580" w:type="dxa"/>
            <w:vAlign w:val="bottom"/>
          </w:tcPr>
          <w:p>
            <w:pPr>
              <w:jc w:val="center"/>
              <w:ind w:right="242"/>
              <w:spacing w:after="0" w:line="149" w:lineRule="exact"/>
              <w:rPr>
                <w:sz w:val="20"/>
                <w:szCs w:val="20"/>
                <w:color w:val="auto"/>
              </w:rPr>
            </w:pPr>
            <w:r>
              <w:rPr>
                <w:rFonts w:ascii="Arial" w:cs="Arial" w:eastAsia="Arial" w:hAnsi="Arial"/>
                <w:sz w:val="14"/>
                <w:szCs w:val="14"/>
                <w:color w:val="auto"/>
              </w:rPr>
              <w:t>of Exhibit</w:t>
            </w:r>
          </w:p>
        </w:tc>
        <w:tc>
          <w:tcPr>
            <w:tcW w:w="9660" w:type="dxa"/>
            <w:vAlign w:val="bottom"/>
          </w:tcPr>
          <w:p>
            <w:pPr>
              <w:spacing w:after="0"/>
              <w:rPr>
                <w:sz w:val="12"/>
                <w:szCs w:val="12"/>
                <w:color w:val="auto"/>
              </w:rPr>
            </w:pPr>
          </w:p>
        </w:tc>
      </w:tr>
      <w:tr>
        <w:trPr>
          <w:trHeight w:val="148"/>
        </w:trPr>
        <w:tc>
          <w:tcPr>
            <w:tcW w:w="1580" w:type="dxa"/>
            <w:vAlign w:val="bottom"/>
          </w:tcPr>
          <w:p>
            <w:pPr>
              <w:jc w:val="center"/>
              <w:ind w:right="262"/>
              <w:spacing w:after="0" w:line="149" w:lineRule="exact"/>
              <w:rPr>
                <w:sz w:val="20"/>
                <w:szCs w:val="20"/>
                <w:color w:val="auto"/>
              </w:rPr>
            </w:pPr>
            <w:r>
              <w:rPr>
                <w:rFonts w:ascii="Arial" w:cs="Arial" w:eastAsia="Arial" w:hAnsi="Arial"/>
                <w:sz w:val="14"/>
                <w:szCs w:val="14"/>
                <w:color w:val="auto"/>
                <w:w w:val="98"/>
              </w:rPr>
              <w:t>in this</w:t>
            </w:r>
          </w:p>
        </w:tc>
        <w:tc>
          <w:tcPr>
            <w:tcW w:w="9660" w:type="dxa"/>
            <w:vAlign w:val="bottom"/>
          </w:tcPr>
          <w:p>
            <w:pPr>
              <w:spacing w:after="0"/>
              <w:rPr>
                <w:sz w:val="12"/>
                <w:szCs w:val="12"/>
                <w:color w:val="auto"/>
              </w:rPr>
            </w:pPr>
          </w:p>
        </w:tc>
      </w:tr>
      <w:tr>
        <w:trPr>
          <w:trHeight w:val="188"/>
        </w:trPr>
        <w:tc>
          <w:tcPr>
            <w:tcW w:w="1580" w:type="dxa"/>
            <w:vAlign w:val="bottom"/>
          </w:tcPr>
          <w:p>
            <w:pPr>
              <w:jc w:val="center"/>
              <w:ind w:right="262"/>
              <w:spacing w:after="0"/>
              <w:rPr>
                <w:sz w:val="20"/>
                <w:szCs w:val="20"/>
                <w:color w:val="auto"/>
              </w:rPr>
            </w:pPr>
            <w:r>
              <w:rPr>
                <w:rFonts w:ascii="Arial" w:cs="Arial" w:eastAsia="Arial" w:hAnsi="Arial"/>
                <w:sz w:val="14"/>
                <w:szCs w:val="14"/>
                <w:color w:val="auto"/>
                <w:w w:val="95"/>
              </w:rPr>
              <w:t>Report</w:t>
            </w:r>
          </w:p>
        </w:tc>
        <w:tc>
          <w:tcPr>
            <w:tcW w:w="9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Description of Exhibit</w:t>
            </w:r>
          </w:p>
        </w:tc>
      </w:tr>
      <w:tr>
        <w:trPr>
          <w:trHeight w:val="499"/>
        </w:trPr>
        <w:tc>
          <w:tcPr>
            <w:tcW w:w="1580" w:type="dxa"/>
            <w:vAlign w:val="bottom"/>
          </w:tcPr>
          <w:p>
            <w:pPr>
              <w:jc w:val="right"/>
              <w:ind w:right="782"/>
              <w:spacing w:after="0"/>
              <w:rPr>
                <w:sz w:val="20"/>
                <w:szCs w:val="20"/>
                <w:color w:val="auto"/>
              </w:rPr>
            </w:pPr>
            <w:r>
              <w:rPr>
                <w:rFonts w:ascii="Arial" w:cs="Arial" w:eastAsia="Arial" w:hAnsi="Arial"/>
                <w:sz w:val="18"/>
                <w:szCs w:val="18"/>
                <w:color w:val="auto"/>
              </w:rPr>
              <w:t>99</w:t>
            </w:r>
          </w:p>
        </w:tc>
        <w:tc>
          <w:tcPr>
            <w:tcW w:w="9660" w:type="dxa"/>
            <w:vAlign w:val="bottom"/>
          </w:tcPr>
          <w:p>
            <w:pPr>
              <w:ind w:left="2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Registrant’s News Release</w:t>
              </w:r>
            </w:hyperlink>
          </w:p>
        </w:tc>
      </w:tr>
      <w:tr>
        <w:trPr>
          <w:trHeight w:val="270"/>
        </w:trPr>
        <w:tc>
          <w:tcPr>
            <w:tcW w:w="1580" w:type="dxa"/>
            <w:vAlign w:val="bottom"/>
          </w:tcPr>
          <w:p>
            <w:pPr>
              <w:spacing w:after="0"/>
              <w:rPr>
                <w:sz w:val="23"/>
                <w:szCs w:val="23"/>
                <w:color w:val="auto"/>
              </w:rPr>
            </w:pPr>
          </w:p>
        </w:tc>
        <w:tc>
          <w:tcPr>
            <w:tcW w:w="9660" w:type="dxa"/>
            <w:vAlign w:val="bottom"/>
          </w:tcPr>
          <w:p>
            <w:pPr>
              <w:ind w:left="20"/>
              <w:spacing w:after="0"/>
              <w:rPr>
                <w:sz w:val="20"/>
                <w:szCs w:val="20"/>
                <w:color w:val="auto"/>
              </w:rPr>
            </w:pPr>
            <w:r>
              <w:rPr>
                <w:rFonts w:ascii="Arial" w:cs="Arial" w:eastAsia="Arial" w:hAnsi="Arial"/>
                <w:sz w:val="18"/>
                <w:szCs w:val="18"/>
                <w:color w:val="auto"/>
              </w:rPr>
              <w:t>Dated October 20, 2020 (furnished pursuant to Item 2.02)</w:t>
            </w:r>
          </w:p>
        </w:tc>
      </w:tr>
      <w:tr>
        <w:trPr>
          <w:trHeight w:val="270"/>
        </w:trPr>
        <w:tc>
          <w:tcPr>
            <w:tcW w:w="1580" w:type="dxa"/>
            <w:vAlign w:val="bottom"/>
          </w:tcPr>
          <w:p>
            <w:pPr>
              <w:jc w:val="right"/>
              <w:ind w:right="742"/>
              <w:spacing w:after="0"/>
              <w:rPr>
                <w:sz w:val="20"/>
                <w:szCs w:val="20"/>
                <w:color w:val="auto"/>
              </w:rPr>
            </w:pPr>
            <w:r>
              <w:rPr>
                <w:rFonts w:ascii="Arial" w:cs="Arial" w:eastAsia="Arial" w:hAnsi="Arial"/>
                <w:sz w:val="18"/>
                <w:szCs w:val="18"/>
                <w:color w:val="auto"/>
              </w:rPr>
              <w:t>104</w:t>
            </w:r>
          </w:p>
        </w:tc>
        <w:tc>
          <w:tcPr>
            <w:tcW w:w="9660" w:type="dxa"/>
            <w:vAlign w:val="bottom"/>
          </w:tcPr>
          <w:p>
            <w:pPr>
              <w:ind w:left="2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154"/>
        </w:trPr>
        <w:tc>
          <w:tcPr>
            <w:tcW w:w="1580" w:type="dxa"/>
            <w:vAlign w:val="bottom"/>
            <w:tcBorders>
              <w:bottom w:val="single" w:sz="8" w:color="9A9A9A"/>
            </w:tcBorders>
          </w:tcPr>
          <w:p>
            <w:pPr>
              <w:spacing w:after="0"/>
              <w:rPr>
                <w:sz w:val="24"/>
                <w:szCs w:val="24"/>
                <w:color w:val="auto"/>
              </w:rPr>
            </w:pPr>
          </w:p>
        </w:tc>
        <w:tc>
          <w:tcPr>
            <w:tcW w:w="9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 w:name="page3"/>
    <w:bookmarkEnd w:id="2"/>
    <w:p>
      <w:pPr>
        <w:ind w:left="508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65"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TEXAS INSTRUMENTS INCORPORATED</w:t>
      </w:r>
    </w:p>
    <w:p>
      <w:pPr>
        <w:spacing w:after="0" w:line="333" w:lineRule="exact"/>
        <w:rPr>
          <w:sz w:val="20"/>
          <w:szCs w:val="20"/>
          <w:color w:val="auto"/>
        </w:rPr>
      </w:pPr>
    </w:p>
    <w:p>
      <w:pPr>
        <w:ind w:left="20"/>
        <w:spacing w:after="0"/>
        <w:tabs>
          <w:tab w:leader="none" w:pos="6080" w:val="left"/>
          <w:tab w:leader="none" w:pos="6940" w:val="left"/>
        </w:tabs>
        <w:rPr>
          <w:sz w:val="20"/>
          <w:szCs w:val="20"/>
          <w:color w:val="auto"/>
        </w:rPr>
      </w:pPr>
      <w:r>
        <w:rPr>
          <w:rFonts w:ascii="Arial" w:cs="Arial" w:eastAsia="Arial" w:hAnsi="Arial"/>
          <w:sz w:val="18"/>
          <w:szCs w:val="18"/>
          <w:color w:val="auto"/>
        </w:rPr>
        <w:t>Date: October 20,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31750</wp:posOffset>
            </wp:positionV>
            <wp:extent cx="27178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17800" cy="8255"/>
                    </a:xfrm>
                    <a:prstGeom prst="rect">
                      <a:avLst/>
                    </a:prstGeom>
                    <a:noFill/>
                  </pic:spPr>
                </pic:pic>
              </a:graphicData>
            </a:graphic>
          </wp:anchor>
        </w:drawing>
      </w:r>
    </w:p>
    <w:p>
      <w:pPr>
        <w:spacing w:after="0" w:line="57"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Rafael R. Lizardi</w:t>
      </w:r>
    </w:p>
    <w:p>
      <w:pPr>
        <w:spacing w:after="0" w:line="6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Senior Vice President and</w:t>
      </w:r>
    </w:p>
    <w:p>
      <w:pPr>
        <w:spacing w:after="0" w:line="6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340"/>
          </w:cols>
          <w:pgMar w:left="320" w:top="895" w:right="1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 reports third quarter 2020 financial results and shareholder returns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Conference call on TI website at 3:30 p.m. Central time today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3A3AFF"/>
        </w:rPr>
        <w:t>www.ti.com/ir</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DALLAS (October 20, 2020) – Texas Instruments Incorporated (TI) (Nasdaq: TXN) today reported third quarter revenue of $3.82 billion, net income of $1.35 billion and earnings per share of $1.45.</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Regarding the company’s performance and returns to shareholders, Rich Templeton, TI’s chairman, president and CEO, made the following comments:</w:t>
      </w:r>
    </w:p>
    <w:p>
      <w:pPr>
        <w:spacing w:after="0" w:line="248" w:lineRule="exact"/>
        <w:rPr>
          <w:sz w:val="20"/>
          <w:szCs w:val="20"/>
          <w:color w:val="auto"/>
        </w:rPr>
      </w:pPr>
    </w:p>
    <w:p>
      <w:pPr>
        <w:ind w:left="620" w:right="780" w:hanging="329"/>
        <w:spacing w:after="0" w:line="261" w:lineRule="auto"/>
        <w:tabs>
          <w:tab w:leader="none" w:pos="615"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increased 18% sequentially with notable strength from the rebound of automotive demand and growing demand from personal electronics. Revenue increased 1% from the same quarter a year ago.</w:t>
      </w:r>
    </w:p>
    <w:p>
      <w:pPr>
        <w:spacing w:after="0" w:line="170" w:lineRule="exact"/>
        <w:rPr>
          <w:rFonts w:ascii="Arial" w:cs="Arial" w:eastAsia="Arial" w:hAnsi="Arial"/>
          <w:sz w:val="18"/>
          <w:szCs w:val="18"/>
          <w:color w:val="auto"/>
        </w:rPr>
      </w:pPr>
    </w:p>
    <w:p>
      <w:pPr>
        <w:ind w:left="620" w:right="120" w:hanging="329"/>
        <w:spacing w:after="0" w:line="277" w:lineRule="auto"/>
        <w:tabs>
          <w:tab w:leader="none" w:pos="615"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our core businesses, Analog revenue grew 18% and Embedded Processing grew 19% sequentially. From a year ago, Analog revenue grew 7% and Embedded Processing declined 10%.</w:t>
      </w:r>
    </w:p>
    <w:p>
      <w:pPr>
        <w:spacing w:after="0" w:line="170" w:lineRule="exact"/>
        <w:rPr>
          <w:rFonts w:ascii="Arial" w:cs="Arial" w:eastAsia="Arial" w:hAnsi="Arial"/>
          <w:sz w:val="18"/>
          <w:szCs w:val="18"/>
          <w:color w:val="auto"/>
        </w:rPr>
      </w:pPr>
    </w:p>
    <w:p>
      <w:pPr>
        <w:ind w:left="620" w:right="100" w:hanging="329"/>
        <w:spacing w:after="0" w:line="263" w:lineRule="auto"/>
        <w:tabs>
          <w:tab w:leader="none" w:pos="61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cash flow from operations of $5.8 billion for the trailing 12 months again underscored the strength of our business model. Free cash flow for the same period was $5.2 billion and 38% of revenue. This reflects the quality of our product portfolio, as well as the efficiency of our manufacturing strategy, including the benefit of 300-millimeter Analog production.</w:t>
      </w:r>
    </w:p>
    <w:p>
      <w:pPr>
        <w:spacing w:after="0" w:line="183" w:lineRule="exact"/>
        <w:rPr>
          <w:rFonts w:ascii="Arial" w:cs="Arial" w:eastAsia="Arial" w:hAnsi="Arial"/>
          <w:sz w:val="18"/>
          <w:szCs w:val="18"/>
          <w:color w:val="auto"/>
        </w:rPr>
      </w:pPr>
    </w:p>
    <w:p>
      <w:pPr>
        <w:ind w:left="620" w:right="400" w:hanging="329"/>
        <w:spacing w:after="0" w:line="311" w:lineRule="auto"/>
        <w:tabs>
          <w:tab w:leader="none" w:pos="615"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have returned $6.4 billion to owners in the past 12 months through stock repurchases and dividends. Over the same period, our dividends represented 64% of free cash flow, underscoring their sustainability. In September, we announced we would increase our dividend by 13%. Together, our stock repurchases and dividends reflect our continued commitment to return all free cash flow to our owners.</w:t>
      </w:r>
    </w:p>
    <w:p>
      <w:pPr>
        <w:spacing w:after="0" w:line="148" w:lineRule="exact"/>
        <w:rPr>
          <w:rFonts w:ascii="Arial" w:cs="Arial" w:eastAsia="Arial" w:hAnsi="Arial"/>
          <w:sz w:val="16"/>
          <w:szCs w:val="16"/>
          <w:color w:val="auto"/>
        </w:rPr>
      </w:pPr>
    </w:p>
    <w:p>
      <w:pPr>
        <w:ind w:left="620" w:hanging="329"/>
        <w:spacing w:after="0"/>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"TI’s fourth quarter outlook is for revenue in the range of $3.41 billion to $3.69 billion, and earnings per share between $1.20 and $1.40.”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t>Free cash flow, a non-GAAP financial measure, is cash flow from operations less capital expenditures.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are in millions of dollars, except per-share amounts.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ind w:left="200"/>
              <w:spacing w:after="0"/>
              <w:rPr>
                <w:sz w:val="20"/>
                <w:szCs w:val="20"/>
                <w:color w:val="auto"/>
              </w:rPr>
            </w:pPr>
            <w:r>
              <w:rPr>
                <w:rFonts w:ascii="Arial" w:cs="Arial" w:eastAsia="Arial" w:hAnsi="Arial"/>
                <w:sz w:val="18"/>
                <w:szCs w:val="18"/>
                <w:color w:val="auto"/>
              </w:rPr>
              <w:t>Q3 2020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3"/>
          </w:tcPr>
          <w:p>
            <w:pPr>
              <w:ind w:left="140"/>
              <w:spacing w:after="0"/>
              <w:rPr>
                <w:sz w:val="20"/>
                <w:szCs w:val="20"/>
                <w:color w:val="auto"/>
              </w:rPr>
            </w:pPr>
            <w:r>
              <w:rPr>
                <w:rFonts w:ascii="Arial" w:cs="Arial" w:eastAsia="Arial" w:hAnsi="Arial"/>
                <w:sz w:val="18"/>
                <w:szCs w:val="18"/>
                <w:color w:val="auto"/>
              </w:rPr>
              <w:t>Q3 2019</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tcPr>
          <w:p>
            <w:pPr>
              <w:ind w:left="480"/>
              <w:spacing w:after="0"/>
              <w:rPr>
                <w:sz w:val="20"/>
                <w:szCs w:val="20"/>
                <w:color w:val="auto"/>
              </w:rPr>
            </w:pPr>
            <w:r>
              <w:rPr>
                <w:rFonts w:ascii="Arial" w:cs="Arial" w:eastAsia="Arial" w:hAnsi="Arial"/>
                <w:sz w:val="18"/>
                <w:szCs w:val="18"/>
                <w:color w:val="auto"/>
              </w:rPr>
              <w:t>Change</w:t>
            </w:r>
          </w:p>
        </w:tc>
      </w:tr>
      <w:tr>
        <w:trPr>
          <w:trHeight w:val="27"/>
        </w:trPr>
        <w:tc>
          <w:tcPr>
            <w:tcW w:w="9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49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4"/>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4900" w:type="dxa"/>
            <w:vAlign w:val="bottom"/>
            <w:gridSpan w:val="3"/>
          </w:tcPr>
          <w:p>
            <w:pPr>
              <w:ind w:left="20"/>
              <w:spacing w:after="0"/>
              <w:rPr>
                <w:sz w:val="20"/>
                <w:szCs w:val="20"/>
                <w:color w:val="auto"/>
              </w:rPr>
            </w:pPr>
            <w:r>
              <w:rPr>
                <w:rFonts w:ascii="Arial" w:cs="Arial" w:eastAsia="Arial" w:hAnsi="Arial"/>
                <w:sz w:val="18"/>
                <w:szCs w:val="18"/>
                <w:color w:val="auto"/>
              </w:rPr>
              <w:t>Operating profit</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1,609</w:t>
            </w:r>
          </w:p>
        </w:tc>
        <w:tc>
          <w:tcPr>
            <w:tcW w:w="80" w:type="dxa"/>
            <w:vAlign w:val="bottom"/>
          </w:tcPr>
          <w:p>
            <w:pPr>
              <w:spacing w:after="0"/>
              <w:rPr>
                <w:sz w:val="21"/>
                <w:szCs w:val="21"/>
                <w:color w:val="auto"/>
              </w:rPr>
            </w:pPr>
          </w:p>
        </w:tc>
        <w:tc>
          <w:tcPr>
            <w:tcW w:w="360" w:type="dxa"/>
            <w:vAlign w:val="bottom"/>
            <w:gridSpan w:val="4"/>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1,589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1 %</w:t>
            </w:r>
          </w:p>
        </w:tc>
      </w:tr>
      <w:tr>
        <w:trPr>
          <w:trHeight w:val="27"/>
        </w:trPr>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9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4"/>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4900" w:type="dxa"/>
            <w:vAlign w:val="bottom"/>
            <w:gridSpan w:val="3"/>
          </w:tcPr>
          <w:p>
            <w:pPr>
              <w:ind w:left="20"/>
              <w:spacing w:after="0"/>
              <w:rPr>
                <w:sz w:val="20"/>
                <w:szCs w:val="20"/>
                <w:color w:val="auto"/>
              </w:rPr>
            </w:pPr>
            <w:r>
              <w:rPr>
                <w:rFonts w:ascii="Arial" w:cs="Arial" w:eastAsia="Arial" w:hAnsi="Arial"/>
                <w:sz w:val="18"/>
                <w:szCs w:val="18"/>
                <w:color w:val="auto"/>
              </w:rPr>
              <w:t>Earnings per share</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1.45</w:t>
            </w:r>
          </w:p>
        </w:tc>
        <w:tc>
          <w:tcPr>
            <w:tcW w:w="80" w:type="dxa"/>
            <w:vAlign w:val="bottom"/>
          </w:tcPr>
          <w:p>
            <w:pPr>
              <w:spacing w:after="0"/>
              <w:rPr>
                <w:sz w:val="21"/>
                <w:szCs w:val="21"/>
                <w:color w:val="auto"/>
              </w:rPr>
            </w:pPr>
          </w:p>
        </w:tc>
        <w:tc>
          <w:tcPr>
            <w:tcW w:w="360" w:type="dxa"/>
            <w:vAlign w:val="bottom"/>
            <w:gridSpan w:val="4"/>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1.49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(3)%</w:t>
            </w:r>
          </w:p>
        </w:tc>
      </w:tr>
      <w:tr>
        <w:trPr>
          <w:trHeight w:val="527"/>
        </w:trPr>
        <w:tc>
          <w:tcPr>
            <w:tcW w:w="4900" w:type="dxa"/>
            <w:vAlign w:val="bottom"/>
            <w:gridSpan w:val="3"/>
          </w:tcPr>
          <w:p>
            <w:pPr>
              <w:spacing w:after="0"/>
              <w:rPr>
                <w:sz w:val="20"/>
                <w:szCs w:val="20"/>
                <w:color w:val="auto"/>
              </w:rPr>
            </w:pPr>
            <w:r>
              <w:rPr>
                <w:rFonts w:ascii="Arial" w:cs="Arial" w:eastAsia="Arial" w:hAnsi="Arial"/>
                <w:sz w:val="18"/>
                <w:szCs w:val="18"/>
                <w:b w:val="1"/>
                <w:bCs w:val="1"/>
                <w:color w:val="auto"/>
              </w:rPr>
              <w:t>Cash generation</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
        </w:trPr>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44"/>
        </w:trPr>
        <w:tc>
          <w:tcPr>
            <w:tcW w:w="4900" w:type="dxa"/>
            <w:vAlign w:val="bottom"/>
            <w:gridSpan w:val="3"/>
          </w:tcPr>
          <w:p>
            <w:pPr>
              <w:spacing w:after="0"/>
              <w:rPr>
                <w:sz w:val="20"/>
                <w:szCs w:val="20"/>
                <w:color w:val="auto"/>
              </w:rPr>
            </w:pPr>
            <w:r>
              <w:rPr>
                <w:rFonts w:ascii="Arial" w:cs="Arial" w:eastAsia="Arial" w:hAnsi="Arial"/>
                <w:sz w:val="18"/>
                <w:szCs w:val="18"/>
                <w:i w:val="1"/>
                <w:iCs w:val="1"/>
                <w:color w:val="auto"/>
              </w:rPr>
              <w:t>Amounts are in millions of dollars.</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86"/>
        </w:trPr>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gridSpan w:val="5"/>
          </w:tcPr>
          <w:p>
            <w:pPr>
              <w:spacing w:after="0"/>
              <w:rPr>
                <w:sz w:val="20"/>
                <w:szCs w:val="20"/>
                <w:color w:val="auto"/>
              </w:rPr>
            </w:pPr>
            <w:r>
              <w:rPr>
                <w:rFonts w:ascii="Arial" w:cs="Arial" w:eastAsia="Arial" w:hAnsi="Arial"/>
                <w:sz w:val="18"/>
                <w:szCs w:val="18"/>
                <w:color w:val="auto"/>
              </w:rPr>
              <w:t>Trailing 12 Months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7"/>
        </w:trPr>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w w:val="95"/>
              </w:rPr>
              <w:t>Q3 2020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ind w:left="80"/>
              <w:spacing w:after="0"/>
              <w:rPr>
                <w:sz w:val="20"/>
                <w:szCs w:val="20"/>
                <w:color w:val="auto"/>
              </w:rPr>
            </w:pPr>
            <w:r>
              <w:rPr>
                <w:rFonts w:ascii="Arial" w:cs="Arial" w:eastAsia="Arial" w:hAnsi="Arial"/>
                <w:sz w:val="18"/>
                <w:szCs w:val="18"/>
                <w:color w:val="auto"/>
              </w:rPr>
              <w:t>Q3 2020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3"/>
          </w:tcPr>
          <w:p>
            <w:pPr>
              <w:ind w:left="140"/>
              <w:spacing w:after="0"/>
              <w:rPr>
                <w:sz w:val="20"/>
                <w:szCs w:val="20"/>
                <w:color w:val="auto"/>
              </w:rPr>
            </w:pPr>
            <w:r>
              <w:rPr>
                <w:rFonts w:ascii="Arial" w:cs="Arial" w:eastAsia="Arial" w:hAnsi="Arial"/>
                <w:sz w:val="18"/>
                <w:szCs w:val="18"/>
                <w:color w:val="auto"/>
              </w:rPr>
              <w:t>Q3 2019</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tcPr>
          <w:p>
            <w:pPr>
              <w:ind w:left="500"/>
              <w:spacing w:after="0"/>
              <w:rPr>
                <w:sz w:val="20"/>
                <w:szCs w:val="20"/>
                <w:color w:val="auto"/>
              </w:rPr>
            </w:pPr>
            <w:r>
              <w:rPr>
                <w:rFonts w:ascii="Arial" w:cs="Arial" w:eastAsia="Arial" w:hAnsi="Arial"/>
                <w:sz w:val="18"/>
                <w:szCs w:val="18"/>
                <w:color w:val="auto"/>
              </w:rPr>
              <w:t>Change</w:t>
            </w:r>
          </w:p>
        </w:tc>
      </w:tr>
      <w:tr>
        <w:trPr>
          <w:trHeight w:val="27"/>
        </w:trPr>
        <w:tc>
          <w:tcPr>
            <w:tcW w:w="940" w:type="dxa"/>
            <w:vAlign w:val="bottom"/>
            <w:tcBorders>
              <w:bottom w:val="single" w:sz="8" w:color="CCEEFF"/>
            </w:tcBorders>
          </w:tcPr>
          <w:p>
            <w:pPr>
              <w:spacing w:after="0"/>
              <w:rPr>
                <w:sz w:val="2"/>
                <w:szCs w:val="2"/>
                <w:color w:val="auto"/>
              </w:rPr>
            </w:pPr>
          </w:p>
        </w:tc>
        <w:tc>
          <w:tcPr>
            <w:tcW w:w="396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3"/>
        </w:trPr>
        <w:tc>
          <w:tcPr>
            <w:tcW w:w="49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Cash flow from 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5,768</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4"/>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7,040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4900" w:type="dxa"/>
            <w:vAlign w:val="bottom"/>
            <w:gridSpan w:val="3"/>
          </w:tcPr>
          <w:p>
            <w:pPr>
              <w:ind w:left="20"/>
              <w:spacing w:after="0"/>
              <w:rPr>
                <w:sz w:val="20"/>
                <w:szCs w:val="20"/>
                <w:color w:val="auto"/>
              </w:rPr>
            </w:pPr>
            <w:r>
              <w:rPr>
                <w:rFonts w:ascii="Arial" w:cs="Arial" w:eastAsia="Arial" w:hAnsi="Arial"/>
                <w:sz w:val="18"/>
                <w:szCs w:val="18"/>
                <w:color w:val="auto"/>
              </w:rPr>
              <w:t>Capital expenditures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600</w:t>
            </w:r>
          </w:p>
        </w:tc>
        <w:tc>
          <w:tcPr>
            <w:tcW w:w="80" w:type="dxa"/>
            <w:vAlign w:val="bottom"/>
          </w:tcPr>
          <w:p>
            <w:pPr>
              <w:spacing w:after="0"/>
              <w:rPr>
                <w:sz w:val="21"/>
                <w:szCs w:val="21"/>
                <w:color w:val="auto"/>
              </w:rPr>
            </w:pPr>
          </w:p>
        </w:tc>
        <w:tc>
          <w:tcPr>
            <w:tcW w:w="360" w:type="dxa"/>
            <w:vAlign w:val="bottom"/>
            <w:gridSpan w:val="4"/>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1,007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940" w:type="dxa"/>
            <w:vAlign w:val="bottom"/>
          </w:tcPr>
          <w:p>
            <w:pPr>
              <w:spacing w:after="0"/>
              <w:rPr>
                <w:sz w:val="2"/>
                <w:szCs w:val="2"/>
                <w:color w:val="auto"/>
              </w:rPr>
            </w:pPr>
          </w:p>
        </w:tc>
        <w:tc>
          <w:tcPr>
            <w:tcW w:w="39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9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Free cash flow</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5,168</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4"/>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6,033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4900" w:type="dxa"/>
            <w:vAlign w:val="bottom"/>
            <w:gridSpan w:val="3"/>
          </w:tcPr>
          <w:p>
            <w:pPr>
              <w:ind w:left="20"/>
              <w:spacing w:after="0"/>
              <w:rPr>
                <w:sz w:val="20"/>
                <w:szCs w:val="20"/>
                <w:color w:val="auto"/>
              </w:rPr>
            </w:pPr>
            <w:r>
              <w:rPr>
                <w:rFonts w:ascii="Arial" w:cs="Arial" w:eastAsia="Arial" w:hAnsi="Arial"/>
                <w:sz w:val="18"/>
                <w:szCs w:val="18"/>
                <w:color w:val="auto"/>
              </w:rPr>
              <w:t>Free cash flow % of revenue</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37.6 %</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40.9 %</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526"/>
        </w:trPr>
        <w:tc>
          <w:tcPr>
            <w:tcW w:w="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Cash return</w:t>
            </w:r>
          </w:p>
        </w:tc>
        <w:tc>
          <w:tcPr>
            <w:tcW w:w="396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45"/>
        </w:trPr>
        <w:tc>
          <w:tcPr>
            <w:tcW w:w="4900" w:type="dxa"/>
            <w:vAlign w:val="bottom"/>
            <w:gridSpan w:val="3"/>
          </w:tcPr>
          <w:p>
            <w:pPr>
              <w:spacing w:after="0"/>
              <w:rPr>
                <w:sz w:val="20"/>
                <w:szCs w:val="20"/>
                <w:color w:val="auto"/>
              </w:rPr>
            </w:pPr>
            <w:r>
              <w:rPr>
                <w:rFonts w:ascii="Arial" w:cs="Arial" w:eastAsia="Arial" w:hAnsi="Arial"/>
                <w:sz w:val="18"/>
                <w:szCs w:val="18"/>
                <w:i w:val="1"/>
                <w:iCs w:val="1"/>
                <w:color w:val="auto"/>
              </w:rPr>
              <w:t>Amounts are in millions of dollars.</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86"/>
        </w:trPr>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gridSpan w:val="4"/>
          </w:tcPr>
          <w:p>
            <w:pPr>
              <w:ind w:left="80"/>
              <w:spacing w:after="0"/>
              <w:rPr>
                <w:sz w:val="20"/>
                <w:szCs w:val="20"/>
                <w:color w:val="auto"/>
              </w:rPr>
            </w:pPr>
            <w:r>
              <w:rPr>
                <w:rFonts w:ascii="Arial" w:cs="Arial" w:eastAsia="Arial" w:hAnsi="Arial"/>
                <w:sz w:val="18"/>
                <w:szCs w:val="18"/>
                <w:color w:val="auto"/>
                <w:w w:val="95"/>
              </w:rPr>
              <w:t>Trailing 12 Months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7"/>
        </w:trPr>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Q3 2020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ind w:left="220"/>
              <w:spacing w:after="0"/>
              <w:rPr>
                <w:sz w:val="20"/>
                <w:szCs w:val="20"/>
                <w:color w:val="auto"/>
              </w:rPr>
            </w:pPr>
            <w:r>
              <w:rPr>
                <w:rFonts w:ascii="Arial" w:cs="Arial" w:eastAsia="Arial" w:hAnsi="Arial"/>
                <w:sz w:val="18"/>
                <w:szCs w:val="18"/>
                <w:color w:val="auto"/>
              </w:rPr>
              <w:t>Q3 2020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3"/>
          </w:tcPr>
          <w:p>
            <w:pPr>
              <w:ind w:left="160"/>
              <w:spacing w:after="0"/>
              <w:rPr>
                <w:sz w:val="20"/>
                <w:szCs w:val="20"/>
                <w:color w:val="auto"/>
              </w:rPr>
            </w:pPr>
            <w:r>
              <w:rPr>
                <w:rFonts w:ascii="Arial" w:cs="Arial" w:eastAsia="Arial" w:hAnsi="Arial"/>
                <w:sz w:val="18"/>
                <w:szCs w:val="18"/>
                <w:color w:val="auto"/>
              </w:rPr>
              <w:t>Q3 2019</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tcPr>
          <w:p>
            <w:pPr>
              <w:ind w:left="480"/>
              <w:spacing w:after="0"/>
              <w:rPr>
                <w:sz w:val="20"/>
                <w:szCs w:val="20"/>
                <w:color w:val="auto"/>
              </w:rPr>
            </w:pPr>
            <w:r>
              <w:rPr>
                <w:rFonts w:ascii="Arial" w:cs="Arial" w:eastAsia="Arial" w:hAnsi="Arial"/>
                <w:sz w:val="18"/>
                <w:szCs w:val="18"/>
                <w:color w:val="auto"/>
              </w:rPr>
              <w:t>Change</w:t>
            </w:r>
          </w:p>
        </w:tc>
      </w:tr>
      <w:tr>
        <w:trPr>
          <w:trHeight w:val="27"/>
        </w:trPr>
        <w:tc>
          <w:tcPr>
            <w:tcW w:w="4900" w:type="dxa"/>
            <w:vAlign w:val="bottom"/>
            <w:tcBorders>
              <w:bottom w:val="single" w:sz="8" w:color="CCEEFF"/>
            </w:tcBorders>
            <w:gridSpan w:val="3"/>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r>
      <w:tr>
        <w:trPr>
          <w:trHeight w:val="243"/>
        </w:trPr>
        <w:tc>
          <w:tcPr>
            <w:tcW w:w="49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Dividends paid</w:t>
            </w:r>
          </w:p>
        </w:tc>
        <w:tc>
          <w:tcPr>
            <w:tcW w:w="3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4"/>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43"/>
        </w:trPr>
        <w:tc>
          <w:tcPr>
            <w:tcW w:w="4900" w:type="dxa"/>
            <w:vAlign w:val="bottom"/>
            <w:gridSpan w:val="3"/>
          </w:tcPr>
          <w:p>
            <w:pPr>
              <w:ind w:left="20"/>
              <w:spacing w:after="0"/>
              <w:rPr>
                <w:sz w:val="20"/>
                <w:szCs w:val="20"/>
                <w:color w:val="auto"/>
              </w:rPr>
            </w:pPr>
            <w:r>
              <w:rPr>
                <w:rFonts w:ascii="Arial" w:cs="Arial" w:eastAsia="Arial" w:hAnsi="Arial"/>
                <w:sz w:val="18"/>
                <w:szCs w:val="18"/>
                <w:color w:val="auto"/>
              </w:rPr>
              <w:t>Stock repurchases</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3,027</w:t>
            </w:r>
          </w:p>
        </w:tc>
        <w:tc>
          <w:tcPr>
            <w:tcW w:w="80" w:type="dxa"/>
            <w:vAlign w:val="bottom"/>
          </w:tcPr>
          <w:p>
            <w:pPr>
              <w:spacing w:after="0"/>
              <w:rPr>
                <w:sz w:val="21"/>
                <w:szCs w:val="21"/>
                <w:color w:val="auto"/>
              </w:rPr>
            </w:pPr>
          </w:p>
        </w:tc>
        <w:tc>
          <w:tcPr>
            <w:tcW w:w="360" w:type="dxa"/>
            <w:vAlign w:val="bottom"/>
            <w:gridSpan w:val="4"/>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4,480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4900" w:type="dxa"/>
            <w:vAlign w:val="bottom"/>
            <w:gridSpan w:val="3"/>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gridSpan w:val="3"/>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r>
      <w:tr>
        <w:trPr>
          <w:trHeight w:val="243"/>
        </w:trPr>
        <w:tc>
          <w:tcPr>
            <w:tcW w:w="49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cash returned</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6,357</w:t>
            </w:r>
          </w:p>
        </w:tc>
        <w:tc>
          <w:tcPr>
            <w:tcW w:w="80" w:type="dxa"/>
            <w:vAlign w:val="bottom"/>
            <w:shd w:val="clear" w:color="auto" w:fill="CCEEFF"/>
          </w:tcPr>
          <w:p>
            <w:pPr>
              <w:spacing w:after="0"/>
              <w:rPr>
                <w:sz w:val="21"/>
                <w:szCs w:val="21"/>
                <w:color w:val="auto"/>
              </w:rPr>
            </w:pPr>
          </w:p>
        </w:tc>
        <w:tc>
          <w:tcPr>
            <w:tcW w:w="360" w:type="dxa"/>
            <w:vAlign w:val="bottom"/>
            <w:gridSpan w:val="4"/>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7,383</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9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6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31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and per-share amounts)</w:t>
      </w:r>
    </w:p>
    <w:p>
      <w:pPr>
        <w:spacing w:after="0" w:line="265" w:lineRule="exact"/>
        <w:rPr>
          <w:sz w:val="20"/>
          <w:szCs w:val="20"/>
          <w:color w:val="auto"/>
        </w:rPr>
      </w:pPr>
    </w:p>
    <w:p>
      <w:pPr>
        <w:jc w:val="center"/>
        <w:ind w:left="7460"/>
        <w:spacing w:after="0"/>
        <w:rPr>
          <w:sz w:val="20"/>
          <w:szCs w:val="20"/>
          <w:color w:val="auto"/>
        </w:rPr>
      </w:pPr>
      <w:r>
        <w:rPr>
          <w:rFonts w:ascii="Arial" w:cs="Arial" w:eastAsia="Arial" w:hAnsi="Arial"/>
          <w:sz w:val="16"/>
          <w:szCs w:val="16"/>
          <w:b w:val="1"/>
          <w:bCs w:val="1"/>
          <w:color w:val="auto"/>
        </w:rPr>
        <w:t>For Three Months Ended</w:t>
      </w:r>
    </w:p>
    <w:p>
      <w:pPr>
        <w:spacing w:after="0" w:line="26" w:lineRule="exact"/>
        <w:rPr>
          <w:sz w:val="20"/>
          <w:szCs w:val="20"/>
          <w:color w:val="auto"/>
        </w:rPr>
      </w:pPr>
    </w:p>
    <w:p>
      <w:pPr>
        <w:jc w:val="center"/>
        <w:ind w:left="746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33020</wp:posOffset>
            </wp:positionV>
            <wp:extent cx="23317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5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14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99"/>
              </w:rPr>
              <w:t>3,817</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3,771</w:t>
            </w: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520" w:type="dxa"/>
            <w:vAlign w:val="bottom"/>
          </w:tcPr>
          <w:p>
            <w:pPr>
              <w:ind w:left="20"/>
              <w:spacing w:after="0"/>
              <w:rPr>
                <w:sz w:val="20"/>
                <w:szCs w:val="20"/>
                <w:color w:val="auto"/>
              </w:rPr>
            </w:pPr>
            <w:r>
              <w:rPr>
                <w:rFonts w:ascii="Arial" w:cs="Arial" w:eastAsia="Arial" w:hAnsi="Arial"/>
                <w:sz w:val="16"/>
                <w:szCs w:val="16"/>
                <w:color w:val="auto"/>
              </w:rPr>
              <w:t>Cost of revenue (COR)</w:t>
            </w:r>
          </w:p>
        </w:tc>
        <w:tc>
          <w:tcPr>
            <w:tcW w:w="1140" w:type="dxa"/>
            <w:vAlign w:val="bottom"/>
          </w:tcPr>
          <w:p>
            <w:pPr>
              <w:spacing w:after="0"/>
              <w:rPr>
                <w:sz w:val="19"/>
                <w:szCs w:val="19"/>
                <w:color w:val="auto"/>
              </w:rPr>
            </w:pPr>
          </w:p>
        </w:tc>
        <w:tc>
          <w:tcPr>
            <w:tcW w:w="660" w:type="dxa"/>
            <w:vAlign w:val="bottom"/>
          </w:tcPr>
          <w:p>
            <w:pPr>
              <w:jc w:val="right"/>
              <w:ind w:right="159"/>
              <w:spacing w:after="0"/>
              <w:rPr>
                <w:sz w:val="20"/>
                <w:szCs w:val="20"/>
                <w:color w:val="auto"/>
              </w:rPr>
            </w:pPr>
            <w:r>
              <w:rPr>
                <w:rFonts w:ascii="Arial" w:cs="Arial" w:eastAsia="Arial" w:hAnsi="Arial"/>
                <w:sz w:val="16"/>
                <w:szCs w:val="16"/>
                <w:b w:val="1"/>
                <w:bCs w:val="1"/>
                <w:color w:val="auto"/>
                <w:w w:val="99"/>
              </w:rPr>
              <w:t>1,364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1,325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5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99"/>
              </w:rPr>
              <w:t>2,453</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2,446</w:t>
            </w: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520" w:type="dxa"/>
            <w:vAlign w:val="bottom"/>
          </w:tcPr>
          <w:p>
            <w:pPr>
              <w:ind w:left="20"/>
              <w:spacing w:after="0"/>
              <w:rPr>
                <w:sz w:val="20"/>
                <w:szCs w:val="20"/>
                <w:color w:val="auto"/>
              </w:rPr>
            </w:pPr>
            <w:r>
              <w:rPr>
                <w:rFonts w:ascii="Arial" w:cs="Arial" w:eastAsia="Arial" w:hAnsi="Arial"/>
                <w:sz w:val="16"/>
                <w:szCs w:val="16"/>
                <w:color w:val="auto"/>
              </w:rPr>
              <w:t>Research and development (R&amp;D)</w:t>
            </w:r>
          </w:p>
        </w:tc>
        <w:tc>
          <w:tcPr>
            <w:tcW w:w="1140" w:type="dxa"/>
            <w:vAlign w:val="bottom"/>
          </w:tcPr>
          <w:p>
            <w:pPr>
              <w:spacing w:after="0"/>
              <w:rPr>
                <w:sz w:val="19"/>
                <w:szCs w:val="19"/>
                <w:color w:val="auto"/>
              </w:rPr>
            </w:pPr>
          </w:p>
        </w:tc>
        <w:tc>
          <w:tcPr>
            <w:tcW w:w="660" w:type="dxa"/>
            <w:vAlign w:val="bottom"/>
          </w:tcPr>
          <w:p>
            <w:pPr>
              <w:jc w:val="right"/>
              <w:ind w:right="159"/>
              <w:spacing w:after="0"/>
              <w:rPr>
                <w:sz w:val="20"/>
                <w:szCs w:val="20"/>
                <w:color w:val="auto"/>
              </w:rPr>
            </w:pPr>
            <w:r>
              <w:rPr>
                <w:rFonts w:ascii="Arial" w:cs="Arial" w:eastAsia="Arial" w:hAnsi="Arial"/>
                <w:sz w:val="16"/>
                <w:szCs w:val="16"/>
                <w:b w:val="1"/>
                <w:bCs w:val="1"/>
                <w:color w:val="auto"/>
              </w:rPr>
              <w:t>386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379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(SG&amp;A)</w:t>
            </w:r>
          </w:p>
        </w:tc>
        <w:tc>
          <w:tcPr>
            <w:tcW w:w="1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407</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399</w:t>
            </w: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520" w:type="dxa"/>
            <w:vAlign w:val="bottom"/>
          </w:tcPr>
          <w:p>
            <w:pPr>
              <w:ind w:left="20"/>
              <w:spacing w:after="0"/>
              <w:rPr>
                <w:sz w:val="20"/>
                <w:szCs w:val="20"/>
                <w:color w:val="auto"/>
              </w:rPr>
            </w:pPr>
            <w:r>
              <w:rPr>
                <w:rFonts w:ascii="Arial" w:cs="Arial" w:eastAsia="Arial" w:hAnsi="Arial"/>
                <w:sz w:val="16"/>
                <w:szCs w:val="16"/>
                <w:color w:val="auto"/>
              </w:rPr>
              <w:t>Acquisition charges</w:t>
            </w:r>
          </w:p>
        </w:tc>
        <w:tc>
          <w:tcPr>
            <w:tcW w:w="1140" w:type="dxa"/>
            <w:vAlign w:val="bottom"/>
          </w:tcPr>
          <w:p>
            <w:pPr>
              <w:spacing w:after="0"/>
              <w:rPr>
                <w:sz w:val="19"/>
                <w:szCs w:val="19"/>
                <w:color w:val="auto"/>
              </w:rPr>
            </w:pPr>
          </w:p>
        </w:tc>
        <w:tc>
          <w:tcPr>
            <w:tcW w:w="660" w:type="dxa"/>
            <w:vAlign w:val="bottom"/>
          </w:tcPr>
          <w:p>
            <w:pPr>
              <w:jc w:val="right"/>
              <w:ind w:right="159"/>
              <w:spacing w:after="0"/>
              <w:rPr>
                <w:sz w:val="20"/>
                <w:szCs w:val="20"/>
                <w:color w:val="auto"/>
              </w:rPr>
            </w:pPr>
            <w:r>
              <w:rPr>
                <w:rFonts w:ascii="Arial" w:cs="Arial" w:eastAsia="Arial" w:hAnsi="Arial"/>
                <w:sz w:val="16"/>
                <w:szCs w:val="16"/>
                <w:b w:val="1"/>
                <w:bCs w:val="1"/>
                <w:color w:val="auto"/>
              </w:rPr>
              <w:t>51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5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profit</w:t>
            </w:r>
          </w:p>
        </w:tc>
        <w:tc>
          <w:tcPr>
            <w:tcW w:w="1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99"/>
              </w:rPr>
              <w:t>1,609</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1,589</w:t>
            </w: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520" w:type="dxa"/>
            <w:vAlign w:val="bottom"/>
          </w:tcPr>
          <w:p>
            <w:pPr>
              <w:ind w:left="20"/>
              <w:spacing w:after="0"/>
              <w:rPr>
                <w:sz w:val="20"/>
                <w:szCs w:val="20"/>
                <w:color w:val="auto"/>
              </w:rPr>
            </w:pPr>
            <w:r>
              <w:rPr>
                <w:rFonts w:ascii="Arial" w:cs="Arial" w:eastAsia="Arial" w:hAnsi="Arial"/>
                <w:sz w:val="16"/>
                <w:szCs w:val="16"/>
                <w:color w:val="auto"/>
              </w:rPr>
              <w:t>Other income (expense), net (OI&amp;E)</w:t>
            </w:r>
          </w:p>
        </w:tc>
        <w:tc>
          <w:tcPr>
            <w:tcW w:w="1140" w:type="dxa"/>
            <w:vAlign w:val="bottom"/>
          </w:tcPr>
          <w:p>
            <w:pPr>
              <w:spacing w:after="0"/>
              <w:rPr>
                <w:sz w:val="19"/>
                <w:szCs w:val="19"/>
                <w:color w:val="auto"/>
              </w:rPr>
            </w:pPr>
          </w:p>
        </w:tc>
        <w:tc>
          <w:tcPr>
            <w:tcW w:w="660" w:type="dxa"/>
            <w:vAlign w:val="bottom"/>
          </w:tcPr>
          <w:p>
            <w:pPr>
              <w:jc w:val="right"/>
              <w:ind w:right="159"/>
              <w:spacing w:after="0"/>
              <w:rPr>
                <w:sz w:val="20"/>
                <w:szCs w:val="20"/>
                <w:color w:val="auto"/>
              </w:rPr>
            </w:pPr>
            <w:r>
              <w:rPr>
                <w:rFonts w:ascii="Arial" w:cs="Arial" w:eastAsia="Arial" w:hAnsi="Arial"/>
                <w:sz w:val="16"/>
                <w:szCs w:val="16"/>
                <w:b w:val="1"/>
                <w:bCs w:val="1"/>
                <w:color w:val="auto"/>
              </w:rPr>
              <w:t>27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and debt expense</w:t>
            </w:r>
          </w:p>
        </w:tc>
        <w:tc>
          <w:tcPr>
            <w:tcW w:w="1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49</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752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1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9"/>
              </w:rPr>
              <w:t>1,587</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1,580</w:t>
            </w:r>
          </w:p>
        </w:tc>
        <w:tc>
          <w:tcPr>
            <w:tcW w:w="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1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234</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75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140" w:type="dxa"/>
            <w:vAlign w:val="bottom"/>
            <w:tcBorders>
              <w:top w:val="single" w:sz="8" w:color="auto"/>
            </w:tcBorders>
          </w:tcPr>
          <w:p>
            <w:pPr>
              <w:jc w:val="right"/>
              <w:ind w:right="959"/>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9"/>
              </w:rPr>
              <w:t>1,353</w:t>
            </w:r>
          </w:p>
        </w:tc>
        <w:tc>
          <w:tcPr>
            <w:tcW w:w="120" w:type="dxa"/>
            <w:vAlign w:val="bottom"/>
          </w:tcPr>
          <w:p>
            <w:pPr>
              <w:spacing w:after="0"/>
              <w:rPr>
                <w:sz w:val="18"/>
                <w:szCs w:val="18"/>
                <w:color w:val="auto"/>
              </w:rPr>
            </w:pP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1,425</w:t>
            </w:r>
          </w:p>
        </w:tc>
        <w:tc>
          <w:tcPr>
            <w:tcW w:w="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5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5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520" w:type="dxa"/>
            <w:vAlign w:val="bottom"/>
          </w:tcPr>
          <w:p>
            <w:pPr>
              <w:ind w:left="20"/>
              <w:spacing w:after="0"/>
              <w:rPr>
                <w:sz w:val="20"/>
                <w:szCs w:val="20"/>
                <w:color w:val="auto"/>
              </w:rPr>
            </w:pPr>
            <w:r>
              <w:rPr>
                <w:rFonts w:ascii="Arial" w:cs="Arial" w:eastAsia="Arial" w:hAnsi="Arial"/>
                <w:sz w:val="16"/>
                <w:szCs w:val="16"/>
                <w:color w:val="auto"/>
              </w:rPr>
              <w:t>Diluted earnings per common share</w:t>
            </w:r>
          </w:p>
        </w:tc>
        <w:tc>
          <w:tcPr>
            <w:tcW w:w="1140" w:type="dxa"/>
            <w:vAlign w:val="bottom"/>
          </w:tcPr>
          <w:p>
            <w:pPr>
              <w:jc w:val="right"/>
              <w:ind w:right="959"/>
              <w:spacing w:after="0"/>
              <w:rPr>
                <w:sz w:val="20"/>
                <w:szCs w:val="20"/>
                <w:color w:val="auto"/>
              </w:rPr>
            </w:pPr>
            <w:r>
              <w:rPr>
                <w:rFonts w:ascii="Arial" w:cs="Arial" w:eastAsia="Arial" w:hAnsi="Arial"/>
                <w:sz w:val="16"/>
                <w:szCs w:val="16"/>
                <w:b w:val="1"/>
                <w:bCs w:val="1"/>
                <w:color w:val="auto"/>
                <w:w w:val="89"/>
              </w:rPr>
              <w:t>$</w:t>
            </w:r>
          </w:p>
        </w:tc>
        <w:tc>
          <w:tcPr>
            <w:tcW w:w="660" w:type="dxa"/>
            <w:vAlign w:val="bottom"/>
          </w:tcPr>
          <w:p>
            <w:pPr>
              <w:jc w:val="right"/>
              <w:ind w:right="159"/>
              <w:spacing w:after="0"/>
              <w:rPr>
                <w:sz w:val="20"/>
                <w:szCs w:val="20"/>
                <w:color w:val="auto"/>
              </w:rPr>
            </w:pPr>
            <w:r>
              <w:rPr>
                <w:rFonts w:ascii="Arial" w:cs="Arial" w:eastAsia="Arial" w:hAnsi="Arial"/>
                <w:sz w:val="16"/>
                <w:szCs w:val="16"/>
                <w:b w:val="1"/>
                <w:bCs w:val="1"/>
                <w:color w:val="auto"/>
              </w:rPr>
              <w:t>1.45</w:t>
            </w:r>
          </w:p>
        </w:tc>
        <w:tc>
          <w:tcPr>
            <w:tcW w:w="120" w:type="dxa"/>
            <w:vAlign w:val="bottom"/>
          </w:tcPr>
          <w:p>
            <w:pPr>
              <w:spacing w:after="0"/>
              <w:rPr>
                <w:sz w:val="19"/>
                <w:szCs w:val="19"/>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1.49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5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5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20" w:type="dxa"/>
            <w:vAlign w:val="bottom"/>
          </w:tcPr>
          <w:p>
            <w:pPr>
              <w:ind w:left="20"/>
              <w:spacing w:after="0"/>
              <w:rPr>
                <w:sz w:val="20"/>
                <w:szCs w:val="20"/>
                <w:color w:val="auto"/>
              </w:rPr>
            </w:pPr>
            <w:r>
              <w:rPr>
                <w:rFonts w:ascii="Arial" w:cs="Arial" w:eastAsia="Arial" w:hAnsi="Arial"/>
                <w:sz w:val="16"/>
                <w:szCs w:val="16"/>
                <w:color w:val="auto"/>
              </w:rPr>
              <w:t>Average shares outstanding (millions):</w:t>
            </w:r>
          </w:p>
        </w:tc>
        <w:tc>
          <w:tcPr>
            <w:tcW w:w="1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1"/>
        </w:trPr>
        <w:tc>
          <w:tcPr>
            <w:tcW w:w="7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11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917</w:t>
            </w: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935</w:t>
            </w:r>
          </w:p>
        </w:tc>
        <w:tc>
          <w:tcPr>
            <w:tcW w:w="1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6"/>
                <w:szCs w:val="16"/>
                <w:color w:val="auto"/>
              </w:rPr>
              <w:t>Diluted</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520" w:type="dxa"/>
            <w:vAlign w:val="bottom"/>
            <w:vMerge w:val="continue"/>
          </w:tcPr>
          <w:p>
            <w:pPr>
              <w:spacing w:after="0"/>
              <w:rPr>
                <w:sz w:val="17"/>
                <w:szCs w:val="17"/>
                <w:color w:val="auto"/>
              </w:rPr>
            </w:pPr>
          </w:p>
        </w:tc>
        <w:tc>
          <w:tcPr>
            <w:tcW w:w="1140" w:type="dxa"/>
            <w:vAlign w:val="bottom"/>
          </w:tcPr>
          <w:p>
            <w:pPr>
              <w:spacing w:after="0"/>
              <w:rPr>
                <w:sz w:val="17"/>
                <w:szCs w:val="17"/>
                <w:color w:val="auto"/>
              </w:rPr>
            </w:pPr>
          </w:p>
        </w:tc>
        <w:tc>
          <w:tcPr>
            <w:tcW w:w="660" w:type="dxa"/>
            <w:vAlign w:val="bottom"/>
          </w:tcPr>
          <w:p>
            <w:pPr>
              <w:jc w:val="right"/>
              <w:ind w:right="159"/>
              <w:spacing w:after="0"/>
              <w:rPr>
                <w:sz w:val="20"/>
                <w:szCs w:val="20"/>
                <w:color w:val="auto"/>
              </w:rPr>
            </w:pPr>
            <w:r>
              <w:rPr>
                <w:rFonts w:ascii="Arial" w:cs="Arial" w:eastAsia="Arial" w:hAnsi="Arial"/>
                <w:sz w:val="16"/>
                <w:szCs w:val="16"/>
                <w:b w:val="1"/>
                <w:bCs w:val="1"/>
                <w:color w:val="auto"/>
              </w:rPr>
              <w:t>929</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950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75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5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5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20" w:type="dxa"/>
            <w:vAlign w:val="bottom"/>
          </w:tcPr>
          <w:p>
            <w:pPr>
              <w:ind w:left="20"/>
              <w:spacing w:after="0"/>
              <w:rPr>
                <w:sz w:val="20"/>
                <w:szCs w:val="20"/>
                <w:color w:val="auto"/>
              </w:rPr>
            </w:pPr>
            <w:r>
              <w:rPr>
                <w:rFonts w:ascii="Arial" w:cs="Arial" w:eastAsia="Arial" w:hAnsi="Arial"/>
                <w:sz w:val="16"/>
                <w:szCs w:val="16"/>
                <w:color w:val="auto"/>
              </w:rPr>
              <w:t>Cash dividends declared per common share</w:t>
            </w:r>
          </w:p>
        </w:tc>
        <w:tc>
          <w:tcPr>
            <w:tcW w:w="1140" w:type="dxa"/>
            <w:vAlign w:val="bottom"/>
          </w:tcPr>
          <w:p>
            <w:pPr>
              <w:jc w:val="right"/>
              <w:ind w:right="959"/>
              <w:spacing w:after="0"/>
              <w:rPr>
                <w:sz w:val="20"/>
                <w:szCs w:val="20"/>
                <w:color w:val="auto"/>
              </w:rPr>
            </w:pPr>
            <w:r>
              <w:rPr>
                <w:rFonts w:ascii="Arial" w:cs="Arial" w:eastAsia="Arial" w:hAnsi="Arial"/>
                <w:sz w:val="16"/>
                <w:szCs w:val="16"/>
                <w:b w:val="1"/>
                <w:bCs w:val="1"/>
                <w:color w:val="auto"/>
                <w:w w:val="89"/>
              </w:rPr>
              <w:t>$</w:t>
            </w:r>
          </w:p>
        </w:tc>
        <w:tc>
          <w:tcPr>
            <w:tcW w:w="660" w:type="dxa"/>
            <w:vAlign w:val="bottom"/>
          </w:tcPr>
          <w:p>
            <w:pPr>
              <w:jc w:val="right"/>
              <w:ind w:right="159"/>
              <w:spacing w:after="0"/>
              <w:rPr>
                <w:sz w:val="20"/>
                <w:szCs w:val="20"/>
                <w:color w:val="auto"/>
              </w:rPr>
            </w:pPr>
            <w:r>
              <w:rPr>
                <w:rFonts w:ascii="Arial" w:cs="Arial" w:eastAsia="Arial" w:hAnsi="Arial"/>
                <w:sz w:val="16"/>
                <w:szCs w:val="16"/>
                <w:b w:val="1"/>
                <w:bCs w:val="1"/>
                <w:color w:val="auto"/>
              </w:rPr>
              <w:t>.90</w:t>
            </w:r>
          </w:p>
        </w:tc>
        <w:tc>
          <w:tcPr>
            <w:tcW w:w="120" w:type="dxa"/>
            <w:vAlign w:val="bottom"/>
          </w:tcPr>
          <w:p>
            <w:pPr>
              <w:spacing w:after="0"/>
              <w:rPr>
                <w:sz w:val="19"/>
                <w:szCs w:val="19"/>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520" w:type="dxa"/>
            <w:vAlign w:val="bottom"/>
            <w:vMerge w:val="restart"/>
          </w:tcPr>
          <w:p>
            <w:pPr>
              <w:ind w:left="4680"/>
              <w:spacing w:after="0"/>
              <w:rPr>
                <w:sz w:val="20"/>
                <w:szCs w:val="20"/>
                <w:color w:val="auto"/>
              </w:rPr>
            </w:pPr>
            <w:r>
              <w:rPr>
                <w:rFonts w:ascii="Arial" w:cs="Arial" w:eastAsia="Arial" w:hAnsi="Arial"/>
                <w:sz w:val="16"/>
                <w:szCs w:val="16"/>
                <w:b w:val="1"/>
                <w:bCs w:val="1"/>
                <w:color w:val="auto"/>
              </w:rPr>
              <w:t>Supplemental Information</w:t>
            </w: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520" w:type="dxa"/>
            <w:vAlign w:val="bottom"/>
            <w:vMerge w:val="continue"/>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7"/>
        </w:trPr>
        <w:tc>
          <w:tcPr>
            <w:tcW w:w="752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520" w:type="dxa"/>
            <w:vAlign w:val="bottom"/>
          </w:tcPr>
          <w:p>
            <w:pPr>
              <w:ind w:left="4640"/>
              <w:spacing w:after="0"/>
              <w:rPr>
                <w:sz w:val="20"/>
                <w:szCs w:val="20"/>
                <w:color w:val="auto"/>
              </w:rPr>
            </w:pPr>
            <w:r>
              <w:rPr>
                <w:rFonts w:ascii="Arial" w:cs="Arial" w:eastAsia="Arial" w:hAnsi="Arial"/>
                <w:sz w:val="16"/>
                <w:szCs w:val="16"/>
                <w:b w:val="1"/>
                <w:bCs w:val="1"/>
                <w:color w:val="auto"/>
              </w:rPr>
              <w:t>(Quarterly, except as noted)</w:t>
            </w: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7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Provision for income taxes is based on the following:</w:t>
            </w:r>
          </w:p>
        </w:tc>
        <w:tc>
          <w:tcPr>
            <w:tcW w:w="1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5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taxes (calculated using the estimated annual effective tax rate)</w:t>
            </w:r>
          </w:p>
        </w:tc>
        <w:tc>
          <w:tcPr>
            <w:tcW w:w="114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231</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520" w:type="dxa"/>
            <w:vAlign w:val="bottom"/>
          </w:tcPr>
          <w:p>
            <w:pPr>
              <w:ind w:left="20"/>
              <w:spacing w:after="0"/>
              <w:rPr>
                <w:sz w:val="20"/>
                <w:szCs w:val="20"/>
                <w:color w:val="auto"/>
              </w:rPr>
            </w:pPr>
            <w:r>
              <w:rPr>
                <w:rFonts w:ascii="Arial" w:cs="Arial" w:eastAsia="Arial" w:hAnsi="Arial"/>
                <w:sz w:val="16"/>
                <w:szCs w:val="16"/>
                <w:color w:val="auto"/>
              </w:rPr>
              <w:t>Discrete tax items</w:t>
            </w:r>
          </w:p>
        </w:tc>
        <w:tc>
          <w:tcPr>
            <w:tcW w:w="1140" w:type="dxa"/>
            <w:vAlign w:val="bottom"/>
          </w:tcPr>
          <w:p>
            <w:pPr>
              <w:spacing w:after="0"/>
              <w:rPr>
                <w:sz w:val="19"/>
                <w:szCs w:val="19"/>
                <w:color w:val="auto"/>
              </w:rPr>
            </w:pPr>
          </w:p>
        </w:tc>
        <w:tc>
          <w:tcPr>
            <w:tcW w:w="660" w:type="dxa"/>
            <w:vAlign w:val="bottom"/>
          </w:tcPr>
          <w:p>
            <w:pPr>
              <w:jc w:val="right"/>
              <w:ind w:right="159"/>
              <w:spacing w:after="0"/>
              <w:rPr>
                <w:sz w:val="20"/>
                <w:szCs w:val="20"/>
                <w:color w:val="auto"/>
              </w:rPr>
            </w:pPr>
            <w:r>
              <w:rPr>
                <w:rFonts w:ascii="Arial" w:cs="Arial" w:eastAsia="Arial" w:hAnsi="Arial"/>
                <w:sz w:val="16"/>
                <w:szCs w:val="16"/>
                <w:b w:val="1"/>
                <w:bCs w:val="1"/>
                <w:color w:val="auto"/>
              </w:rPr>
              <w:t>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5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Provision for income taxes (effective taxes)</w:t>
            </w:r>
          </w:p>
        </w:tc>
        <w:tc>
          <w:tcPr>
            <w:tcW w:w="114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234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Annual operating tax rate</w:t>
            </w:r>
          </w:p>
        </w:tc>
        <w:tc>
          <w:tcPr>
            <w:tcW w:w="1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14 %</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224"/>
        </w:trPr>
        <w:tc>
          <w:tcPr>
            <w:tcW w:w="7520" w:type="dxa"/>
            <w:vAlign w:val="bottom"/>
          </w:tcPr>
          <w:p>
            <w:pPr>
              <w:ind w:left="20"/>
              <w:spacing w:after="0"/>
              <w:rPr>
                <w:sz w:val="20"/>
                <w:szCs w:val="20"/>
                <w:color w:val="auto"/>
              </w:rPr>
            </w:pPr>
            <w:r>
              <w:rPr>
                <w:rFonts w:ascii="Arial" w:cs="Arial" w:eastAsia="Arial" w:hAnsi="Arial"/>
                <w:sz w:val="16"/>
                <w:szCs w:val="16"/>
                <w:color w:val="auto"/>
              </w:rPr>
              <w:t>Effective tax rate</w:t>
            </w:r>
          </w:p>
        </w:tc>
        <w:tc>
          <w:tcPr>
            <w:tcW w:w="1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15 %</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33"/>
        </w:trPr>
        <w:tc>
          <w:tcPr>
            <w:tcW w:w="7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75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20"/>
        <w:spacing w:after="0"/>
        <w:rPr>
          <w:sz w:val="20"/>
          <w:szCs w:val="20"/>
          <w:color w:val="auto"/>
        </w:rPr>
      </w:pPr>
      <w:r>
        <w:rPr>
          <w:rFonts w:ascii="Arial" w:cs="Arial" w:eastAsia="Arial" w:hAnsi="Arial"/>
          <w:sz w:val="15"/>
          <w:szCs w:val="15"/>
          <w:color w:val="auto"/>
        </w:rPr>
        <w:t>A portion of net income is allocated to unvested restricted stock units (RSUs) on which we pay dividend equivalents. Diluted EPS is calculated using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06285" cy="162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6285" cy="162560"/>
                    </a:xfrm>
                    <a:prstGeom prst="rect">
                      <a:avLst/>
                    </a:prstGeom>
                    <a:noFill/>
                  </pic:spPr>
                </pic:pic>
              </a:graphicData>
            </a:graphic>
          </wp:anchor>
        </w:drawing>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660" w:type="dxa"/>
            <w:vAlign w:val="bottom"/>
          </w:tcPr>
          <w:p>
            <w:pPr>
              <w:jc w:val="right"/>
              <w:ind w:right="47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Pr>
          <w:p>
            <w:pPr>
              <w:jc w:val="right"/>
              <w:ind w:right="159"/>
              <w:spacing w:after="0"/>
              <w:rPr>
                <w:sz w:val="20"/>
                <w:szCs w:val="20"/>
                <w:color w:val="auto"/>
              </w:rPr>
            </w:pPr>
            <w:r>
              <w:rPr>
                <w:rFonts w:ascii="Arial" w:cs="Arial" w:eastAsia="Arial" w:hAnsi="Arial"/>
                <w:sz w:val="16"/>
                <w:szCs w:val="16"/>
                <w:b w:val="1"/>
                <w:bCs w:val="1"/>
                <w:color w:val="auto"/>
              </w:rPr>
              <w:t>1,353</w:t>
            </w:r>
          </w:p>
        </w:tc>
        <w:tc>
          <w:tcPr>
            <w:tcW w:w="120" w:type="dxa"/>
            <w:vAlign w:val="bottom"/>
          </w:tcPr>
          <w:p>
            <w:pPr>
              <w:spacing w:after="0"/>
              <w:rPr>
                <w:sz w:val="18"/>
                <w:szCs w:val="18"/>
                <w:color w:val="auto"/>
              </w:rPr>
            </w:pPr>
          </w:p>
        </w:tc>
        <w:tc>
          <w:tcPr>
            <w:tcW w:w="640" w:type="dxa"/>
            <w:vAlign w:val="bottom"/>
          </w:tcPr>
          <w:p>
            <w:pPr>
              <w:jc w:val="right"/>
              <w:ind w:right="4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1,425</w:t>
            </w:r>
          </w:p>
        </w:tc>
      </w:tr>
      <w:tr>
        <w:trPr>
          <w:trHeight w:val="33"/>
        </w:trPr>
        <w:tc>
          <w:tcPr>
            <w:tcW w:w="7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6"/>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allocated to RSUs</w:t>
            </w:r>
          </w:p>
        </w:tc>
        <w:tc>
          <w:tcPr>
            <w:tcW w:w="6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(8)</w:t>
            </w:r>
          </w:p>
        </w:tc>
      </w:tr>
      <w:tr>
        <w:trPr>
          <w:trHeight w:val="217"/>
        </w:trPr>
        <w:tc>
          <w:tcPr>
            <w:tcW w:w="7520" w:type="dxa"/>
            <w:vAlign w:val="bottom"/>
          </w:tcPr>
          <w:p>
            <w:pPr>
              <w:ind w:left="20"/>
              <w:spacing w:after="0"/>
              <w:rPr>
                <w:sz w:val="20"/>
                <w:szCs w:val="20"/>
                <w:color w:val="auto"/>
              </w:rPr>
            </w:pPr>
            <w:r>
              <w:rPr>
                <w:rFonts w:ascii="Arial" w:cs="Arial" w:eastAsia="Arial" w:hAnsi="Arial"/>
                <w:sz w:val="16"/>
                <w:szCs w:val="16"/>
                <w:color w:val="auto"/>
              </w:rPr>
              <w:t>Income allocated to common stock for diluted EPS</w:t>
            </w:r>
          </w:p>
        </w:tc>
        <w:tc>
          <w:tcPr>
            <w:tcW w:w="660" w:type="dxa"/>
            <w:vAlign w:val="bottom"/>
            <w:tcBorders>
              <w:top w:val="single" w:sz="8" w:color="auto"/>
            </w:tcBorders>
          </w:tcPr>
          <w:p>
            <w:pPr>
              <w:jc w:val="right"/>
              <w:ind w:right="47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1,347</w:t>
            </w:r>
          </w:p>
        </w:tc>
        <w:tc>
          <w:tcPr>
            <w:tcW w:w="120" w:type="dxa"/>
            <w:vAlign w:val="bottom"/>
          </w:tcPr>
          <w:p>
            <w:pPr>
              <w:spacing w:after="0"/>
              <w:rPr>
                <w:sz w:val="18"/>
                <w:szCs w:val="18"/>
                <w:color w:val="auto"/>
              </w:rPr>
            </w:pPr>
          </w:p>
        </w:tc>
        <w:tc>
          <w:tcPr>
            <w:tcW w:w="64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1,417</w:t>
            </w:r>
          </w:p>
        </w:tc>
      </w:tr>
      <w:tr>
        <w:trPr>
          <w:trHeight w:val="33"/>
        </w:trPr>
        <w:tc>
          <w:tcPr>
            <w:tcW w:w="75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
        </w:trPr>
        <w:tc>
          <w:tcPr>
            <w:tcW w:w="75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1160"/>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40"/>
          </w:cols>
          <w:pgMar w:left="320" w:top="891" w:right="3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amounts)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00" w:type="dxa"/>
            <w:vAlign w:val="bottom"/>
            <w:gridSpan w:val="3"/>
          </w:tcPr>
          <w:p>
            <w:pPr>
              <w:jc w:val="right"/>
              <w:ind w:right="24"/>
              <w:spacing w:after="0"/>
              <w:rPr>
                <w:sz w:val="20"/>
                <w:szCs w:val="20"/>
                <w:color w:val="auto"/>
              </w:rPr>
            </w:pPr>
            <w:r>
              <w:rPr>
                <w:rFonts w:ascii="Arial" w:cs="Arial" w:eastAsia="Arial" w:hAnsi="Arial"/>
                <w:sz w:val="16"/>
                <w:szCs w:val="16"/>
                <w:b w:val="1"/>
                <w:bCs w:val="1"/>
                <w:color w:val="auto"/>
              </w:rPr>
              <w:t>September 30,</w:t>
            </w:r>
          </w:p>
        </w:tc>
        <w:tc>
          <w:tcPr>
            <w:tcW w:w="1120" w:type="dxa"/>
            <w:vAlign w:val="bottom"/>
          </w:tcPr>
          <w:p>
            <w:pPr>
              <w:spacing w:after="0"/>
              <w:rPr>
                <w:sz w:val="18"/>
                <w:szCs w:val="18"/>
                <w:color w:val="auto"/>
              </w:rPr>
            </w:pPr>
          </w:p>
        </w:tc>
      </w:tr>
      <w:tr>
        <w:trPr>
          <w:trHeight w:val="33"/>
        </w:trPr>
        <w:tc>
          <w:tcPr>
            <w:tcW w:w="76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76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ind w:right="599"/>
              <w:spacing w:after="0"/>
              <w:rPr>
                <w:sz w:val="20"/>
                <w:szCs w:val="20"/>
                <w:color w:val="auto"/>
              </w:rPr>
            </w:pPr>
            <w:r>
              <w:rPr>
                <w:rFonts w:ascii="Arial" w:cs="Arial" w:eastAsia="Arial" w:hAnsi="Arial"/>
                <w:sz w:val="16"/>
                <w:szCs w:val="16"/>
                <w:b w:val="1"/>
                <w:bCs w:val="1"/>
                <w:color w:val="auto"/>
              </w:rPr>
              <w:t>2019</w:t>
            </w:r>
          </w:p>
        </w:tc>
      </w:tr>
      <w:tr>
        <w:trPr>
          <w:trHeight w:val="33"/>
        </w:trPr>
        <w:tc>
          <w:tcPr>
            <w:tcW w:w="76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0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23"/>
        </w:trPr>
        <w:tc>
          <w:tcPr>
            <w:tcW w:w="76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33"/>
        </w:trPr>
        <w:tc>
          <w:tcPr>
            <w:tcW w:w="7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7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b w:val="1"/>
                <w:bCs w:val="1"/>
                <w:color w:val="auto"/>
                <w:w w:val="8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2,822</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84"/>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3,893</w:t>
            </w:r>
          </w:p>
        </w:tc>
      </w:tr>
      <w:tr>
        <w:trPr>
          <w:trHeight w:val="224"/>
        </w:trPr>
        <w:tc>
          <w:tcPr>
            <w:tcW w:w="7600" w:type="dxa"/>
            <w:vAlign w:val="bottom"/>
          </w:tcPr>
          <w:p>
            <w:pPr>
              <w:ind w:left="220"/>
              <w:spacing w:after="0"/>
              <w:rPr>
                <w:sz w:val="20"/>
                <w:szCs w:val="20"/>
                <w:color w:val="auto"/>
              </w:rPr>
            </w:pPr>
            <w:r>
              <w:rPr>
                <w:rFonts w:ascii="Arial" w:cs="Arial" w:eastAsia="Arial" w:hAnsi="Arial"/>
                <w:sz w:val="16"/>
                <w:szCs w:val="16"/>
                <w:color w:val="auto"/>
              </w:rPr>
              <w:t>Short-term investments</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2,696</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1,174</w:t>
            </w:r>
          </w:p>
        </w:tc>
      </w:tr>
      <w:tr>
        <w:trPr>
          <w:trHeight w:val="33"/>
        </w:trPr>
        <w:tc>
          <w:tcPr>
            <w:tcW w:w="7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7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Accounts receivable, net of allowances of ($12) and ($13)</w:t>
            </w:r>
          </w:p>
        </w:tc>
        <w:tc>
          <w:tcPr>
            <w:tcW w:w="10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1,392</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1,342</w:t>
            </w:r>
          </w:p>
        </w:tc>
      </w:tr>
      <w:tr>
        <w:trPr>
          <w:trHeight w:val="223"/>
        </w:trPr>
        <w:tc>
          <w:tcPr>
            <w:tcW w:w="7600" w:type="dxa"/>
            <w:vAlign w:val="bottom"/>
          </w:tcPr>
          <w:p>
            <w:pPr>
              <w:ind w:left="460"/>
              <w:spacing w:after="0"/>
              <w:rPr>
                <w:sz w:val="20"/>
                <w:szCs w:val="20"/>
                <w:color w:val="auto"/>
              </w:rPr>
            </w:pPr>
            <w:r>
              <w:rPr>
                <w:rFonts w:ascii="Arial" w:cs="Arial" w:eastAsia="Arial" w:hAnsi="Arial"/>
                <w:sz w:val="16"/>
                <w:szCs w:val="16"/>
                <w:color w:val="auto"/>
              </w:rPr>
              <w:t>Raw materials</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192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175</w:t>
            </w:r>
          </w:p>
        </w:tc>
      </w:tr>
      <w:tr>
        <w:trPr>
          <w:trHeight w:val="33"/>
        </w:trPr>
        <w:tc>
          <w:tcPr>
            <w:tcW w:w="7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6"/>
        </w:trPr>
        <w:tc>
          <w:tcPr>
            <w:tcW w:w="76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Work in process</w:t>
            </w:r>
          </w:p>
        </w:tc>
        <w:tc>
          <w:tcPr>
            <w:tcW w:w="10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959</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955</w:t>
            </w:r>
          </w:p>
        </w:tc>
      </w:tr>
      <w:tr>
        <w:trPr>
          <w:trHeight w:val="224"/>
        </w:trPr>
        <w:tc>
          <w:tcPr>
            <w:tcW w:w="7600" w:type="dxa"/>
            <w:vAlign w:val="bottom"/>
          </w:tcPr>
          <w:p>
            <w:pPr>
              <w:ind w:left="460"/>
              <w:spacing w:after="0"/>
              <w:rPr>
                <w:sz w:val="20"/>
                <w:szCs w:val="20"/>
                <w:color w:val="auto"/>
              </w:rPr>
            </w:pPr>
            <w:r>
              <w:rPr>
                <w:rFonts w:ascii="Arial" w:cs="Arial" w:eastAsia="Arial" w:hAnsi="Arial"/>
                <w:sz w:val="16"/>
                <w:szCs w:val="16"/>
                <w:color w:val="auto"/>
              </w:rPr>
              <w:t>Finished goods</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921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910</w:t>
            </w:r>
          </w:p>
        </w:tc>
      </w:tr>
      <w:tr>
        <w:trPr>
          <w:trHeight w:val="33"/>
        </w:trPr>
        <w:tc>
          <w:tcPr>
            <w:tcW w:w="76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Inventories</w:t>
            </w: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2,072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2,040</w:t>
            </w:r>
          </w:p>
        </w:tc>
      </w:tr>
      <w:tr>
        <w:trPr>
          <w:trHeight w:val="217"/>
        </w:trPr>
        <w:tc>
          <w:tcPr>
            <w:tcW w:w="7600" w:type="dxa"/>
            <w:vAlign w:val="bottom"/>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10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277</w:t>
            </w: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264</w:t>
            </w:r>
          </w:p>
        </w:tc>
      </w:tr>
      <w:tr>
        <w:trPr>
          <w:trHeight w:val="33"/>
        </w:trPr>
        <w:tc>
          <w:tcPr>
            <w:tcW w:w="76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current assets</w:t>
            </w: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9,259</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8,713</w:t>
            </w:r>
          </w:p>
        </w:tc>
      </w:tr>
      <w:tr>
        <w:trPr>
          <w:trHeight w:val="217"/>
        </w:trPr>
        <w:tc>
          <w:tcPr>
            <w:tcW w:w="7600" w:type="dxa"/>
            <w:vAlign w:val="bottom"/>
          </w:tcPr>
          <w:p>
            <w:pPr>
              <w:ind w:left="20"/>
              <w:spacing w:after="0"/>
              <w:rPr>
                <w:sz w:val="20"/>
                <w:szCs w:val="20"/>
                <w:color w:val="auto"/>
              </w:rPr>
            </w:pPr>
            <w:r>
              <w:rPr>
                <w:rFonts w:ascii="Arial" w:cs="Arial" w:eastAsia="Arial" w:hAnsi="Arial"/>
                <w:sz w:val="16"/>
                <w:szCs w:val="16"/>
                <w:color w:val="auto"/>
              </w:rPr>
              <w:t>Property, plant and equipment at cost</w:t>
            </w:r>
          </w:p>
        </w:tc>
        <w:tc>
          <w:tcPr>
            <w:tcW w:w="10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5,698</w:t>
            </w: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5,683</w:t>
            </w:r>
          </w:p>
        </w:tc>
      </w:tr>
      <w:tr>
        <w:trPr>
          <w:trHeight w:val="33"/>
        </w:trPr>
        <w:tc>
          <w:tcPr>
            <w:tcW w:w="7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7"/>
        </w:trPr>
        <w:tc>
          <w:tcPr>
            <w:tcW w:w="7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Accumulated depreciation</w:t>
            </w:r>
          </w:p>
        </w:tc>
        <w:tc>
          <w:tcPr>
            <w:tcW w:w="10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(2,508)</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(2,365)</w:t>
            </w:r>
          </w:p>
        </w:tc>
      </w:tr>
      <w:tr>
        <w:trPr>
          <w:trHeight w:val="217"/>
        </w:trPr>
        <w:tc>
          <w:tcPr>
            <w:tcW w:w="7600" w:type="dxa"/>
            <w:vAlign w:val="bottom"/>
          </w:tcPr>
          <w:p>
            <w:pPr>
              <w:ind w:left="220"/>
              <w:spacing w:after="0"/>
              <w:rPr>
                <w:sz w:val="20"/>
                <w:szCs w:val="20"/>
                <w:color w:val="auto"/>
              </w:rPr>
            </w:pPr>
            <w:r>
              <w:rPr>
                <w:rFonts w:ascii="Arial" w:cs="Arial" w:eastAsia="Arial" w:hAnsi="Arial"/>
                <w:sz w:val="16"/>
                <w:szCs w:val="16"/>
                <w:color w:val="auto"/>
              </w:rPr>
              <w:t>Property, plant and equipment</w:t>
            </w:r>
          </w:p>
        </w:tc>
        <w:tc>
          <w:tcPr>
            <w:tcW w:w="10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3,190</w:t>
            </w: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3,318</w:t>
            </w:r>
          </w:p>
        </w:tc>
      </w:tr>
      <w:tr>
        <w:trPr>
          <w:trHeight w:val="33"/>
        </w:trPr>
        <w:tc>
          <w:tcPr>
            <w:tcW w:w="76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investments</w:t>
            </w:r>
          </w:p>
        </w:tc>
        <w:tc>
          <w:tcPr>
            <w:tcW w:w="10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47</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298</w:t>
            </w:r>
          </w:p>
        </w:tc>
      </w:tr>
      <w:tr>
        <w:trPr>
          <w:trHeight w:val="223"/>
        </w:trPr>
        <w:tc>
          <w:tcPr>
            <w:tcW w:w="7600" w:type="dxa"/>
            <w:vAlign w:val="bottom"/>
          </w:tcPr>
          <w:p>
            <w:pPr>
              <w:ind w:left="20"/>
              <w:spacing w:after="0"/>
              <w:rPr>
                <w:sz w:val="20"/>
                <w:szCs w:val="20"/>
                <w:color w:val="auto"/>
              </w:rPr>
            </w:pPr>
            <w:r>
              <w:rPr>
                <w:rFonts w:ascii="Arial" w:cs="Arial" w:eastAsia="Arial" w:hAnsi="Arial"/>
                <w:sz w:val="16"/>
                <w:szCs w:val="16"/>
                <w:color w:val="auto"/>
              </w:rPr>
              <w:t>Goodwill</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4,362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4,362</w:t>
            </w:r>
          </w:p>
        </w:tc>
      </w:tr>
      <w:tr>
        <w:trPr>
          <w:trHeight w:val="33"/>
        </w:trPr>
        <w:tc>
          <w:tcPr>
            <w:tcW w:w="7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6"/>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Acquisition-related intangibles</w:t>
            </w:r>
          </w:p>
        </w:tc>
        <w:tc>
          <w:tcPr>
            <w:tcW w:w="10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189</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390</w:t>
            </w:r>
          </w:p>
        </w:tc>
      </w:tr>
      <w:tr>
        <w:trPr>
          <w:trHeight w:val="223"/>
        </w:trPr>
        <w:tc>
          <w:tcPr>
            <w:tcW w:w="7600" w:type="dxa"/>
            <w:vAlign w:val="bottom"/>
          </w:tcPr>
          <w:p>
            <w:pPr>
              <w:ind w:left="20"/>
              <w:spacing w:after="0"/>
              <w:rPr>
                <w:sz w:val="20"/>
                <w:szCs w:val="20"/>
                <w:color w:val="auto"/>
              </w:rPr>
            </w:pPr>
            <w:r>
              <w:rPr>
                <w:rFonts w:ascii="Arial" w:cs="Arial" w:eastAsia="Arial" w:hAnsi="Arial"/>
                <w:sz w:val="16"/>
                <w:szCs w:val="16"/>
                <w:color w:val="auto"/>
              </w:rPr>
              <w:t>Deferred tax assets</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299</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257</w:t>
            </w:r>
          </w:p>
        </w:tc>
      </w:tr>
      <w:tr>
        <w:trPr>
          <w:trHeight w:val="33"/>
        </w:trPr>
        <w:tc>
          <w:tcPr>
            <w:tcW w:w="7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Capitalized software licenses</w:t>
            </w:r>
          </w:p>
        </w:tc>
        <w:tc>
          <w:tcPr>
            <w:tcW w:w="10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133</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r>
      <w:tr>
        <w:trPr>
          <w:trHeight w:val="223"/>
        </w:trPr>
        <w:tc>
          <w:tcPr>
            <w:tcW w:w="7600" w:type="dxa"/>
            <w:vAlign w:val="bottom"/>
          </w:tcPr>
          <w:p>
            <w:pPr>
              <w:ind w:left="20"/>
              <w:spacing w:after="0"/>
              <w:rPr>
                <w:sz w:val="20"/>
                <w:szCs w:val="20"/>
                <w:color w:val="auto"/>
              </w:rPr>
            </w:pPr>
            <w:r>
              <w:rPr>
                <w:rFonts w:ascii="Arial" w:cs="Arial" w:eastAsia="Arial" w:hAnsi="Arial"/>
                <w:sz w:val="16"/>
                <w:szCs w:val="16"/>
                <w:color w:val="auto"/>
              </w:rPr>
              <w:t>Overfunded retirement plans</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227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106</w:t>
            </w:r>
          </w:p>
        </w:tc>
      </w:tr>
      <w:tr>
        <w:trPr>
          <w:trHeight w:val="33"/>
        </w:trPr>
        <w:tc>
          <w:tcPr>
            <w:tcW w:w="7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7"/>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long-term assets</w:t>
            </w:r>
          </w:p>
        </w:tc>
        <w:tc>
          <w:tcPr>
            <w:tcW w:w="10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501</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471</w:t>
            </w:r>
          </w:p>
        </w:tc>
      </w:tr>
      <w:tr>
        <w:trPr>
          <w:trHeight w:val="217"/>
        </w:trPr>
        <w:tc>
          <w:tcPr>
            <w:tcW w:w="760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1040" w:type="dxa"/>
            <w:vAlign w:val="bottom"/>
            <w:tcBorders>
              <w:top w:val="single" w:sz="8" w:color="auto"/>
            </w:tcBorders>
          </w:tcPr>
          <w:p>
            <w:pPr>
              <w:jc w:val="right"/>
              <w:ind w:right="859"/>
              <w:spacing w:after="0"/>
              <w:rPr>
                <w:sz w:val="20"/>
                <w:szCs w:val="20"/>
                <w:color w:val="auto"/>
              </w:rPr>
            </w:pPr>
            <w:r>
              <w:rPr>
                <w:rFonts w:ascii="Arial" w:cs="Arial" w:eastAsia="Arial" w:hAnsi="Arial"/>
                <w:sz w:val="16"/>
                <w:szCs w:val="16"/>
                <w:b w:val="1"/>
                <w:bCs w:val="1"/>
                <w:color w:val="auto"/>
                <w:w w:val="8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18,207</w:t>
            </w:r>
          </w:p>
        </w:tc>
        <w:tc>
          <w:tcPr>
            <w:tcW w:w="120" w:type="dxa"/>
            <w:vAlign w:val="bottom"/>
          </w:tcPr>
          <w:p>
            <w:pPr>
              <w:spacing w:after="0"/>
              <w:rPr>
                <w:sz w:val="18"/>
                <w:szCs w:val="18"/>
                <w:color w:val="auto"/>
              </w:rPr>
            </w:pPr>
          </w:p>
        </w:tc>
        <w:tc>
          <w:tcPr>
            <w:tcW w:w="540" w:type="dxa"/>
            <w:vAlign w:val="bottom"/>
            <w:tcBorders>
              <w:top w:val="single" w:sz="8" w:color="auto"/>
            </w:tcBorders>
          </w:tcPr>
          <w:p>
            <w:pPr>
              <w:jc w:val="right"/>
              <w:ind w:right="384"/>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17,992</w:t>
            </w:r>
          </w:p>
        </w:tc>
      </w:tr>
      <w:tr>
        <w:trPr>
          <w:trHeight w:val="33"/>
        </w:trPr>
        <w:tc>
          <w:tcPr>
            <w:tcW w:w="76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3"/>
        </w:trPr>
        <w:tc>
          <w:tcPr>
            <w:tcW w:w="76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3"/>
        </w:trPr>
        <w:tc>
          <w:tcPr>
            <w:tcW w:w="7600" w:type="dxa"/>
            <w:vAlign w:val="bottom"/>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33"/>
        </w:trPr>
        <w:tc>
          <w:tcPr>
            <w:tcW w:w="7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6"/>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0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23"/>
        </w:trPr>
        <w:tc>
          <w:tcPr>
            <w:tcW w:w="7600" w:type="dxa"/>
            <w:vAlign w:val="bottom"/>
          </w:tcPr>
          <w:p>
            <w:pPr>
              <w:ind w:left="220"/>
              <w:spacing w:after="0"/>
              <w:rPr>
                <w:sz w:val="20"/>
                <w:szCs w:val="20"/>
                <w:color w:val="auto"/>
              </w:rPr>
            </w:pPr>
            <w:r>
              <w:rPr>
                <w:rFonts w:ascii="Arial" w:cs="Arial" w:eastAsia="Arial" w:hAnsi="Arial"/>
                <w:sz w:val="16"/>
                <w:szCs w:val="16"/>
                <w:color w:val="auto"/>
              </w:rPr>
              <w:t>Current portion of long-term debt</w:t>
            </w:r>
          </w:p>
        </w:tc>
        <w:tc>
          <w:tcPr>
            <w:tcW w:w="1040" w:type="dxa"/>
            <w:vAlign w:val="bottom"/>
          </w:tcPr>
          <w:p>
            <w:pPr>
              <w:jc w:val="right"/>
              <w:ind w:right="859"/>
              <w:spacing w:after="0"/>
              <w:rPr>
                <w:sz w:val="20"/>
                <w:szCs w:val="20"/>
                <w:color w:val="auto"/>
              </w:rPr>
            </w:pPr>
            <w:r>
              <w:rPr>
                <w:rFonts w:ascii="Arial" w:cs="Arial" w:eastAsia="Arial" w:hAnsi="Arial"/>
                <w:sz w:val="16"/>
                <w:szCs w:val="16"/>
                <w:b w:val="1"/>
                <w:bCs w:val="1"/>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550</w:t>
            </w:r>
          </w:p>
        </w:tc>
        <w:tc>
          <w:tcPr>
            <w:tcW w:w="120" w:type="dxa"/>
            <w:vAlign w:val="bottom"/>
          </w:tcPr>
          <w:p>
            <w:pPr>
              <w:spacing w:after="0"/>
              <w:rPr>
                <w:sz w:val="19"/>
                <w:szCs w:val="19"/>
                <w:color w:val="auto"/>
              </w:rPr>
            </w:pPr>
          </w:p>
        </w:tc>
        <w:tc>
          <w:tcPr>
            <w:tcW w:w="540" w:type="dxa"/>
            <w:vAlign w:val="bottom"/>
          </w:tcPr>
          <w:p>
            <w:pPr>
              <w:jc w:val="right"/>
              <w:ind w:right="384"/>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499</w:t>
            </w:r>
          </w:p>
        </w:tc>
      </w:tr>
      <w:tr>
        <w:trPr>
          <w:trHeight w:val="33"/>
        </w:trPr>
        <w:tc>
          <w:tcPr>
            <w:tcW w:w="7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6"/>
        </w:trPr>
        <w:tc>
          <w:tcPr>
            <w:tcW w:w="7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10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411</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397</w:t>
            </w:r>
          </w:p>
        </w:tc>
      </w:tr>
      <w:tr>
        <w:trPr>
          <w:trHeight w:val="223"/>
        </w:trPr>
        <w:tc>
          <w:tcPr>
            <w:tcW w:w="7600" w:type="dxa"/>
            <w:vAlign w:val="bottom"/>
          </w:tcPr>
          <w:p>
            <w:pPr>
              <w:ind w:left="220"/>
              <w:spacing w:after="0"/>
              <w:rPr>
                <w:sz w:val="20"/>
                <w:szCs w:val="20"/>
                <w:color w:val="auto"/>
              </w:rPr>
            </w:pPr>
            <w:r>
              <w:rPr>
                <w:rFonts w:ascii="Arial" w:cs="Arial" w:eastAsia="Arial" w:hAnsi="Arial"/>
                <w:sz w:val="16"/>
                <w:szCs w:val="16"/>
                <w:color w:val="auto"/>
              </w:rPr>
              <w:t>Accrued compensation</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656</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609</w:t>
            </w:r>
          </w:p>
        </w:tc>
      </w:tr>
      <w:tr>
        <w:trPr>
          <w:trHeight w:val="33"/>
        </w:trPr>
        <w:tc>
          <w:tcPr>
            <w:tcW w:w="7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6"/>
        </w:trPr>
        <w:tc>
          <w:tcPr>
            <w:tcW w:w="7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Income taxes payable</w:t>
            </w:r>
          </w:p>
        </w:tc>
        <w:tc>
          <w:tcPr>
            <w:tcW w:w="10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44</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r>
      <w:tr>
        <w:trPr>
          <w:trHeight w:val="224"/>
        </w:trPr>
        <w:tc>
          <w:tcPr>
            <w:tcW w:w="7600" w:type="dxa"/>
            <w:vAlign w:val="bottom"/>
          </w:tcPr>
          <w:p>
            <w:pPr>
              <w:ind w:left="220"/>
              <w:spacing w:after="0"/>
              <w:rPr>
                <w:sz w:val="20"/>
                <w:szCs w:val="20"/>
                <w:color w:val="auto"/>
              </w:rPr>
            </w:pPr>
            <w:r>
              <w:rPr>
                <w:rFonts w:ascii="Arial" w:cs="Arial" w:eastAsia="Arial" w:hAnsi="Arial"/>
                <w:sz w:val="16"/>
                <w:szCs w:val="16"/>
                <w:color w:val="auto"/>
              </w:rPr>
              <w:t>Accrued expenses and other liabilities</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524</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444</w:t>
            </w:r>
          </w:p>
        </w:tc>
      </w:tr>
      <w:tr>
        <w:trPr>
          <w:trHeight w:val="33"/>
        </w:trPr>
        <w:tc>
          <w:tcPr>
            <w:tcW w:w="76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current liabilities</w:t>
            </w: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2,185</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2,007</w:t>
            </w:r>
          </w:p>
        </w:tc>
      </w:tr>
      <w:tr>
        <w:trPr>
          <w:trHeight w:val="217"/>
        </w:trPr>
        <w:tc>
          <w:tcPr>
            <w:tcW w:w="760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10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6,247</w:t>
            </w: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5,302</w:t>
            </w:r>
          </w:p>
        </w:tc>
      </w:tr>
      <w:tr>
        <w:trPr>
          <w:trHeight w:val="33"/>
        </w:trPr>
        <w:tc>
          <w:tcPr>
            <w:tcW w:w="7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6"/>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Underfunded retirement plans</w:t>
            </w:r>
          </w:p>
        </w:tc>
        <w:tc>
          <w:tcPr>
            <w:tcW w:w="10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103</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w:t>
            </w:r>
          </w:p>
        </w:tc>
      </w:tr>
      <w:tr>
        <w:trPr>
          <w:trHeight w:val="224"/>
        </w:trPr>
        <w:tc>
          <w:tcPr>
            <w:tcW w:w="7600" w:type="dxa"/>
            <w:vAlign w:val="bottom"/>
          </w:tcPr>
          <w:p>
            <w:pPr>
              <w:ind w:left="20"/>
              <w:spacing w:after="0"/>
              <w:rPr>
                <w:sz w:val="20"/>
                <w:szCs w:val="20"/>
                <w:color w:val="auto"/>
              </w:rPr>
            </w:pPr>
            <w:r>
              <w:rPr>
                <w:rFonts w:ascii="Arial" w:cs="Arial" w:eastAsia="Arial" w:hAnsi="Arial"/>
                <w:sz w:val="16"/>
                <w:szCs w:val="16"/>
                <w:color w:val="auto"/>
              </w:rPr>
              <w:t>Deferred tax liabilities</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69</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33"/>
        </w:trPr>
        <w:tc>
          <w:tcPr>
            <w:tcW w:w="7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6"/>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10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1,278</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1,526</w:t>
            </w:r>
          </w:p>
        </w:tc>
      </w:tr>
      <w:tr>
        <w:trPr>
          <w:trHeight w:val="217"/>
        </w:trPr>
        <w:tc>
          <w:tcPr>
            <w:tcW w:w="7600" w:type="dxa"/>
            <w:vAlign w:val="bottom"/>
          </w:tcPr>
          <w:p>
            <w:pPr>
              <w:ind w:left="20"/>
              <w:spacing w:after="0"/>
              <w:rPr>
                <w:sz w:val="20"/>
                <w:szCs w:val="20"/>
                <w:color w:val="auto"/>
              </w:rPr>
            </w:pPr>
            <w:r>
              <w:rPr>
                <w:rFonts w:ascii="Arial" w:cs="Arial" w:eastAsia="Arial" w:hAnsi="Arial"/>
                <w:sz w:val="16"/>
                <w:szCs w:val="16"/>
                <w:color w:val="auto"/>
              </w:rPr>
              <w:t>Total liabilities</w:t>
            </w:r>
          </w:p>
        </w:tc>
        <w:tc>
          <w:tcPr>
            <w:tcW w:w="10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9,882</w:t>
            </w: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9,007</w:t>
            </w:r>
          </w:p>
        </w:tc>
      </w:tr>
      <w:tr>
        <w:trPr>
          <w:trHeight w:val="33"/>
        </w:trPr>
        <w:tc>
          <w:tcPr>
            <w:tcW w:w="76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6"/>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10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r>
      <w:tr>
        <w:trPr>
          <w:trHeight w:val="223"/>
        </w:trPr>
        <w:tc>
          <w:tcPr>
            <w:tcW w:w="7600" w:type="dxa"/>
            <w:vAlign w:val="bottom"/>
          </w:tcPr>
          <w:p>
            <w:pPr>
              <w:ind w:left="220"/>
              <w:spacing w:after="0"/>
              <w:rPr>
                <w:sz w:val="20"/>
                <w:szCs w:val="20"/>
                <w:color w:val="auto"/>
              </w:rPr>
            </w:pPr>
            <w:r>
              <w:rPr>
                <w:rFonts w:ascii="Arial" w:cs="Arial" w:eastAsia="Arial" w:hAnsi="Arial"/>
                <w:sz w:val="16"/>
                <w:szCs w:val="16"/>
                <w:color w:val="auto"/>
              </w:rPr>
              <w:t>Preferred stock, $25 par value. Authorized – 10,000,000 shares</w:t>
            </w: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33"/>
        </w:trPr>
        <w:tc>
          <w:tcPr>
            <w:tcW w:w="7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6"/>
        </w:trPr>
        <w:tc>
          <w:tcPr>
            <w:tcW w:w="76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Participating cumulative preferred – None issued</w:t>
            </w:r>
          </w:p>
        </w:tc>
        <w:tc>
          <w:tcPr>
            <w:tcW w:w="10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5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4"/>
        </w:trPr>
        <w:tc>
          <w:tcPr>
            <w:tcW w:w="7600" w:type="dxa"/>
            <w:vAlign w:val="bottom"/>
          </w:tcPr>
          <w:p>
            <w:pPr>
              <w:ind w:left="220"/>
              <w:spacing w:after="0"/>
              <w:rPr>
                <w:sz w:val="20"/>
                <w:szCs w:val="20"/>
                <w:color w:val="auto"/>
              </w:rPr>
            </w:pPr>
            <w:r>
              <w:rPr>
                <w:rFonts w:ascii="Arial" w:cs="Arial" w:eastAsia="Arial" w:hAnsi="Arial"/>
                <w:sz w:val="16"/>
                <w:szCs w:val="16"/>
                <w:color w:val="auto"/>
              </w:rPr>
              <w:t>Common stock, $1 par value. Authorized – 2,400,000,000 shares</w:t>
            </w: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33"/>
        </w:trPr>
        <w:tc>
          <w:tcPr>
            <w:tcW w:w="7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6"/>
        </w:trPr>
        <w:tc>
          <w:tcPr>
            <w:tcW w:w="76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Shares issued – 1,740,815,939</w:t>
            </w:r>
          </w:p>
        </w:tc>
        <w:tc>
          <w:tcPr>
            <w:tcW w:w="10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1,741</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1,741</w:t>
            </w:r>
          </w:p>
        </w:tc>
      </w:tr>
      <w:tr>
        <w:trPr>
          <w:trHeight w:val="224"/>
        </w:trPr>
        <w:tc>
          <w:tcPr>
            <w:tcW w:w="7600" w:type="dxa"/>
            <w:vAlign w:val="bottom"/>
          </w:tcPr>
          <w:p>
            <w:pPr>
              <w:ind w:left="220"/>
              <w:spacing w:after="0"/>
              <w:rPr>
                <w:sz w:val="20"/>
                <w:szCs w:val="20"/>
                <w:color w:val="auto"/>
              </w:rPr>
            </w:pPr>
            <w:r>
              <w:rPr>
                <w:rFonts w:ascii="Arial" w:cs="Arial" w:eastAsia="Arial" w:hAnsi="Arial"/>
                <w:sz w:val="16"/>
                <w:szCs w:val="16"/>
                <w:color w:val="auto"/>
              </w:rPr>
              <w:t>Paid-in capital</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2,257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2,058</w:t>
            </w:r>
          </w:p>
        </w:tc>
      </w:tr>
      <w:tr>
        <w:trPr>
          <w:trHeight w:val="33"/>
        </w:trPr>
        <w:tc>
          <w:tcPr>
            <w:tcW w:w="7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6"/>
        </w:trPr>
        <w:tc>
          <w:tcPr>
            <w:tcW w:w="7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Retained earnings</w:t>
            </w:r>
          </w:p>
        </w:tc>
        <w:tc>
          <w:tcPr>
            <w:tcW w:w="10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41,305</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39,674</w:t>
            </w:r>
          </w:p>
        </w:tc>
      </w:tr>
      <w:tr>
        <w:trPr>
          <w:trHeight w:val="223"/>
        </w:trPr>
        <w:tc>
          <w:tcPr>
            <w:tcW w:w="7600" w:type="dxa"/>
            <w:vAlign w:val="bottom"/>
          </w:tcPr>
          <w:p>
            <w:pPr>
              <w:ind w:left="220"/>
              <w:spacing w:after="0"/>
              <w:rPr>
                <w:sz w:val="20"/>
                <w:szCs w:val="20"/>
                <w:color w:val="auto"/>
              </w:rPr>
            </w:pPr>
            <w:r>
              <w:rPr>
                <w:rFonts w:ascii="Arial" w:cs="Arial" w:eastAsia="Arial" w:hAnsi="Arial"/>
                <w:sz w:val="16"/>
                <w:szCs w:val="16"/>
                <w:color w:val="auto"/>
              </w:rPr>
              <w:t>Treasury common stock at cost</w:t>
            </w: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33"/>
        </w:trPr>
        <w:tc>
          <w:tcPr>
            <w:tcW w:w="7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6"/>
        </w:trPr>
        <w:tc>
          <w:tcPr>
            <w:tcW w:w="76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Shares: September 30, 2020 – 823,174,578; September 30, 2019 – 805,637,804</w:t>
            </w:r>
          </w:p>
        </w:tc>
        <w:tc>
          <w:tcPr>
            <w:tcW w:w="10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7"/>
              </w:rPr>
              <w:t>(36,643)</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(34,045)</w:t>
            </w:r>
          </w:p>
        </w:tc>
      </w:tr>
      <w:tr>
        <w:trPr>
          <w:trHeight w:val="223"/>
        </w:trPr>
        <w:tc>
          <w:tcPr>
            <w:tcW w:w="7600" w:type="dxa"/>
            <w:vAlign w:val="bottom"/>
          </w:tcPr>
          <w:p>
            <w:pPr>
              <w:ind w:left="220"/>
              <w:spacing w:after="0"/>
              <w:rPr>
                <w:sz w:val="20"/>
                <w:szCs w:val="20"/>
                <w:color w:val="auto"/>
              </w:rPr>
            </w:pPr>
            <w:r>
              <w:rPr>
                <w:rFonts w:ascii="Arial" w:cs="Arial" w:eastAsia="Arial" w:hAnsi="Arial"/>
                <w:sz w:val="16"/>
                <w:szCs w:val="16"/>
                <w:color w:val="auto"/>
              </w:rPr>
              <w:t>Accumulated other comprehensive income (loss), net of taxes (AOCI)</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(335)</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(443)</w:t>
            </w:r>
          </w:p>
        </w:tc>
      </w:tr>
      <w:tr>
        <w:trPr>
          <w:trHeight w:val="33"/>
        </w:trPr>
        <w:tc>
          <w:tcPr>
            <w:tcW w:w="76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stockholders’ equity</w:t>
            </w: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8,325</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8,985</w:t>
            </w:r>
          </w:p>
        </w:tc>
      </w:tr>
      <w:tr>
        <w:trPr>
          <w:trHeight w:val="217"/>
        </w:trPr>
        <w:tc>
          <w:tcPr>
            <w:tcW w:w="7600" w:type="dxa"/>
            <w:vAlign w:val="bottom"/>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1040" w:type="dxa"/>
            <w:vAlign w:val="bottom"/>
            <w:tcBorders>
              <w:top w:val="single" w:sz="8" w:color="auto"/>
            </w:tcBorders>
          </w:tcPr>
          <w:p>
            <w:pPr>
              <w:jc w:val="right"/>
              <w:ind w:right="859"/>
              <w:spacing w:after="0"/>
              <w:rPr>
                <w:sz w:val="20"/>
                <w:szCs w:val="20"/>
                <w:color w:val="auto"/>
              </w:rPr>
            </w:pPr>
            <w:r>
              <w:rPr>
                <w:rFonts w:ascii="Arial" w:cs="Arial" w:eastAsia="Arial" w:hAnsi="Arial"/>
                <w:sz w:val="16"/>
                <w:szCs w:val="16"/>
                <w:b w:val="1"/>
                <w:bCs w:val="1"/>
                <w:color w:val="auto"/>
                <w:w w:val="8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18,207</w:t>
            </w:r>
          </w:p>
        </w:tc>
        <w:tc>
          <w:tcPr>
            <w:tcW w:w="120" w:type="dxa"/>
            <w:vAlign w:val="bottom"/>
          </w:tcPr>
          <w:p>
            <w:pPr>
              <w:spacing w:after="0"/>
              <w:rPr>
                <w:sz w:val="18"/>
                <w:szCs w:val="18"/>
                <w:color w:val="auto"/>
              </w:rPr>
            </w:pPr>
          </w:p>
        </w:tc>
        <w:tc>
          <w:tcPr>
            <w:tcW w:w="540" w:type="dxa"/>
            <w:vAlign w:val="bottom"/>
            <w:tcBorders>
              <w:top w:val="single" w:sz="8" w:color="auto"/>
            </w:tcBorders>
          </w:tcPr>
          <w:p>
            <w:pPr>
              <w:jc w:val="right"/>
              <w:ind w:right="384"/>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17,992</w:t>
            </w:r>
          </w:p>
        </w:tc>
      </w:tr>
      <w:tr>
        <w:trPr>
          <w:trHeight w:val="33"/>
        </w:trPr>
        <w:tc>
          <w:tcPr>
            <w:tcW w:w="76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
        </w:trPr>
        <w:tc>
          <w:tcPr>
            <w:tcW w:w="76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91" w:right="339" w:bottom="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1160"/>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40"/>
          </w:cols>
          <w:pgMar w:left="320" w:top="891" w:right="339" w:bottom="96"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20" w:type="dxa"/>
            <w:vAlign w:val="bottom"/>
          </w:tcPr>
          <w:p>
            <w:pPr>
              <w:spacing w:after="0"/>
              <w:rPr>
                <w:sz w:val="18"/>
                <w:szCs w:val="18"/>
                <w:color w:val="auto"/>
              </w:rPr>
            </w:pPr>
          </w:p>
        </w:tc>
        <w:tc>
          <w:tcPr>
            <w:tcW w:w="2880" w:type="dxa"/>
            <w:vAlign w:val="bottom"/>
            <w:gridSpan w:val="4"/>
          </w:tcPr>
          <w:p>
            <w:pPr>
              <w:jc w:val="right"/>
              <w:ind w:right="202"/>
              <w:spacing w:after="0"/>
              <w:rPr>
                <w:sz w:val="20"/>
                <w:szCs w:val="20"/>
                <w:color w:val="auto"/>
              </w:rPr>
            </w:pPr>
            <w:r>
              <w:rPr>
                <w:rFonts w:ascii="Arial" w:cs="Arial" w:eastAsia="Arial" w:hAnsi="Arial"/>
                <w:sz w:val="16"/>
                <w:szCs w:val="16"/>
                <w:b w:val="1"/>
                <w:bCs w:val="1"/>
                <w:color w:val="auto"/>
              </w:rPr>
              <w:t>For Three Months Ended</w:t>
            </w:r>
          </w:p>
        </w:tc>
        <w:tc>
          <w:tcPr>
            <w:tcW w:w="560" w:type="dxa"/>
            <w:vAlign w:val="bottom"/>
          </w:tcPr>
          <w:p>
            <w:pPr>
              <w:spacing w:after="0"/>
              <w:rPr>
                <w:sz w:val="18"/>
                <w:szCs w:val="18"/>
                <w:color w:val="auto"/>
              </w:rPr>
            </w:pPr>
          </w:p>
        </w:tc>
      </w:tr>
      <w:tr>
        <w:trPr>
          <w:trHeight w:val="257"/>
        </w:trPr>
        <w:tc>
          <w:tcPr>
            <w:tcW w:w="76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0" w:type="dxa"/>
            <w:vAlign w:val="bottom"/>
            <w:gridSpan w:val="3"/>
          </w:tcPr>
          <w:p>
            <w:pPr>
              <w:jc w:val="right"/>
              <w:ind w:right="582"/>
              <w:spacing w:after="0"/>
              <w:rPr>
                <w:sz w:val="20"/>
                <w:szCs w:val="20"/>
                <w:color w:val="auto"/>
              </w:rPr>
            </w:pPr>
            <w:r>
              <w:rPr>
                <w:rFonts w:ascii="Arial" w:cs="Arial" w:eastAsia="Arial" w:hAnsi="Arial"/>
                <w:sz w:val="16"/>
                <w:szCs w:val="16"/>
                <w:b w:val="1"/>
                <w:bCs w:val="1"/>
                <w:color w:val="auto"/>
              </w:rPr>
              <w:t>September 30,</w:t>
            </w:r>
          </w:p>
        </w:tc>
        <w:tc>
          <w:tcPr>
            <w:tcW w:w="560" w:type="dxa"/>
            <w:vAlign w:val="bottom"/>
          </w:tcPr>
          <w:p>
            <w:pPr>
              <w:spacing w:after="0"/>
              <w:rPr>
                <w:sz w:val="22"/>
                <w:szCs w:val="22"/>
                <w:color w:val="auto"/>
              </w:rPr>
            </w:pPr>
          </w:p>
        </w:tc>
      </w:tr>
      <w:tr>
        <w:trPr>
          <w:trHeight w:val="33"/>
        </w:trPr>
        <w:tc>
          <w:tcPr>
            <w:tcW w:w="76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17"/>
        </w:trPr>
        <w:tc>
          <w:tcPr>
            <w:tcW w:w="76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42"/>
              <w:spacing w:after="0"/>
              <w:rPr>
                <w:sz w:val="20"/>
                <w:szCs w:val="20"/>
                <w:color w:val="auto"/>
              </w:rPr>
            </w:pPr>
            <w:r>
              <w:rPr>
                <w:rFonts w:ascii="Arial" w:cs="Arial" w:eastAsia="Arial" w:hAnsi="Arial"/>
                <w:sz w:val="16"/>
                <w:szCs w:val="16"/>
                <w:b w:val="1"/>
                <w:bCs w:val="1"/>
                <w:color w:val="auto"/>
              </w:rPr>
              <w:t>2019</w:t>
            </w:r>
          </w:p>
        </w:tc>
        <w:tc>
          <w:tcPr>
            <w:tcW w:w="560" w:type="dxa"/>
            <w:vAlign w:val="bottom"/>
          </w:tcPr>
          <w:p>
            <w:pPr>
              <w:spacing w:after="0"/>
              <w:rPr>
                <w:sz w:val="18"/>
                <w:szCs w:val="18"/>
                <w:color w:val="auto"/>
              </w:rPr>
            </w:pPr>
          </w:p>
        </w:tc>
      </w:tr>
      <w:tr>
        <w:trPr>
          <w:trHeight w:val="33"/>
        </w:trPr>
        <w:tc>
          <w:tcPr>
            <w:tcW w:w="76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3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0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r>
      <w:tr>
        <w:trPr>
          <w:trHeight w:val="224"/>
        </w:trPr>
        <w:tc>
          <w:tcPr>
            <w:tcW w:w="7620" w:type="dxa"/>
            <w:vAlign w:val="bottom"/>
          </w:tcPr>
          <w:p>
            <w:pPr>
              <w:ind w:left="220"/>
              <w:spacing w:after="0"/>
              <w:rPr>
                <w:sz w:val="20"/>
                <w:szCs w:val="20"/>
                <w:color w:val="auto"/>
              </w:rPr>
            </w:pPr>
            <w:r>
              <w:rPr>
                <w:rFonts w:ascii="Arial" w:cs="Arial" w:eastAsia="Arial" w:hAnsi="Arial"/>
                <w:sz w:val="16"/>
                <w:szCs w:val="16"/>
                <w:color w:val="auto"/>
              </w:rPr>
              <w:t>Net income</w:t>
            </w:r>
          </w:p>
        </w:tc>
        <w:tc>
          <w:tcPr>
            <w:tcW w:w="1080" w:type="dxa"/>
            <w:vAlign w:val="bottom"/>
          </w:tcPr>
          <w:p>
            <w:pPr>
              <w:jc w:val="right"/>
              <w:ind w:right="899"/>
              <w:spacing w:after="0"/>
              <w:rPr>
                <w:sz w:val="20"/>
                <w:szCs w:val="20"/>
                <w:color w:val="auto"/>
              </w:rPr>
            </w:pPr>
            <w:r>
              <w:rPr>
                <w:rFonts w:ascii="Arial" w:cs="Arial" w:eastAsia="Arial" w:hAnsi="Arial"/>
                <w:sz w:val="16"/>
                <w:szCs w:val="16"/>
                <w:b w:val="1"/>
                <w:bCs w:val="1"/>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1,353</w:t>
            </w:r>
          </w:p>
        </w:tc>
        <w:tc>
          <w:tcPr>
            <w:tcW w:w="120" w:type="dxa"/>
            <w:vAlign w:val="bottom"/>
          </w:tcPr>
          <w:p>
            <w:pPr>
              <w:spacing w:after="0"/>
              <w:rPr>
                <w:sz w:val="19"/>
                <w:szCs w:val="19"/>
                <w:color w:val="auto"/>
              </w:rPr>
            </w:pPr>
          </w:p>
        </w:tc>
        <w:tc>
          <w:tcPr>
            <w:tcW w:w="1100" w:type="dxa"/>
            <w:vAlign w:val="bottom"/>
          </w:tcPr>
          <w:p>
            <w:pPr>
              <w:jc w:val="right"/>
              <w:ind w:right="942"/>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1,425</w:t>
            </w:r>
          </w:p>
        </w:tc>
      </w:tr>
      <w:tr>
        <w:trPr>
          <w:trHeight w:val="33"/>
        </w:trPr>
        <w:tc>
          <w:tcPr>
            <w:tcW w:w="7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37"/>
        </w:trPr>
        <w:tc>
          <w:tcPr>
            <w:tcW w:w="7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Adjustments to net income:</w:t>
            </w:r>
          </w:p>
        </w:tc>
        <w:tc>
          <w:tcPr>
            <w:tcW w:w="10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r>
      <w:tr>
        <w:trPr>
          <w:trHeight w:val="223"/>
        </w:trPr>
        <w:tc>
          <w:tcPr>
            <w:tcW w:w="7620" w:type="dxa"/>
            <w:vAlign w:val="bottom"/>
          </w:tcPr>
          <w:p>
            <w:pPr>
              <w:ind w:left="460"/>
              <w:spacing w:after="0"/>
              <w:rPr>
                <w:sz w:val="20"/>
                <w:szCs w:val="20"/>
                <w:color w:val="auto"/>
              </w:rPr>
            </w:pPr>
            <w:r>
              <w:rPr>
                <w:rFonts w:ascii="Arial" w:cs="Arial" w:eastAsia="Arial" w:hAnsi="Arial"/>
                <w:sz w:val="16"/>
                <w:szCs w:val="16"/>
                <w:color w:val="auto"/>
              </w:rPr>
              <w:t>Depreciation</w:t>
            </w: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183</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183</w:t>
            </w:r>
          </w:p>
        </w:tc>
      </w:tr>
      <w:tr>
        <w:trPr>
          <w:trHeight w:val="33"/>
        </w:trPr>
        <w:tc>
          <w:tcPr>
            <w:tcW w:w="7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37"/>
        </w:trPr>
        <w:tc>
          <w:tcPr>
            <w:tcW w:w="76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Amortization of acquisition-related intangibles</w:t>
            </w:r>
          </w:p>
        </w:tc>
        <w:tc>
          <w:tcPr>
            <w:tcW w:w="10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51</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w:t>
            </w:r>
          </w:p>
        </w:tc>
      </w:tr>
      <w:tr>
        <w:trPr>
          <w:trHeight w:val="224"/>
        </w:trPr>
        <w:tc>
          <w:tcPr>
            <w:tcW w:w="7620" w:type="dxa"/>
            <w:vAlign w:val="bottom"/>
          </w:tcPr>
          <w:p>
            <w:pPr>
              <w:ind w:left="460"/>
              <w:spacing w:after="0"/>
              <w:rPr>
                <w:sz w:val="20"/>
                <w:szCs w:val="20"/>
                <w:color w:val="auto"/>
              </w:rPr>
            </w:pPr>
            <w:r>
              <w:rPr>
                <w:rFonts w:ascii="Arial" w:cs="Arial" w:eastAsia="Arial" w:hAnsi="Arial"/>
                <w:sz w:val="16"/>
                <w:szCs w:val="16"/>
                <w:color w:val="auto"/>
              </w:rPr>
              <w:t>Amortization of capitalized software</w:t>
            </w: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16</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33"/>
        </w:trPr>
        <w:tc>
          <w:tcPr>
            <w:tcW w:w="7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37"/>
        </w:trPr>
        <w:tc>
          <w:tcPr>
            <w:tcW w:w="76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Stock compensation</w:t>
            </w:r>
          </w:p>
        </w:tc>
        <w:tc>
          <w:tcPr>
            <w:tcW w:w="10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23"/>
        </w:trPr>
        <w:tc>
          <w:tcPr>
            <w:tcW w:w="7620" w:type="dxa"/>
            <w:vAlign w:val="bottom"/>
          </w:tcPr>
          <w:p>
            <w:pPr>
              <w:ind w:left="460"/>
              <w:spacing w:after="0"/>
              <w:rPr>
                <w:sz w:val="20"/>
                <w:szCs w:val="20"/>
                <w:color w:val="auto"/>
              </w:rPr>
            </w:pPr>
            <w:r>
              <w:rPr>
                <w:rFonts w:ascii="Arial" w:cs="Arial" w:eastAsia="Arial" w:hAnsi="Arial"/>
                <w:sz w:val="16"/>
                <w:szCs w:val="16"/>
                <w:color w:val="auto"/>
              </w:rPr>
              <w:t>Gains on sales of assets</w:t>
            </w: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7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36"/>
        </w:trPr>
        <w:tc>
          <w:tcPr>
            <w:tcW w:w="76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Deferred taxes</w:t>
            </w:r>
          </w:p>
        </w:tc>
        <w:tc>
          <w:tcPr>
            <w:tcW w:w="10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(51)</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24"/>
        </w:trPr>
        <w:tc>
          <w:tcPr>
            <w:tcW w:w="7620" w:type="dxa"/>
            <w:vAlign w:val="bottom"/>
          </w:tcPr>
          <w:p>
            <w:pPr>
              <w:ind w:left="220"/>
              <w:spacing w:after="0"/>
              <w:rPr>
                <w:sz w:val="20"/>
                <w:szCs w:val="20"/>
                <w:color w:val="auto"/>
              </w:rPr>
            </w:pPr>
            <w:r>
              <w:rPr>
                <w:rFonts w:ascii="Arial" w:cs="Arial" w:eastAsia="Arial" w:hAnsi="Arial"/>
                <w:sz w:val="16"/>
                <w:szCs w:val="16"/>
                <w:color w:val="auto"/>
              </w:rPr>
              <w:t>Increase (decrease) from changes in:</w:t>
            </w: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33"/>
        </w:trPr>
        <w:tc>
          <w:tcPr>
            <w:tcW w:w="7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37"/>
        </w:trPr>
        <w:tc>
          <w:tcPr>
            <w:tcW w:w="76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Accounts receivable</w:t>
            </w:r>
          </w:p>
        </w:tc>
        <w:tc>
          <w:tcPr>
            <w:tcW w:w="10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(216)</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r>
      <w:tr>
        <w:trPr>
          <w:trHeight w:val="223"/>
        </w:trPr>
        <w:tc>
          <w:tcPr>
            <w:tcW w:w="7620" w:type="dxa"/>
            <w:vAlign w:val="bottom"/>
          </w:tcPr>
          <w:p>
            <w:pPr>
              <w:ind w:left="460"/>
              <w:spacing w:after="0"/>
              <w:rPr>
                <w:sz w:val="20"/>
                <w:szCs w:val="20"/>
                <w:color w:val="auto"/>
              </w:rPr>
            </w:pPr>
            <w:r>
              <w:rPr>
                <w:rFonts w:ascii="Arial" w:cs="Arial" w:eastAsia="Arial" w:hAnsi="Arial"/>
                <w:sz w:val="16"/>
                <w:szCs w:val="16"/>
                <w:color w:val="auto"/>
              </w:rPr>
              <w:t>Inventories</w:t>
            </w: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64</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33"/>
        </w:trPr>
        <w:tc>
          <w:tcPr>
            <w:tcW w:w="7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36"/>
        </w:trPr>
        <w:tc>
          <w:tcPr>
            <w:tcW w:w="76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Prepaid expenses and other current assets</w:t>
            </w:r>
          </w:p>
        </w:tc>
        <w:tc>
          <w:tcPr>
            <w:tcW w:w="10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224"/>
        </w:trPr>
        <w:tc>
          <w:tcPr>
            <w:tcW w:w="7620" w:type="dxa"/>
            <w:vAlign w:val="bottom"/>
          </w:tcPr>
          <w:p>
            <w:pPr>
              <w:ind w:left="460"/>
              <w:spacing w:after="0"/>
              <w:rPr>
                <w:sz w:val="20"/>
                <w:szCs w:val="20"/>
                <w:color w:val="auto"/>
              </w:rPr>
            </w:pPr>
            <w:r>
              <w:rPr>
                <w:rFonts w:ascii="Arial" w:cs="Arial" w:eastAsia="Arial" w:hAnsi="Arial"/>
                <w:sz w:val="16"/>
                <w:szCs w:val="16"/>
                <w:color w:val="auto"/>
              </w:rPr>
              <w:t>Accounts payable and accrued expenses</w:t>
            </w: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(13)</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33"/>
        </w:trPr>
        <w:tc>
          <w:tcPr>
            <w:tcW w:w="7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37"/>
        </w:trPr>
        <w:tc>
          <w:tcPr>
            <w:tcW w:w="76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Accrued compensation</w:t>
            </w:r>
          </w:p>
        </w:tc>
        <w:tc>
          <w:tcPr>
            <w:tcW w:w="10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157</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w:t>
            </w:r>
          </w:p>
        </w:tc>
      </w:tr>
      <w:tr>
        <w:trPr>
          <w:trHeight w:val="223"/>
        </w:trPr>
        <w:tc>
          <w:tcPr>
            <w:tcW w:w="7620" w:type="dxa"/>
            <w:vAlign w:val="bottom"/>
          </w:tcPr>
          <w:p>
            <w:pPr>
              <w:ind w:left="460"/>
              <w:spacing w:after="0"/>
              <w:rPr>
                <w:sz w:val="20"/>
                <w:szCs w:val="20"/>
                <w:color w:val="auto"/>
              </w:rPr>
            </w:pPr>
            <w:r>
              <w:rPr>
                <w:rFonts w:ascii="Arial" w:cs="Arial" w:eastAsia="Arial" w:hAnsi="Arial"/>
                <w:sz w:val="16"/>
                <w:szCs w:val="16"/>
                <w:color w:val="auto"/>
              </w:rPr>
              <w:t>Income taxes payable</w:t>
            </w: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(208)</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(93)</w:t>
            </w:r>
          </w:p>
        </w:tc>
      </w:tr>
      <w:tr>
        <w:trPr>
          <w:trHeight w:val="33"/>
        </w:trPr>
        <w:tc>
          <w:tcPr>
            <w:tcW w:w="7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37"/>
        </w:trPr>
        <w:tc>
          <w:tcPr>
            <w:tcW w:w="7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Changes in funded status of retirement plans</w:t>
            </w:r>
          </w:p>
        </w:tc>
        <w:tc>
          <w:tcPr>
            <w:tcW w:w="10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23"/>
        </w:trPr>
        <w:tc>
          <w:tcPr>
            <w:tcW w:w="7620" w:type="dxa"/>
            <w:vAlign w:val="bottom"/>
          </w:tcPr>
          <w:p>
            <w:pPr>
              <w:ind w:left="220"/>
              <w:spacing w:after="0"/>
              <w:rPr>
                <w:sz w:val="20"/>
                <w:szCs w:val="20"/>
                <w:color w:val="auto"/>
              </w:rPr>
            </w:pPr>
            <w:r>
              <w:rPr>
                <w:rFonts w:ascii="Arial" w:cs="Arial" w:eastAsia="Arial" w:hAnsi="Arial"/>
                <w:sz w:val="16"/>
                <w:szCs w:val="16"/>
                <w:color w:val="auto"/>
              </w:rPr>
              <w:t>Other</w:t>
            </w: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35</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33"/>
        </w:trPr>
        <w:tc>
          <w:tcPr>
            <w:tcW w:w="76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10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1,443</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1,992</w:t>
            </w:r>
          </w:p>
        </w:tc>
      </w:tr>
      <w:tr>
        <w:trPr>
          <w:trHeight w:val="237"/>
        </w:trPr>
        <w:tc>
          <w:tcPr>
            <w:tcW w:w="762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r>
      <w:tr>
        <w:trPr>
          <w:trHeight w:val="237"/>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0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r>
      <w:tr>
        <w:trPr>
          <w:trHeight w:val="223"/>
        </w:trPr>
        <w:tc>
          <w:tcPr>
            <w:tcW w:w="7620" w:type="dxa"/>
            <w:vAlign w:val="bottom"/>
          </w:tcPr>
          <w:p>
            <w:pPr>
              <w:ind w:left="220"/>
              <w:spacing w:after="0"/>
              <w:rPr>
                <w:sz w:val="20"/>
                <w:szCs w:val="20"/>
                <w:color w:val="auto"/>
              </w:rPr>
            </w:pPr>
            <w:r>
              <w:rPr>
                <w:rFonts w:ascii="Arial" w:cs="Arial" w:eastAsia="Arial" w:hAnsi="Arial"/>
                <w:sz w:val="16"/>
                <w:szCs w:val="16"/>
                <w:color w:val="auto"/>
              </w:rPr>
              <w:t>Capital expenditures</w:t>
            </w: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(146)</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(149)</w:t>
            </w:r>
          </w:p>
        </w:tc>
      </w:tr>
      <w:tr>
        <w:trPr>
          <w:trHeight w:val="33"/>
        </w:trPr>
        <w:tc>
          <w:tcPr>
            <w:tcW w:w="7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37"/>
        </w:trPr>
        <w:tc>
          <w:tcPr>
            <w:tcW w:w="7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Proceeds from asset sales</w:t>
            </w:r>
          </w:p>
        </w:tc>
        <w:tc>
          <w:tcPr>
            <w:tcW w:w="10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7620" w:type="dxa"/>
            <w:vAlign w:val="bottom"/>
          </w:tcPr>
          <w:p>
            <w:pPr>
              <w:ind w:left="220"/>
              <w:spacing w:after="0"/>
              <w:rPr>
                <w:sz w:val="20"/>
                <w:szCs w:val="20"/>
                <w:color w:val="auto"/>
              </w:rPr>
            </w:pPr>
            <w:r>
              <w:rPr>
                <w:rFonts w:ascii="Arial" w:cs="Arial" w:eastAsia="Arial" w:hAnsi="Arial"/>
                <w:sz w:val="16"/>
                <w:szCs w:val="16"/>
                <w:color w:val="auto"/>
              </w:rPr>
              <w:t>Purchases of short-term investments</w:t>
            </w: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(2,540)</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(986)</w:t>
            </w:r>
          </w:p>
        </w:tc>
      </w:tr>
      <w:tr>
        <w:trPr>
          <w:trHeight w:val="33"/>
        </w:trPr>
        <w:tc>
          <w:tcPr>
            <w:tcW w:w="7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37"/>
        </w:trPr>
        <w:tc>
          <w:tcPr>
            <w:tcW w:w="7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Proceeds from short-term investments</w:t>
            </w:r>
          </w:p>
        </w:tc>
        <w:tc>
          <w:tcPr>
            <w:tcW w:w="10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510</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220</w:t>
            </w:r>
          </w:p>
        </w:tc>
      </w:tr>
      <w:tr>
        <w:trPr>
          <w:trHeight w:val="223"/>
        </w:trPr>
        <w:tc>
          <w:tcPr>
            <w:tcW w:w="7620" w:type="dxa"/>
            <w:vAlign w:val="bottom"/>
          </w:tcPr>
          <w:p>
            <w:pPr>
              <w:ind w:left="220"/>
              <w:spacing w:after="0"/>
              <w:rPr>
                <w:sz w:val="20"/>
                <w:szCs w:val="20"/>
                <w:color w:val="auto"/>
              </w:rPr>
            </w:pPr>
            <w:r>
              <w:rPr>
                <w:rFonts w:ascii="Arial" w:cs="Arial" w:eastAsia="Arial" w:hAnsi="Arial"/>
                <w:sz w:val="16"/>
                <w:szCs w:val="16"/>
                <w:color w:val="auto"/>
              </w:rPr>
              <w:t>Other</w:t>
            </w: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(15)</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3"/>
        </w:trPr>
        <w:tc>
          <w:tcPr>
            <w:tcW w:w="76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10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(2,189)</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(914)</w:t>
            </w:r>
          </w:p>
        </w:tc>
      </w:tr>
      <w:tr>
        <w:trPr>
          <w:trHeight w:val="237"/>
        </w:trPr>
        <w:tc>
          <w:tcPr>
            <w:tcW w:w="762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r>
      <w:tr>
        <w:trPr>
          <w:trHeight w:val="236"/>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0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r>
      <w:tr>
        <w:trPr>
          <w:trHeight w:val="224"/>
        </w:trPr>
        <w:tc>
          <w:tcPr>
            <w:tcW w:w="7620" w:type="dxa"/>
            <w:vAlign w:val="bottom"/>
          </w:tcPr>
          <w:p>
            <w:pPr>
              <w:ind w:left="220"/>
              <w:spacing w:after="0"/>
              <w:rPr>
                <w:sz w:val="20"/>
                <w:szCs w:val="20"/>
                <w:color w:val="auto"/>
              </w:rPr>
            </w:pPr>
            <w:r>
              <w:rPr>
                <w:rFonts w:ascii="Arial" w:cs="Arial" w:eastAsia="Arial" w:hAnsi="Arial"/>
                <w:sz w:val="16"/>
                <w:szCs w:val="16"/>
                <w:color w:val="auto"/>
              </w:rPr>
              <w:t>Proceeds from issuance of long-term debt</w:t>
            </w:r>
          </w:p>
        </w:tc>
        <w:tc>
          <w:tcPr>
            <w:tcW w:w="108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748</w:t>
            </w:r>
          </w:p>
        </w:tc>
      </w:tr>
      <w:tr>
        <w:trPr>
          <w:trHeight w:val="33"/>
        </w:trPr>
        <w:tc>
          <w:tcPr>
            <w:tcW w:w="7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37"/>
        </w:trPr>
        <w:tc>
          <w:tcPr>
            <w:tcW w:w="7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Repayment of debt</w:t>
            </w:r>
          </w:p>
        </w:tc>
        <w:tc>
          <w:tcPr>
            <w:tcW w:w="10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(750)</w:t>
            </w:r>
          </w:p>
        </w:tc>
      </w:tr>
      <w:tr>
        <w:trPr>
          <w:trHeight w:val="223"/>
        </w:trPr>
        <w:tc>
          <w:tcPr>
            <w:tcW w:w="7620" w:type="dxa"/>
            <w:vAlign w:val="bottom"/>
          </w:tcPr>
          <w:p>
            <w:pPr>
              <w:ind w:left="220"/>
              <w:spacing w:after="0"/>
              <w:rPr>
                <w:sz w:val="20"/>
                <w:szCs w:val="20"/>
                <w:color w:val="auto"/>
              </w:rPr>
            </w:pPr>
            <w:r>
              <w:rPr>
                <w:rFonts w:ascii="Arial" w:cs="Arial" w:eastAsia="Arial" w:hAnsi="Arial"/>
                <w:sz w:val="16"/>
                <w:szCs w:val="16"/>
                <w:color w:val="auto"/>
              </w:rPr>
              <w:t>Dividends paid</w:t>
            </w: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(825)</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(721)</w:t>
            </w:r>
          </w:p>
        </w:tc>
      </w:tr>
      <w:tr>
        <w:trPr>
          <w:trHeight w:val="33"/>
        </w:trPr>
        <w:tc>
          <w:tcPr>
            <w:tcW w:w="7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37"/>
        </w:trPr>
        <w:tc>
          <w:tcPr>
            <w:tcW w:w="7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Stock repurchases</w:t>
            </w:r>
          </w:p>
        </w:tc>
        <w:tc>
          <w:tcPr>
            <w:tcW w:w="10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(456)</w:t>
            </w:r>
          </w:p>
        </w:tc>
      </w:tr>
      <w:tr>
        <w:trPr>
          <w:trHeight w:val="223"/>
        </w:trPr>
        <w:tc>
          <w:tcPr>
            <w:tcW w:w="7620" w:type="dxa"/>
            <w:vAlign w:val="bottom"/>
          </w:tcPr>
          <w:p>
            <w:pPr>
              <w:ind w:left="220"/>
              <w:spacing w:after="0"/>
              <w:rPr>
                <w:sz w:val="20"/>
                <w:szCs w:val="20"/>
                <w:color w:val="auto"/>
              </w:rPr>
            </w:pPr>
            <w:r>
              <w:rPr>
                <w:rFonts w:ascii="Arial" w:cs="Arial" w:eastAsia="Arial" w:hAnsi="Arial"/>
                <w:sz w:val="16"/>
                <w:szCs w:val="16"/>
                <w:color w:val="auto"/>
              </w:rPr>
              <w:t>Proceeds from common stock transactions</w:t>
            </w: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123</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194</w:t>
            </w:r>
          </w:p>
        </w:tc>
      </w:tr>
      <w:tr>
        <w:trPr>
          <w:trHeight w:val="33"/>
        </w:trPr>
        <w:tc>
          <w:tcPr>
            <w:tcW w:w="7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7"/>
        </w:trPr>
        <w:tc>
          <w:tcPr>
            <w:tcW w:w="7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10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17"/>
        </w:trPr>
        <w:tc>
          <w:tcPr>
            <w:tcW w:w="762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10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(726)</w:t>
            </w: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(998)</w:t>
            </w:r>
          </w:p>
        </w:tc>
      </w:tr>
      <w:tr>
        <w:trPr>
          <w:trHeight w:val="33"/>
        </w:trPr>
        <w:tc>
          <w:tcPr>
            <w:tcW w:w="76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36"/>
        </w:trPr>
        <w:tc>
          <w:tcPr>
            <w:tcW w:w="76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r>
      <w:tr>
        <w:trPr>
          <w:trHeight w:val="224"/>
        </w:trPr>
        <w:tc>
          <w:tcPr>
            <w:tcW w:w="7620" w:type="dxa"/>
            <w:vAlign w:val="bottom"/>
          </w:tcPr>
          <w:p>
            <w:pPr>
              <w:ind w:left="20"/>
              <w:spacing w:after="0"/>
              <w:rPr>
                <w:sz w:val="20"/>
                <w:szCs w:val="20"/>
                <w:color w:val="auto"/>
              </w:rPr>
            </w:pPr>
            <w:r>
              <w:rPr>
                <w:rFonts w:ascii="Arial" w:cs="Arial" w:eastAsia="Arial" w:hAnsi="Arial"/>
                <w:sz w:val="16"/>
                <w:szCs w:val="16"/>
                <w:color w:val="auto"/>
              </w:rPr>
              <w:t>Net change in cash and cash equivalents</w:t>
            </w: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(1,472)</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33"/>
        </w:trPr>
        <w:tc>
          <w:tcPr>
            <w:tcW w:w="7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6"/>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10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4,294</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3,813</w:t>
            </w:r>
          </w:p>
        </w:tc>
      </w:tr>
      <w:tr>
        <w:trPr>
          <w:trHeight w:val="217"/>
        </w:trPr>
        <w:tc>
          <w:tcPr>
            <w:tcW w:w="7620" w:type="dxa"/>
            <w:vAlign w:val="bottom"/>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1080" w:type="dxa"/>
            <w:vAlign w:val="bottom"/>
            <w:tcBorders>
              <w:top w:val="single" w:sz="8" w:color="auto"/>
            </w:tcBorders>
          </w:tcPr>
          <w:p>
            <w:pPr>
              <w:jc w:val="right"/>
              <w:ind w:right="899"/>
              <w:spacing w:after="0"/>
              <w:rPr>
                <w:sz w:val="20"/>
                <w:szCs w:val="20"/>
                <w:color w:val="auto"/>
              </w:rPr>
            </w:pPr>
            <w:r>
              <w:rPr>
                <w:rFonts w:ascii="Arial" w:cs="Arial" w:eastAsia="Arial" w:hAnsi="Arial"/>
                <w:sz w:val="16"/>
                <w:szCs w:val="16"/>
                <w:b w:val="1"/>
                <w:bCs w:val="1"/>
                <w:color w:val="auto"/>
                <w:w w:val="8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2,822</w:t>
            </w:r>
          </w:p>
        </w:tc>
        <w:tc>
          <w:tcPr>
            <w:tcW w:w="120" w:type="dxa"/>
            <w:vAlign w:val="bottom"/>
          </w:tcPr>
          <w:p>
            <w:pPr>
              <w:spacing w:after="0"/>
              <w:rPr>
                <w:sz w:val="18"/>
                <w:szCs w:val="18"/>
                <w:color w:val="auto"/>
              </w:rPr>
            </w:pPr>
          </w:p>
        </w:tc>
        <w:tc>
          <w:tcPr>
            <w:tcW w:w="1100" w:type="dxa"/>
            <w:vAlign w:val="bottom"/>
            <w:tcBorders>
              <w:top w:val="single" w:sz="8" w:color="auto"/>
            </w:tcBorders>
          </w:tcPr>
          <w:p>
            <w:pPr>
              <w:jc w:val="right"/>
              <w:ind w:right="942"/>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3,893</w:t>
            </w:r>
          </w:p>
        </w:tc>
      </w:tr>
      <w:tr>
        <w:trPr>
          <w:trHeight w:val="33"/>
        </w:trPr>
        <w:tc>
          <w:tcPr>
            <w:tcW w:w="76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0"/>
        </w:trPr>
        <w:tc>
          <w:tcPr>
            <w:tcW w:w="76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1160"/>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240"/>
          </w:cols>
          <w:pgMar w:left="320" w:top="891"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auto"/>
        </w:rPr>
        <w:t>Segment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are in millions of dollars.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2"/>
          </w:tcPr>
          <w:p>
            <w:pPr>
              <w:ind w:left="140"/>
              <w:spacing w:after="0"/>
              <w:rPr>
                <w:sz w:val="20"/>
                <w:szCs w:val="20"/>
                <w:color w:val="auto"/>
              </w:rPr>
            </w:pPr>
            <w:r>
              <w:rPr>
                <w:rFonts w:ascii="Arial" w:cs="Arial" w:eastAsia="Arial" w:hAnsi="Arial"/>
                <w:sz w:val="18"/>
                <w:szCs w:val="18"/>
                <w:color w:val="auto"/>
              </w:rPr>
              <w:t>Q3 2020</w:t>
            </w:r>
          </w:p>
        </w:tc>
        <w:tc>
          <w:tcPr>
            <w:tcW w:w="260" w:type="dxa"/>
            <w:vAlign w:val="bottom"/>
          </w:tcPr>
          <w:p>
            <w:pPr>
              <w:spacing w:after="0"/>
              <w:rPr>
                <w:sz w:val="20"/>
                <w:szCs w:val="20"/>
                <w:color w:val="auto"/>
              </w:rPr>
            </w:pPr>
          </w:p>
        </w:tc>
        <w:tc>
          <w:tcPr>
            <w:tcW w:w="1280" w:type="dxa"/>
            <w:vAlign w:val="bottom"/>
            <w:gridSpan w:val="2"/>
          </w:tcPr>
          <w:p>
            <w:pPr>
              <w:ind w:left="140"/>
              <w:spacing w:after="0"/>
              <w:rPr>
                <w:sz w:val="20"/>
                <w:szCs w:val="20"/>
                <w:color w:val="auto"/>
              </w:rPr>
            </w:pPr>
            <w:r>
              <w:rPr>
                <w:rFonts w:ascii="Arial" w:cs="Arial" w:eastAsia="Arial" w:hAnsi="Arial"/>
                <w:sz w:val="18"/>
                <w:szCs w:val="18"/>
                <w:color w:val="auto"/>
              </w:rPr>
              <w:t>Q3 2019</w:t>
            </w:r>
          </w:p>
        </w:tc>
        <w:tc>
          <w:tcPr>
            <w:tcW w:w="1580" w:type="dxa"/>
            <w:vAlign w:val="bottom"/>
          </w:tcPr>
          <w:p>
            <w:pPr>
              <w:jc w:val="right"/>
              <w:ind w:right="430"/>
              <w:spacing w:after="0"/>
              <w:rPr>
                <w:sz w:val="20"/>
                <w:szCs w:val="20"/>
                <w:color w:val="auto"/>
              </w:rPr>
            </w:pPr>
            <w:r>
              <w:rPr>
                <w:rFonts w:ascii="Arial" w:cs="Arial" w:eastAsia="Arial" w:hAnsi="Arial"/>
                <w:sz w:val="18"/>
                <w:szCs w:val="18"/>
                <w:color w:val="auto"/>
              </w:rPr>
              <w:t>Change</w:t>
            </w:r>
          </w:p>
        </w:tc>
      </w:tr>
      <w:tr>
        <w:trPr>
          <w:trHeight w:val="27"/>
        </w:trPr>
        <w:tc>
          <w:tcPr>
            <w:tcW w:w="6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Analog:</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6580" w:type="dxa"/>
            <w:vAlign w:val="bottom"/>
          </w:tcPr>
          <w:p>
            <w:pPr>
              <w:ind w:left="220"/>
              <w:spacing w:after="0"/>
              <w:rPr>
                <w:sz w:val="20"/>
                <w:szCs w:val="20"/>
                <w:color w:val="auto"/>
              </w:rPr>
            </w:pPr>
            <w:r>
              <w:rPr>
                <w:rFonts w:ascii="Arial" w:cs="Arial" w:eastAsia="Arial" w:hAnsi="Arial"/>
                <w:sz w:val="18"/>
                <w:szCs w:val="18"/>
                <w:color w:val="auto"/>
              </w:rPr>
              <w:t>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2,865</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2,674</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7 %</w:t>
            </w:r>
          </w:p>
        </w:tc>
      </w:tr>
      <w:tr>
        <w:trPr>
          <w:trHeight w:val="27"/>
        </w:trPr>
        <w:tc>
          <w:tcPr>
            <w:tcW w:w="6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Operating profit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43"/>
        </w:trPr>
        <w:tc>
          <w:tcPr>
            <w:tcW w:w="6580" w:type="dxa"/>
            <w:vAlign w:val="bottom"/>
          </w:tcPr>
          <w:p>
            <w:pPr>
              <w:ind w:left="20"/>
              <w:spacing w:after="0"/>
              <w:rPr>
                <w:sz w:val="20"/>
                <w:szCs w:val="20"/>
                <w:color w:val="auto"/>
              </w:rPr>
            </w:pPr>
            <w:r>
              <w:rPr>
                <w:rFonts w:ascii="Arial" w:cs="Arial" w:eastAsia="Arial" w:hAnsi="Arial"/>
                <w:sz w:val="18"/>
                <w:szCs w:val="18"/>
                <w:color w:val="auto"/>
              </w:rPr>
              <w:t>Embedded Processing:</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6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6580" w:type="dxa"/>
            <w:vAlign w:val="bottom"/>
          </w:tcPr>
          <w:p>
            <w:pPr>
              <w:ind w:left="220"/>
              <w:spacing w:after="0"/>
              <w:rPr>
                <w:sz w:val="20"/>
                <w:szCs w:val="20"/>
                <w:color w:val="auto"/>
              </w:rPr>
            </w:pPr>
            <w:r>
              <w:rPr>
                <w:rFonts w:ascii="Arial" w:cs="Arial" w:eastAsia="Arial" w:hAnsi="Arial"/>
                <w:sz w:val="18"/>
                <w:szCs w:val="18"/>
                <w:color w:val="auto"/>
              </w:rPr>
              <w:t>Operating profit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6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6580" w:type="dxa"/>
            <w:vAlign w:val="bottom"/>
          </w:tcPr>
          <w:p>
            <w:pPr>
              <w:ind w:left="220"/>
              <w:spacing w:after="0"/>
              <w:rPr>
                <w:sz w:val="20"/>
                <w:szCs w:val="20"/>
                <w:color w:val="auto"/>
              </w:rPr>
            </w:pPr>
            <w:r>
              <w:rPr>
                <w:rFonts w:ascii="Arial" w:cs="Arial" w:eastAsia="Arial" w:hAnsi="Arial"/>
                <w:sz w:val="18"/>
                <w:szCs w:val="18"/>
                <w:color w:val="auto"/>
              </w:rPr>
              <w:t>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6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3"/>
        </w:trPr>
        <w:tc>
          <w:tcPr>
            <w:tcW w:w="6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profit*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65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Includes acquisition charges.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Compared with the year-ago quarter: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Analog: </w:t>
      </w:r>
      <w:r>
        <w:rPr>
          <w:rFonts w:ascii="Arial" w:cs="Arial" w:eastAsia="Arial" w:hAnsi="Arial"/>
          <w:sz w:val="18"/>
          <w:szCs w:val="18"/>
          <w:i w:val="1"/>
          <w:iCs w:val="1"/>
          <w:color w:val="auto"/>
        </w:rPr>
        <w:t>(includes Power and Signal Chain)</w:t>
      </w:r>
    </w:p>
    <w:p>
      <w:pPr>
        <w:spacing w:after="0" w:line="27" w:lineRule="exact"/>
        <w:rPr>
          <w:sz w:val="20"/>
          <w:szCs w:val="20"/>
          <w:color w:val="auto"/>
        </w:rPr>
      </w:pPr>
    </w:p>
    <w:p>
      <w:pPr>
        <w:ind w:left="480" w:hanging="310"/>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increased in Signal Chain and Power.</w:t>
      </w:r>
    </w:p>
    <w:p>
      <w:pPr>
        <w:spacing w:after="0" w:line="9" w:lineRule="exact"/>
        <w:rPr>
          <w:rFonts w:ascii="Arial" w:cs="Arial" w:eastAsia="Arial" w:hAnsi="Arial"/>
          <w:sz w:val="18"/>
          <w:szCs w:val="18"/>
          <w:color w:val="auto"/>
        </w:rPr>
      </w:pPr>
    </w:p>
    <w:p>
      <w:pPr>
        <w:ind w:left="480" w:hanging="310"/>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profit increased due to higher revenue and associated gross profit.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Embedded Processing: </w:t>
      </w:r>
      <w:r>
        <w:rPr>
          <w:rFonts w:ascii="Arial" w:cs="Arial" w:eastAsia="Arial" w:hAnsi="Arial"/>
          <w:sz w:val="18"/>
          <w:szCs w:val="18"/>
          <w:i w:val="1"/>
          <w:iCs w:val="1"/>
          <w:color w:val="auto"/>
        </w:rPr>
        <w:t>(includes Connected Microcontrollers and Processors)</w:t>
      </w:r>
    </w:p>
    <w:p>
      <w:pPr>
        <w:spacing w:after="0" w:line="27" w:lineRule="exact"/>
        <w:rPr>
          <w:sz w:val="20"/>
          <w:szCs w:val="20"/>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decreased in both product lines.</w:t>
      </w:r>
    </w:p>
    <w:p>
      <w:pPr>
        <w:spacing w:after="0" w:line="9"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profit decreased due to lower revenue and associated gross profit.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i w:val="1"/>
          <w:iCs w:val="1"/>
          <w:color w:val="auto"/>
        </w:rPr>
        <w:t>(includes DLP</w:t>
      </w:r>
      <w:r>
        <w:rPr>
          <w:rFonts w:ascii="Arial" w:cs="Arial" w:eastAsia="Arial" w:hAnsi="Arial"/>
          <w:sz w:val="23"/>
          <w:szCs w:val="23"/>
          <w:i w:val="1"/>
          <w:i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products, calculators and custom ASIC products)</w:t>
      </w:r>
    </w:p>
    <w:p>
      <w:pPr>
        <w:ind w:left="480" w:hanging="310"/>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decreased $72 million, and operating profit decreased $23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89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Non-GAAP financial information</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This release includes references to free cash flow and ratios based on that measure. These are financial measures that were not prepared in accordance with GAAP. Free cash flow was calculated by subtracting capital expenditures from the most directly comparable GAAP measure, cash flows from operating activities (also referred to as cash flow from operations).</w:t>
      </w:r>
    </w:p>
    <w:p>
      <w:pPr>
        <w:spacing w:after="0" w:line="18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believe that free cash flow and the associated ratios provide insight into our liquidity, our cash-generating capability and the amount of cash potentially available to return to shareholders, as well as insight into our financial performance. These non-GAAP measures are supplemental to the comparable GAAP measures.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to the most directly comparable GAAP measures is provided in the table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40" w:type="dxa"/>
            <w:vAlign w:val="bottom"/>
            <w:gridSpan w:val="2"/>
          </w:tcPr>
          <w:p>
            <w:pPr>
              <w:spacing w:after="0"/>
              <w:rPr>
                <w:sz w:val="20"/>
                <w:szCs w:val="20"/>
                <w:color w:val="auto"/>
              </w:rPr>
            </w:pPr>
            <w:r>
              <w:rPr>
                <w:rFonts w:ascii="Arial" w:cs="Arial" w:eastAsia="Arial" w:hAnsi="Arial"/>
                <w:sz w:val="18"/>
                <w:szCs w:val="18"/>
                <w:i w:val="1"/>
                <w:iCs w:val="1"/>
                <w:color w:val="auto"/>
              </w:rPr>
              <w:t>Amounts are in millions of dollars.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486"/>
        </w:trPr>
        <w:tc>
          <w:tcPr>
            <w:tcW w:w="2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0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For 12 Months Ended</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6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6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7"/>
        </w:trPr>
        <w:tc>
          <w:tcPr>
            <w:tcW w:w="20" w:type="dxa"/>
            <w:vAlign w:val="bottom"/>
          </w:tcPr>
          <w:p>
            <w:pPr>
              <w:spacing w:after="0"/>
              <w:rPr>
                <w:sz w:val="2"/>
                <w:szCs w:val="2"/>
                <w:color w:val="auto"/>
              </w:rPr>
            </w:pPr>
          </w:p>
        </w:tc>
        <w:tc>
          <w:tcPr>
            <w:tcW w:w="6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2019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jc w:val="right"/>
              <w:ind w:right="370"/>
              <w:spacing w:after="0"/>
              <w:rPr>
                <w:sz w:val="20"/>
                <w:szCs w:val="20"/>
                <w:color w:val="auto"/>
              </w:rPr>
            </w:pPr>
            <w:r>
              <w:rPr>
                <w:rFonts w:ascii="Arial" w:cs="Arial" w:eastAsia="Arial" w:hAnsi="Arial"/>
                <w:sz w:val="18"/>
                <w:szCs w:val="18"/>
                <w:b w:val="1"/>
                <w:bCs w:val="1"/>
                <w:color w:val="auto"/>
              </w:rPr>
              <w:t>Change</w:t>
            </w:r>
          </w:p>
        </w:tc>
      </w:tr>
      <w:tr>
        <w:trPr>
          <w:trHeight w:val="27"/>
        </w:trPr>
        <w:tc>
          <w:tcPr>
            <w:tcW w:w="20" w:type="dxa"/>
            <w:vAlign w:val="bottom"/>
          </w:tcPr>
          <w:p>
            <w:pPr>
              <w:spacing w:after="0"/>
              <w:rPr>
                <w:sz w:val="2"/>
                <w:szCs w:val="2"/>
                <w:color w:val="auto"/>
              </w:rPr>
            </w:pPr>
          </w:p>
        </w:tc>
        <w:tc>
          <w:tcPr>
            <w:tcW w:w="6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 from operations (GAAP)</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5,768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7,040</w:t>
            </w:r>
          </w:p>
        </w:tc>
        <w:tc>
          <w:tcPr>
            <w:tcW w:w="18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20" w:type="dxa"/>
            <w:vAlign w:val="bottom"/>
          </w:tcPr>
          <w:p>
            <w:pPr>
              <w:spacing w:after="0"/>
              <w:rPr>
                <w:sz w:val="21"/>
                <w:szCs w:val="21"/>
                <w:color w:val="auto"/>
              </w:rPr>
            </w:pPr>
          </w:p>
        </w:tc>
        <w:tc>
          <w:tcPr>
            <w:tcW w:w="632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36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b w:val="1"/>
                <w:bCs w:val="1"/>
                <w:color w:val="auto"/>
              </w:rPr>
              <w:t>(600)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(1,007)</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6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r>
      <w:tr>
        <w:trPr>
          <w:trHeight w:val="283"/>
        </w:trPr>
        <w:tc>
          <w:tcPr>
            <w:tcW w:w="20" w:type="dxa"/>
            <w:vAlign w:val="bottom"/>
          </w:tcPr>
          <w:p>
            <w:pPr>
              <w:spacing w:after="0"/>
              <w:rPr>
                <w:sz w:val="24"/>
                <w:szCs w:val="24"/>
                <w:color w:val="auto"/>
              </w:rPr>
            </w:pPr>
          </w:p>
        </w:tc>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Free cash flow (non-GAAP)</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5,168</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6,033</w:t>
            </w:r>
          </w:p>
        </w:tc>
        <w:tc>
          <w:tcPr>
            <w:tcW w:w="1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20" w:type="dxa"/>
            <w:vAlign w:val="bottom"/>
          </w:tcPr>
          <w:p>
            <w:pPr>
              <w:spacing w:after="0" w:line="20" w:lineRule="exact"/>
              <w:rPr>
                <w:sz w:val="1"/>
                <w:szCs w:val="1"/>
                <w:color w:val="auto"/>
              </w:rPr>
            </w:pPr>
          </w:p>
        </w:tc>
        <w:tc>
          <w:tcPr>
            <w:tcW w:w="6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63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540" w:type="dxa"/>
            <w:vAlign w:val="bottom"/>
            <w:tcBorders>
              <w:bottom w:val="single" w:sz="8" w:color="CCEEFF"/>
            </w:tcBorders>
          </w:tcPr>
          <w:p>
            <w:pPr>
              <w:spacing w:after="0"/>
              <w:rPr>
                <w:sz w:val="17"/>
                <w:szCs w:val="17"/>
                <w:color w:val="auto"/>
              </w:rPr>
            </w:pPr>
          </w:p>
        </w:tc>
      </w:tr>
      <w:tr>
        <w:trPr>
          <w:trHeight w:val="288"/>
        </w:trPr>
        <w:tc>
          <w:tcPr>
            <w:tcW w:w="20" w:type="dxa"/>
            <w:vAlign w:val="bottom"/>
          </w:tcPr>
          <w:p>
            <w:pPr>
              <w:spacing w:after="0"/>
              <w:rPr>
                <w:sz w:val="24"/>
                <w:szCs w:val="24"/>
                <w:color w:val="auto"/>
              </w:rPr>
            </w:pPr>
          </w:p>
        </w:tc>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13,735</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14,750</w:t>
            </w: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shd w:val="clear" w:color="auto" w:fill="CCEEFF"/>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50"/>
        </w:trPr>
        <w:tc>
          <w:tcPr>
            <w:tcW w:w="20" w:type="dxa"/>
            <w:vAlign w:val="bottom"/>
          </w:tcPr>
          <w:p>
            <w:pPr>
              <w:spacing w:after="0"/>
              <w:rPr>
                <w:sz w:val="21"/>
                <w:szCs w:val="21"/>
                <w:color w:val="auto"/>
              </w:rPr>
            </w:pPr>
          </w:p>
        </w:tc>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 from operations as a percentage of revenue (GAAP)</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42.0 %</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320" w:type="dxa"/>
            <w:vAlign w:val="bottom"/>
          </w:tcPr>
          <w:p>
            <w:pPr>
              <w:ind w:left="20"/>
              <w:spacing w:after="0"/>
              <w:rPr>
                <w:sz w:val="20"/>
                <w:szCs w:val="20"/>
                <w:color w:val="auto"/>
              </w:rPr>
            </w:pPr>
            <w:r>
              <w:rPr>
                <w:rFonts w:ascii="Arial" w:cs="Arial" w:eastAsia="Arial" w:hAnsi="Arial"/>
                <w:sz w:val="18"/>
                <w:szCs w:val="18"/>
                <w:color w:val="auto"/>
              </w:rPr>
              <w:t>Free cash flow as a percentage of revenue (non-GAAP)</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37.6 %</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40.9</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bl>
    <w:p>
      <w:pPr>
        <w:spacing w:after="0" w:line="229"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This release also includes references to an annual operating tax rate, a non-GAAP term we use to describe the estimated annual effective tax rate, a GAAP measure that by definition does not include discrete tax items. We believe the term annual operating tax rate helps differentiate from the effective tax rate, which includes discrete tax items.</w:t>
      </w: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1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29"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our management:</w:t>
      </w:r>
    </w:p>
    <w:p>
      <w:pPr>
        <w:spacing w:after="0" w:line="170" w:lineRule="exact"/>
        <w:rPr>
          <w:sz w:val="20"/>
          <w:szCs w:val="20"/>
          <w:color w:val="auto"/>
        </w:rPr>
      </w:pPr>
    </w:p>
    <w:p>
      <w:pPr>
        <w:ind w:left="620" w:right="720" w:hanging="329"/>
        <w:spacing w:after="0" w:line="258" w:lineRule="auto"/>
        <w:tabs>
          <w:tab w:leader="none" w:pos="615"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duration and scope of the COVID-19 pandemic, government and other third-party responses to it and the consequences for the global economy, including to our business and the businesses of our suppliers, customers and distributors;</w:t>
      </w:r>
    </w:p>
    <w:p>
      <w:pPr>
        <w:ind w:left="620" w:right="60" w:hanging="329"/>
        <w:spacing w:after="0" w:line="249" w:lineRule="auto"/>
        <w:tabs>
          <w:tab w:leader="none" w:pos="615" w:val="left"/>
        </w:tabs>
        <w:numPr>
          <w:ilvl w:val="0"/>
          <w:numId w:val="6"/>
        </w:numPr>
        <w:rPr>
          <w:rFonts w:ascii="Arial" w:cs="Arial" w:eastAsia="Arial" w:hAnsi="Arial"/>
          <w:sz w:val="18"/>
          <w:szCs w:val="18"/>
          <w:color w:val="auto"/>
        </w:rPr>
      </w:pPr>
      <w:r>
        <w:rPr>
          <w:rFonts w:ascii="Arial" w:cs="Arial" w:eastAsia="Arial" w:hAnsi="Arial"/>
          <w:sz w:val="18"/>
          <w:szCs w:val="18"/>
          <w:color w:val="auto"/>
        </w:rPr>
        <w:t>Economic, social and political conditions, and natural events in the countries in which we, our customers or our suppliers operate, including global trade policies;</w:t>
      </w:r>
    </w:p>
    <w:p>
      <w:pPr>
        <w:ind w:left="620" w:hanging="329"/>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Market demand for semiconductors, particularly in the industrial and automotive markets, and customer demand that differs from forecasts;</w:t>
      </w:r>
    </w:p>
    <w:p>
      <w:pPr>
        <w:spacing w:after="0" w:line="20" w:lineRule="exact"/>
        <w:rPr>
          <w:rFonts w:ascii="Arial" w:cs="Arial" w:eastAsia="Arial" w:hAnsi="Arial"/>
          <w:sz w:val="17"/>
          <w:szCs w:val="17"/>
          <w:color w:val="auto"/>
        </w:rPr>
      </w:pPr>
    </w:p>
    <w:p>
      <w:pPr>
        <w:ind w:left="620" w:hanging="329"/>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9" w:lineRule="exact"/>
        <w:rPr>
          <w:rFonts w:ascii="Arial" w:cs="Arial" w:eastAsia="Arial" w:hAnsi="Arial"/>
          <w:sz w:val="18"/>
          <w:szCs w:val="18"/>
          <w:color w:val="auto"/>
        </w:rPr>
      </w:pPr>
    </w:p>
    <w:p>
      <w:pPr>
        <w:ind w:left="620" w:hanging="329"/>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Evolving cybersecurity and other threats relating to our information technology systems or those of our customers or suppliers;</w:t>
      </w:r>
    </w:p>
    <w:p>
      <w:pPr>
        <w:spacing w:after="0" w:line="9" w:lineRule="exact"/>
        <w:rPr>
          <w:rFonts w:ascii="Arial" w:cs="Arial" w:eastAsia="Arial" w:hAnsi="Arial"/>
          <w:sz w:val="18"/>
          <w:szCs w:val="18"/>
          <w:color w:val="auto"/>
        </w:rPr>
      </w:pPr>
    </w:p>
    <w:p>
      <w:pPr>
        <w:ind w:left="620" w:right="320" w:hanging="329"/>
        <w:spacing w:after="0" w:line="250" w:lineRule="auto"/>
        <w:tabs>
          <w:tab w:leader="none" w:pos="61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successfully implement and realize opportunities from strategic, business and organizational changes, or our ability to realize our expectations regarding the amount and timing of restructuring charges and associated cost savings;</w:t>
      </w:r>
    </w:p>
    <w:p>
      <w:pPr>
        <w:ind w:left="620" w:right="1060" w:hanging="329"/>
        <w:spacing w:after="0" w:line="250" w:lineRule="auto"/>
        <w:tabs>
          <w:tab w:leader="none" w:pos="61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 and our timely implementation of new manufacturing technologies and installation of manufacturing equipment;</w:t>
      </w:r>
    </w:p>
    <w:p>
      <w:pPr>
        <w:ind w:left="620" w:hanging="329"/>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0" w:lineRule="exact"/>
        <w:rPr>
          <w:rFonts w:ascii="Arial" w:cs="Arial" w:eastAsia="Arial" w:hAnsi="Arial"/>
          <w:sz w:val="17"/>
          <w:szCs w:val="17"/>
          <w:color w:val="auto"/>
        </w:rPr>
      </w:pPr>
    </w:p>
    <w:p>
      <w:pPr>
        <w:ind w:left="620" w:right="160" w:hanging="329"/>
        <w:spacing w:after="0" w:line="250" w:lineRule="auto"/>
        <w:tabs>
          <w:tab w:leader="none" w:pos="615"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Product liability, warranty or other claims relating to our products, manufacturing, delivery, services, design or communications, or recalls by our customers for a product containing one of our parts;</w:t>
      </w:r>
    </w:p>
    <w:p>
      <w:pPr>
        <w:ind w:left="620" w:right="660" w:hanging="329"/>
        <w:spacing w:after="0" w:line="250" w:lineRule="auto"/>
        <w:tabs>
          <w:tab w:leader="none" w:pos="615"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Compliance with or changes in the complex laws, rules and regulations to which we are or may become subject, or actions of enforcement authorities, that restrict our ability to operate our business, or subject us to fines, penalties or other legal liability;</w:t>
      </w:r>
    </w:p>
    <w:p>
      <w:pPr>
        <w:ind w:left="620" w:right="60" w:hanging="329"/>
        <w:spacing w:after="0" w:line="265" w:lineRule="auto"/>
        <w:tabs>
          <w:tab w:leader="none" w:pos="615" w:val="left"/>
        </w:tabs>
        <w:numPr>
          <w:ilvl w:val="0"/>
          <w:numId w:val="6"/>
        </w:numPr>
        <w:rPr>
          <w:rFonts w:ascii="Arial" w:cs="Arial" w:eastAsia="Arial" w:hAnsi="Arial"/>
          <w:sz w:val="17"/>
          <w:szCs w:val="17"/>
          <w:color w:val="auto"/>
        </w:rPr>
      </w:pPr>
      <w:r>
        <w:rPr>
          <w:rFonts w:ascii="Arial" w:cs="Arial" w:eastAsia="Arial" w:hAnsi="Arial"/>
          <w:sz w:val="17"/>
          <w:szCs w:val="17"/>
          <w:color w:val="auto"/>
        </w:rPr>
        <w:t>Changes in tax law and accounting standards that impact the tax rate applicable to us, the jurisdictions in which profits are determined to be earned and taxed, adverse resolution of tax audits, increases in tariff rates, and the ability to realize deferred tax assets;</w:t>
      </w:r>
    </w:p>
    <w:p>
      <w:pPr>
        <w:ind w:left="620" w:hanging="329"/>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loss suffered by one of our customers or distributors with respect to TI-consigned inventory;</w:t>
      </w:r>
    </w:p>
    <w:p>
      <w:pPr>
        <w:spacing w:after="0" w:line="9" w:lineRule="exact"/>
        <w:rPr>
          <w:rFonts w:ascii="Arial" w:cs="Arial" w:eastAsia="Arial" w:hAnsi="Arial"/>
          <w:sz w:val="18"/>
          <w:szCs w:val="18"/>
          <w:color w:val="auto"/>
        </w:rPr>
      </w:pPr>
    </w:p>
    <w:p>
      <w:pPr>
        <w:ind w:left="620" w:hanging="329"/>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Financial difficulties of our distributors or their promotion of competing product lines to our detriment; or disputes with significant distributors;</w:t>
      </w:r>
    </w:p>
    <w:p>
      <w:pPr>
        <w:spacing w:after="0" w:line="20" w:lineRule="exact"/>
        <w:rPr>
          <w:rFonts w:ascii="Arial" w:cs="Arial" w:eastAsia="Arial" w:hAnsi="Arial"/>
          <w:sz w:val="17"/>
          <w:szCs w:val="17"/>
          <w:color w:val="auto"/>
        </w:rPr>
      </w:pPr>
    </w:p>
    <w:p>
      <w:pPr>
        <w:ind w:left="620" w:hanging="329"/>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or the timing and amount of distributor and other customer inventory adjustments;</w:t>
      </w:r>
    </w:p>
    <w:p>
      <w:pPr>
        <w:spacing w:after="0" w:line="20" w:lineRule="exact"/>
        <w:rPr>
          <w:rFonts w:ascii="Arial" w:cs="Arial" w:eastAsia="Arial" w:hAnsi="Arial"/>
          <w:sz w:val="17"/>
          <w:szCs w:val="17"/>
          <w:color w:val="auto"/>
        </w:rPr>
      </w:pPr>
    </w:p>
    <w:p>
      <w:pPr>
        <w:ind w:left="620" w:right="100" w:hanging="329"/>
        <w:spacing w:after="0" w:line="250" w:lineRule="auto"/>
        <w:tabs>
          <w:tab w:leader="none" w:pos="61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or improve profit margins, including our ability to utilize our manufacturing facilities at sufficient levels to cover our fixed operating costs, in an intensely competitive and cyclical industry and changing regulatory environment;</w:t>
      </w:r>
    </w:p>
    <w:p>
      <w:pPr>
        <w:ind w:left="620" w:right="60" w:hanging="329"/>
        <w:spacing w:after="0" w:line="250" w:lineRule="auto"/>
        <w:tabs>
          <w:tab w:leader="none" w:pos="61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maintain freedom of operation in all jurisdictions where we conduct business; or our exposure to infringement claims;</w:t>
      </w:r>
    </w:p>
    <w:p>
      <w:pPr>
        <w:ind w:left="620" w:hanging="329"/>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w:t>
      </w:r>
    </w:p>
    <w:p>
      <w:pPr>
        <w:spacing w:after="0" w:line="9" w:lineRule="exact"/>
        <w:rPr>
          <w:rFonts w:ascii="Arial" w:cs="Arial" w:eastAsia="Arial" w:hAnsi="Arial"/>
          <w:sz w:val="18"/>
          <w:szCs w:val="18"/>
          <w:color w:val="auto"/>
        </w:rPr>
      </w:pPr>
    </w:p>
    <w:p>
      <w:pPr>
        <w:ind w:left="620" w:hanging="329"/>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Increases in health care and pension benefit costs;</w:t>
      </w:r>
    </w:p>
    <w:p>
      <w:pPr>
        <w:spacing w:after="0" w:line="9" w:lineRule="exact"/>
        <w:rPr>
          <w:rFonts w:ascii="Arial" w:cs="Arial" w:eastAsia="Arial" w:hAnsi="Arial"/>
          <w:sz w:val="18"/>
          <w:szCs w:val="18"/>
          <w:color w:val="auto"/>
        </w:rPr>
      </w:pPr>
    </w:p>
    <w:p>
      <w:pPr>
        <w:ind w:left="620" w:hanging="329"/>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recruit and retain skilled personnel, and effectively manage key employee succession; and</w:t>
      </w:r>
    </w:p>
    <w:p>
      <w:pPr>
        <w:spacing w:after="0" w:line="9" w:lineRule="exact"/>
        <w:rPr>
          <w:rFonts w:ascii="Arial" w:cs="Arial" w:eastAsia="Arial" w:hAnsi="Arial"/>
          <w:sz w:val="18"/>
          <w:szCs w:val="18"/>
          <w:color w:val="auto"/>
        </w:rPr>
      </w:pPr>
    </w:p>
    <w:p>
      <w:pPr>
        <w:ind w:left="620" w:hanging="329"/>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1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For a more detailed discussion of these factors, see the Risk factors discussion in Part II Item 1A of TI’s Form 10-Q for the quarter ended March 31, 2020. The forward-looking statements included in this release are made only as of the date of this release, and we undertake no obligation to update the forward-looking statements to reflect subsequent events or circumstances. If we do update any forward-looking statement, you should not infer that we will make additional updates with respect to that statement or any other forward-looking statement.</w:t>
      </w:r>
    </w:p>
    <w:p>
      <w:pPr>
        <w:spacing w:after="0" w:line="200" w:lineRule="exact"/>
        <w:rPr>
          <w:sz w:val="20"/>
          <w:szCs w:val="20"/>
          <w:color w:val="auto"/>
        </w:rPr>
      </w:pPr>
    </w:p>
    <w:p>
      <w:pPr>
        <w:spacing w:after="0" w:line="3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10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About Texas Instruments</w:t>
      </w:r>
    </w:p>
    <w:p>
      <w:pPr>
        <w:spacing w:after="0" w:line="22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 xml:space="preserve">Texas Instruments Incorporated (Nasdaq: TXN) is a global semiconductor company that designs, manufactures, tests and sells analog and embedded processing chips for markets such as industrial, automotive, personal electronics, communications equipment and enterprise systems. Our passion to create a better world by making electronics more affordable through semiconductors is alive today, as each generation of innovation builds upon the last to make our technology smaller, more efficient, more reliable and more affordable – making it possible for semiconductors to go into electronics everywhere. We think of this as Engineering Progress. It's what we do and have been doing for decades. Learn more at </w:t>
      </w:r>
      <w:r>
        <w:rPr>
          <w:rFonts w:ascii="Arial" w:cs="Arial" w:eastAsia="Arial" w:hAnsi="Arial"/>
          <w:sz w:val="17"/>
          <w:szCs w:val="17"/>
          <w:u w:val="single" w:color="auto"/>
          <w:color w:val="3051F2"/>
        </w:rPr>
        <w:t>TI.com</w:t>
      </w:r>
      <w:r>
        <w:rPr>
          <w:rFonts w:ascii="Arial" w:cs="Arial" w:eastAsia="Arial" w:hAnsi="Arial"/>
          <w:sz w:val="17"/>
          <w:szCs w:val="17"/>
          <w:color w:val="auto"/>
        </w:rPr>
        <w: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TI trademarks:</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trademarks are the property of their respective owners.</w:t>
      </w:r>
    </w:p>
    <w:sectPr>
      <w:pgSz w:w="11900" w:h="16838" w:orient="portrait"/>
      <w:cols w:equalWidth="0" w:num="1">
        <w:col w:w="11160"/>
      </w:cols>
      <w:pgMar w:left="320" w:top="1107"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2020-10-20T15:07:05Z</dcterms:created>
  <dcterms:modified xsi:type="dcterms:W3CDTF">2020-10-20T15:07:05Z</dcterms:modified>
</cp:coreProperties>
</file>